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40EBD" w:rsidRPr="00640EBD" w:rsidRDefault="00640EBD" w:rsidP="00986AF7">
      <w:pPr>
        <w:pStyle w:val="TOC9"/>
      </w:pPr>
    </w:p>
    <w:p w:rsidR="00494F03" w:rsidRPr="00E3331A" w:rsidRDefault="008E71F2" w:rsidP="008B5F23">
      <w:pPr>
        <w:pStyle w:val="PublicationTitle"/>
        <w:tabs>
          <w:tab w:val="right" w:pos="9072"/>
        </w:tabs>
        <w:spacing w:after="1320"/>
        <w:ind w:right="-45"/>
        <w:jc w:val="both"/>
        <w:rPr>
          <w:szCs w:val="44"/>
        </w:rPr>
      </w:pPr>
      <w:r>
        <w:rPr>
          <w:szCs w:val="44"/>
        </w:rPr>
        <w:t>Immunoglobulin for c</w:t>
      </w:r>
      <w:r w:rsidR="00487CA6" w:rsidRPr="00E3331A">
        <w:rPr>
          <w:szCs w:val="44"/>
        </w:rPr>
        <w:t>hronic Inflammatory Demy</w:t>
      </w:r>
      <w:r w:rsidR="00032F99" w:rsidRPr="00E3331A">
        <w:rPr>
          <w:szCs w:val="44"/>
        </w:rPr>
        <w:t>e</w:t>
      </w:r>
      <w:r w:rsidR="00487CA6" w:rsidRPr="00E3331A">
        <w:rPr>
          <w:szCs w:val="44"/>
        </w:rPr>
        <w:t>linating Polyne</w:t>
      </w:r>
      <w:r w:rsidR="00984858" w:rsidRPr="00E3331A">
        <w:rPr>
          <w:szCs w:val="44"/>
        </w:rPr>
        <w:t>uropathy</w:t>
      </w:r>
    </w:p>
    <w:p w:rsidR="00494F03" w:rsidRDefault="008E71F2" w:rsidP="008B5F23">
      <w:pPr>
        <w:pStyle w:val="Date"/>
        <w:tabs>
          <w:tab w:val="right" w:pos="9027"/>
        </w:tabs>
        <w:ind w:right="-45"/>
        <w:rPr>
          <w:rFonts w:cs="Arial"/>
          <w:szCs w:val="36"/>
        </w:rPr>
      </w:pPr>
      <w:r w:rsidRPr="008B5F23">
        <w:rPr>
          <w:rFonts w:cs="Arial"/>
          <w:szCs w:val="36"/>
        </w:rPr>
        <w:t>November</w:t>
      </w:r>
      <w:r w:rsidR="00F02B78" w:rsidRPr="008B5F23">
        <w:rPr>
          <w:rFonts w:cs="Arial"/>
          <w:szCs w:val="36"/>
        </w:rPr>
        <w:t xml:space="preserve"> </w:t>
      </w:r>
      <w:r w:rsidR="00164E34" w:rsidRPr="008B5F23">
        <w:rPr>
          <w:rFonts w:cs="Arial"/>
          <w:szCs w:val="36"/>
        </w:rPr>
        <w:t>2019</w:t>
      </w:r>
    </w:p>
    <w:p w:rsidR="00640EBD" w:rsidRPr="008B5F23" w:rsidRDefault="00640EBD" w:rsidP="008B5F23">
      <w:pPr>
        <w:pStyle w:val="Date"/>
        <w:tabs>
          <w:tab w:val="right" w:pos="9027"/>
        </w:tabs>
        <w:ind w:right="-45"/>
        <w:rPr>
          <w:rFonts w:cs="Arial"/>
          <w:szCs w:val="36"/>
        </w:rPr>
      </w:pPr>
      <w:r w:rsidRPr="008B5F23">
        <w:rPr>
          <w:rFonts w:cs="Arial"/>
          <w:szCs w:val="36"/>
        </w:rPr>
        <w:t xml:space="preserve">MSAC application no. </w:t>
      </w:r>
      <w:r w:rsidR="00487CA6" w:rsidRPr="008B5F23">
        <w:rPr>
          <w:rFonts w:cs="Arial"/>
          <w:szCs w:val="36"/>
        </w:rPr>
        <w:t>1564</w:t>
      </w:r>
      <w:bookmarkStart w:id="0" w:name="_GoBack"/>
      <w:bookmarkEnd w:id="0"/>
    </w:p>
    <w:p w:rsidR="00640EBD" w:rsidRPr="00E3331A" w:rsidRDefault="00640EBD" w:rsidP="00DF343F">
      <w:pPr>
        <w:pStyle w:val="Sub-title"/>
        <w:jc w:val="both"/>
      </w:pPr>
    </w:p>
    <w:p w:rsidR="00640EBD" w:rsidRPr="00E3331A" w:rsidRDefault="001C011D" w:rsidP="001C011D">
      <w:pPr>
        <w:pStyle w:val="Sub-title"/>
        <w:tabs>
          <w:tab w:val="right" w:pos="9027"/>
        </w:tabs>
        <w:ind w:right="-45"/>
        <w:jc w:val="both"/>
        <w:rPr>
          <w:szCs w:val="32"/>
        </w:rPr>
      </w:pPr>
      <w:r w:rsidRPr="00E3331A">
        <w:tab/>
      </w:r>
      <w:r w:rsidR="005541CA" w:rsidRPr="00E3331A">
        <w:t>A</w:t>
      </w:r>
      <w:r w:rsidR="00640EBD" w:rsidRPr="00E3331A">
        <w:t>ssessment report</w:t>
      </w:r>
    </w:p>
    <w:p w:rsidR="003A7C8F" w:rsidRPr="00E3331A" w:rsidRDefault="003A7C8F" w:rsidP="00DF343F">
      <w:pPr>
        <w:spacing w:after="0" w:line="240" w:lineRule="auto"/>
        <w:jc w:val="both"/>
      </w:pPr>
      <w:r w:rsidRPr="00E3331A">
        <w:br w:type="page"/>
      </w:r>
    </w:p>
    <w:p w:rsidR="006608B8" w:rsidRPr="00E3331A" w:rsidRDefault="006608B8" w:rsidP="006608B8">
      <w:pPr>
        <w:spacing w:after="0" w:line="240" w:lineRule="auto"/>
        <w:rPr>
          <w:rFonts w:ascii="Cambria" w:hAnsi="Cambria" w:cs="Times New Roman"/>
          <w:lang w:eastAsia="en-US"/>
        </w:rPr>
      </w:pPr>
    </w:p>
    <w:p w:rsidR="004C6CA6" w:rsidRPr="00BF6506" w:rsidRDefault="00BF6506" w:rsidP="00BF6506">
      <w:pPr>
        <w:pStyle w:val="CommentText"/>
      </w:pPr>
      <w:r>
        <w:t>[</w:t>
      </w:r>
      <w:r w:rsidR="005615AB">
        <w:t>Version Control</w:t>
      </w:r>
      <w:r>
        <w:t xml:space="preserve"> page removed</w:t>
      </w:r>
      <w:r w:rsidR="0087431B">
        <w:t xml:space="preserve"> –</w:t>
      </w:r>
      <w:r w:rsidR="00930E33">
        <w:t xml:space="preserve"> </w:t>
      </w:r>
      <w:r w:rsidR="0087431B">
        <w:t>page intentionally left blank</w:t>
      </w:r>
      <w:r>
        <w:t>]</w:t>
      </w:r>
      <w:r w:rsidR="006608B8" w:rsidRPr="00E3331A">
        <w:br w:type="page"/>
      </w:r>
      <w:bookmarkStart w:id="1" w:name="_Toc192054741"/>
      <w:bookmarkStart w:id="2" w:name="_Toc206489930"/>
      <w:bookmarkStart w:id="3" w:name="_Toc206494639"/>
      <w:bookmarkStart w:id="4" w:name="_Toc214339152"/>
      <w:bookmarkStart w:id="5" w:name="_Toc237759553"/>
      <w:bookmarkStart w:id="6" w:name="_Toc356462688"/>
      <w:bookmarkStart w:id="7" w:name="_Toc356462742"/>
      <w:bookmarkStart w:id="8" w:name="_Toc356462997"/>
      <w:bookmarkStart w:id="9" w:name="_Ref360694627"/>
      <w:bookmarkStart w:id="10" w:name="_Toc379117342"/>
      <w:bookmarkStart w:id="11" w:name="_Toc379118055"/>
      <w:bookmarkStart w:id="12" w:name="_Toc379118243"/>
      <w:bookmarkStart w:id="13" w:name="_Toc381796424"/>
    </w:p>
    <w:p w:rsidR="00EB4DCD" w:rsidRPr="00E3331A" w:rsidRDefault="00EB4DCD" w:rsidP="00EB4DCD">
      <w:pPr>
        <w:autoSpaceDE w:val="0"/>
        <w:autoSpaceDN w:val="0"/>
        <w:adjustRightInd w:val="0"/>
        <w:spacing w:after="0"/>
        <w:rPr>
          <w:b/>
          <w:bCs/>
          <w:color w:val="000000"/>
          <w:sz w:val="20"/>
          <w:szCs w:val="20"/>
          <w:lang w:eastAsia="zh-TW"/>
        </w:rPr>
      </w:pPr>
      <w:r w:rsidRPr="00E3331A">
        <w:rPr>
          <w:b/>
          <w:bCs/>
          <w:color w:val="000000"/>
          <w:sz w:val="20"/>
          <w:szCs w:val="20"/>
          <w:lang w:eastAsia="zh-TW"/>
        </w:rPr>
        <w:lastRenderedPageBreak/>
        <w:t>© Commonwealth of Australia 20</w:t>
      </w:r>
      <w:r w:rsidR="00487CA6" w:rsidRPr="00E3331A">
        <w:rPr>
          <w:b/>
          <w:bCs/>
          <w:color w:val="000000"/>
          <w:sz w:val="20"/>
          <w:szCs w:val="20"/>
          <w:lang w:eastAsia="zh-TW"/>
        </w:rPr>
        <w:t>19</w:t>
      </w:r>
    </w:p>
    <w:p w:rsidR="00EB4DCD" w:rsidRPr="00E3331A" w:rsidRDefault="00EB4DCD" w:rsidP="00EB4DCD">
      <w:pPr>
        <w:autoSpaceDE w:val="0"/>
        <w:autoSpaceDN w:val="0"/>
        <w:adjustRightInd w:val="0"/>
        <w:spacing w:after="0" w:line="240" w:lineRule="auto"/>
        <w:rPr>
          <w:b/>
          <w:bCs/>
          <w:color w:val="000000"/>
          <w:sz w:val="20"/>
          <w:szCs w:val="20"/>
          <w:lang w:eastAsia="zh-TW"/>
        </w:rPr>
      </w:pPr>
    </w:p>
    <w:p w:rsidR="00EB4DCD" w:rsidRPr="00E3331A" w:rsidRDefault="00EB4DCD" w:rsidP="00EB4DCD">
      <w:pPr>
        <w:autoSpaceDE w:val="0"/>
        <w:autoSpaceDN w:val="0"/>
        <w:adjustRightInd w:val="0"/>
        <w:spacing w:after="0" w:line="240" w:lineRule="auto"/>
        <w:rPr>
          <w:b/>
          <w:bCs/>
          <w:color w:val="000000"/>
          <w:sz w:val="20"/>
          <w:szCs w:val="20"/>
          <w:lang w:eastAsia="zh-TW"/>
        </w:rPr>
      </w:pPr>
      <w:r w:rsidRPr="00E3331A">
        <w:rPr>
          <w:b/>
          <w:bCs/>
          <w:color w:val="000000"/>
          <w:sz w:val="20"/>
          <w:szCs w:val="20"/>
          <w:lang w:eastAsia="zh-TW"/>
        </w:rPr>
        <w:t>ISSN (Online) 1443-7139</w:t>
      </w:r>
    </w:p>
    <w:p w:rsidR="00EB4DCD" w:rsidRPr="00E3331A" w:rsidRDefault="00EB4DCD" w:rsidP="00EB4DCD">
      <w:pPr>
        <w:autoSpaceDE w:val="0"/>
        <w:autoSpaceDN w:val="0"/>
        <w:adjustRightInd w:val="0"/>
        <w:spacing w:after="0" w:line="240" w:lineRule="auto"/>
        <w:rPr>
          <w:b/>
          <w:bCs/>
          <w:color w:val="000000"/>
          <w:sz w:val="20"/>
          <w:szCs w:val="20"/>
          <w:lang w:eastAsia="zh-TW"/>
        </w:rPr>
      </w:pPr>
    </w:p>
    <w:p w:rsidR="00EB4DCD" w:rsidRPr="00E3331A" w:rsidRDefault="00EB4DCD" w:rsidP="00EB4DCD">
      <w:pPr>
        <w:autoSpaceDE w:val="0"/>
        <w:autoSpaceDN w:val="0"/>
        <w:adjustRightInd w:val="0"/>
        <w:spacing w:after="0" w:line="240" w:lineRule="auto"/>
        <w:rPr>
          <w:b/>
          <w:bCs/>
          <w:color w:val="000000"/>
          <w:sz w:val="20"/>
          <w:szCs w:val="20"/>
          <w:lang w:eastAsia="zh-TW"/>
        </w:rPr>
      </w:pPr>
      <w:r w:rsidRPr="00E3331A">
        <w:rPr>
          <w:b/>
          <w:bCs/>
          <w:color w:val="000000"/>
          <w:sz w:val="20"/>
          <w:szCs w:val="20"/>
          <w:lang w:eastAsia="zh-TW"/>
        </w:rPr>
        <w:t xml:space="preserve">Internet site </w:t>
      </w:r>
      <w:r w:rsidRPr="00E3331A">
        <w:rPr>
          <w:color w:val="0000FF"/>
          <w:sz w:val="20"/>
          <w:szCs w:val="20"/>
          <w:u w:val="single"/>
          <w:lang w:eastAsia="zh-TW"/>
        </w:rPr>
        <w:t>http://www.msac.gov.au/</w:t>
      </w:r>
    </w:p>
    <w:p w:rsidR="00EB4DCD" w:rsidRPr="00E3331A" w:rsidRDefault="00EB4DCD" w:rsidP="00EB4DCD">
      <w:pPr>
        <w:autoSpaceDE w:val="0"/>
        <w:autoSpaceDN w:val="0"/>
        <w:adjustRightInd w:val="0"/>
        <w:spacing w:after="0" w:line="240" w:lineRule="auto"/>
        <w:rPr>
          <w:b/>
          <w:bCs/>
          <w:color w:val="000000"/>
          <w:sz w:val="20"/>
          <w:szCs w:val="20"/>
          <w:lang w:eastAsia="zh-TW"/>
        </w:rPr>
      </w:pPr>
    </w:p>
    <w:p w:rsidR="00EB4DCD" w:rsidRPr="00E3331A" w:rsidRDefault="00EB4DCD" w:rsidP="00EB4DCD">
      <w:pPr>
        <w:autoSpaceDE w:val="0"/>
        <w:autoSpaceDN w:val="0"/>
        <w:adjustRightInd w:val="0"/>
        <w:spacing w:after="0" w:line="240" w:lineRule="auto"/>
        <w:rPr>
          <w:color w:val="000000"/>
          <w:sz w:val="20"/>
          <w:szCs w:val="20"/>
        </w:rPr>
      </w:pPr>
      <w:r w:rsidRPr="00E3331A">
        <w:rPr>
          <w:color w:val="000000"/>
          <w:sz w:val="20"/>
          <w:szCs w:val="20"/>
        </w:rP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inquiries concerning reproduction and rights should be addressed to Commonwealth Copyright Administration, Attorney-General's Department, Robert Garran Offices, National Circuit, Barton ACT 2600 or posted at </w:t>
      </w:r>
      <w:r w:rsidRPr="00E3331A">
        <w:rPr>
          <w:color w:val="0000FF"/>
          <w:sz w:val="20"/>
          <w:szCs w:val="20"/>
          <w:u w:val="single"/>
          <w:lang w:eastAsia="zh-TW"/>
        </w:rPr>
        <w:t>http://www.ag.gov.au/</w:t>
      </w:r>
      <w:r w:rsidRPr="00E3331A">
        <w:rPr>
          <w:color w:val="0000FF"/>
          <w:sz w:val="20"/>
          <w:szCs w:val="20"/>
          <w:lang w:eastAsia="zh-TW"/>
        </w:rPr>
        <w:t>.</w:t>
      </w:r>
    </w:p>
    <w:p w:rsidR="00EB4DCD" w:rsidRPr="00E3331A" w:rsidRDefault="00EB4DCD" w:rsidP="00EB4DCD">
      <w:pPr>
        <w:autoSpaceDE w:val="0"/>
        <w:autoSpaceDN w:val="0"/>
        <w:adjustRightInd w:val="0"/>
        <w:spacing w:after="0" w:line="240" w:lineRule="auto"/>
        <w:rPr>
          <w:color w:val="000000"/>
          <w:sz w:val="20"/>
          <w:szCs w:val="20"/>
        </w:rPr>
      </w:pPr>
    </w:p>
    <w:p w:rsidR="00EB4DCD" w:rsidRPr="00E3331A" w:rsidRDefault="00EB4DCD" w:rsidP="00EB4DCD">
      <w:pPr>
        <w:autoSpaceDE w:val="0"/>
        <w:autoSpaceDN w:val="0"/>
        <w:adjustRightInd w:val="0"/>
        <w:spacing w:after="0" w:line="240" w:lineRule="auto"/>
        <w:rPr>
          <w:color w:val="000000"/>
          <w:sz w:val="20"/>
          <w:szCs w:val="20"/>
          <w:lang w:eastAsia="zh-TW"/>
        </w:rPr>
      </w:pPr>
    </w:p>
    <w:p w:rsidR="00EB4DCD" w:rsidRPr="00E3331A" w:rsidRDefault="00EB4DCD" w:rsidP="00EB4DCD">
      <w:pPr>
        <w:autoSpaceDE w:val="0"/>
        <w:autoSpaceDN w:val="0"/>
        <w:adjustRightInd w:val="0"/>
        <w:spacing w:after="0" w:line="240" w:lineRule="auto"/>
        <w:rPr>
          <w:color w:val="1B1B1B"/>
          <w:sz w:val="20"/>
          <w:szCs w:val="20"/>
        </w:rPr>
      </w:pPr>
      <w:r w:rsidRPr="00E3331A">
        <w:rPr>
          <w:color w:val="000000"/>
          <w:sz w:val="20"/>
          <w:szCs w:val="20"/>
          <w:lang w:eastAsia="zh-TW"/>
        </w:rPr>
        <w:t>Electronic copies of the report can be obtained from the Medical Service Advisory Committee’s Internet site at</w:t>
      </w:r>
      <w:r w:rsidRPr="00E3331A">
        <w:rPr>
          <w:sz w:val="20"/>
          <w:szCs w:val="20"/>
          <w:lang w:eastAsia="zh-TW"/>
        </w:rPr>
        <w:t xml:space="preserve"> </w:t>
      </w:r>
      <w:r w:rsidRPr="00E3331A">
        <w:rPr>
          <w:color w:val="0000FF"/>
          <w:sz w:val="20"/>
          <w:szCs w:val="20"/>
          <w:u w:val="single"/>
          <w:lang w:eastAsia="zh-TW"/>
        </w:rPr>
        <w:t>http://www.msac.gov.au/</w:t>
      </w:r>
    </w:p>
    <w:p w:rsidR="00EB4DCD" w:rsidRPr="00E3331A" w:rsidRDefault="00EB4DCD" w:rsidP="00EB4DCD">
      <w:pPr>
        <w:autoSpaceDE w:val="0"/>
        <w:autoSpaceDN w:val="0"/>
        <w:adjustRightInd w:val="0"/>
        <w:spacing w:after="0" w:line="240" w:lineRule="auto"/>
        <w:rPr>
          <w:color w:val="1B1B1B"/>
          <w:sz w:val="20"/>
          <w:szCs w:val="20"/>
          <w:lang w:eastAsia="zh-TW"/>
        </w:rPr>
      </w:pPr>
    </w:p>
    <w:p w:rsidR="00EB4DCD" w:rsidRPr="00E3331A" w:rsidRDefault="00EB4DCD" w:rsidP="00EB4DCD">
      <w:pPr>
        <w:autoSpaceDE w:val="0"/>
        <w:autoSpaceDN w:val="0"/>
        <w:adjustRightInd w:val="0"/>
        <w:spacing w:after="0" w:line="240" w:lineRule="auto"/>
        <w:rPr>
          <w:color w:val="000000"/>
          <w:sz w:val="20"/>
          <w:szCs w:val="20"/>
        </w:rPr>
      </w:pPr>
      <w:r w:rsidRPr="00E3331A">
        <w:rPr>
          <w:color w:val="000000"/>
          <w:sz w:val="20"/>
          <w:szCs w:val="20"/>
        </w:rPr>
        <w:t xml:space="preserve">Enquiries about the content of the report should be emailed to </w:t>
      </w:r>
      <w:r w:rsidRPr="00E3331A">
        <w:rPr>
          <w:color w:val="0000FF"/>
          <w:sz w:val="20"/>
          <w:szCs w:val="20"/>
          <w:u w:val="single"/>
        </w:rPr>
        <w:t>hta@health.gov.au</w:t>
      </w:r>
      <w:r w:rsidRPr="00E3331A">
        <w:rPr>
          <w:color w:val="000000"/>
          <w:sz w:val="20"/>
          <w:szCs w:val="20"/>
        </w:rPr>
        <w:t>.</w:t>
      </w:r>
    </w:p>
    <w:p w:rsidR="00EB4DCD" w:rsidRPr="00E3331A" w:rsidRDefault="00EB4DCD" w:rsidP="00EB4DCD">
      <w:pPr>
        <w:autoSpaceDE w:val="0"/>
        <w:autoSpaceDN w:val="0"/>
        <w:adjustRightInd w:val="0"/>
        <w:spacing w:after="0" w:line="240" w:lineRule="auto"/>
        <w:rPr>
          <w:color w:val="1B1B1B"/>
          <w:sz w:val="20"/>
          <w:szCs w:val="20"/>
          <w:lang w:eastAsia="zh-TW"/>
        </w:rPr>
      </w:pPr>
    </w:p>
    <w:p w:rsidR="00EB4DCD" w:rsidRPr="00E3331A" w:rsidRDefault="00EB4DCD" w:rsidP="00EB4DCD">
      <w:pPr>
        <w:autoSpaceDE w:val="0"/>
        <w:autoSpaceDN w:val="0"/>
        <w:adjustRightInd w:val="0"/>
        <w:spacing w:after="0" w:line="240" w:lineRule="auto"/>
        <w:rPr>
          <w:color w:val="1B1B1B"/>
          <w:sz w:val="20"/>
          <w:szCs w:val="20"/>
          <w:lang w:eastAsia="zh-TW"/>
        </w:rPr>
      </w:pPr>
    </w:p>
    <w:p w:rsidR="00EB4DCD" w:rsidRPr="00E3331A" w:rsidRDefault="00EB4DCD" w:rsidP="00EB4DCD">
      <w:pPr>
        <w:autoSpaceDE w:val="0"/>
        <w:autoSpaceDN w:val="0"/>
        <w:adjustRightInd w:val="0"/>
        <w:spacing w:after="0" w:line="240" w:lineRule="auto"/>
        <w:rPr>
          <w:color w:val="000000"/>
          <w:sz w:val="20"/>
          <w:szCs w:val="20"/>
          <w:lang w:eastAsia="zh-TW"/>
        </w:rPr>
      </w:pPr>
      <w:r w:rsidRPr="00E3331A">
        <w:rPr>
          <w:color w:val="000000"/>
          <w:sz w:val="20"/>
          <w:szCs w:val="20"/>
        </w:rPr>
        <w:t>The technical information in this document is used by the Medical Services Advisory Committee (MSAC) to inform its deliberations. MSAC is an independent committee which has been established to provide advice to the Minister for Health on the strength of evidence available on</w:t>
      </w:r>
      <w:r w:rsidRPr="00E3331A">
        <w:rPr>
          <w:color w:val="000000"/>
          <w:sz w:val="20"/>
          <w:szCs w:val="20"/>
          <w:lang w:eastAsia="zh-TW"/>
        </w:rPr>
        <w:t xml:space="preserve"> new and existing medical technologies and procedures in terms of their safety, effectiveness and cost</w:t>
      </w:r>
      <w:r w:rsidR="00D45BCF" w:rsidRPr="00E3331A">
        <w:rPr>
          <w:color w:val="000000"/>
          <w:sz w:val="20"/>
          <w:szCs w:val="20"/>
          <w:lang w:eastAsia="zh-TW"/>
        </w:rPr>
        <w:t>-</w:t>
      </w:r>
      <w:r w:rsidRPr="00E3331A">
        <w:rPr>
          <w:color w:val="000000"/>
          <w:sz w:val="20"/>
          <w:szCs w:val="20"/>
          <w:lang w:eastAsia="zh-TW"/>
        </w:rPr>
        <w:t>effectiveness. This advice will help to inform government decisions about which medical services should attract funding under Medicare.</w:t>
      </w:r>
    </w:p>
    <w:p w:rsidR="00EB4DCD" w:rsidRPr="00E3331A" w:rsidRDefault="00EB4DCD" w:rsidP="00EB4DCD">
      <w:pPr>
        <w:autoSpaceDE w:val="0"/>
        <w:autoSpaceDN w:val="0"/>
        <w:adjustRightInd w:val="0"/>
        <w:spacing w:after="0" w:line="240" w:lineRule="auto"/>
        <w:rPr>
          <w:color w:val="000000"/>
          <w:sz w:val="20"/>
          <w:szCs w:val="20"/>
          <w:lang w:eastAsia="zh-TW"/>
        </w:rPr>
      </w:pPr>
    </w:p>
    <w:p w:rsidR="00EB4DCD" w:rsidRPr="00E3331A" w:rsidRDefault="00EB4DCD" w:rsidP="00EB4DCD">
      <w:pPr>
        <w:autoSpaceDE w:val="0"/>
        <w:autoSpaceDN w:val="0"/>
        <w:adjustRightInd w:val="0"/>
        <w:spacing w:after="0" w:line="240" w:lineRule="auto"/>
        <w:rPr>
          <w:color w:val="000000"/>
          <w:sz w:val="20"/>
          <w:szCs w:val="20"/>
          <w:lang w:eastAsia="zh-TW"/>
        </w:rPr>
      </w:pPr>
    </w:p>
    <w:p w:rsidR="00EB4DCD" w:rsidRPr="00E3331A" w:rsidRDefault="00EB4DCD" w:rsidP="00EB4DCD">
      <w:pPr>
        <w:autoSpaceDE w:val="0"/>
        <w:autoSpaceDN w:val="0"/>
        <w:adjustRightInd w:val="0"/>
        <w:spacing w:after="0" w:line="240" w:lineRule="auto"/>
        <w:rPr>
          <w:b/>
          <w:bCs/>
          <w:color w:val="000000"/>
          <w:sz w:val="20"/>
          <w:szCs w:val="20"/>
          <w:u w:val="single"/>
          <w:lang w:eastAsia="zh-TW"/>
        </w:rPr>
      </w:pPr>
      <w:r w:rsidRPr="00E3331A">
        <w:rPr>
          <w:b/>
          <w:bCs/>
          <w:color w:val="000000"/>
          <w:sz w:val="20"/>
          <w:szCs w:val="20"/>
          <w:u w:val="single"/>
          <w:lang w:eastAsia="zh-TW"/>
        </w:rPr>
        <w:t>MSAC’s advice does not necessarily reflect the views of all individuals who participated in the MSAC evaluation.</w:t>
      </w:r>
    </w:p>
    <w:p w:rsidR="00EB4DCD" w:rsidRPr="00E3331A" w:rsidRDefault="00EB4DCD" w:rsidP="00EB4DCD">
      <w:pPr>
        <w:autoSpaceDE w:val="0"/>
        <w:autoSpaceDN w:val="0"/>
        <w:adjustRightInd w:val="0"/>
        <w:spacing w:after="0" w:line="240" w:lineRule="auto"/>
        <w:rPr>
          <w:color w:val="000000"/>
          <w:sz w:val="20"/>
          <w:szCs w:val="20"/>
          <w:lang w:eastAsia="zh-TW"/>
        </w:rPr>
      </w:pPr>
    </w:p>
    <w:p w:rsidR="00EB4DCD" w:rsidRPr="00E3331A" w:rsidRDefault="00EB4DCD" w:rsidP="00EB4DCD">
      <w:pPr>
        <w:autoSpaceDE w:val="0"/>
        <w:autoSpaceDN w:val="0"/>
        <w:adjustRightInd w:val="0"/>
        <w:spacing w:after="0" w:line="240" w:lineRule="auto"/>
        <w:rPr>
          <w:color w:val="000000"/>
          <w:sz w:val="20"/>
          <w:szCs w:val="20"/>
          <w:lang w:eastAsia="zh-TW"/>
        </w:rPr>
      </w:pPr>
    </w:p>
    <w:p w:rsidR="00EB4DCD" w:rsidRPr="00E3331A" w:rsidRDefault="00EB4DCD" w:rsidP="00EB4DCD">
      <w:pPr>
        <w:autoSpaceDE w:val="0"/>
        <w:autoSpaceDN w:val="0"/>
        <w:adjustRightInd w:val="0"/>
        <w:spacing w:after="0" w:line="240" w:lineRule="auto"/>
        <w:rPr>
          <w:sz w:val="20"/>
          <w:szCs w:val="20"/>
        </w:rPr>
      </w:pPr>
      <w:r w:rsidRPr="00E3331A">
        <w:rPr>
          <w:sz w:val="20"/>
          <w:szCs w:val="20"/>
        </w:rPr>
        <w:t xml:space="preserve">This report was prepared by </w:t>
      </w:r>
      <w:r w:rsidR="00487CA6" w:rsidRPr="00E3331A">
        <w:rPr>
          <w:sz w:val="20"/>
          <w:szCs w:val="20"/>
        </w:rPr>
        <w:t>Research and Evaluation, incorporating ASERNIP-S of the Royal Australasian Colle</w:t>
      </w:r>
      <w:r w:rsidR="00EB5A85" w:rsidRPr="00E3331A">
        <w:rPr>
          <w:sz w:val="20"/>
          <w:szCs w:val="20"/>
        </w:rPr>
        <w:t>g</w:t>
      </w:r>
      <w:r w:rsidR="00487CA6" w:rsidRPr="00E3331A">
        <w:rPr>
          <w:sz w:val="20"/>
          <w:szCs w:val="20"/>
        </w:rPr>
        <w:t>e of Surgeons</w:t>
      </w:r>
      <w:r w:rsidRPr="00E3331A">
        <w:rPr>
          <w:sz w:val="20"/>
          <w:szCs w:val="20"/>
        </w:rPr>
        <w:t xml:space="preserve">. </w:t>
      </w:r>
      <w:r w:rsidR="0087555B">
        <w:rPr>
          <w:sz w:val="20"/>
          <w:szCs w:val="20"/>
        </w:rPr>
        <w:t xml:space="preserve">Clinical advice was provided by the Ig Review </w:t>
      </w:r>
      <w:r w:rsidR="00BE54F2">
        <w:rPr>
          <w:sz w:val="20"/>
          <w:szCs w:val="20"/>
        </w:rPr>
        <w:t>R</w:t>
      </w:r>
      <w:r w:rsidR="0087555B">
        <w:rPr>
          <w:sz w:val="20"/>
          <w:szCs w:val="20"/>
        </w:rPr>
        <w:t xml:space="preserve">eference Group. </w:t>
      </w:r>
      <w:r w:rsidRPr="00E3331A">
        <w:rPr>
          <w:sz w:val="20"/>
          <w:szCs w:val="20"/>
        </w:rPr>
        <w:t xml:space="preserve">The report was commissioned by the Australian Government Department of Health. </w:t>
      </w:r>
    </w:p>
    <w:p w:rsidR="00EB4DCD" w:rsidRPr="00E3331A" w:rsidRDefault="00EB4DCD" w:rsidP="00EB4DCD">
      <w:pPr>
        <w:autoSpaceDE w:val="0"/>
        <w:autoSpaceDN w:val="0"/>
        <w:adjustRightInd w:val="0"/>
        <w:spacing w:after="0" w:line="240" w:lineRule="auto"/>
        <w:rPr>
          <w:sz w:val="20"/>
          <w:szCs w:val="20"/>
        </w:rPr>
      </w:pPr>
    </w:p>
    <w:p w:rsidR="00EB4DCD" w:rsidRPr="00E3331A" w:rsidRDefault="00EB4DCD" w:rsidP="00EB4DCD">
      <w:pPr>
        <w:autoSpaceDE w:val="0"/>
        <w:autoSpaceDN w:val="0"/>
        <w:adjustRightInd w:val="0"/>
        <w:spacing w:after="0" w:line="240" w:lineRule="auto"/>
        <w:rPr>
          <w:rFonts w:cs="Humanist521BT-Roman"/>
          <w:color w:val="231F20"/>
          <w:sz w:val="20"/>
          <w:szCs w:val="20"/>
        </w:rPr>
      </w:pPr>
      <w:r w:rsidRPr="00E3331A">
        <w:rPr>
          <w:rFonts w:cs="Humanist521BT-Roman"/>
          <w:color w:val="231F20"/>
          <w:sz w:val="20"/>
          <w:szCs w:val="20"/>
        </w:rPr>
        <w:t>The suggested citation for this document is:</w:t>
      </w:r>
    </w:p>
    <w:p w:rsidR="00EB4DCD" w:rsidRPr="00E3331A" w:rsidRDefault="00EB4DCD" w:rsidP="00EB4DCD">
      <w:pPr>
        <w:autoSpaceDE w:val="0"/>
        <w:autoSpaceDN w:val="0"/>
        <w:adjustRightInd w:val="0"/>
        <w:spacing w:after="0" w:line="240" w:lineRule="auto"/>
        <w:rPr>
          <w:rFonts w:cs="Humanist521BT-Roman"/>
          <w:color w:val="231F20"/>
          <w:sz w:val="20"/>
          <w:szCs w:val="20"/>
        </w:rPr>
      </w:pPr>
    </w:p>
    <w:p w:rsidR="00EB4DCD" w:rsidRDefault="00EB4DCD" w:rsidP="00EB4DCD">
      <w:pPr>
        <w:autoSpaceDE w:val="0"/>
        <w:autoSpaceDN w:val="0"/>
        <w:adjustRightInd w:val="0"/>
        <w:spacing w:after="0" w:line="240" w:lineRule="auto"/>
        <w:rPr>
          <w:sz w:val="20"/>
          <w:szCs w:val="20"/>
        </w:rPr>
      </w:pPr>
      <w:r w:rsidRPr="00E3331A">
        <w:rPr>
          <w:sz w:val="20"/>
          <w:szCs w:val="20"/>
        </w:rPr>
        <w:t>(20</w:t>
      </w:r>
      <w:r w:rsidR="00487CA6" w:rsidRPr="00E3331A">
        <w:rPr>
          <w:sz w:val="20"/>
          <w:szCs w:val="20"/>
        </w:rPr>
        <w:t>19</w:t>
      </w:r>
      <w:r w:rsidR="00F2016A">
        <w:rPr>
          <w:sz w:val="20"/>
          <w:szCs w:val="20"/>
        </w:rPr>
        <w:t>)</w:t>
      </w:r>
      <w:r w:rsidRPr="00E3331A">
        <w:rPr>
          <w:sz w:val="20"/>
          <w:szCs w:val="20"/>
        </w:rPr>
        <w:t xml:space="preserve"> </w:t>
      </w:r>
      <w:r w:rsidR="00093CEF">
        <w:rPr>
          <w:i/>
          <w:sz w:val="20"/>
          <w:szCs w:val="20"/>
        </w:rPr>
        <w:t>Immunoglobulin for C</w:t>
      </w:r>
      <w:r w:rsidR="00487CA6" w:rsidRPr="00E3331A">
        <w:rPr>
          <w:i/>
          <w:sz w:val="20"/>
          <w:szCs w:val="20"/>
        </w:rPr>
        <w:t>hronic Inflammatory Demyelinating Polyneuropathy (CIDP)</w:t>
      </w:r>
      <w:r w:rsidRPr="00E3331A">
        <w:rPr>
          <w:sz w:val="20"/>
          <w:szCs w:val="20"/>
        </w:rPr>
        <w:t xml:space="preserve">. MSAC Application </w:t>
      </w:r>
      <w:r w:rsidR="00487CA6" w:rsidRPr="00E3331A">
        <w:rPr>
          <w:sz w:val="20"/>
          <w:szCs w:val="20"/>
        </w:rPr>
        <w:t>1564</w:t>
      </w:r>
      <w:r w:rsidRPr="00E3331A">
        <w:rPr>
          <w:sz w:val="20"/>
          <w:szCs w:val="20"/>
        </w:rPr>
        <w:t>, Assessment Report. Commonwealth of Australia, Canberra, ACT.</w:t>
      </w:r>
    </w:p>
    <w:p w:rsidR="00D05746" w:rsidRDefault="00D05746" w:rsidP="00EB4DCD">
      <w:pPr>
        <w:autoSpaceDE w:val="0"/>
        <w:autoSpaceDN w:val="0"/>
        <w:adjustRightInd w:val="0"/>
        <w:spacing w:after="0" w:line="240" w:lineRule="auto"/>
        <w:rPr>
          <w:sz w:val="20"/>
          <w:szCs w:val="20"/>
        </w:rPr>
      </w:pPr>
    </w:p>
    <w:p w:rsidR="00D05746" w:rsidRDefault="00D05746" w:rsidP="00EB4DCD">
      <w:pPr>
        <w:autoSpaceDE w:val="0"/>
        <w:autoSpaceDN w:val="0"/>
        <w:adjustRightInd w:val="0"/>
        <w:spacing w:after="0" w:line="240" w:lineRule="auto"/>
        <w:rPr>
          <w:sz w:val="20"/>
          <w:szCs w:val="20"/>
        </w:rPr>
      </w:pPr>
    </w:p>
    <w:p w:rsidR="00D05746" w:rsidRDefault="00D05746" w:rsidP="00EB4DCD">
      <w:pPr>
        <w:autoSpaceDE w:val="0"/>
        <w:autoSpaceDN w:val="0"/>
        <w:adjustRightInd w:val="0"/>
        <w:spacing w:after="0" w:line="240" w:lineRule="auto"/>
        <w:rPr>
          <w:sz w:val="20"/>
          <w:szCs w:val="20"/>
        </w:rPr>
        <w:sectPr w:rsidR="00D05746" w:rsidSect="0080059D">
          <w:headerReference w:type="default" r:id="rId8"/>
          <w:headerReference w:type="first" r:id="rId9"/>
          <w:type w:val="oddPage"/>
          <w:pgSz w:w="11907" w:h="16840" w:code="9"/>
          <w:pgMar w:top="1440" w:right="1440" w:bottom="1440" w:left="1440" w:header="578" w:footer="578" w:gutter="0"/>
          <w:pgNumType w:fmt="lowerRoman" w:start="1"/>
          <w:cols w:space="720"/>
          <w:noEndnote/>
          <w:titlePg/>
        </w:sectPr>
      </w:pPr>
    </w:p>
    <w:p w:rsidR="008F59A8" w:rsidRPr="00E3331A" w:rsidRDefault="008F59A8" w:rsidP="00DF343F">
      <w:pPr>
        <w:pStyle w:val="Heading1"/>
        <w:jc w:val="both"/>
      </w:pPr>
      <w:bookmarkStart w:id="14" w:name="_Toc395200735"/>
      <w:bookmarkStart w:id="15" w:name="_Toc399247190"/>
      <w:bookmarkStart w:id="16" w:name="_Toc402884709"/>
      <w:bookmarkStart w:id="17" w:name="_Ref421189612"/>
      <w:bookmarkStart w:id="18" w:name="_Toc24103409"/>
      <w:r w:rsidRPr="00E3331A">
        <w:lastRenderedPageBreak/>
        <w:t>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C71381" w:rsidRPr="00E3331A">
        <w:tab/>
      </w:r>
    </w:p>
    <w:p w:rsidR="00DF4A36" w:rsidRDefault="00DF4A36">
      <w:pPr>
        <w:pStyle w:val="TOC1"/>
        <w:rPr>
          <w:rFonts w:asciiTheme="minorHAnsi" w:eastAsiaTheme="minorEastAsia" w:hAnsiTheme="minorHAnsi" w:cstheme="minorBidi"/>
          <w:b w:val="0"/>
          <w:lang w:val="en-US" w:eastAsia="en-US"/>
        </w:rPr>
      </w:pPr>
      <w:r w:rsidRPr="002A602E">
        <w:t>Contents</w:t>
      </w:r>
      <w:r>
        <w:rPr>
          <w:webHidden/>
        </w:rPr>
        <w:tab/>
        <w:t>v</w:t>
      </w:r>
    </w:p>
    <w:p w:rsidR="00DF4A36" w:rsidRDefault="00DF4A36">
      <w:pPr>
        <w:pStyle w:val="TOC2"/>
        <w:rPr>
          <w:rFonts w:asciiTheme="minorHAnsi" w:eastAsiaTheme="minorEastAsia" w:hAnsiTheme="minorHAnsi" w:cstheme="minorBidi"/>
          <w:lang w:val="en-US" w:eastAsia="en-US"/>
        </w:rPr>
      </w:pPr>
      <w:r w:rsidRPr="002A602E">
        <w:t>Tables</w:t>
      </w:r>
      <w:r>
        <w:rPr>
          <w:webHidden/>
        </w:rPr>
        <w:tab/>
        <w:t>ix</w:t>
      </w:r>
    </w:p>
    <w:p w:rsidR="00DF4A36" w:rsidRDefault="00DF4A36">
      <w:pPr>
        <w:pStyle w:val="TOC2"/>
        <w:rPr>
          <w:rFonts w:asciiTheme="minorHAnsi" w:eastAsiaTheme="minorEastAsia" w:hAnsiTheme="minorHAnsi" w:cstheme="minorBidi"/>
          <w:lang w:val="en-US" w:eastAsia="en-US"/>
        </w:rPr>
      </w:pPr>
      <w:r w:rsidRPr="002A602E">
        <w:t>Boxes</w:t>
      </w:r>
      <w:r>
        <w:rPr>
          <w:webHidden/>
        </w:rPr>
        <w:tab/>
        <w:t>xiii</w:t>
      </w:r>
    </w:p>
    <w:p w:rsidR="00DF4A36" w:rsidRDefault="00DF4A36">
      <w:pPr>
        <w:pStyle w:val="TOC2"/>
        <w:rPr>
          <w:rFonts w:asciiTheme="minorHAnsi" w:eastAsiaTheme="minorEastAsia" w:hAnsiTheme="minorHAnsi" w:cstheme="minorBidi"/>
          <w:lang w:val="en-US" w:eastAsia="en-US"/>
        </w:rPr>
      </w:pPr>
      <w:r w:rsidRPr="002A602E">
        <w:t>Figures</w:t>
      </w:r>
      <w:r>
        <w:rPr>
          <w:webHidden/>
        </w:rPr>
        <w:tab/>
        <w:t>xiii</w:t>
      </w:r>
    </w:p>
    <w:p w:rsidR="00DF4A36" w:rsidRDefault="00DF4A36">
      <w:pPr>
        <w:pStyle w:val="TOC1"/>
        <w:rPr>
          <w:rFonts w:asciiTheme="minorHAnsi" w:eastAsiaTheme="minorEastAsia" w:hAnsiTheme="minorHAnsi" w:cstheme="minorBidi"/>
          <w:b w:val="0"/>
          <w:lang w:val="en-US" w:eastAsia="en-US"/>
        </w:rPr>
      </w:pPr>
      <w:r w:rsidRPr="002A602E">
        <w:t>Executive Summary</w:t>
      </w:r>
      <w:r>
        <w:rPr>
          <w:webHidden/>
        </w:rPr>
        <w:tab/>
        <w:t>15</w:t>
      </w:r>
    </w:p>
    <w:p w:rsidR="00DF4A36" w:rsidRDefault="00DF4A36">
      <w:pPr>
        <w:pStyle w:val="TOC2"/>
        <w:rPr>
          <w:rFonts w:asciiTheme="minorHAnsi" w:eastAsiaTheme="minorEastAsia" w:hAnsiTheme="minorHAnsi" w:cstheme="minorBidi"/>
          <w:lang w:val="en-US" w:eastAsia="en-US"/>
        </w:rPr>
      </w:pPr>
      <w:r w:rsidRPr="002A602E">
        <w:t>Chronic Inflammatory Demyelinating Polyneuropathy</w:t>
      </w:r>
      <w:r>
        <w:rPr>
          <w:webHidden/>
        </w:rPr>
        <w:tab/>
        <w:t>16</w:t>
      </w:r>
    </w:p>
    <w:p w:rsidR="00DF4A36" w:rsidRDefault="00DF4A36">
      <w:pPr>
        <w:pStyle w:val="TOC3"/>
        <w:rPr>
          <w:rFonts w:asciiTheme="minorHAnsi" w:eastAsiaTheme="minorEastAsia" w:hAnsiTheme="minorHAnsi" w:cstheme="minorBidi"/>
          <w:lang w:val="en-US" w:eastAsia="en-US"/>
        </w:rPr>
      </w:pPr>
      <w:r w:rsidRPr="002A602E">
        <w:t>Alignment with agreed PICO Confirmation</w:t>
      </w:r>
      <w:r>
        <w:rPr>
          <w:webHidden/>
        </w:rPr>
        <w:tab/>
        <w:t>16</w:t>
      </w:r>
    </w:p>
    <w:p w:rsidR="00DF4A36" w:rsidRDefault="00DF4A36">
      <w:pPr>
        <w:pStyle w:val="TOC3"/>
        <w:rPr>
          <w:rFonts w:asciiTheme="minorHAnsi" w:eastAsiaTheme="minorEastAsia" w:hAnsiTheme="minorHAnsi" w:cstheme="minorBidi"/>
          <w:lang w:val="en-US" w:eastAsia="en-US"/>
        </w:rPr>
      </w:pPr>
      <w:r w:rsidRPr="002A602E">
        <w:t>Proposed Medical Service</w:t>
      </w:r>
      <w:r>
        <w:rPr>
          <w:webHidden/>
        </w:rPr>
        <w:tab/>
        <w:t>16</w:t>
      </w:r>
    </w:p>
    <w:p w:rsidR="00DF4A36" w:rsidRDefault="00DF4A36">
      <w:pPr>
        <w:pStyle w:val="TOC3"/>
        <w:rPr>
          <w:rFonts w:asciiTheme="minorHAnsi" w:eastAsiaTheme="minorEastAsia" w:hAnsiTheme="minorHAnsi" w:cstheme="minorBidi"/>
          <w:lang w:val="en-US" w:eastAsia="en-US"/>
        </w:rPr>
      </w:pPr>
      <w:r w:rsidRPr="002A602E">
        <w:t>Population</w:t>
      </w:r>
      <w:r>
        <w:rPr>
          <w:webHidden/>
        </w:rPr>
        <w:tab/>
        <w:t>17</w:t>
      </w:r>
    </w:p>
    <w:p w:rsidR="00DF4A36" w:rsidRDefault="00DF4A36">
      <w:pPr>
        <w:pStyle w:val="TOC3"/>
        <w:rPr>
          <w:rFonts w:asciiTheme="minorHAnsi" w:eastAsiaTheme="minorEastAsia" w:hAnsiTheme="minorHAnsi" w:cstheme="minorBidi"/>
          <w:lang w:val="en-US" w:eastAsia="en-US"/>
        </w:rPr>
      </w:pPr>
      <w:r w:rsidRPr="002A602E">
        <w:t>Comparator Details</w:t>
      </w:r>
      <w:r>
        <w:rPr>
          <w:webHidden/>
        </w:rPr>
        <w:tab/>
        <w:t>17</w:t>
      </w:r>
    </w:p>
    <w:p w:rsidR="00DF4A36" w:rsidRDefault="00DF4A36">
      <w:pPr>
        <w:pStyle w:val="TOC3"/>
        <w:rPr>
          <w:rFonts w:asciiTheme="minorHAnsi" w:eastAsiaTheme="minorEastAsia" w:hAnsiTheme="minorHAnsi" w:cstheme="minorBidi"/>
          <w:lang w:val="en-US" w:eastAsia="en-US"/>
        </w:rPr>
      </w:pPr>
      <w:r w:rsidRPr="002A602E">
        <w:t>Clinical management algorithm(s)</w:t>
      </w:r>
      <w:r>
        <w:rPr>
          <w:webHidden/>
        </w:rPr>
        <w:tab/>
        <w:t>18</w:t>
      </w:r>
    </w:p>
    <w:p w:rsidR="00DF4A36" w:rsidRDefault="00DF4A36">
      <w:pPr>
        <w:pStyle w:val="TOC3"/>
        <w:rPr>
          <w:rFonts w:asciiTheme="minorHAnsi" w:eastAsiaTheme="minorEastAsia" w:hAnsiTheme="minorHAnsi" w:cstheme="minorBidi"/>
          <w:lang w:val="en-US" w:eastAsia="en-US"/>
        </w:rPr>
      </w:pPr>
      <w:r w:rsidRPr="002A602E">
        <w:t>Key Differences in the Delivery of the Medical Service and the Main Comparator</w:t>
      </w:r>
      <w:r>
        <w:rPr>
          <w:webHidden/>
        </w:rPr>
        <w:tab/>
        <w:t>18</w:t>
      </w:r>
    </w:p>
    <w:p w:rsidR="00DF4A36" w:rsidRDefault="00DF4A36">
      <w:pPr>
        <w:pStyle w:val="TOC3"/>
        <w:rPr>
          <w:rFonts w:asciiTheme="minorHAnsi" w:eastAsiaTheme="minorEastAsia" w:hAnsiTheme="minorHAnsi" w:cstheme="minorBidi"/>
          <w:lang w:val="en-US" w:eastAsia="en-US"/>
        </w:rPr>
      </w:pPr>
      <w:r w:rsidRPr="002A602E">
        <w:t>Clinical Claim</w:t>
      </w:r>
      <w:r>
        <w:rPr>
          <w:webHidden/>
        </w:rPr>
        <w:tab/>
        <w:t>18</w:t>
      </w:r>
    </w:p>
    <w:p w:rsidR="00DF4A36" w:rsidRDefault="00DF4A36">
      <w:pPr>
        <w:pStyle w:val="TOC3"/>
        <w:rPr>
          <w:rFonts w:asciiTheme="minorHAnsi" w:eastAsiaTheme="minorEastAsia" w:hAnsiTheme="minorHAnsi" w:cstheme="minorBidi"/>
          <w:lang w:val="en-US" w:eastAsia="en-US"/>
        </w:rPr>
      </w:pPr>
      <w:r w:rsidRPr="002A602E">
        <w:t>Approach Taken to the Evidence Assessment</w:t>
      </w:r>
      <w:r>
        <w:rPr>
          <w:webHidden/>
        </w:rPr>
        <w:tab/>
        <w:t>18</w:t>
      </w:r>
    </w:p>
    <w:p w:rsidR="00DF4A36" w:rsidRDefault="00DF4A36">
      <w:pPr>
        <w:pStyle w:val="TOC3"/>
        <w:rPr>
          <w:rFonts w:asciiTheme="minorHAnsi" w:eastAsiaTheme="minorEastAsia" w:hAnsiTheme="minorHAnsi" w:cstheme="minorBidi"/>
          <w:lang w:val="en-US" w:eastAsia="en-US"/>
        </w:rPr>
      </w:pPr>
      <w:r w:rsidRPr="002A602E">
        <w:t>Characteristics of the Evidence Base</w:t>
      </w:r>
      <w:r>
        <w:rPr>
          <w:webHidden/>
        </w:rPr>
        <w:tab/>
        <w:t>19</w:t>
      </w:r>
    </w:p>
    <w:p w:rsidR="00DF4A36" w:rsidRDefault="00DF4A36">
      <w:pPr>
        <w:pStyle w:val="TOC3"/>
        <w:rPr>
          <w:rFonts w:asciiTheme="minorHAnsi" w:eastAsiaTheme="minorEastAsia" w:hAnsiTheme="minorHAnsi" w:cstheme="minorBidi"/>
          <w:lang w:val="en-US" w:eastAsia="en-US"/>
        </w:rPr>
      </w:pPr>
      <w:r w:rsidRPr="002A602E">
        <w:t>Results</w:t>
      </w:r>
      <w:r>
        <w:rPr>
          <w:webHidden/>
        </w:rPr>
        <w:tab/>
        <w:t>19</w:t>
      </w:r>
    </w:p>
    <w:p w:rsidR="00DF4A36" w:rsidRDefault="00DF4A36">
      <w:pPr>
        <w:pStyle w:val="TOC3"/>
        <w:rPr>
          <w:rFonts w:asciiTheme="minorHAnsi" w:eastAsiaTheme="minorEastAsia" w:hAnsiTheme="minorHAnsi" w:cstheme="minorBidi"/>
          <w:lang w:val="en-US" w:eastAsia="en-US"/>
        </w:rPr>
      </w:pPr>
      <w:r w:rsidRPr="002A602E">
        <w:t>Translation Issues</w:t>
      </w:r>
      <w:r>
        <w:rPr>
          <w:webHidden/>
        </w:rPr>
        <w:tab/>
        <w:t>23</w:t>
      </w:r>
    </w:p>
    <w:p w:rsidR="00DF4A36" w:rsidRDefault="00DF4A36">
      <w:pPr>
        <w:pStyle w:val="TOC3"/>
        <w:rPr>
          <w:rFonts w:asciiTheme="minorHAnsi" w:eastAsiaTheme="minorEastAsia" w:hAnsiTheme="minorHAnsi" w:cstheme="minorBidi"/>
          <w:lang w:val="en-US" w:eastAsia="en-US"/>
        </w:rPr>
      </w:pPr>
      <w:r w:rsidRPr="002A602E">
        <w:t>Economic Evaluation</w:t>
      </w:r>
      <w:r>
        <w:rPr>
          <w:webHidden/>
        </w:rPr>
        <w:tab/>
        <w:t>24</w:t>
      </w:r>
    </w:p>
    <w:p w:rsidR="00DF4A36" w:rsidRDefault="00DF4A36">
      <w:pPr>
        <w:pStyle w:val="TOC3"/>
        <w:rPr>
          <w:rFonts w:asciiTheme="minorHAnsi" w:eastAsiaTheme="minorEastAsia" w:hAnsiTheme="minorHAnsi" w:cstheme="minorBidi"/>
          <w:lang w:val="en-US" w:eastAsia="en-US"/>
        </w:rPr>
      </w:pPr>
      <w:r w:rsidRPr="002A602E">
        <w:t>Estimated Extent of Use and Financial Implications</w:t>
      </w:r>
      <w:r>
        <w:rPr>
          <w:webHidden/>
        </w:rPr>
        <w:tab/>
        <w:t>26</w:t>
      </w:r>
    </w:p>
    <w:p w:rsidR="00DF4A36" w:rsidRDefault="00DF4A36">
      <w:pPr>
        <w:pStyle w:val="TOC3"/>
        <w:rPr>
          <w:rFonts w:asciiTheme="minorHAnsi" w:eastAsiaTheme="minorEastAsia" w:hAnsiTheme="minorHAnsi" w:cstheme="minorBidi"/>
          <w:lang w:val="en-US" w:eastAsia="en-US"/>
        </w:rPr>
      </w:pPr>
      <w:r w:rsidRPr="002A602E">
        <w:t>Consumer impact summary</w:t>
      </w:r>
      <w:r>
        <w:rPr>
          <w:webHidden/>
        </w:rPr>
        <w:tab/>
        <w:t>27</w:t>
      </w:r>
    </w:p>
    <w:p w:rsidR="00DF4A36" w:rsidRDefault="00DF4A36">
      <w:pPr>
        <w:pStyle w:val="TOC1"/>
        <w:rPr>
          <w:rFonts w:asciiTheme="minorHAnsi" w:eastAsiaTheme="minorEastAsia" w:hAnsiTheme="minorHAnsi" w:cstheme="minorBidi"/>
          <w:b w:val="0"/>
          <w:lang w:val="en-US" w:eastAsia="en-US"/>
        </w:rPr>
      </w:pPr>
      <w:r w:rsidRPr="002A602E">
        <w:t>Acronyms and Abbreviations</w:t>
      </w:r>
      <w:r>
        <w:rPr>
          <w:webHidden/>
        </w:rPr>
        <w:tab/>
        <w:t>29</w:t>
      </w:r>
    </w:p>
    <w:p w:rsidR="00DF4A36" w:rsidRDefault="00DF4A36">
      <w:pPr>
        <w:pStyle w:val="TOC1"/>
        <w:rPr>
          <w:rFonts w:asciiTheme="minorHAnsi" w:eastAsiaTheme="minorEastAsia" w:hAnsiTheme="minorHAnsi" w:cstheme="minorBidi"/>
          <w:b w:val="0"/>
          <w:lang w:val="en-US" w:eastAsia="en-US"/>
        </w:rPr>
      </w:pPr>
      <w:r w:rsidRPr="002A602E">
        <w:t>Section A</w:t>
      </w:r>
      <w:r>
        <w:rPr>
          <w:rFonts w:asciiTheme="minorHAnsi" w:eastAsiaTheme="minorEastAsia" w:hAnsiTheme="minorHAnsi" w:cstheme="minorBidi"/>
          <w:b w:val="0"/>
          <w:lang w:val="en-US" w:eastAsia="en-US"/>
        </w:rPr>
        <w:tab/>
      </w:r>
      <w:r w:rsidRPr="002A602E">
        <w:t>Context</w:t>
      </w:r>
      <w:r>
        <w:rPr>
          <w:webHidden/>
        </w:rPr>
        <w:tab/>
        <w:t>31</w:t>
      </w:r>
    </w:p>
    <w:p w:rsidR="00DF4A36" w:rsidRDefault="00DF4A36">
      <w:pPr>
        <w:pStyle w:val="TOC2"/>
        <w:tabs>
          <w:tab w:val="left" w:pos="1540"/>
        </w:tabs>
        <w:rPr>
          <w:rFonts w:asciiTheme="minorHAnsi" w:eastAsiaTheme="minorEastAsia" w:hAnsiTheme="minorHAnsi" w:cstheme="minorBidi"/>
          <w:lang w:val="en-US" w:eastAsia="en-US"/>
        </w:rPr>
      </w:pPr>
      <w:r w:rsidRPr="002A602E">
        <w:t>A.1.</w:t>
      </w:r>
      <w:r>
        <w:rPr>
          <w:rFonts w:asciiTheme="minorHAnsi" w:eastAsiaTheme="minorEastAsia" w:hAnsiTheme="minorHAnsi" w:cstheme="minorBidi"/>
          <w:lang w:val="en-US" w:eastAsia="en-US"/>
        </w:rPr>
        <w:tab/>
      </w:r>
      <w:r w:rsidRPr="002A602E">
        <w:t>Items in the agreed PICO Confirmation</w:t>
      </w:r>
      <w:r>
        <w:rPr>
          <w:webHidden/>
        </w:rPr>
        <w:tab/>
        <w:t>31</w:t>
      </w:r>
    </w:p>
    <w:p w:rsidR="00DF4A36" w:rsidRDefault="00DF4A36">
      <w:pPr>
        <w:pStyle w:val="TOC2"/>
        <w:tabs>
          <w:tab w:val="left" w:pos="1540"/>
        </w:tabs>
        <w:rPr>
          <w:rFonts w:asciiTheme="minorHAnsi" w:eastAsiaTheme="minorEastAsia" w:hAnsiTheme="minorHAnsi" w:cstheme="minorBidi"/>
          <w:lang w:val="en-US" w:eastAsia="en-US"/>
        </w:rPr>
      </w:pPr>
      <w:r w:rsidRPr="002A602E">
        <w:t>A.2.</w:t>
      </w:r>
      <w:r>
        <w:rPr>
          <w:rFonts w:asciiTheme="minorHAnsi" w:eastAsiaTheme="minorEastAsia" w:hAnsiTheme="minorHAnsi" w:cstheme="minorBidi"/>
          <w:lang w:val="en-US" w:eastAsia="en-US"/>
        </w:rPr>
        <w:tab/>
      </w:r>
      <w:r w:rsidRPr="002A602E">
        <w:t>Medical Service</w:t>
      </w:r>
      <w:r>
        <w:rPr>
          <w:webHidden/>
        </w:rPr>
        <w:tab/>
        <w:t>31</w:t>
      </w:r>
    </w:p>
    <w:p w:rsidR="00DF4A36" w:rsidRDefault="00DF4A36">
      <w:pPr>
        <w:pStyle w:val="TOC3"/>
        <w:rPr>
          <w:rFonts w:asciiTheme="minorHAnsi" w:eastAsiaTheme="minorEastAsia" w:hAnsiTheme="minorHAnsi" w:cstheme="minorBidi"/>
          <w:lang w:val="en-US" w:eastAsia="en-US"/>
        </w:rPr>
      </w:pPr>
      <w:r w:rsidRPr="002A602E">
        <w:t>Marketing status of device / technology</w:t>
      </w:r>
      <w:r>
        <w:rPr>
          <w:webHidden/>
        </w:rPr>
        <w:tab/>
        <w:t>33</w:t>
      </w:r>
    </w:p>
    <w:p w:rsidR="00DF4A36" w:rsidRDefault="00DF4A36">
      <w:pPr>
        <w:pStyle w:val="TOC3"/>
        <w:rPr>
          <w:rFonts w:asciiTheme="minorHAnsi" w:eastAsiaTheme="minorEastAsia" w:hAnsiTheme="minorHAnsi" w:cstheme="minorBidi"/>
          <w:lang w:val="en-US" w:eastAsia="en-US"/>
        </w:rPr>
      </w:pPr>
      <w:r w:rsidRPr="002A602E">
        <w:t>Other Indications</w:t>
      </w:r>
      <w:r>
        <w:rPr>
          <w:webHidden/>
        </w:rPr>
        <w:tab/>
        <w:t>35</w:t>
      </w:r>
    </w:p>
    <w:p w:rsidR="00DF4A36" w:rsidRDefault="00DF4A36">
      <w:pPr>
        <w:pStyle w:val="TOC3"/>
        <w:rPr>
          <w:rFonts w:asciiTheme="minorHAnsi" w:eastAsiaTheme="minorEastAsia" w:hAnsiTheme="minorHAnsi" w:cstheme="minorBidi"/>
          <w:lang w:val="en-US" w:eastAsia="en-US"/>
        </w:rPr>
      </w:pPr>
      <w:r w:rsidRPr="002A602E">
        <w:t>Current funding arrangements</w:t>
      </w:r>
      <w:r>
        <w:rPr>
          <w:webHidden/>
        </w:rPr>
        <w:tab/>
        <w:t>36</w:t>
      </w:r>
    </w:p>
    <w:p w:rsidR="00DF4A36" w:rsidRDefault="00DF4A36">
      <w:pPr>
        <w:pStyle w:val="TOC2"/>
        <w:tabs>
          <w:tab w:val="left" w:pos="1540"/>
        </w:tabs>
        <w:rPr>
          <w:rFonts w:asciiTheme="minorHAnsi" w:eastAsiaTheme="minorEastAsia" w:hAnsiTheme="minorHAnsi" w:cstheme="minorBidi"/>
          <w:lang w:val="en-US" w:eastAsia="en-US"/>
        </w:rPr>
      </w:pPr>
      <w:r w:rsidRPr="002A602E">
        <w:t>A.3.</w:t>
      </w:r>
      <w:r>
        <w:rPr>
          <w:rFonts w:asciiTheme="minorHAnsi" w:eastAsiaTheme="minorEastAsia" w:hAnsiTheme="minorHAnsi" w:cstheme="minorBidi"/>
          <w:lang w:val="en-US" w:eastAsia="en-US"/>
        </w:rPr>
        <w:tab/>
      </w:r>
      <w:r w:rsidRPr="002A602E">
        <w:t>Proposal for Public Funding</w:t>
      </w:r>
      <w:r>
        <w:rPr>
          <w:webHidden/>
        </w:rPr>
        <w:tab/>
        <w:t>37</w:t>
      </w:r>
    </w:p>
    <w:p w:rsidR="00DF4A36" w:rsidRDefault="00DF4A36">
      <w:pPr>
        <w:pStyle w:val="TOC2"/>
        <w:tabs>
          <w:tab w:val="left" w:pos="1540"/>
        </w:tabs>
        <w:rPr>
          <w:rFonts w:asciiTheme="minorHAnsi" w:eastAsiaTheme="minorEastAsia" w:hAnsiTheme="minorHAnsi" w:cstheme="minorBidi"/>
          <w:lang w:val="en-US" w:eastAsia="en-US"/>
        </w:rPr>
      </w:pPr>
      <w:r w:rsidRPr="002A602E">
        <w:t>A.4.</w:t>
      </w:r>
      <w:r>
        <w:rPr>
          <w:rFonts w:asciiTheme="minorHAnsi" w:eastAsiaTheme="minorEastAsia" w:hAnsiTheme="minorHAnsi" w:cstheme="minorBidi"/>
          <w:lang w:val="en-US" w:eastAsia="en-US"/>
        </w:rPr>
        <w:tab/>
      </w:r>
      <w:r w:rsidRPr="002A602E">
        <w:t>Population</w:t>
      </w:r>
      <w:r>
        <w:rPr>
          <w:webHidden/>
        </w:rPr>
        <w:tab/>
        <w:t>37</w:t>
      </w:r>
    </w:p>
    <w:p w:rsidR="00DF4A36" w:rsidRDefault="00DF4A36">
      <w:pPr>
        <w:pStyle w:val="TOC2"/>
        <w:tabs>
          <w:tab w:val="left" w:pos="1540"/>
        </w:tabs>
        <w:rPr>
          <w:rFonts w:asciiTheme="minorHAnsi" w:eastAsiaTheme="minorEastAsia" w:hAnsiTheme="minorHAnsi" w:cstheme="minorBidi"/>
          <w:lang w:val="en-US" w:eastAsia="en-US"/>
        </w:rPr>
      </w:pPr>
      <w:r w:rsidRPr="002A602E">
        <w:t>A.5.</w:t>
      </w:r>
      <w:r>
        <w:rPr>
          <w:rFonts w:asciiTheme="minorHAnsi" w:eastAsiaTheme="minorEastAsia" w:hAnsiTheme="minorHAnsi" w:cstheme="minorBidi"/>
          <w:lang w:val="en-US" w:eastAsia="en-US"/>
        </w:rPr>
        <w:tab/>
      </w:r>
      <w:r w:rsidRPr="002A602E">
        <w:t>Comparator Details</w:t>
      </w:r>
      <w:r>
        <w:rPr>
          <w:webHidden/>
        </w:rPr>
        <w:tab/>
        <w:t>40</w:t>
      </w:r>
    </w:p>
    <w:p w:rsidR="00DF4A36" w:rsidRDefault="00DF4A36">
      <w:pPr>
        <w:pStyle w:val="TOC3"/>
        <w:rPr>
          <w:rFonts w:asciiTheme="minorHAnsi" w:eastAsiaTheme="minorEastAsia" w:hAnsiTheme="minorHAnsi" w:cstheme="minorBidi"/>
          <w:lang w:val="en-US" w:eastAsia="en-US"/>
        </w:rPr>
      </w:pPr>
      <w:r w:rsidRPr="002A602E">
        <w:t>Steroids (oral and IV)</w:t>
      </w:r>
      <w:r>
        <w:rPr>
          <w:webHidden/>
        </w:rPr>
        <w:tab/>
        <w:t>40</w:t>
      </w:r>
    </w:p>
    <w:p w:rsidR="00DF4A36" w:rsidRDefault="00DF4A36">
      <w:pPr>
        <w:pStyle w:val="TOC3"/>
        <w:rPr>
          <w:rFonts w:asciiTheme="minorHAnsi" w:eastAsiaTheme="minorEastAsia" w:hAnsiTheme="minorHAnsi" w:cstheme="minorBidi"/>
          <w:lang w:val="en-US" w:eastAsia="en-US"/>
        </w:rPr>
      </w:pPr>
      <w:r w:rsidRPr="002A602E">
        <w:t>Plasma exchange</w:t>
      </w:r>
      <w:r>
        <w:rPr>
          <w:webHidden/>
        </w:rPr>
        <w:tab/>
        <w:t>41</w:t>
      </w:r>
    </w:p>
    <w:p w:rsidR="00DF4A36" w:rsidRDefault="00DF4A36">
      <w:pPr>
        <w:pStyle w:val="TOC3"/>
        <w:rPr>
          <w:rFonts w:asciiTheme="minorHAnsi" w:eastAsiaTheme="minorEastAsia" w:hAnsiTheme="minorHAnsi" w:cstheme="minorBidi"/>
          <w:lang w:val="en-US" w:eastAsia="en-US"/>
        </w:rPr>
      </w:pPr>
      <w:r w:rsidRPr="002A602E">
        <w:t>Immunosuppressants and/or immunomodulatory drugs (other than steroids)</w:t>
      </w:r>
      <w:r>
        <w:rPr>
          <w:webHidden/>
        </w:rPr>
        <w:tab/>
        <w:t>42</w:t>
      </w:r>
    </w:p>
    <w:p w:rsidR="00DF4A36" w:rsidRDefault="00DF4A36">
      <w:pPr>
        <w:pStyle w:val="TOC2"/>
        <w:tabs>
          <w:tab w:val="left" w:pos="1540"/>
        </w:tabs>
        <w:rPr>
          <w:rFonts w:asciiTheme="minorHAnsi" w:eastAsiaTheme="minorEastAsia" w:hAnsiTheme="minorHAnsi" w:cstheme="minorBidi"/>
          <w:lang w:val="en-US" w:eastAsia="en-US"/>
        </w:rPr>
      </w:pPr>
      <w:r w:rsidRPr="002A602E">
        <w:t>A.6.</w:t>
      </w:r>
      <w:r>
        <w:rPr>
          <w:rFonts w:asciiTheme="minorHAnsi" w:eastAsiaTheme="minorEastAsia" w:hAnsiTheme="minorHAnsi" w:cstheme="minorBidi"/>
          <w:lang w:val="en-US" w:eastAsia="en-US"/>
        </w:rPr>
        <w:tab/>
      </w:r>
      <w:r w:rsidRPr="002A602E">
        <w:t>Clinical management Algorithm(s)</w:t>
      </w:r>
      <w:r>
        <w:rPr>
          <w:webHidden/>
        </w:rPr>
        <w:tab/>
        <w:t>44</w:t>
      </w:r>
    </w:p>
    <w:p w:rsidR="00DF4A36" w:rsidRDefault="00DF4A36">
      <w:pPr>
        <w:pStyle w:val="TOC2"/>
        <w:tabs>
          <w:tab w:val="left" w:pos="1540"/>
        </w:tabs>
        <w:rPr>
          <w:rFonts w:asciiTheme="minorHAnsi" w:eastAsiaTheme="minorEastAsia" w:hAnsiTheme="minorHAnsi" w:cstheme="minorBidi"/>
          <w:lang w:val="en-US" w:eastAsia="en-US"/>
        </w:rPr>
      </w:pPr>
      <w:r w:rsidRPr="002A602E">
        <w:lastRenderedPageBreak/>
        <w:t>A.7.</w:t>
      </w:r>
      <w:r>
        <w:rPr>
          <w:rFonts w:asciiTheme="minorHAnsi" w:eastAsiaTheme="minorEastAsia" w:hAnsiTheme="minorHAnsi" w:cstheme="minorBidi"/>
          <w:lang w:val="en-US" w:eastAsia="en-US"/>
        </w:rPr>
        <w:tab/>
      </w:r>
      <w:r w:rsidRPr="002A602E">
        <w:t>Key Differences in the Delivery of the Medical Service and the Main Comparator</w:t>
      </w:r>
      <w:r>
        <w:rPr>
          <w:webHidden/>
        </w:rPr>
        <w:tab/>
        <w:t>47</w:t>
      </w:r>
    </w:p>
    <w:p w:rsidR="00DF4A36" w:rsidRDefault="00DF4A36">
      <w:pPr>
        <w:pStyle w:val="TOC2"/>
        <w:tabs>
          <w:tab w:val="left" w:pos="1540"/>
        </w:tabs>
        <w:rPr>
          <w:rFonts w:asciiTheme="minorHAnsi" w:eastAsiaTheme="minorEastAsia" w:hAnsiTheme="minorHAnsi" w:cstheme="minorBidi"/>
          <w:lang w:val="en-US" w:eastAsia="en-US"/>
        </w:rPr>
      </w:pPr>
      <w:r w:rsidRPr="002A602E">
        <w:t>A.8.</w:t>
      </w:r>
      <w:r>
        <w:rPr>
          <w:rFonts w:asciiTheme="minorHAnsi" w:eastAsiaTheme="minorEastAsia" w:hAnsiTheme="minorHAnsi" w:cstheme="minorBidi"/>
          <w:lang w:val="en-US" w:eastAsia="en-US"/>
        </w:rPr>
        <w:tab/>
      </w:r>
      <w:r w:rsidRPr="002A602E">
        <w:t>Clinical Claim</w:t>
      </w:r>
      <w:r>
        <w:rPr>
          <w:webHidden/>
        </w:rPr>
        <w:tab/>
        <w:t>54</w:t>
      </w:r>
    </w:p>
    <w:p w:rsidR="00DF4A36" w:rsidRDefault="00DF4A36">
      <w:pPr>
        <w:pStyle w:val="TOC2"/>
        <w:tabs>
          <w:tab w:val="left" w:pos="1540"/>
        </w:tabs>
        <w:rPr>
          <w:rFonts w:asciiTheme="minorHAnsi" w:eastAsiaTheme="minorEastAsia" w:hAnsiTheme="minorHAnsi" w:cstheme="minorBidi"/>
          <w:lang w:val="en-US" w:eastAsia="en-US"/>
        </w:rPr>
      </w:pPr>
      <w:r w:rsidRPr="002A602E">
        <w:t>A.9.</w:t>
      </w:r>
      <w:r>
        <w:rPr>
          <w:rFonts w:asciiTheme="minorHAnsi" w:eastAsiaTheme="minorEastAsia" w:hAnsiTheme="minorHAnsi" w:cstheme="minorBidi"/>
          <w:lang w:val="en-US" w:eastAsia="en-US"/>
        </w:rPr>
        <w:tab/>
      </w:r>
      <w:r w:rsidRPr="002A602E">
        <w:t>Summary of the PICO</w:t>
      </w:r>
      <w:r>
        <w:rPr>
          <w:webHidden/>
        </w:rPr>
        <w:tab/>
        <w:t>54</w:t>
      </w:r>
    </w:p>
    <w:p w:rsidR="00DF4A36" w:rsidRDefault="00DF4A36">
      <w:pPr>
        <w:pStyle w:val="TOC2"/>
        <w:tabs>
          <w:tab w:val="left" w:pos="1540"/>
        </w:tabs>
        <w:rPr>
          <w:rFonts w:asciiTheme="minorHAnsi" w:eastAsiaTheme="minorEastAsia" w:hAnsiTheme="minorHAnsi" w:cstheme="minorBidi"/>
          <w:lang w:val="en-US" w:eastAsia="en-US"/>
        </w:rPr>
      </w:pPr>
      <w:r w:rsidRPr="002A602E">
        <w:t>A.10.</w:t>
      </w:r>
      <w:r>
        <w:rPr>
          <w:rFonts w:asciiTheme="minorHAnsi" w:eastAsiaTheme="minorEastAsia" w:hAnsiTheme="minorHAnsi" w:cstheme="minorBidi"/>
          <w:lang w:val="en-US" w:eastAsia="en-US"/>
        </w:rPr>
        <w:tab/>
      </w:r>
      <w:r w:rsidRPr="002A602E">
        <w:t>Consumer impact statement</w:t>
      </w:r>
      <w:r>
        <w:rPr>
          <w:webHidden/>
        </w:rPr>
        <w:tab/>
        <w:t>55</w:t>
      </w:r>
    </w:p>
    <w:p w:rsidR="00DF4A36" w:rsidRDefault="00DF4A36">
      <w:pPr>
        <w:pStyle w:val="TOC3"/>
        <w:rPr>
          <w:rFonts w:asciiTheme="minorHAnsi" w:eastAsiaTheme="minorEastAsia" w:hAnsiTheme="minorHAnsi" w:cstheme="minorBidi"/>
          <w:lang w:val="en-US" w:eastAsia="en-US"/>
        </w:rPr>
      </w:pPr>
      <w:r w:rsidRPr="002A602E">
        <w:t>Targeted Consultation Survey feedback</w:t>
      </w:r>
      <w:r>
        <w:rPr>
          <w:webHidden/>
        </w:rPr>
        <w:tab/>
        <w:t>55</w:t>
      </w:r>
    </w:p>
    <w:p w:rsidR="00DF4A36" w:rsidRDefault="00DF4A36">
      <w:pPr>
        <w:pStyle w:val="TOC3"/>
        <w:rPr>
          <w:rFonts w:asciiTheme="minorHAnsi" w:eastAsiaTheme="minorEastAsia" w:hAnsiTheme="minorHAnsi" w:cstheme="minorBidi"/>
          <w:lang w:val="en-US" w:eastAsia="en-US"/>
        </w:rPr>
      </w:pPr>
      <w:r w:rsidRPr="002A602E">
        <w:t>Sponsor comments on the PICO confirmation:</w:t>
      </w:r>
      <w:r>
        <w:rPr>
          <w:webHidden/>
        </w:rPr>
        <w:tab/>
        <w:t>56</w:t>
      </w:r>
    </w:p>
    <w:p w:rsidR="00DF4A36" w:rsidRDefault="00DF4A36">
      <w:pPr>
        <w:pStyle w:val="TOC1"/>
        <w:rPr>
          <w:rFonts w:asciiTheme="minorHAnsi" w:eastAsiaTheme="minorEastAsia" w:hAnsiTheme="minorHAnsi" w:cstheme="minorBidi"/>
          <w:b w:val="0"/>
          <w:lang w:val="en-US" w:eastAsia="en-US"/>
        </w:rPr>
      </w:pPr>
      <w:r w:rsidRPr="002A602E">
        <w:t>Section B</w:t>
      </w:r>
      <w:r>
        <w:rPr>
          <w:rFonts w:asciiTheme="minorHAnsi" w:eastAsiaTheme="minorEastAsia" w:hAnsiTheme="minorHAnsi" w:cstheme="minorBidi"/>
          <w:b w:val="0"/>
          <w:lang w:val="en-US" w:eastAsia="en-US"/>
        </w:rPr>
        <w:tab/>
      </w:r>
      <w:r w:rsidRPr="002A602E">
        <w:t>Clinical Evaluation</w:t>
      </w:r>
      <w:r>
        <w:rPr>
          <w:webHidden/>
        </w:rPr>
        <w:tab/>
        <w:t>57</w:t>
      </w:r>
    </w:p>
    <w:p w:rsidR="00DF4A36" w:rsidRDefault="00DF4A36">
      <w:pPr>
        <w:pStyle w:val="TOC2"/>
        <w:tabs>
          <w:tab w:val="left" w:pos="1418"/>
        </w:tabs>
        <w:rPr>
          <w:rFonts w:asciiTheme="minorHAnsi" w:eastAsiaTheme="minorEastAsia" w:hAnsiTheme="minorHAnsi" w:cstheme="minorBidi"/>
          <w:lang w:val="en-US" w:eastAsia="en-US"/>
        </w:rPr>
      </w:pPr>
      <w:r w:rsidRPr="002A602E">
        <w:t>B.1.</w:t>
      </w:r>
      <w:r>
        <w:rPr>
          <w:rFonts w:asciiTheme="minorHAnsi" w:eastAsiaTheme="minorEastAsia" w:hAnsiTheme="minorHAnsi" w:cstheme="minorBidi"/>
          <w:lang w:val="en-US" w:eastAsia="en-US"/>
        </w:rPr>
        <w:tab/>
      </w:r>
      <w:r w:rsidRPr="002A602E">
        <w:t>Literature Sources and Search Strategies</w:t>
      </w:r>
      <w:r>
        <w:rPr>
          <w:webHidden/>
        </w:rPr>
        <w:tab/>
        <w:t>57</w:t>
      </w:r>
    </w:p>
    <w:p w:rsidR="00DF4A36" w:rsidRDefault="00DF4A36">
      <w:pPr>
        <w:pStyle w:val="TOC2"/>
        <w:tabs>
          <w:tab w:val="left" w:pos="1418"/>
        </w:tabs>
        <w:rPr>
          <w:rFonts w:asciiTheme="minorHAnsi" w:eastAsiaTheme="minorEastAsia" w:hAnsiTheme="minorHAnsi" w:cstheme="minorBidi"/>
          <w:lang w:val="en-US" w:eastAsia="en-US"/>
        </w:rPr>
      </w:pPr>
      <w:r w:rsidRPr="002A602E">
        <w:t>B.2.</w:t>
      </w:r>
      <w:r>
        <w:rPr>
          <w:rFonts w:asciiTheme="minorHAnsi" w:eastAsiaTheme="minorEastAsia" w:hAnsiTheme="minorHAnsi" w:cstheme="minorBidi"/>
          <w:lang w:val="en-US" w:eastAsia="en-US"/>
        </w:rPr>
        <w:tab/>
      </w:r>
      <w:r w:rsidRPr="002A602E">
        <w:t>Results of Literature Search</w:t>
      </w:r>
      <w:r>
        <w:rPr>
          <w:webHidden/>
        </w:rPr>
        <w:tab/>
        <w:t>57</w:t>
      </w:r>
    </w:p>
    <w:p w:rsidR="00DF4A36" w:rsidRDefault="00DF4A36">
      <w:pPr>
        <w:pStyle w:val="TOC3"/>
        <w:rPr>
          <w:rFonts w:asciiTheme="minorHAnsi" w:eastAsiaTheme="minorEastAsia" w:hAnsiTheme="minorHAnsi" w:cstheme="minorBidi"/>
          <w:lang w:val="en-US" w:eastAsia="en-US"/>
        </w:rPr>
      </w:pPr>
      <w:r w:rsidRPr="002A602E">
        <w:t>Appraisal of the evidence</w:t>
      </w:r>
      <w:r>
        <w:rPr>
          <w:webHidden/>
        </w:rPr>
        <w:tab/>
        <w:t>60</w:t>
      </w:r>
    </w:p>
    <w:p w:rsidR="00DF4A36" w:rsidRDefault="00DF4A36">
      <w:pPr>
        <w:pStyle w:val="TOC2"/>
        <w:tabs>
          <w:tab w:val="left" w:pos="1418"/>
        </w:tabs>
        <w:rPr>
          <w:rFonts w:asciiTheme="minorHAnsi" w:eastAsiaTheme="minorEastAsia" w:hAnsiTheme="minorHAnsi" w:cstheme="minorBidi"/>
          <w:lang w:val="en-US" w:eastAsia="en-US"/>
        </w:rPr>
      </w:pPr>
      <w:r w:rsidRPr="002A602E">
        <w:t>B.3.</w:t>
      </w:r>
      <w:r>
        <w:rPr>
          <w:rFonts w:asciiTheme="minorHAnsi" w:eastAsiaTheme="minorEastAsia" w:hAnsiTheme="minorHAnsi" w:cstheme="minorBidi"/>
          <w:lang w:val="en-US" w:eastAsia="en-US"/>
        </w:rPr>
        <w:tab/>
      </w:r>
      <w:r w:rsidRPr="002A602E">
        <w:t>Risk of Bias Assessment</w:t>
      </w:r>
      <w:r>
        <w:rPr>
          <w:webHidden/>
        </w:rPr>
        <w:tab/>
        <w:t>60</w:t>
      </w:r>
    </w:p>
    <w:p w:rsidR="00DF4A36" w:rsidRDefault="00DF4A36">
      <w:pPr>
        <w:pStyle w:val="TOC3"/>
        <w:rPr>
          <w:rFonts w:asciiTheme="minorHAnsi" w:eastAsiaTheme="minorEastAsia" w:hAnsiTheme="minorHAnsi" w:cstheme="minorBidi"/>
          <w:lang w:val="en-US" w:eastAsia="en-US"/>
        </w:rPr>
      </w:pPr>
      <w:r w:rsidRPr="002A602E">
        <w:t>Risk of bias in the randomised controlled trials</w:t>
      </w:r>
      <w:r>
        <w:rPr>
          <w:webHidden/>
        </w:rPr>
        <w:tab/>
        <w:t>60</w:t>
      </w:r>
    </w:p>
    <w:p w:rsidR="00DF4A36" w:rsidRDefault="00DF4A36">
      <w:pPr>
        <w:pStyle w:val="TOC3"/>
        <w:rPr>
          <w:rFonts w:asciiTheme="minorHAnsi" w:eastAsiaTheme="minorEastAsia" w:hAnsiTheme="minorHAnsi" w:cstheme="minorBidi"/>
          <w:lang w:val="en-US" w:eastAsia="en-US"/>
        </w:rPr>
      </w:pPr>
      <w:r w:rsidRPr="002A602E">
        <w:t>Studies included for the extended assessment of harms</w:t>
      </w:r>
      <w:r>
        <w:rPr>
          <w:webHidden/>
        </w:rPr>
        <w:tab/>
        <w:t>62</w:t>
      </w:r>
    </w:p>
    <w:p w:rsidR="00DF4A36" w:rsidRDefault="00DF4A36">
      <w:pPr>
        <w:pStyle w:val="TOC2"/>
        <w:tabs>
          <w:tab w:val="left" w:pos="1418"/>
        </w:tabs>
        <w:rPr>
          <w:rFonts w:asciiTheme="minorHAnsi" w:eastAsiaTheme="minorEastAsia" w:hAnsiTheme="minorHAnsi" w:cstheme="minorBidi"/>
          <w:lang w:val="en-US" w:eastAsia="en-US"/>
        </w:rPr>
      </w:pPr>
      <w:r w:rsidRPr="002A602E">
        <w:t>B.4.</w:t>
      </w:r>
      <w:r>
        <w:rPr>
          <w:rFonts w:asciiTheme="minorHAnsi" w:eastAsiaTheme="minorEastAsia" w:hAnsiTheme="minorHAnsi" w:cstheme="minorBidi"/>
          <w:lang w:val="en-US" w:eastAsia="en-US"/>
        </w:rPr>
        <w:tab/>
      </w:r>
      <w:r w:rsidRPr="002A602E">
        <w:t>Characteristics of the Evidence Base</w:t>
      </w:r>
      <w:r>
        <w:rPr>
          <w:webHidden/>
        </w:rPr>
        <w:tab/>
        <w:t>64</w:t>
      </w:r>
    </w:p>
    <w:p w:rsidR="00DF4A36" w:rsidRDefault="00DF4A36">
      <w:pPr>
        <w:pStyle w:val="TOC2"/>
        <w:tabs>
          <w:tab w:val="left" w:pos="1418"/>
        </w:tabs>
        <w:rPr>
          <w:rFonts w:asciiTheme="minorHAnsi" w:eastAsiaTheme="minorEastAsia" w:hAnsiTheme="minorHAnsi" w:cstheme="minorBidi"/>
          <w:lang w:val="en-US" w:eastAsia="en-US"/>
        </w:rPr>
      </w:pPr>
      <w:r w:rsidRPr="002A602E">
        <w:t>B.5.</w:t>
      </w:r>
      <w:r>
        <w:rPr>
          <w:rFonts w:asciiTheme="minorHAnsi" w:eastAsiaTheme="minorEastAsia" w:hAnsiTheme="minorHAnsi" w:cstheme="minorBidi"/>
          <w:lang w:val="en-US" w:eastAsia="en-US"/>
        </w:rPr>
        <w:tab/>
      </w:r>
      <w:r w:rsidRPr="002A602E">
        <w:t>Outcome Measures and Analysis</w:t>
      </w:r>
      <w:r>
        <w:rPr>
          <w:webHidden/>
        </w:rPr>
        <w:tab/>
        <w:t>69</w:t>
      </w:r>
    </w:p>
    <w:p w:rsidR="00DF4A36" w:rsidRDefault="00DF4A36">
      <w:pPr>
        <w:pStyle w:val="TOC2"/>
        <w:tabs>
          <w:tab w:val="left" w:pos="1418"/>
        </w:tabs>
        <w:rPr>
          <w:rFonts w:asciiTheme="minorHAnsi" w:eastAsiaTheme="minorEastAsia" w:hAnsiTheme="minorHAnsi" w:cstheme="minorBidi"/>
          <w:lang w:val="en-US" w:eastAsia="en-US"/>
        </w:rPr>
      </w:pPr>
      <w:r w:rsidRPr="002A602E">
        <w:t>B.6.</w:t>
      </w:r>
      <w:r>
        <w:rPr>
          <w:rFonts w:asciiTheme="minorHAnsi" w:eastAsiaTheme="minorEastAsia" w:hAnsiTheme="minorHAnsi" w:cstheme="minorBidi"/>
          <w:lang w:val="en-US" w:eastAsia="en-US"/>
        </w:rPr>
        <w:tab/>
      </w:r>
      <w:r w:rsidRPr="002A602E">
        <w:t>Results of the Systematic Literature review</w:t>
      </w:r>
      <w:r>
        <w:rPr>
          <w:webHidden/>
        </w:rPr>
        <w:tab/>
        <w:t>75</w:t>
      </w:r>
    </w:p>
    <w:p w:rsidR="00DF4A36" w:rsidRDefault="00DF4A36">
      <w:pPr>
        <w:pStyle w:val="TOC2"/>
        <w:rPr>
          <w:rFonts w:asciiTheme="minorHAnsi" w:eastAsiaTheme="minorEastAsia" w:hAnsiTheme="minorHAnsi" w:cstheme="minorBidi"/>
          <w:lang w:val="en-US" w:eastAsia="en-US"/>
        </w:rPr>
      </w:pPr>
      <w:r w:rsidRPr="002A602E">
        <w:t>Is it safe?</w:t>
      </w:r>
      <w:r>
        <w:rPr>
          <w:webHidden/>
        </w:rPr>
        <w:tab/>
        <w:t>75</w:t>
      </w:r>
    </w:p>
    <w:p w:rsidR="00DF4A36" w:rsidRDefault="00DF4A36">
      <w:pPr>
        <w:pStyle w:val="TOC3"/>
        <w:rPr>
          <w:rFonts w:asciiTheme="minorHAnsi" w:eastAsiaTheme="minorEastAsia" w:hAnsiTheme="minorHAnsi" w:cstheme="minorBidi"/>
          <w:lang w:val="en-US" w:eastAsia="en-US"/>
        </w:rPr>
      </w:pPr>
      <w:r w:rsidRPr="002A602E">
        <w:t>IVIg versus steroids</w:t>
      </w:r>
      <w:r>
        <w:rPr>
          <w:webHidden/>
        </w:rPr>
        <w:tab/>
        <w:t>76</w:t>
      </w:r>
    </w:p>
    <w:p w:rsidR="00DF4A36" w:rsidRDefault="00DF4A36">
      <w:pPr>
        <w:pStyle w:val="TOC3"/>
        <w:rPr>
          <w:rFonts w:asciiTheme="minorHAnsi" w:eastAsiaTheme="minorEastAsia" w:hAnsiTheme="minorHAnsi" w:cstheme="minorBidi"/>
          <w:lang w:val="en-US" w:eastAsia="en-US"/>
        </w:rPr>
      </w:pPr>
      <w:r w:rsidRPr="002A602E">
        <w:t>IVIg versus placebo</w:t>
      </w:r>
      <w:r>
        <w:rPr>
          <w:webHidden/>
        </w:rPr>
        <w:tab/>
        <w:t>79</w:t>
      </w:r>
    </w:p>
    <w:p w:rsidR="00DF4A36" w:rsidRDefault="00DF4A36">
      <w:pPr>
        <w:pStyle w:val="TOC3"/>
        <w:rPr>
          <w:rFonts w:asciiTheme="minorHAnsi" w:eastAsiaTheme="minorEastAsia" w:hAnsiTheme="minorHAnsi" w:cstheme="minorBidi"/>
          <w:lang w:val="en-US" w:eastAsia="en-US"/>
        </w:rPr>
      </w:pPr>
      <w:r w:rsidRPr="002A602E">
        <w:t>IVIg versus other active treatments</w:t>
      </w:r>
      <w:r>
        <w:rPr>
          <w:webHidden/>
        </w:rPr>
        <w:tab/>
        <w:t>79</w:t>
      </w:r>
    </w:p>
    <w:p w:rsidR="00DF4A36" w:rsidRDefault="00DF4A36">
      <w:pPr>
        <w:pStyle w:val="TOC3"/>
        <w:rPr>
          <w:rFonts w:asciiTheme="minorHAnsi" w:eastAsiaTheme="minorEastAsia" w:hAnsiTheme="minorHAnsi" w:cstheme="minorBidi"/>
          <w:lang w:val="en-US" w:eastAsia="en-US"/>
        </w:rPr>
      </w:pPr>
      <w:r w:rsidRPr="002A602E">
        <w:t>Nature of the adverse events reported in any randomised controlled trial</w:t>
      </w:r>
      <w:r>
        <w:rPr>
          <w:webHidden/>
        </w:rPr>
        <w:tab/>
        <w:t>80</w:t>
      </w:r>
    </w:p>
    <w:p w:rsidR="00DF4A36" w:rsidRDefault="00DF4A36">
      <w:pPr>
        <w:pStyle w:val="TOC2"/>
        <w:rPr>
          <w:rFonts w:asciiTheme="minorHAnsi" w:eastAsiaTheme="minorEastAsia" w:hAnsiTheme="minorHAnsi" w:cstheme="minorBidi"/>
          <w:lang w:val="en-US" w:eastAsia="en-US"/>
        </w:rPr>
      </w:pPr>
      <w:r w:rsidRPr="002A602E">
        <w:t>Is it effective?</w:t>
      </w:r>
      <w:r>
        <w:rPr>
          <w:webHidden/>
        </w:rPr>
        <w:tab/>
        <w:t>87</w:t>
      </w:r>
    </w:p>
    <w:p w:rsidR="00DF4A36" w:rsidRDefault="00DF4A36">
      <w:pPr>
        <w:pStyle w:val="TOC3"/>
        <w:rPr>
          <w:rFonts w:asciiTheme="minorHAnsi" w:eastAsiaTheme="minorEastAsia" w:hAnsiTheme="minorHAnsi" w:cstheme="minorBidi"/>
          <w:lang w:val="en-US" w:eastAsia="en-US"/>
        </w:rPr>
      </w:pPr>
      <w:r w:rsidRPr="002A602E">
        <w:t>Ig vs no treatment</w:t>
      </w:r>
      <w:r>
        <w:rPr>
          <w:webHidden/>
        </w:rPr>
        <w:tab/>
        <w:t>87</w:t>
      </w:r>
    </w:p>
    <w:p w:rsidR="00DF4A36" w:rsidRDefault="00DF4A36">
      <w:pPr>
        <w:pStyle w:val="TOC3"/>
        <w:rPr>
          <w:rFonts w:asciiTheme="minorHAnsi" w:eastAsiaTheme="minorEastAsia" w:hAnsiTheme="minorHAnsi" w:cstheme="minorBidi"/>
          <w:lang w:val="en-US" w:eastAsia="en-US"/>
        </w:rPr>
      </w:pPr>
      <w:r w:rsidRPr="002A602E">
        <w:t>Ig vs Steroids</w:t>
      </w:r>
      <w:r>
        <w:rPr>
          <w:webHidden/>
        </w:rPr>
        <w:tab/>
        <w:t>88</w:t>
      </w:r>
    </w:p>
    <w:p w:rsidR="00DF4A36" w:rsidRDefault="00DF4A36">
      <w:pPr>
        <w:pStyle w:val="TOC3"/>
        <w:rPr>
          <w:rFonts w:asciiTheme="minorHAnsi" w:eastAsiaTheme="minorEastAsia" w:hAnsiTheme="minorHAnsi" w:cstheme="minorBidi"/>
          <w:lang w:val="en-US" w:eastAsia="en-US"/>
        </w:rPr>
      </w:pPr>
      <w:r w:rsidRPr="002A602E">
        <w:t>Ig vs plasma exchange?</w:t>
      </w:r>
      <w:r>
        <w:rPr>
          <w:webHidden/>
        </w:rPr>
        <w:tab/>
        <w:t>89</w:t>
      </w:r>
    </w:p>
    <w:p w:rsidR="00DF4A36" w:rsidRDefault="00DF4A36">
      <w:pPr>
        <w:pStyle w:val="TOC3"/>
        <w:rPr>
          <w:rFonts w:asciiTheme="minorHAnsi" w:eastAsiaTheme="minorEastAsia" w:hAnsiTheme="minorHAnsi" w:cstheme="minorBidi"/>
          <w:lang w:val="en-US" w:eastAsia="en-US"/>
        </w:rPr>
      </w:pPr>
      <w:r w:rsidRPr="002A602E">
        <w:t>Ig vs immunosuppressants</w:t>
      </w:r>
      <w:r>
        <w:rPr>
          <w:webHidden/>
        </w:rPr>
        <w:tab/>
        <w:t>89</w:t>
      </w:r>
    </w:p>
    <w:p w:rsidR="00DF4A36" w:rsidRDefault="00DF4A36">
      <w:pPr>
        <w:pStyle w:val="TOC3"/>
        <w:rPr>
          <w:rFonts w:asciiTheme="minorHAnsi" w:eastAsiaTheme="minorEastAsia" w:hAnsiTheme="minorHAnsi" w:cstheme="minorBidi"/>
          <w:lang w:val="en-US" w:eastAsia="en-US"/>
        </w:rPr>
      </w:pPr>
      <w:r w:rsidRPr="002A602E">
        <w:t>Ig in paediatric patients</w:t>
      </w:r>
      <w:r>
        <w:rPr>
          <w:webHidden/>
        </w:rPr>
        <w:tab/>
        <w:t>90</w:t>
      </w:r>
    </w:p>
    <w:p w:rsidR="00DF4A36" w:rsidRDefault="00DF4A36">
      <w:pPr>
        <w:pStyle w:val="TOC3"/>
        <w:rPr>
          <w:rFonts w:asciiTheme="minorHAnsi" w:eastAsiaTheme="minorEastAsia" w:hAnsiTheme="minorHAnsi" w:cstheme="minorBidi"/>
          <w:lang w:val="en-US" w:eastAsia="en-US"/>
        </w:rPr>
      </w:pPr>
      <w:r w:rsidRPr="002A602E">
        <w:t>Other comparisons</w:t>
      </w:r>
      <w:r>
        <w:rPr>
          <w:webHidden/>
        </w:rPr>
        <w:tab/>
        <w:t>90</w:t>
      </w:r>
    </w:p>
    <w:p w:rsidR="00DF4A36" w:rsidRDefault="00DF4A36">
      <w:pPr>
        <w:pStyle w:val="TOC2"/>
        <w:tabs>
          <w:tab w:val="left" w:pos="1418"/>
        </w:tabs>
        <w:rPr>
          <w:rFonts w:asciiTheme="minorHAnsi" w:eastAsiaTheme="minorEastAsia" w:hAnsiTheme="minorHAnsi" w:cstheme="minorBidi"/>
          <w:lang w:val="en-US" w:eastAsia="en-US"/>
        </w:rPr>
      </w:pPr>
      <w:r w:rsidRPr="002A602E">
        <w:t>B.7.</w:t>
      </w:r>
      <w:r>
        <w:rPr>
          <w:rFonts w:asciiTheme="minorHAnsi" w:eastAsiaTheme="minorEastAsia" w:hAnsiTheme="minorHAnsi" w:cstheme="minorBidi"/>
          <w:lang w:val="en-US" w:eastAsia="en-US"/>
        </w:rPr>
        <w:tab/>
      </w:r>
      <w:r w:rsidRPr="002A602E">
        <w:t>Extended Assessment of Harms</w:t>
      </w:r>
      <w:r>
        <w:rPr>
          <w:webHidden/>
        </w:rPr>
        <w:tab/>
        <w:t>95</w:t>
      </w:r>
    </w:p>
    <w:p w:rsidR="00DF4A36" w:rsidRDefault="00DF4A36">
      <w:pPr>
        <w:pStyle w:val="TOC3"/>
        <w:rPr>
          <w:rFonts w:asciiTheme="minorHAnsi" w:eastAsiaTheme="minorEastAsia" w:hAnsiTheme="minorHAnsi" w:cstheme="minorBidi"/>
          <w:lang w:val="en-US" w:eastAsia="en-US"/>
        </w:rPr>
      </w:pPr>
      <w:r w:rsidRPr="002A602E">
        <w:t>Adverse events in patients receiving IVIg or SCIg</w:t>
      </w:r>
      <w:r>
        <w:rPr>
          <w:webHidden/>
        </w:rPr>
        <w:tab/>
        <w:t>96</w:t>
      </w:r>
    </w:p>
    <w:p w:rsidR="00DF4A36" w:rsidRDefault="00DF4A36">
      <w:pPr>
        <w:pStyle w:val="TOC3"/>
        <w:rPr>
          <w:rFonts w:asciiTheme="minorHAnsi" w:eastAsiaTheme="minorEastAsia" w:hAnsiTheme="minorHAnsi" w:cstheme="minorBidi"/>
          <w:lang w:val="en-US" w:eastAsia="en-US"/>
        </w:rPr>
      </w:pPr>
      <w:r w:rsidRPr="002A602E">
        <w:t>Adverse events in patients receiving steroids</w:t>
      </w:r>
      <w:r>
        <w:rPr>
          <w:webHidden/>
        </w:rPr>
        <w:tab/>
        <w:t>98</w:t>
      </w:r>
    </w:p>
    <w:p w:rsidR="00DF4A36" w:rsidRDefault="00DF4A36">
      <w:pPr>
        <w:pStyle w:val="TOC3"/>
        <w:rPr>
          <w:rFonts w:asciiTheme="minorHAnsi" w:eastAsiaTheme="minorEastAsia" w:hAnsiTheme="minorHAnsi" w:cstheme="minorBidi"/>
          <w:lang w:val="en-US" w:eastAsia="en-US"/>
        </w:rPr>
      </w:pPr>
      <w:r w:rsidRPr="002A602E">
        <w:t>Adverse events in patients receiving plasma exchange</w:t>
      </w:r>
      <w:r>
        <w:rPr>
          <w:webHidden/>
        </w:rPr>
        <w:tab/>
        <w:t>99</w:t>
      </w:r>
    </w:p>
    <w:p w:rsidR="00DF4A36" w:rsidRDefault="00DF4A36">
      <w:pPr>
        <w:pStyle w:val="TOC3"/>
        <w:rPr>
          <w:rFonts w:asciiTheme="minorHAnsi" w:eastAsiaTheme="minorEastAsia" w:hAnsiTheme="minorHAnsi" w:cstheme="minorBidi"/>
          <w:lang w:val="en-US" w:eastAsia="en-US"/>
        </w:rPr>
      </w:pPr>
      <w:r w:rsidRPr="002A602E">
        <w:t>Adverse events in patients receiving azathioprine</w:t>
      </w:r>
      <w:r>
        <w:rPr>
          <w:webHidden/>
        </w:rPr>
        <w:tab/>
        <w:t>100</w:t>
      </w:r>
    </w:p>
    <w:p w:rsidR="00DF4A36" w:rsidRDefault="00DF4A36">
      <w:pPr>
        <w:pStyle w:val="TOC3"/>
        <w:rPr>
          <w:rFonts w:asciiTheme="minorHAnsi" w:eastAsiaTheme="minorEastAsia" w:hAnsiTheme="minorHAnsi" w:cstheme="minorBidi"/>
          <w:lang w:val="en-US" w:eastAsia="en-US"/>
        </w:rPr>
      </w:pPr>
      <w:r w:rsidRPr="002A602E">
        <w:t>Adverse events in patients receiving cyclosporin</w:t>
      </w:r>
      <w:r>
        <w:rPr>
          <w:webHidden/>
        </w:rPr>
        <w:tab/>
        <w:t>101</w:t>
      </w:r>
    </w:p>
    <w:p w:rsidR="00DF4A36" w:rsidRDefault="00DF4A36">
      <w:pPr>
        <w:pStyle w:val="TOC3"/>
        <w:rPr>
          <w:rFonts w:asciiTheme="minorHAnsi" w:eastAsiaTheme="minorEastAsia" w:hAnsiTheme="minorHAnsi" w:cstheme="minorBidi"/>
          <w:lang w:val="en-US" w:eastAsia="en-US"/>
        </w:rPr>
      </w:pPr>
      <w:r w:rsidRPr="002A602E">
        <w:t>Adverse events in patients receiving cyclophosphamide</w:t>
      </w:r>
      <w:r>
        <w:rPr>
          <w:webHidden/>
        </w:rPr>
        <w:tab/>
        <w:t>101</w:t>
      </w:r>
    </w:p>
    <w:p w:rsidR="00DF4A36" w:rsidRDefault="00DF4A36">
      <w:pPr>
        <w:pStyle w:val="TOC3"/>
        <w:rPr>
          <w:rFonts w:asciiTheme="minorHAnsi" w:eastAsiaTheme="minorEastAsia" w:hAnsiTheme="minorHAnsi" w:cstheme="minorBidi"/>
          <w:lang w:val="en-US" w:eastAsia="en-US"/>
        </w:rPr>
      </w:pPr>
      <w:r w:rsidRPr="002A602E">
        <w:t>Adverse events in patients receiving immunoadsorption</w:t>
      </w:r>
      <w:r>
        <w:rPr>
          <w:webHidden/>
        </w:rPr>
        <w:tab/>
        <w:t>102</w:t>
      </w:r>
    </w:p>
    <w:p w:rsidR="00DF4A36" w:rsidRDefault="00DF4A36">
      <w:pPr>
        <w:pStyle w:val="TOC3"/>
        <w:rPr>
          <w:rFonts w:asciiTheme="minorHAnsi" w:eastAsiaTheme="minorEastAsia" w:hAnsiTheme="minorHAnsi" w:cstheme="minorBidi"/>
          <w:lang w:val="en-US" w:eastAsia="en-US"/>
        </w:rPr>
      </w:pPr>
      <w:r w:rsidRPr="002A602E">
        <w:lastRenderedPageBreak/>
        <w:t>Adverse events in patients receiving methotrexate</w:t>
      </w:r>
      <w:r>
        <w:rPr>
          <w:webHidden/>
        </w:rPr>
        <w:tab/>
        <w:t>103</w:t>
      </w:r>
    </w:p>
    <w:p w:rsidR="00DF4A36" w:rsidRDefault="00DF4A36">
      <w:pPr>
        <w:pStyle w:val="TOC3"/>
        <w:rPr>
          <w:rFonts w:asciiTheme="minorHAnsi" w:eastAsiaTheme="minorEastAsia" w:hAnsiTheme="minorHAnsi" w:cstheme="minorBidi"/>
          <w:lang w:val="en-US" w:eastAsia="en-US"/>
        </w:rPr>
      </w:pPr>
      <w:r w:rsidRPr="002A602E">
        <w:t>Adverse events in patients receiving mycophenolate mofetil</w:t>
      </w:r>
      <w:r>
        <w:rPr>
          <w:webHidden/>
        </w:rPr>
        <w:tab/>
        <w:t>104</w:t>
      </w:r>
    </w:p>
    <w:p w:rsidR="00DF4A36" w:rsidRDefault="00DF4A36">
      <w:pPr>
        <w:pStyle w:val="TOC3"/>
        <w:rPr>
          <w:rFonts w:asciiTheme="minorHAnsi" w:eastAsiaTheme="minorEastAsia" w:hAnsiTheme="minorHAnsi" w:cstheme="minorBidi"/>
          <w:lang w:val="en-US" w:eastAsia="en-US"/>
        </w:rPr>
      </w:pPr>
      <w:r w:rsidRPr="002A602E">
        <w:t>Adverse events in patients receiving rituximab</w:t>
      </w:r>
      <w:r>
        <w:rPr>
          <w:webHidden/>
        </w:rPr>
        <w:tab/>
        <w:t>104</w:t>
      </w:r>
    </w:p>
    <w:p w:rsidR="00DF4A36" w:rsidRDefault="00DF4A36">
      <w:pPr>
        <w:pStyle w:val="TOC3"/>
        <w:rPr>
          <w:rFonts w:asciiTheme="minorHAnsi" w:eastAsiaTheme="minorEastAsia" w:hAnsiTheme="minorHAnsi" w:cstheme="minorBidi"/>
          <w:lang w:val="en-US" w:eastAsia="en-US"/>
        </w:rPr>
      </w:pPr>
      <w:r w:rsidRPr="002A602E">
        <w:t>Summary of extended safety data</w:t>
      </w:r>
      <w:r>
        <w:rPr>
          <w:webHidden/>
        </w:rPr>
        <w:tab/>
        <w:t>105</w:t>
      </w:r>
    </w:p>
    <w:p w:rsidR="00DF4A36" w:rsidRDefault="00DF4A36">
      <w:pPr>
        <w:pStyle w:val="TOC3"/>
        <w:rPr>
          <w:rFonts w:asciiTheme="minorHAnsi" w:eastAsiaTheme="minorEastAsia" w:hAnsiTheme="minorHAnsi" w:cstheme="minorBidi"/>
          <w:lang w:val="en-US" w:eastAsia="en-US"/>
        </w:rPr>
      </w:pPr>
      <w:r w:rsidRPr="002A602E">
        <w:t>Tables summarising the characteristics of included studies and adverse events</w:t>
      </w:r>
      <w:r>
        <w:rPr>
          <w:webHidden/>
        </w:rPr>
        <w:tab/>
        <w:t>108</w:t>
      </w:r>
    </w:p>
    <w:p w:rsidR="00DF4A36" w:rsidRDefault="00DF4A36">
      <w:pPr>
        <w:pStyle w:val="TOC2"/>
        <w:tabs>
          <w:tab w:val="left" w:pos="1418"/>
        </w:tabs>
        <w:rPr>
          <w:rFonts w:asciiTheme="minorHAnsi" w:eastAsiaTheme="minorEastAsia" w:hAnsiTheme="minorHAnsi" w:cstheme="minorBidi"/>
          <w:lang w:val="en-US" w:eastAsia="en-US"/>
        </w:rPr>
      </w:pPr>
      <w:r w:rsidRPr="002A602E">
        <w:t>B.8.</w:t>
      </w:r>
      <w:r>
        <w:rPr>
          <w:rFonts w:asciiTheme="minorHAnsi" w:eastAsiaTheme="minorEastAsia" w:hAnsiTheme="minorHAnsi" w:cstheme="minorBidi"/>
          <w:lang w:val="en-US" w:eastAsia="en-US"/>
        </w:rPr>
        <w:tab/>
      </w:r>
      <w:r w:rsidRPr="002A602E">
        <w:t>Interpretation of the Clinical Evidence</w:t>
      </w:r>
      <w:r>
        <w:rPr>
          <w:webHidden/>
        </w:rPr>
        <w:tab/>
        <w:t>113</w:t>
      </w:r>
    </w:p>
    <w:p w:rsidR="00DF4A36" w:rsidRDefault="00DF4A36">
      <w:pPr>
        <w:pStyle w:val="TOC1"/>
        <w:rPr>
          <w:rFonts w:asciiTheme="minorHAnsi" w:eastAsiaTheme="minorEastAsia" w:hAnsiTheme="minorHAnsi" w:cstheme="minorBidi"/>
          <w:b w:val="0"/>
          <w:lang w:val="en-US" w:eastAsia="en-US"/>
        </w:rPr>
      </w:pPr>
      <w:r w:rsidRPr="002A602E">
        <w:t>Section C</w:t>
      </w:r>
      <w:r>
        <w:rPr>
          <w:rFonts w:asciiTheme="minorHAnsi" w:eastAsiaTheme="minorEastAsia" w:hAnsiTheme="minorHAnsi" w:cstheme="minorBidi"/>
          <w:b w:val="0"/>
          <w:lang w:val="en-US" w:eastAsia="en-US"/>
        </w:rPr>
        <w:tab/>
      </w:r>
      <w:r w:rsidRPr="002A602E">
        <w:t>Translation Issues</w:t>
      </w:r>
      <w:r>
        <w:rPr>
          <w:webHidden/>
        </w:rPr>
        <w:tab/>
        <w:t>116</w:t>
      </w:r>
    </w:p>
    <w:p w:rsidR="00DF4A36" w:rsidRDefault="00DF4A36">
      <w:pPr>
        <w:pStyle w:val="TOC2"/>
        <w:tabs>
          <w:tab w:val="left" w:pos="1418"/>
        </w:tabs>
        <w:rPr>
          <w:rFonts w:asciiTheme="minorHAnsi" w:eastAsiaTheme="minorEastAsia" w:hAnsiTheme="minorHAnsi" w:cstheme="minorBidi"/>
          <w:lang w:val="en-US" w:eastAsia="en-US"/>
        </w:rPr>
      </w:pPr>
      <w:r w:rsidRPr="002A602E">
        <w:t>C.1.</w:t>
      </w:r>
      <w:r>
        <w:rPr>
          <w:rFonts w:asciiTheme="minorHAnsi" w:eastAsiaTheme="minorEastAsia" w:hAnsiTheme="minorHAnsi" w:cstheme="minorBidi"/>
          <w:lang w:val="en-US" w:eastAsia="en-US"/>
        </w:rPr>
        <w:tab/>
      </w:r>
      <w:r w:rsidRPr="002A602E">
        <w:t>Overview</w:t>
      </w:r>
      <w:r>
        <w:rPr>
          <w:webHidden/>
        </w:rPr>
        <w:tab/>
        <w:t>116</w:t>
      </w:r>
    </w:p>
    <w:p w:rsidR="00DF4A36" w:rsidRDefault="00DF4A36">
      <w:pPr>
        <w:pStyle w:val="TOC2"/>
        <w:tabs>
          <w:tab w:val="left" w:pos="1418"/>
        </w:tabs>
        <w:rPr>
          <w:rFonts w:asciiTheme="minorHAnsi" w:eastAsiaTheme="minorEastAsia" w:hAnsiTheme="minorHAnsi" w:cstheme="minorBidi"/>
          <w:lang w:val="en-US" w:eastAsia="en-US"/>
        </w:rPr>
      </w:pPr>
      <w:r w:rsidRPr="002A602E">
        <w:t>C.2.</w:t>
      </w:r>
      <w:r>
        <w:rPr>
          <w:rFonts w:asciiTheme="minorHAnsi" w:eastAsiaTheme="minorEastAsia" w:hAnsiTheme="minorHAnsi" w:cstheme="minorBidi"/>
          <w:lang w:val="en-US" w:eastAsia="en-US"/>
        </w:rPr>
        <w:tab/>
      </w:r>
      <w:r w:rsidRPr="002A602E">
        <w:t>Applicability translation issues</w:t>
      </w:r>
      <w:r>
        <w:rPr>
          <w:webHidden/>
        </w:rPr>
        <w:tab/>
        <w:t>116</w:t>
      </w:r>
    </w:p>
    <w:p w:rsidR="00DF4A36" w:rsidRDefault="00DF4A36">
      <w:pPr>
        <w:pStyle w:val="TOC3"/>
        <w:tabs>
          <w:tab w:val="left" w:pos="2145"/>
        </w:tabs>
        <w:rPr>
          <w:rFonts w:asciiTheme="minorHAnsi" w:eastAsiaTheme="minorEastAsia" w:hAnsiTheme="minorHAnsi" w:cstheme="minorBidi"/>
          <w:lang w:val="en-US" w:eastAsia="en-US"/>
        </w:rPr>
      </w:pPr>
      <w:r w:rsidRPr="002A602E">
        <w:t>C.2.1.</w:t>
      </w:r>
      <w:r>
        <w:rPr>
          <w:rFonts w:asciiTheme="minorHAnsi" w:eastAsiaTheme="minorEastAsia" w:hAnsiTheme="minorHAnsi" w:cstheme="minorBidi"/>
          <w:lang w:val="en-US" w:eastAsia="en-US"/>
        </w:rPr>
        <w:tab/>
      </w:r>
      <w:r w:rsidRPr="002A602E">
        <w:t xml:space="preserve"> Applicability of the trial-based evidence to the CIDP population</w:t>
      </w:r>
      <w:r>
        <w:rPr>
          <w:webHidden/>
        </w:rPr>
        <w:tab/>
        <w:t>116</w:t>
      </w:r>
    </w:p>
    <w:p w:rsidR="00DF4A36" w:rsidRDefault="00DF4A36">
      <w:pPr>
        <w:pStyle w:val="TOC3"/>
        <w:tabs>
          <w:tab w:val="left" w:pos="2256"/>
        </w:tabs>
        <w:rPr>
          <w:rFonts w:asciiTheme="minorHAnsi" w:eastAsiaTheme="minorEastAsia" w:hAnsiTheme="minorHAnsi" w:cstheme="minorBidi"/>
          <w:lang w:val="en-US" w:eastAsia="en-US"/>
        </w:rPr>
      </w:pPr>
      <w:r w:rsidRPr="002A602E">
        <w:t>C.2.1.2</w:t>
      </w:r>
      <w:r>
        <w:rPr>
          <w:rFonts w:asciiTheme="minorHAnsi" w:eastAsiaTheme="minorEastAsia" w:hAnsiTheme="minorHAnsi" w:cstheme="minorBidi"/>
          <w:lang w:val="en-US" w:eastAsia="en-US"/>
        </w:rPr>
        <w:tab/>
      </w:r>
      <w:r w:rsidRPr="002A602E">
        <w:t>Focused analytical plan</w:t>
      </w:r>
      <w:r>
        <w:rPr>
          <w:webHidden/>
        </w:rPr>
        <w:tab/>
        <w:t>116</w:t>
      </w:r>
    </w:p>
    <w:p w:rsidR="00DF4A36" w:rsidRDefault="00DF4A36">
      <w:pPr>
        <w:pStyle w:val="TOC3"/>
        <w:tabs>
          <w:tab w:val="left" w:pos="2256"/>
        </w:tabs>
        <w:rPr>
          <w:rFonts w:asciiTheme="minorHAnsi" w:eastAsiaTheme="minorEastAsia" w:hAnsiTheme="minorHAnsi" w:cstheme="minorBidi"/>
          <w:lang w:val="en-US" w:eastAsia="en-US"/>
        </w:rPr>
      </w:pPr>
      <w:r w:rsidRPr="002A602E">
        <w:t>C.2.1.3</w:t>
      </w:r>
      <w:r>
        <w:rPr>
          <w:rFonts w:asciiTheme="minorHAnsi" w:eastAsiaTheme="minorEastAsia" w:hAnsiTheme="minorHAnsi" w:cstheme="minorBidi"/>
          <w:lang w:val="en-US" w:eastAsia="en-US"/>
        </w:rPr>
        <w:tab/>
      </w:r>
      <w:r w:rsidRPr="002A602E">
        <w:t>Results of pre-modelling study</w:t>
      </w:r>
      <w:r>
        <w:rPr>
          <w:webHidden/>
        </w:rPr>
        <w:tab/>
        <w:t>116</w:t>
      </w:r>
    </w:p>
    <w:p w:rsidR="00DF4A36" w:rsidRDefault="00DF4A36">
      <w:pPr>
        <w:pStyle w:val="TOC3"/>
        <w:tabs>
          <w:tab w:val="left" w:pos="2256"/>
        </w:tabs>
        <w:rPr>
          <w:rFonts w:asciiTheme="minorHAnsi" w:eastAsiaTheme="minorEastAsia" w:hAnsiTheme="minorHAnsi" w:cstheme="minorBidi"/>
          <w:lang w:val="en-US" w:eastAsia="en-US"/>
        </w:rPr>
      </w:pPr>
      <w:r w:rsidRPr="002A602E">
        <w:t>C.2.1.4</w:t>
      </w:r>
      <w:r>
        <w:rPr>
          <w:rFonts w:asciiTheme="minorHAnsi" w:eastAsiaTheme="minorEastAsia" w:hAnsiTheme="minorHAnsi" w:cstheme="minorBidi"/>
          <w:lang w:val="en-US" w:eastAsia="en-US"/>
        </w:rPr>
        <w:tab/>
      </w:r>
      <w:r w:rsidRPr="002A602E">
        <w:t>Relationship of pre-modelling study to the economic evaluation</w:t>
      </w:r>
      <w:r>
        <w:rPr>
          <w:webHidden/>
        </w:rPr>
        <w:tab/>
        <w:t>124</w:t>
      </w:r>
    </w:p>
    <w:p w:rsidR="00DF4A36" w:rsidRDefault="00DF4A36">
      <w:pPr>
        <w:pStyle w:val="TOC2"/>
        <w:tabs>
          <w:tab w:val="left" w:pos="1418"/>
        </w:tabs>
        <w:rPr>
          <w:rFonts w:asciiTheme="minorHAnsi" w:eastAsiaTheme="minorEastAsia" w:hAnsiTheme="minorHAnsi" w:cstheme="minorBidi"/>
          <w:lang w:val="en-US" w:eastAsia="en-US"/>
        </w:rPr>
      </w:pPr>
      <w:r w:rsidRPr="002A602E">
        <w:t>C.3.</w:t>
      </w:r>
      <w:r>
        <w:rPr>
          <w:rFonts w:asciiTheme="minorHAnsi" w:eastAsiaTheme="minorEastAsia" w:hAnsiTheme="minorHAnsi" w:cstheme="minorBidi"/>
          <w:lang w:val="en-US" w:eastAsia="en-US"/>
        </w:rPr>
        <w:tab/>
      </w:r>
      <w:r w:rsidRPr="002A602E">
        <w:t>Selection of Utility Value issues</w:t>
      </w:r>
      <w:r>
        <w:rPr>
          <w:webHidden/>
        </w:rPr>
        <w:tab/>
        <w:t>124</w:t>
      </w:r>
    </w:p>
    <w:p w:rsidR="00DF4A36" w:rsidRDefault="00DF4A36">
      <w:pPr>
        <w:pStyle w:val="TOC3"/>
        <w:tabs>
          <w:tab w:val="left" w:pos="2089"/>
        </w:tabs>
        <w:rPr>
          <w:rFonts w:asciiTheme="minorHAnsi" w:eastAsiaTheme="minorEastAsia" w:hAnsiTheme="minorHAnsi" w:cstheme="minorBidi"/>
          <w:lang w:val="en-US" w:eastAsia="en-US"/>
        </w:rPr>
      </w:pPr>
      <w:r w:rsidRPr="002A602E">
        <w:t>C.3.1</w:t>
      </w:r>
      <w:r>
        <w:rPr>
          <w:rFonts w:asciiTheme="minorHAnsi" w:eastAsiaTheme="minorEastAsia" w:hAnsiTheme="minorHAnsi" w:cstheme="minorBidi"/>
          <w:lang w:val="en-US" w:eastAsia="en-US"/>
        </w:rPr>
        <w:tab/>
      </w:r>
      <w:r w:rsidRPr="002A602E">
        <w:t>Identification of issue that needs to be addressed</w:t>
      </w:r>
      <w:r>
        <w:rPr>
          <w:webHidden/>
        </w:rPr>
        <w:tab/>
        <w:t>124</w:t>
      </w:r>
    </w:p>
    <w:p w:rsidR="00DF4A36" w:rsidRDefault="00DF4A36">
      <w:pPr>
        <w:pStyle w:val="TOC3"/>
        <w:tabs>
          <w:tab w:val="left" w:pos="2089"/>
        </w:tabs>
        <w:rPr>
          <w:rFonts w:asciiTheme="minorHAnsi" w:eastAsiaTheme="minorEastAsia" w:hAnsiTheme="minorHAnsi" w:cstheme="minorBidi"/>
          <w:lang w:val="en-US" w:eastAsia="en-US"/>
        </w:rPr>
      </w:pPr>
      <w:r w:rsidRPr="002A602E">
        <w:t>C.3.2</w:t>
      </w:r>
      <w:r>
        <w:rPr>
          <w:rFonts w:asciiTheme="minorHAnsi" w:eastAsiaTheme="minorEastAsia" w:hAnsiTheme="minorHAnsi" w:cstheme="minorBidi"/>
          <w:lang w:val="en-US" w:eastAsia="en-US"/>
        </w:rPr>
        <w:tab/>
      </w:r>
      <w:r w:rsidRPr="002A602E">
        <w:t>Focused analytical plan</w:t>
      </w:r>
      <w:r>
        <w:rPr>
          <w:webHidden/>
        </w:rPr>
        <w:tab/>
        <w:t>125</w:t>
      </w:r>
    </w:p>
    <w:p w:rsidR="00DF4A36" w:rsidRDefault="00DF4A36">
      <w:pPr>
        <w:pStyle w:val="TOC3"/>
        <w:tabs>
          <w:tab w:val="left" w:pos="2089"/>
        </w:tabs>
        <w:rPr>
          <w:rFonts w:asciiTheme="minorHAnsi" w:eastAsiaTheme="minorEastAsia" w:hAnsiTheme="minorHAnsi" w:cstheme="minorBidi"/>
          <w:lang w:val="en-US" w:eastAsia="en-US"/>
        </w:rPr>
      </w:pPr>
      <w:r w:rsidRPr="002A602E">
        <w:t>C.3.3</w:t>
      </w:r>
      <w:r>
        <w:rPr>
          <w:rFonts w:asciiTheme="minorHAnsi" w:eastAsiaTheme="minorEastAsia" w:hAnsiTheme="minorHAnsi" w:cstheme="minorBidi"/>
          <w:lang w:val="en-US" w:eastAsia="en-US"/>
        </w:rPr>
        <w:tab/>
      </w:r>
      <w:r w:rsidRPr="002A602E">
        <w:t>Results of pre-modelling study</w:t>
      </w:r>
      <w:r>
        <w:rPr>
          <w:webHidden/>
        </w:rPr>
        <w:tab/>
        <w:t>125</w:t>
      </w:r>
    </w:p>
    <w:p w:rsidR="00DF4A36" w:rsidRDefault="00DF4A36">
      <w:pPr>
        <w:pStyle w:val="TOC3"/>
        <w:tabs>
          <w:tab w:val="left" w:pos="2139"/>
        </w:tabs>
        <w:rPr>
          <w:rFonts w:asciiTheme="minorHAnsi" w:eastAsiaTheme="minorEastAsia" w:hAnsiTheme="minorHAnsi" w:cstheme="minorBidi"/>
          <w:lang w:val="en-US" w:eastAsia="en-US"/>
        </w:rPr>
      </w:pPr>
      <w:r w:rsidRPr="002A602E">
        <w:t>C.3. 4</w:t>
      </w:r>
      <w:r>
        <w:rPr>
          <w:rFonts w:asciiTheme="minorHAnsi" w:eastAsiaTheme="minorEastAsia" w:hAnsiTheme="minorHAnsi" w:cstheme="minorBidi"/>
          <w:lang w:val="en-US" w:eastAsia="en-US"/>
        </w:rPr>
        <w:tab/>
      </w:r>
      <w:r w:rsidRPr="002A602E">
        <w:t>Relationship of pre-modelling study to the economic evaluation</w:t>
      </w:r>
      <w:r>
        <w:rPr>
          <w:webHidden/>
        </w:rPr>
        <w:tab/>
        <w:t>135</w:t>
      </w:r>
    </w:p>
    <w:p w:rsidR="00DF4A36" w:rsidRDefault="00DF4A36">
      <w:pPr>
        <w:pStyle w:val="TOC2"/>
        <w:tabs>
          <w:tab w:val="left" w:pos="1418"/>
        </w:tabs>
        <w:rPr>
          <w:rFonts w:asciiTheme="minorHAnsi" w:eastAsiaTheme="minorEastAsia" w:hAnsiTheme="minorHAnsi" w:cstheme="minorBidi"/>
          <w:lang w:val="en-US" w:eastAsia="en-US"/>
        </w:rPr>
      </w:pPr>
      <w:r w:rsidRPr="002A602E">
        <w:t>C.4.</w:t>
      </w:r>
      <w:r>
        <w:rPr>
          <w:rFonts w:asciiTheme="minorHAnsi" w:eastAsiaTheme="minorEastAsia" w:hAnsiTheme="minorHAnsi" w:cstheme="minorBidi"/>
          <w:lang w:val="en-US" w:eastAsia="en-US"/>
        </w:rPr>
        <w:tab/>
      </w:r>
      <w:r w:rsidRPr="002A602E">
        <w:t>Extrapolation translation issues</w:t>
      </w:r>
      <w:r>
        <w:rPr>
          <w:webHidden/>
        </w:rPr>
        <w:tab/>
        <w:t>138</w:t>
      </w:r>
    </w:p>
    <w:p w:rsidR="00DF4A36" w:rsidRDefault="00DF4A36">
      <w:pPr>
        <w:pStyle w:val="TOC3"/>
        <w:tabs>
          <w:tab w:val="left" w:pos="2089"/>
        </w:tabs>
        <w:rPr>
          <w:rFonts w:asciiTheme="minorHAnsi" w:eastAsiaTheme="minorEastAsia" w:hAnsiTheme="minorHAnsi" w:cstheme="minorBidi"/>
          <w:lang w:val="en-US" w:eastAsia="en-US"/>
        </w:rPr>
      </w:pPr>
      <w:r w:rsidRPr="002A602E">
        <w:t>C.4.1</w:t>
      </w:r>
      <w:r>
        <w:rPr>
          <w:rFonts w:asciiTheme="minorHAnsi" w:eastAsiaTheme="minorEastAsia" w:hAnsiTheme="minorHAnsi" w:cstheme="minorBidi"/>
          <w:lang w:val="en-US" w:eastAsia="en-US"/>
        </w:rPr>
        <w:tab/>
      </w:r>
      <w:r w:rsidRPr="002A602E">
        <w:t>Identification of issue that needs to be addressed</w:t>
      </w:r>
      <w:r>
        <w:rPr>
          <w:webHidden/>
        </w:rPr>
        <w:tab/>
        <w:t>138</w:t>
      </w:r>
    </w:p>
    <w:p w:rsidR="00DF4A36" w:rsidRDefault="00DF4A36">
      <w:pPr>
        <w:pStyle w:val="TOC3"/>
        <w:tabs>
          <w:tab w:val="left" w:pos="2089"/>
        </w:tabs>
        <w:rPr>
          <w:rFonts w:asciiTheme="minorHAnsi" w:eastAsiaTheme="minorEastAsia" w:hAnsiTheme="minorHAnsi" w:cstheme="minorBidi"/>
          <w:lang w:val="en-US" w:eastAsia="en-US"/>
        </w:rPr>
      </w:pPr>
      <w:r w:rsidRPr="002A602E">
        <w:t>C.4.2</w:t>
      </w:r>
      <w:r>
        <w:rPr>
          <w:rFonts w:asciiTheme="minorHAnsi" w:eastAsiaTheme="minorEastAsia" w:hAnsiTheme="minorHAnsi" w:cstheme="minorBidi"/>
          <w:lang w:val="en-US" w:eastAsia="en-US"/>
        </w:rPr>
        <w:tab/>
      </w:r>
      <w:r w:rsidRPr="002A602E">
        <w:t>Focused analytical plan</w:t>
      </w:r>
      <w:r>
        <w:rPr>
          <w:webHidden/>
        </w:rPr>
        <w:tab/>
        <w:t>138</w:t>
      </w:r>
    </w:p>
    <w:p w:rsidR="00DF4A36" w:rsidRDefault="00DF4A36">
      <w:pPr>
        <w:pStyle w:val="TOC3"/>
        <w:tabs>
          <w:tab w:val="left" w:pos="2089"/>
        </w:tabs>
        <w:rPr>
          <w:rFonts w:asciiTheme="minorHAnsi" w:eastAsiaTheme="minorEastAsia" w:hAnsiTheme="minorHAnsi" w:cstheme="minorBidi"/>
          <w:lang w:val="en-US" w:eastAsia="en-US"/>
        </w:rPr>
      </w:pPr>
      <w:r w:rsidRPr="002A602E">
        <w:t>C.4.3</w:t>
      </w:r>
      <w:r>
        <w:rPr>
          <w:rFonts w:asciiTheme="minorHAnsi" w:eastAsiaTheme="minorEastAsia" w:hAnsiTheme="minorHAnsi" w:cstheme="minorBidi"/>
          <w:lang w:val="en-US" w:eastAsia="en-US"/>
        </w:rPr>
        <w:tab/>
      </w:r>
      <w:r w:rsidRPr="002A602E">
        <w:t>Results of pre-modelling study</w:t>
      </w:r>
      <w:r>
        <w:rPr>
          <w:webHidden/>
        </w:rPr>
        <w:tab/>
        <w:t>138</w:t>
      </w:r>
    </w:p>
    <w:p w:rsidR="00DF4A36" w:rsidRDefault="00DF4A36">
      <w:pPr>
        <w:pStyle w:val="TOC3"/>
        <w:tabs>
          <w:tab w:val="left" w:pos="2139"/>
        </w:tabs>
        <w:rPr>
          <w:rFonts w:asciiTheme="minorHAnsi" w:eastAsiaTheme="minorEastAsia" w:hAnsiTheme="minorHAnsi" w:cstheme="minorBidi"/>
          <w:lang w:val="en-US" w:eastAsia="en-US"/>
        </w:rPr>
      </w:pPr>
      <w:r w:rsidRPr="002A602E">
        <w:t>C.4. 4</w:t>
      </w:r>
      <w:r>
        <w:rPr>
          <w:rFonts w:asciiTheme="minorHAnsi" w:eastAsiaTheme="minorEastAsia" w:hAnsiTheme="minorHAnsi" w:cstheme="minorBidi"/>
          <w:lang w:val="en-US" w:eastAsia="en-US"/>
        </w:rPr>
        <w:tab/>
      </w:r>
      <w:r w:rsidRPr="002A602E">
        <w:t>Relationship of pre-modelling study to the economic evaluation</w:t>
      </w:r>
      <w:r>
        <w:rPr>
          <w:webHidden/>
        </w:rPr>
        <w:tab/>
        <w:t>142</w:t>
      </w:r>
    </w:p>
    <w:p w:rsidR="00DF4A36" w:rsidRDefault="00DF4A36">
      <w:pPr>
        <w:pStyle w:val="TOC2"/>
        <w:rPr>
          <w:rFonts w:asciiTheme="minorHAnsi" w:eastAsiaTheme="minorEastAsia" w:hAnsiTheme="minorHAnsi" w:cstheme="minorBidi"/>
          <w:lang w:val="en-US" w:eastAsia="en-US"/>
        </w:rPr>
      </w:pPr>
      <w:r w:rsidRPr="002A602E">
        <w:t>C.5 Relationship of each Pre-Modelling Study to the Economic Evaluation</w:t>
      </w:r>
      <w:r>
        <w:rPr>
          <w:webHidden/>
        </w:rPr>
        <w:tab/>
        <w:t>143</w:t>
      </w:r>
    </w:p>
    <w:p w:rsidR="00DF4A36" w:rsidRDefault="00DF4A36">
      <w:pPr>
        <w:pStyle w:val="TOC1"/>
        <w:rPr>
          <w:rFonts w:asciiTheme="minorHAnsi" w:eastAsiaTheme="minorEastAsia" w:hAnsiTheme="minorHAnsi" w:cstheme="minorBidi"/>
          <w:b w:val="0"/>
          <w:lang w:val="en-US" w:eastAsia="en-US"/>
        </w:rPr>
      </w:pPr>
      <w:r w:rsidRPr="002A602E">
        <w:t>Section D</w:t>
      </w:r>
      <w:r>
        <w:rPr>
          <w:rFonts w:asciiTheme="minorHAnsi" w:eastAsiaTheme="minorEastAsia" w:hAnsiTheme="minorHAnsi" w:cstheme="minorBidi"/>
          <w:b w:val="0"/>
          <w:lang w:val="en-US" w:eastAsia="en-US"/>
        </w:rPr>
        <w:tab/>
      </w:r>
      <w:r w:rsidRPr="002A602E">
        <w:t>Economic Evaluation</w:t>
      </w:r>
      <w:r>
        <w:rPr>
          <w:webHidden/>
        </w:rPr>
        <w:tab/>
        <w:t>144</w:t>
      </w:r>
    </w:p>
    <w:p w:rsidR="00DF4A36" w:rsidRDefault="00DF4A36">
      <w:pPr>
        <w:pStyle w:val="TOC2"/>
        <w:tabs>
          <w:tab w:val="left" w:pos="1540"/>
        </w:tabs>
        <w:rPr>
          <w:rFonts w:asciiTheme="minorHAnsi" w:eastAsiaTheme="minorEastAsia" w:hAnsiTheme="minorHAnsi" w:cstheme="minorBidi"/>
          <w:lang w:val="en-US" w:eastAsia="en-US"/>
        </w:rPr>
      </w:pPr>
      <w:r w:rsidRPr="002A602E">
        <w:t>D.1.</w:t>
      </w:r>
      <w:r>
        <w:rPr>
          <w:rFonts w:asciiTheme="minorHAnsi" w:eastAsiaTheme="minorEastAsia" w:hAnsiTheme="minorHAnsi" w:cstheme="minorBidi"/>
          <w:lang w:val="en-US" w:eastAsia="en-US"/>
        </w:rPr>
        <w:tab/>
      </w:r>
      <w:r w:rsidRPr="002A602E">
        <w:t>Overview</w:t>
      </w:r>
      <w:r>
        <w:rPr>
          <w:webHidden/>
        </w:rPr>
        <w:tab/>
        <w:t>144</w:t>
      </w:r>
    </w:p>
    <w:p w:rsidR="00DF4A36" w:rsidRDefault="00DF4A36">
      <w:pPr>
        <w:pStyle w:val="TOC2"/>
        <w:tabs>
          <w:tab w:val="left" w:pos="1540"/>
        </w:tabs>
        <w:rPr>
          <w:rFonts w:asciiTheme="minorHAnsi" w:eastAsiaTheme="minorEastAsia" w:hAnsiTheme="minorHAnsi" w:cstheme="minorBidi"/>
          <w:lang w:val="en-US" w:eastAsia="en-US"/>
        </w:rPr>
      </w:pPr>
      <w:r w:rsidRPr="002A602E">
        <w:t>D.2.</w:t>
      </w:r>
      <w:r>
        <w:rPr>
          <w:rFonts w:asciiTheme="minorHAnsi" w:eastAsiaTheme="minorEastAsia" w:hAnsiTheme="minorHAnsi" w:cstheme="minorBidi"/>
          <w:lang w:val="en-US" w:eastAsia="en-US"/>
        </w:rPr>
        <w:tab/>
      </w:r>
      <w:r w:rsidRPr="002A602E">
        <w:t>Populations and settings</w:t>
      </w:r>
      <w:r>
        <w:rPr>
          <w:webHidden/>
        </w:rPr>
        <w:tab/>
        <w:t>144</w:t>
      </w:r>
    </w:p>
    <w:p w:rsidR="00DF4A36" w:rsidRDefault="00DF4A36">
      <w:pPr>
        <w:pStyle w:val="TOC3"/>
        <w:tabs>
          <w:tab w:val="left" w:pos="2163"/>
        </w:tabs>
        <w:rPr>
          <w:rFonts w:asciiTheme="minorHAnsi" w:eastAsiaTheme="minorEastAsia" w:hAnsiTheme="minorHAnsi" w:cstheme="minorBidi"/>
          <w:lang w:val="en-US" w:eastAsia="en-US"/>
        </w:rPr>
      </w:pPr>
      <w:r w:rsidRPr="002A602E">
        <w:t>D.2.1.</w:t>
      </w:r>
      <w:r>
        <w:rPr>
          <w:rFonts w:asciiTheme="minorHAnsi" w:eastAsiaTheme="minorEastAsia" w:hAnsiTheme="minorHAnsi" w:cstheme="minorBidi"/>
          <w:lang w:val="en-US" w:eastAsia="en-US"/>
        </w:rPr>
        <w:tab/>
      </w:r>
      <w:r w:rsidRPr="002A602E">
        <w:t>Population</w:t>
      </w:r>
      <w:r>
        <w:rPr>
          <w:webHidden/>
        </w:rPr>
        <w:tab/>
        <w:t>144</w:t>
      </w:r>
    </w:p>
    <w:p w:rsidR="00DF4A36" w:rsidRDefault="00DF4A36">
      <w:pPr>
        <w:pStyle w:val="TOC2"/>
        <w:tabs>
          <w:tab w:val="left" w:pos="1540"/>
        </w:tabs>
        <w:rPr>
          <w:rFonts w:asciiTheme="minorHAnsi" w:eastAsiaTheme="minorEastAsia" w:hAnsiTheme="minorHAnsi" w:cstheme="minorBidi"/>
          <w:lang w:val="en-US" w:eastAsia="en-US"/>
        </w:rPr>
      </w:pPr>
      <w:r w:rsidRPr="002A602E">
        <w:t>D.3.</w:t>
      </w:r>
      <w:r>
        <w:rPr>
          <w:rFonts w:asciiTheme="minorHAnsi" w:eastAsiaTheme="minorEastAsia" w:hAnsiTheme="minorHAnsi" w:cstheme="minorBidi"/>
          <w:lang w:val="en-US" w:eastAsia="en-US"/>
        </w:rPr>
        <w:tab/>
      </w:r>
      <w:r w:rsidRPr="002A602E">
        <w:t>Structure and rationale of the economic evaluation</w:t>
      </w:r>
      <w:r>
        <w:rPr>
          <w:webHidden/>
        </w:rPr>
        <w:tab/>
        <w:t>149</w:t>
      </w:r>
    </w:p>
    <w:p w:rsidR="00DF4A36" w:rsidRDefault="00DF4A36">
      <w:pPr>
        <w:pStyle w:val="TOC3"/>
        <w:tabs>
          <w:tab w:val="left" w:pos="2163"/>
        </w:tabs>
        <w:rPr>
          <w:rFonts w:asciiTheme="minorHAnsi" w:eastAsiaTheme="minorEastAsia" w:hAnsiTheme="minorHAnsi" w:cstheme="minorBidi"/>
          <w:lang w:val="en-US" w:eastAsia="en-US"/>
        </w:rPr>
      </w:pPr>
      <w:r w:rsidRPr="002A602E">
        <w:t>D.3.1.</w:t>
      </w:r>
      <w:r>
        <w:rPr>
          <w:rFonts w:asciiTheme="minorHAnsi" w:eastAsiaTheme="minorEastAsia" w:hAnsiTheme="minorHAnsi" w:cstheme="minorBidi"/>
          <w:lang w:val="en-US" w:eastAsia="en-US"/>
        </w:rPr>
        <w:tab/>
      </w:r>
      <w:r w:rsidRPr="002A602E">
        <w:t>Literature review</w:t>
      </w:r>
      <w:r>
        <w:rPr>
          <w:webHidden/>
        </w:rPr>
        <w:tab/>
        <w:t>150</w:t>
      </w:r>
    </w:p>
    <w:p w:rsidR="00DF4A36" w:rsidRDefault="00DF4A36">
      <w:pPr>
        <w:pStyle w:val="TOC3"/>
        <w:tabs>
          <w:tab w:val="left" w:pos="2163"/>
        </w:tabs>
        <w:rPr>
          <w:rFonts w:asciiTheme="minorHAnsi" w:eastAsiaTheme="minorEastAsia" w:hAnsiTheme="minorHAnsi" w:cstheme="minorBidi"/>
          <w:lang w:val="en-US" w:eastAsia="en-US"/>
        </w:rPr>
      </w:pPr>
      <w:r w:rsidRPr="002A602E">
        <w:t>D.3.2.</w:t>
      </w:r>
      <w:r>
        <w:rPr>
          <w:rFonts w:asciiTheme="minorHAnsi" w:eastAsiaTheme="minorEastAsia" w:hAnsiTheme="minorHAnsi" w:cstheme="minorBidi"/>
          <w:lang w:val="en-US" w:eastAsia="en-US"/>
        </w:rPr>
        <w:tab/>
      </w:r>
      <w:r w:rsidRPr="002A602E">
        <w:t>Structure of the economic evaluation</w:t>
      </w:r>
      <w:r>
        <w:rPr>
          <w:webHidden/>
        </w:rPr>
        <w:tab/>
        <w:t>164</w:t>
      </w:r>
    </w:p>
    <w:p w:rsidR="00DF4A36" w:rsidRDefault="00DF4A36">
      <w:pPr>
        <w:pStyle w:val="TOC3"/>
        <w:tabs>
          <w:tab w:val="left" w:pos="2052"/>
        </w:tabs>
        <w:rPr>
          <w:rFonts w:asciiTheme="minorHAnsi" w:eastAsiaTheme="minorEastAsia" w:hAnsiTheme="minorHAnsi" w:cstheme="minorBidi"/>
          <w:lang w:val="en-US" w:eastAsia="en-US"/>
        </w:rPr>
      </w:pPr>
      <w:r w:rsidRPr="002A602E">
        <w:t>D3.3</w:t>
      </w:r>
      <w:r>
        <w:rPr>
          <w:rFonts w:asciiTheme="minorHAnsi" w:eastAsiaTheme="minorEastAsia" w:hAnsiTheme="minorHAnsi" w:cstheme="minorBidi"/>
          <w:lang w:val="en-US" w:eastAsia="en-US"/>
        </w:rPr>
        <w:tab/>
      </w:r>
      <w:r w:rsidRPr="002A602E">
        <w:t>Assumptions incorporated into the model structure</w:t>
      </w:r>
      <w:r>
        <w:rPr>
          <w:webHidden/>
        </w:rPr>
        <w:tab/>
        <w:t>166</w:t>
      </w:r>
    </w:p>
    <w:p w:rsidR="00DF4A36" w:rsidRDefault="00DF4A36">
      <w:pPr>
        <w:pStyle w:val="TOC2"/>
        <w:tabs>
          <w:tab w:val="left" w:pos="1540"/>
        </w:tabs>
        <w:rPr>
          <w:rFonts w:asciiTheme="minorHAnsi" w:eastAsiaTheme="minorEastAsia" w:hAnsiTheme="minorHAnsi" w:cstheme="minorBidi"/>
          <w:lang w:val="en-US" w:eastAsia="en-US"/>
        </w:rPr>
      </w:pPr>
      <w:r w:rsidRPr="002A602E">
        <w:t>D.4.</w:t>
      </w:r>
      <w:r>
        <w:rPr>
          <w:rFonts w:asciiTheme="minorHAnsi" w:eastAsiaTheme="minorEastAsia" w:hAnsiTheme="minorHAnsi" w:cstheme="minorBidi"/>
          <w:lang w:val="en-US" w:eastAsia="en-US"/>
        </w:rPr>
        <w:tab/>
      </w:r>
      <w:r w:rsidRPr="002A602E">
        <w:t>Inputs to the economic evaluation</w:t>
      </w:r>
      <w:r>
        <w:rPr>
          <w:webHidden/>
        </w:rPr>
        <w:tab/>
        <w:t>170</w:t>
      </w:r>
    </w:p>
    <w:p w:rsidR="00DF4A36" w:rsidRDefault="00DF4A36">
      <w:pPr>
        <w:pStyle w:val="TOC3"/>
        <w:tabs>
          <w:tab w:val="left" w:pos="2163"/>
        </w:tabs>
        <w:rPr>
          <w:rFonts w:asciiTheme="minorHAnsi" w:eastAsiaTheme="minorEastAsia" w:hAnsiTheme="minorHAnsi" w:cstheme="minorBidi"/>
          <w:lang w:val="en-US" w:eastAsia="en-US"/>
        </w:rPr>
      </w:pPr>
      <w:r w:rsidRPr="002A602E">
        <w:t>D.4.1.</w:t>
      </w:r>
      <w:r>
        <w:rPr>
          <w:rFonts w:asciiTheme="minorHAnsi" w:eastAsiaTheme="minorEastAsia" w:hAnsiTheme="minorHAnsi" w:cstheme="minorBidi"/>
          <w:lang w:val="en-US" w:eastAsia="en-US"/>
        </w:rPr>
        <w:tab/>
      </w:r>
      <w:r w:rsidRPr="002A602E">
        <w:t>Clinical Input Parameters</w:t>
      </w:r>
      <w:r>
        <w:rPr>
          <w:webHidden/>
        </w:rPr>
        <w:tab/>
        <w:t>170</w:t>
      </w:r>
    </w:p>
    <w:p w:rsidR="00DF4A36" w:rsidRDefault="00DF4A36">
      <w:pPr>
        <w:pStyle w:val="TOC3"/>
        <w:tabs>
          <w:tab w:val="left" w:pos="2163"/>
        </w:tabs>
        <w:rPr>
          <w:rFonts w:asciiTheme="minorHAnsi" w:eastAsiaTheme="minorEastAsia" w:hAnsiTheme="minorHAnsi" w:cstheme="minorBidi"/>
          <w:lang w:val="en-US" w:eastAsia="en-US"/>
        </w:rPr>
      </w:pPr>
      <w:r w:rsidRPr="002A602E">
        <w:t>D.4.2.</w:t>
      </w:r>
      <w:r>
        <w:rPr>
          <w:rFonts w:asciiTheme="minorHAnsi" w:eastAsiaTheme="minorEastAsia" w:hAnsiTheme="minorHAnsi" w:cstheme="minorBidi"/>
          <w:lang w:val="en-US" w:eastAsia="en-US"/>
        </w:rPr>
        <w:tab/>
      </w:r>
      <w:r w:rsidRPr="002A602E">
        <w:t>Economic Input Parameters</w:t>
      </w:r>
      <w:r>
        <w:rPr>
          <w:webHidden/>
        </w:rPr>
        <w:tab/>
        <w:t>175</w:t>
      </w:r>
    </w:p>
    <w:p w:rsidR="00DF4A36" w:rsidRDefault="00DF4A36">
      <w:pPr>
        <w:pStyle w:val="TOC2"/>
        <w:tabs>
          <w:tab w:val="left" w:pos="1540"/>
        </w:tabs>
        <w:rPr>
          <w:rFonts w:asciiTheme="minorHAnsi" w:eastAsiaTheme="minorEastAsia" w:hAnsiTheme="minorHAnsi" w:cstheme="minorBidi"/>
          <w:lang w:val="en-US" w:eastAsia="en-US"/>
        </w:rPr>
      </w:pPr>
      <w:r w:rsidRPr="002A602E">
        <w:t>D.5.</w:t>
      </w:r>
      <w:r>
        <w:rPr>
          <w:rFonts w:asciiTheme="minorHAnsi" w:eastAsiaTheme="minorEastAsia" w:hAnsiTheme="minorHAnsi" w:cstheme="minorBidi"/>
          <w:lang w:val="en-US" w:eastAsia="en-US"/>
        </w:rPr>
        <w:tab/>
      </w:r>
      <w:r w:rsidRPr="002A602E">
        <w:t>Results of the Economic Evaluation</w:t>
      </w:r>
      <w:r>
        <w:rPr>
          <w:webHidden/>
        </w:rPr>
        <w:tab/>
        <w:t>192</w:t>
      </w:r>
    </w:p>
    <w:p w:rsidR="00DF4A36" w:rsidRDefault="00DF4A36">
      <w:pPr>
        <w:pStyle w:val="TOC3"/>
        <w:rPr>
          <w:rFonts w:asciiTheme="minorHAnsi" w:eastAsiaTheme="minorEastAsia" w:hAnsiTheme="minorHAnsi" w:cstheme="minorBidi"/>
          <w:lang w:val="en-US" w:eastAsia="en-US"/>
        </w:rPr>
      </w:pPr>
      <w:r w:rsidRPr="002A602E">
        <w:t>D.5.1. Health Care Costs by Resource Type</w:t>
      </w:r>
      <w:r>
        <w:rPr>
          <w:webHidden/>
        </w:rPr>
        <w:tab/>
        <w:t>192</w:t>
      </w:r>
    </w:p>
    <w:p w:rsidR="00DF4A36" w:rsidRDefault="00DF4A36">
      <w:pPr>
        <w:pStyle w:val="TOC3"/>
        <w:rPr>
          <w:rFonts w:asciiTheme="minorHAnsi" w:eastAsiaTheme="minorEastAsia" w:hAnsiTheme="minorHAnsi" w:cstheme="minorBidi"/>
          <w:lang w:val="en-US" w:eastAsia="en-US"/>
        </w:rPr>
      </w:pPr>
      <w:r w:rsidRPr="002A602E">
        <w:lastRenderedPageBreak/>
        <w:t>D.5.2. Health Outcomes per Patient by Step and by Health State</w:t>
      </w:r>
      <w:r>
        <w:rPr>
          <w:webHidden/>
        </w:rPr>
        <w:tab/>
        <w:t>193</w:t>
      </w:r>
    </w:p>
    <w:p w:rsidR="00DF4A36" w:rsidRDefault="00DF4A36">
      <w:pPr>
        <w:pStyle w:val="TOC3"/>
        <w:rPr>
          <w:rFonts w:asciiTheme="minorHAnsi" w:eastAsiaTheme="minorEastAsia" w:hAnsiTheme="minorHAnsi" w:cstheme="minorBidi"/>
          <w:lang w:val="en-US" w:eastAsia="en-US"/>
        </w:rPr>
      </w:pPr>
      <w:r w:rsidRPr="002A602E">
        <w:t>D.5.3. Incremental Costs and Effectiveness</w:t>
      </w:r>
      <w:r>
        <w:rPr>
          <w:webHidden/>
        </w:rPr>
        <w:tab/>
        <w:t>196</w:t>
      </w:r>
    </w:p>
    <w:p w:rsidR="00DF4A36" w:rsidRDefault="00DF4A36">
      <w:pPr>
        <w:pStyle w:val="TOC2"/>
        <w:tabs>
          <w:tab w:val="left" w:pos="1540"/>
        </w:tabs>
        <w:rPr>
          <w:rFonts w:asciiTheme="minorHAnsi" w:eastAsiaTheme="minorEastAsia" w:hAnsiTheme="minorHAnsi" w:cstheme="minorBidi"/>
          <w:lang w:val="en-US" w:eastAsia="en-US"/>
        </w:rPr>
      </w:pPr>
      <w:r w:rsidRPr="002A602E">
        <w:t>D.6.</w:t>
      </w:r>
      <w:r>
        <w:rPr>
          <w:rFonts w:asciiTheme="minorHAnsi" w:eastAsiaTheme="minorEastAsia" w:hAnsiTheme="minorHAnsi" w:cstheme="minorBidi"/>
          <w:lang w:val="en-US" w:eastAsia="en-US"/>
        </w:rPr>
        <w:tab/>
      </w:r>
      <w:r w:rsidRPr="002A602E">
        <w:t>Sensitivity analyses</w:t>
      </w:r>
      <w:r>
        <w:rPr>
          <w:webHidden/>
        </w:rPr>
        <w:tab/>
        <w:t>197</w:t>
      </w:r>
    </w:p>
    <w:p w:rsidR="00DF4A36" w:rsidRDefault="00DF4A36">
      <w:pPr>
        <w:pStyle w:val="TOC1"/>
        <w:rPr>
          <w:rFonts w:asciiTheme="minorHAnsi" w:eastAsiaTheme="minorEastAsia" w:hAnsiTheme="minorHAnsi" w:cstheme="minorBidi"/>
          <w:b w:val="0"/>
          <w:lang w:val="en-US" w:eastAsia="en-US"/>
        </w:rPr>
      </w:pPr>
      <w:r w:rsidRPr="002A602E">
        <w:t>Section E</w:t>
      </w:r>
      <w:r>
        <w:rPr>
          <w:rFonts w:asciiTheme="minorHAnsi" w:eastAsiaTheme="minorEastAsia" w:hAnsiTheme="minorHAnsi" w:cstheme="minorBidi"/>
          <w:b w:val="0"/>
          <w:lang w:val="en-US" w:eastAsia="en-US"/>
        </w:rPr>
        <w:tab/>
      </w:r>
      <w:r w:rsidRPr="002A602E">
        <w:t>Financial Implications</w:t>
      </w:r>
      <w:r>
        <w:rPr>
          <w:webHidden/>
        </w:rPr>
        <w:tab/>
        <w:t>209</w:t>
      </w:r>
    </w:p>
    <w:p w:rsidR="00DF4A36" w:rsidRDefault="00DF4A36">
      <w:pPr>
        <w:pStyle w:val="TOC2"/>
        <w:tabs>
          <w:tab w:val="left" w:pos="1418"/>
        </w:tabs>
        <w:rPr>
          <w:rFonts w:asciiTheme="minorHAnsi" w:eastAsiaTheme="minorEastAsia" w:hAnsiTheme="minorHAnsi" w:cstheme="minorBidi"/>
          <w:lang w:val="en-US" w:eastAsia="en-US"/>
        </w:rPr>
      </w:pPr>
      <w:r w:rsidRPr="002A602E">
        <w:t>E.1.</w:t>
      </w:r>
      <w:r>
        <w:rPr>
          <w:rFonts w:asciiTheme="minorHAnsi" w:eastAsiaTheme="minorEastAsia" w:hAnsiTheme="minorHAnsi" w:cstheme="minorBidi"/>
          <w:lang w:val="en-US" w:eastAsia="en-US"/>
        </w:rPr>
        <w:tab/>
      </w:r>
      <w:r w:rsidRPr="002A602E">
        <w:t>Justification of the Selection of Sources of Data</w:t>
      </w:r>
      <w:r>
        <w:rPr>
          <w:webHidden/>
        </w:rPr>
        <w:tab/>
        <w:t>209</w:t>
      </w:r>
    </w:p>
    <w:p w:rsidR="00DF4A36" w:rsidRDefault="00DF4A36">
      <w:pPr>
        <w:pStyle w:val="TOC2"/>
        <w:tabs>
          <w:tab w:val="left" w:pos="1418"/>
        </w:tabs>
        <w:rPr>
          <w:rFonts w:asciiTheme="minorHAnsi" w:eastAsiaTheme="minorEastAsia" w:hAnsiTheme="minorHAnsi" w:cstheme="minorBidi"/>
          <w:lang w:val="en-US" w:eastAsia="en-US"/>
        </w:rPr>
      </w:pPr>
      <w:r w:rsidRPr="002A602E">
        <w:t>E.2.</w:t>
      </w:r>
      <w:r>
        <w:rPr>
          <w:rFonts w:asciiTheme="minorHAnsi" w:eastAsiaTheme="minorEastAsia" w:hAnsiTheme="minorHAnsi" w:cstheme="minorBidi"/>
          <w:lang w:val="en-US" w:eastAsia="en-US"/>
        </w:rPr>
        <w:tab/>
      </w:r>
      <w:r w:rsidRPr="002A602E">
        <w:t>Use and Cost of Ig For CIDP</w:t>
      </w:r>
      <w:r>
        <w:rPr>
          <w:webHidden/>
        </w:rPr>
        <w:tab/>
        <w:t>210</w:t>
      </w:r>
    </w:p>
    <w:p w:rsidR="00DF4A36" w:rsidRDefault="00DF4A36">
      <w:pPr>
        <w:pStyle w:val="TOC3"/>
        <w:tabs>
          <w:tab w:val="left" w:pos="2135"/>
        </w:tabs>
        <w:rPr>
          <w:rFonts w:asciiTheme="minorHAnsi" w:eastAsiaTheme="minorEastAsia" w:hAnsiTheme="minorHAnsi" w:cstheme="minorBidi"/>
          <w:lang w:val="en-US" w:eastAsia="en-US"/>
        </w:rPr>
      </w:pPr>
      <w:r w:rsidRPr="002A602E">
        <w:t>E.2.1.</w:t>
      </w:r>
      <w:r>
        <w:rPr>
          <w:rFonts w:asciiTheme="minorHAnsi" w:eastAsiaTheme="minorEastAsia" w:hAnsiTheme="minorHAnsi" w:cstheme="minorBidi"/>
          <w:lang w:val="en-US" w:eastAsia="en-US"/>
        </w:rPr>
        <w:tab/>
      </w:r>
      <w:r w:rsidRPr="002A602E">
        <w:t>Number of patients with the medical condition</w:t>
      </w:r>
      <w:r>
        <w:rPr>
          <w:webHidden/>
        </w:rPr>
        <w:tab/>
        <w:t>210</w:t>
      </w:r>
    </w:p>
    <w:p w:rsidR="00DF4A36" w:rsidRDefault="00DF4A36">
      <w:pPr>
        <w:pStyle w:val="TOC3"/>
        <w:tabs>
          <w:tab w:val="left" w:pos="2135"/>
        </w:tabs>
        <w:rPr>
          <w:rFonts w:asciiTheme="minorHAnsi" w:eastAsiaTheme="minorEastAsia" w:hAnsiTheme="minorHAnsi" w:cstheme="minorBidi"/>
          <w:lang w:val="en-US" w:eastAsia="en-US"/>
        </w:rPr>
      </w:pPr>
      <w:r w:rsidRPr="002A602E">
        <w:t>E.2.2.</w:t>
      </w:r>
      <w:r>
        <w:rPr>
          <w:rFonts w:asciiTheme="minorHAnsi" w:eastAsiaTheme="minorEastAsia" w:hAnsiTheme="minorHAnsi" w:cstheme="minorBidi"/>
          <w:lang w:val="en-US" w:eastAsia="en-US"/>
        </w:rPr>
        <w:tab/>
      </w:r>
      <w:r w:rsidRPr="002A602E">
        <w:t>Number who would be eligible for the requested restriction</w:t>
      </w:r>
      <w:r>
        <w:rPr>
          <w:webHidden/>
        </w:rPr>
        <w:tab/>
        <w:t>211</w:t>
      </w:r>
    </w:p>
    <w:p w:rsidR="00DF4A36" w:rsidRDefault="00DF4A36">
      <w:pPr>
        <w:pStyle w:val="TOC3"/>
        <w:tabs>
          <w:tab w:val="left" w:pos="2135"/>
        </w:tabs>
        <w:rPr>
          <w:rFonts w:asciiTheme="minorHAnsi" w:eastAsiaTheme="minorEastAsia" w:hAnsiTheme="minorHAnsi" w:cstheme="minorBidi"/>
          <w:lang w:val="en-US" w:eastAsia="en-US"/>
        </w:rPr>
      </w:pPr>
      <w:r w:rsidRPr="002A602E">
        <w:t>E.2.3.</w:t>
      </w:r>
      <w:r>
        <w:rPr>
          <w:rFonts w:asciiTheme="minorHAnsi" w:eastAsiaTheme="minorEastAsia" w:hAnsiTheme="minorHAnsi" w:cstheme="minorBidi"/>
          <w:lang w:val="en-US" w:eastAsia="en-US"/>
        </w:rPr>
        <w:tab/>
      </w:r>
      <w:r w:rsidRPr="002A602E">
        <w:t>Number of patients</w:t>
      </w:r>
      <w:r>
        <w:rPr>
          <w:webHidden/>
        </w:rPr>
        <w:tab/>
        <w:t>211</w:t>
      </w:r>
    </w:p>
    <w:p w:rsidR="00DF4A36" w:rsidRDefault="00DF4A36">
      <w:pPr>
        <w:pStyle w:val="TOC3"/>
        <w:tabs>
          <w:tab w:val="left" w:pos="2135"/>
        </w:tabs>
        <w:rPr>
          <w:rFonts w:asciiTheme="minorHAnsi" w:eastAsiaTheme="minorEastAsia" w:hAnsiTheme="minorHAnsi" w:cstheme="minorBidi"/>
          <w:lang w:val="en-US" w:eastAsia="en-US"/>
        </w:rPr>
      </w:pPr>
      <w:r w:rsidRPr="002A602E">
        <w:t>E.2.4.</w:t>
      </w:r>
      <w:r>
        <w:rPr>
          <w:rFonts w:asciiTheme="minorHAnsi" w:eastAsiaTheme="minorEastAsia" w:hAnsiTheme="minorHAnsi" w:cstheme="minorBidi"/>
          <w:lang w:val="en-US" w:eastAsia="en-US"/>
        </w:rPr>
        <w:tab/>
      </w:r>
      <w:r w:rsidRPr="002A602E">
        <w:t>Estimated Cost per Patient Who Receives Ig</w:t>
      </w:r>
      <w:r>
        <w:rPr>
          <w:webHidden/>
        </w:rPr>
        <w:tab/>
        <w:t>211</w:t>
      </w:r>
    </w:p>
    <w:p w:rsidR="00DF4A36" w:rsidRDefault="00DF4A36">
      <w:pPr>
        <w:pStyle w:val="TOC3"/>
        <w:tabs>
          <w:tab w:val="left" w:pos="2135"/>
        </w:tabs>
        <w:rPr>
          <w:rFonts w:asciiTheme="minorHAnsi" w:eastAsiaTheme="minorEastAsia" w:hAnsiTheme="minorHAnsi" w:cstheme="minorBidi"/>
          <w:lang w:val="en-US" w:eastAsia="en-US"/>
        </w:rPr>
      </w:pPr>
      <w:r w:rsidRPr="002A602E">
        <w:t>E.2.5.</w:t>
      </w:r>
      <w:r>
        <w:rPr>
          <w:rFonts w:asciiTheme="minorHAnsi" w:eastAsiaTheme="minorEastAsia" w:hAnsiTheme="minorHAnsi" w:cstheme="minorBidi"/>
          <w:lang w:val="en-US" w:eastAsia="en-US"/>
        </w:rPr>
        <w:tab/>
      </w:r>
      <w:r w:rsidRPr="002A602E">
        <w:t>Projected Cost of Ig for CIDP, 2020-2024</w:t>
      </w:r>
      <w:r>
        <w:rPr>
          <w:webHidden/>
        </w:rPr>
        <w:tab/>
        <w:t>213</w:t>
      </w:r>
    </w:p>
    <w:p w:rsidR="00DF4A36" w:rsidRDefault="00DF4A36">
      <w:pPr>
        <w:pStyle w:val="TOC2"/>
        <w:tabs>
          <w:tab w:val="left" w:pos="1418"/>
        </w:tabs>
        <w:rPr>
          <w:rFonts w:asciiTheme="minorHAnsi" w:eastAsiaTheme="minorEastAsia" w:hAnsiTheme="minorHAnsi" w:cstheme="minorBidi"/>
          <w:lang w:val="en-US" w:eastAsia="en-US"/>
        </w:rPr>
      </w:pPr>
      <w:r w:rsidRPr="002A602E">
        <w:t>E.3.</w:t>
      </w:r>
      <w:r>
        <w:rPr>
          <w:rFonts w:asciiTheme="minorHAnsi" w:eastAsiaTheme="minorEastAsia" w:hAnsiTheme="minorHAnsi" w:cstheme="minorBidi"/>
          <w:lang w:val="en-US" w:eastAsia="en-US"/>
        </w:rPr>
        <w:tab/>
      </w:r>
      <w:r w:rsidRPr="002A602E">
        <w:t>Changes in Use and Cost of Other Medical Services</w:t>
      </w:r>
      <w:r>
        <w:rPr>
          <w:webHidden/>
        </w:rPr>
        <w:tab/>
        <w:t>213</w:t>
      </w:r>
    </w:p>
    <w:p w:rsidR="00DF4A36" w:rsidRDefault="00DF4A36">
      <w:pPr>
        <w:pStyle w:val="TOC3"/>
        <w:tabs>
          <w:tab w:val="left" w:pos="2135"/>
        </w:tabs>
        <w:rPr>
          <w:rFonts w:asciiTheme="minorHAnsi" w:eastAsiaTheme="minorEastAsia" w:hAnsiTheme="minorHAnsi" w:cstheme="minorBidi"/>
          <w:lang w:val="en-US" w:eastAsia="en-US"/>
        </w:rPr>
      </w:pPr>
      <w:r w:rsidRPr="002A602E">
        <w:t>E.3.1.</w:t>
      </w:r>
      <w:r>
        <w:rPr>
          <w:rFonts w:asciiTheme="minorHAnsi" w:eastAsiaTheme="minorEastAsia" w:hAnsiTheme="minorHAnsi" w:cstheme="minorBidi"/>
          <w:lang w:val="en-US" w:eastAsia="en-US"/>
        </w:rPr>
        <w:tab/>
      </w:r>
      <w:r w:rsidRPr="002A602E">
        <w:t>Estimated Cost per CIDP Patient for Corticosteroids</w:t>
      </w:r>
      <w:r>
        <w:rPr>
          <w:webHidden/>
        </w:rPr>
        <w:tab/>
        <w:t>214</w:t>
      </w:r>
    </w:p>
    <w:p w:rsidR="00DF4A36" w:rsidRDefault="00DF4A36">
      <w:pPr>
        <w:pStyle w:val="TOC3"/>
        <w:tabs>
          <w:tab w:val="left" w:pos="2135"/>
        </w:tabs>
        <w:rPr>
          <w:rFonts w:asciiTheme="minorHAnsi" w:eastAsiaTheme="minorEastAsia" w:hAnsiTheme="minorHAnsi" w:cstheme="minorBidi"/>
          <w:lang w:val="en-US" w:eastAsia="en-US"/>
        </w:rPr>
      </w:pPr>
      <w:r w:rsidRPr="002A602E">
        <w:t>E.3.2.</w:t>
      </w:r>
      <w:r>
        <w:rPr>
          <w:rFonts w:asciiTheme="minorHAnsi" w:eastAsiaTheme="minorEastAsia" w:hAnsiTheme="minorHAnsi" w:cstheme="minorBidi"/>
          <w:lang w:val="en-US" w:eastAsia="en-US"/>
        </w:rPr>
        <w:tab/>
      </w:r>
      <w:r w:rsidRPr="002A602E">
        <w:t xml:space="preserve"> Projected Costs of MBS Services</w:t>
      </w:r>
      <w:r>
        <w:rPr>
          <w:webHidden/>
        </w:rPr>
        <w:tab/>
        <w:t>214</w:t>
      </w:r>
    </w:p>
    <w:p w:rsidR="00DF4A36" w:rsidRDefault="00DF4A36">
      <w:pPr>
        <w:pStyle w:val="TOC3"/>
        <w:tabs>
          <w:tab w:val="left" w:pos="2135"/>
        </w:tabs>
        <w:rPr>
          <w:rFonts w:asciiTheme="minorHAnsi" w:eastAsiaTheme="minorEastAsia" w:hAnsiTheme="minorHAnsi" w:cstheme="minorBidi"/>
          <w:lang w:val="en-US" w:eastAsia="en-US"/>
        </w:rPr>
      </w:pPr>
      <w:r w:rsidRPr="002A602E">
        <w:t>E.3.3.</w:t>
      </w:r>
      <w:r>
        <w:rPr>
          <w:rFonts w:asciiTheme="minorHAnsi" w:eastAsiaTheme="minorEastAsia" w:hAnsiTheme="minorHAnsi" w:cstheme="minorBidi"/>
          <w:lang w:val="en-US" w:eastAsia="en-US"/>
        </w:rPr>
        <w:tab/>
      </w:r>
      <w:r w:rsidRPr="002A602E">
        <w:t xml:space="preserve"> Projected Costs of PBS Medicines</w:t>
      </w:r>
      <w:r>
        <w:rPr>
          <w:webHidden/>
        </w:rPr>
        <w:tab/>
        <w:t>216</w:t>
      </w:r>
    </w:p>
    <w:p w:rsidR="00DF4A36" w:rsidRDefault="00DF4A36">
      <w:pPr>
        <w:pStyle w:val="TOC3"/>
        <w:tabs>
          <w:tab w:val="left" w:pos="2135"/>
        </w:tabs>
        <w:rPr>
          <w:rFonts w:asciiTheme="minorHAnsi" w:eastAsiaTheme="minorEastAsia" w:hAnsiTheme="minorHAnsi" w:cstheme="minorBidi"/>
          <w:lang w:val="en-US" w:eastAsia="en-US"/>
        </w:rPr>
      </w:pPr>
      <w:r w:rsidRPr="002A602E">
        <w:t>E.3.4.</w:t>
      </w:r>
      <w:r>
        <w:rPr>
          <w:rFonts w:asciiTheme="minorHAnsi" w:eastAsiaTheme="minorEastAsia" w:hAnsiTheme="minorHAnsi" w:cstheme="minorBidi"/>
          <w:lang w:val="en-US" w:eastAsia="en-US"/>
        </w:rPr>
        <w:tab/>
      </w:r>
      <w:r w:rsidRPr="002A602E">
        <w:t xml:space="preserve"> Projected State Hospital Costs of Ig IV Delivery</w:t>
      </w:r>
      <w:r>
        <w:rPr>
          <w:webHidden/>
        </w:rPr>
        <w:tab/>
        <w:t>216</w:t>
      </w:r>
    </w:p>
    <w:p w:rsidR="00DF4A36" w:rsidRDefault="00DF4A36">
      <w:pPr>
        <w:pStyle w:val="TOC2"/>
        <w:rPr>
          <w:rFonts w:asciiTheme="minorHAnsi" w:eastAsiaTheme="minorEastAsia" w:hAnsiTheme="minorHAnsi" w:cstheme="minorBidi"/>
          <w:lang w:val="en-US" w:eastAsia="en-US"/>
        </w:rPr>
      </w:pPr>
      <w:r w:rsidRPr="002A602E">
        <w:t>E.4. Financial Implications For Government Health Budgets</w:t>
      </w:r>
      <w:r>
        <w:rPr>
          <w:webHidden/>
        </w:rPr>
        <w:tab/>
        <w:t>217</w:t>
      </w:r>
    </w:p>
    <w:p w:rsidR="00DF4A36" w:rsidRDefault="00DF4A36">
      <w:pPr>
        <w:pStyle w:val="TOC2"/>
        <w:tabs>
          <w:tab w:val="left" w:pos="1418"/>
        </w:tabs>
        <w:rPr>
          <w:rFonts w:asciiTheme="minorHAnsi" w:eastAsiaTheme="minorEastAsia" w:hAnsiTheme="minorHAnsi" w:cstheme="minorBidi"/>
          <w:lang w:val="en-US" w:eastAsia="en-US"/>
        </w:rPr>
      </w:pPr>
      <w:r w:rsidRPr="002A602E">
        <w:t>E.5.</w:t>
      </w:r>
      <w:r>
        <w:rPr>
          <w:rFonts w:asciiTheme="minorHAnsi" w:eastAsiaTheme="minorEastAsia" w:hAnsiTheme="minorHAnsi" w:cstheme="minorBidi"/>
          <w:lang w:val="en-US" w:eastAsia="en-US"/>
        </w:rPr>
        <w:tab/>
      </w:r>
      <w:r w:rsidRPr="002A602E">
        <w:t>Identification, Estimation and Reduction of Uncertainty</w:t>
      </w:r>
      <w:r>
        <w:rPr>
          <w:webHidden/>
        </w:rPr>
        <w:tab/>
        <w:t>217</w:t>
      </w:r>
    </w:p>
    <w:p w:rsidR="00DF4A36" w:rsidRDefault="00DF4A36">
      <w:pPr>
        <w:pStyle w:val="TOC1"/>
        <w:rPr>
          <w:rFonts w:asciiTheme="minorHAnsi" w:eastAsiaTheme="minorEastAsia" w:hAnsiTheme="minorHAnsi" w:cstheme="minorBidi"/>
          <w:b w:val="0"/>
          <w:lang w:val="en-US" w:eastAsia="en-US"/>
        </w:rPr>
      </w:pPr>
      <w:r w:rsidRPr="002A602E">
        <w:t>Section F</w:t>
      </w:r>
      <w:r>
        <w:rPr>
          <w:rFonts w:asciiTheme="minorHAnsi" w:eastAsiaTheme="minorEastAsia" w:hAnsiTheme="minorHAnsi" w:cstheme="minorBidi"/>
          <w:b w:val="0"/>
          <w:lang w:val="en-US" w:eastAsia="en-US"/>
        </w:rPr>
        <w:tab/>
      </w:r>
      <w:r w:rsidRPr="002A602E">
        <w:t>Other relevant considerations</w:t>
      </w:r>
      <w:r>
        <w:rPr>
          <w:webHidden/>
        </w:rPr>
        <w:tab/>
        <w:t>219</w:t>
      </w:r>
    </w:p>
    <w:p w:rsidR="00DF4A36" w:rsidRDefault="00DF4A36">
      <w:pPr>
        <w:pStyle w:val="TOC1"/>
        <w:rPr>
          <w:rFonts w:asciiTheme="minorHAnsi" w:eastAsiaTheme="minorEastAsia" w:hAnsiTheme="minorHAnsi" w:cstheme="minorBidi"/>
          <w:b w:val="0"/>
          <w:lang w:val="en-US" w:eastAsia="en-US"/>
        </w:rPr>
      </w:pPr>
      <w:r w:rsidRPr="002A602E">
        <w:t>Appendix A</w:t>
      </w:r>
      <w:r>
        <w:rPr>
          <w:rFonts w:asciiTheme="minorHAnsi" w:eastAsiaTheme="minorEastAsia" w:hAnsiTheme="minorHAnsi" w:cstheme="minorBidi"/>
          <w:b w:val="0"/>
          <w:lang w:val="en-US" w:eastAsia="en-US"/>
        </w:rPr>
        <w:tab/>
      </w:r>
      <w:r w:rsidRPr="002A602E">
        <w:t>Clinical Experts and Assessment Group</w:t>
      </w:r>
      <w:r>
        <w:rPr>
          <w:webHidden/>
        </w:rPr>
        <w:tab/>
        <w:t>221</w:t>
      </w:r>
    </w:p>
    <w:p w:rsidR="00DF4A36" w:rsidRDefault="00DF4A36">
      <w:pPr>
        <w:pStyle w:val="TOC2"/>
        <w:rPr>
          <w:rFonts w:asciiTheme="minorHAnsi" w:eastAsiaTheme="minorEastAsia" w:hAnsiTheme="minorHAnsi" w:cstheme="minorBidi"/>
          <w:lang w:val="en-US" w:eastAsia="en-US"/>
        </w:rPr>
      </w:pPr>
      <w:r w:rsidRPr="002A602E">
        <w:t>Assessment group</w:t>
      </w:r>
      <w:r>
        <w:rPr>
          <w:webHidden/>
        </w:rPr>
        <w:tab/>
        <w:t>221</w:t>
      </w:r>
    </w:p>
    <w:p w:rsidR="00DF4A36" w:rsidRDefault="00DF4A36">
      <w:pPr>
        <w:pStyle w:val="TOC1"/>
        <w:rPr>
          <w:rFonts w:asciiTheme="minorHAnsi" w:eastAsiaTheme="minorEastAsia" w:hAnsiTheme="minorHAnsi" w:cstheme="minorBidi"/>
          <w:b w:val="0"/>
          <w:lang w:val="en-US" w:eastAsia="en-US"/>
        </w:rPr>
      </w:pPr>
      <w:r w:rsidRPr="002A602E">
        <w:t>Appendix B</w:t>
      </w:r>
      <w:r>
        <w:rPr>
          <w:rFonts w:asciiTheme="minorHAnsi" w:eastAsiaTheme="minorEastAsia" w:hAnsiTheme="minorHAnsi" w:cstheme="minorBidi"/>
          <w:b w:val="0"/>
          <w:lang w:val="en-US" w:eastAsia="en-US"/>
        </w:rPr>
        <w:tab/>
      </w:r>
      <w:r w:rsidRPr="002A602E">
        <w:t>Search strategies</w:t>
      </w:r>
      <w:r>
        <w:rPr>
          <w:webHidden/>
        </w:rPr>
        <w:tab/>
        <w:t>222</w:t>
      </w:r>
    </w:p>
    <w:p w:rsidR="00DF4A36" w:rsidRDefault="00DF4A36">
      <w:pPr>
        <w:pStyle w:val="TOC2"/>
        <w:rPr>
          <w:rFonts w:asciiTheme="minorHAnsi" w:eastAsiaTheme="minorEastAsia" w:hAnsiTheme="minorHAnsi" w:cstheme="minorBidi"/>
          <w:lang w:val="en-US" w:eastAsia="en-US"/>
        </w:rPr>
      </w:pPr>
      <w:r w:rsidRPr="002A602E">
        <w:t>Bibliographic databases</w:t>
      </w:r>
      <w:r>
        <w:rPr>
          <w:webHidden/>
        </w:rPr>
        <w:tab/>
        <w:t>222</w:t>
      </w:r>
    </w:p>
    <w:p w:rsidR="00DF4A36" w:rsidRDefault="00DF4A36">
      <w:pPr>
        <w:pStyle w:val="TOC1"/>
        <w:rPr>
          <w:rFonts w:asciiTheme="minorHAnsi" w:eastAsiaTheme="minorEastAsia" w:hAnsiTheme="minorHAnsi" w:cstheme="minorBidi"/>
          <w:b w:val="0"/>
          <w:lang w:val="en-US" w:eastAsia="en-US"/>
        </w:rPr>
      </w:pPr>
      <w:r w:rsidRPr="002A602E">
        <w:t>Appendix C</w:t>
      </w:r>
      <w:r>
        <w:rPr>
          <w:rFonts w:asciiTheme="minorHAnsi" w:eastAsiaTheme="minorEastAsia" w:hAnsiTheme="minorHAnsi" w:cstheme="minorBidi"/>
          <w:b w:val="0"/>
          <w:lang w:val="en-US" w:eastAsia="en-US"/>
        </w:rPr>
        <w:tab/>
      </w:r>
      <w:r w:rsidRPr="002A602E">
        <w:t>Studies included in the Systematic Review</w:t>
      </w:r>
      <w:r>
        <w:rPr>
          <w:webHidden/>
        </w:rPr>
        <w:tab/>
        <w:t>223</w:t>
      </w:r>
    </w:p>
    <w:p w:rsidR="00DF4A36" w:rsidRDefault="00DF4A36">
      <w:pPr>
        <w:pStyle w:val="TOC1"/>
        <w:rPr>
          <w:rFonts w:asciiTheme="minorHAnsi" w:eastAsiaTheme="minorEastAsia" w:hAnsiTheme="minorHAnsi" w:cstheme="minorBidi"/>
          <w:b w:val="0"/>
          <w:lang w:val="en-US" w:eastAsia="en-US"/>
        </w:rPr>
      </w:pPr>
      <w:r w:rsidRPr="002A602E">
        <w:t>Appendix D</w:t>
      </w:r>
      <w:r>
        <w:rPr>
          <w:rFonts w:asciiTheme="minorHAnsi" w:eastAsiaTheme="minorEastAsia" w:hAnsiTheme="minorHAnsi" w:cstheme="minorBidi"/>
          <w:b w:val="0"/>
          <w:lang w:val="en-US" w:eastAsia="en-US"/>
        </w:rPr>
        <w:tab/>
      </w:r>
      <w:r w:rsidRPr="002A602E">
        <w:t>Evidence Profile Tables</w:t>
      </w:r>
      <w:r>
        <w:rPr>
          <w:webHidden/>
        </w:rPr>
        <w:tab/>
        <w:t>232</w:t>
      </w:r>
    </w:p>
    <w:p w:rsidR="00DF4A36" w:rsidRDefault="00DF4A36">
      <w:pPr>
        <w:pStyle w:val="TOC1"/>
        <w:rPr>
          <w:rFonts w:asciiTheme="minorHAnsi" w:eastAsiaTheme="minorEastAsia" w:hAnsiTheme="minorHAnsi" w:cstheme="minorBidi"/>
          <w:b w:val="0"/>
          <w:lang w:val="en-US" w:eastAsia="en-US"/>
        </w:rPr>
      </w:pPr>
      <w:r w:rsidRPr="002A602E">
        <w:t>Appendix E</w:t>
      </w:r>
      <w:r>
        <w:rPr>
          <w:rFonts w:asciiTheme="minorHAnsi" w:eastAsiaTheme="minorEastAsia" w:hAnsiTheme="minorHAnsi" w:cstheme="minorBidi"/>
          <w:b w:val="0"/>
          <w:lang w:val="en-US" w:eastAsia="en-US"/>
        </w:rPr>
        <w:tab/>
      </w:r>
      <w:r w:rsidRPr="002A602E">
        <w:t>Excluded Studies</w:t>
      </w:r>
      <w:r>
        <w:rPr>
          <w:webHidden/>
        </w:rPr>
        <w:tab/>
        <w:t>250</w:t>
      </w:r>
    </w:p>
    <w:p w:rsidR="00DF4A36" w:rsidRDefault="00DF4A36">
      <w:pPr>
        <w:pStyle w:val="TOC2"/>
        <w:rPr>
          <w:rFonts w:asciiTheme="minorHAnsi" w:eastAsiaTheme="minorEastAsia" w:hAnsiTheme="minorHAnsi" w:cstheme="minorBidi"/>
          <w:lang w:val="en-US" w:eastAsia="en-US"/>
        </w:rPr>
      </w:pPr>
      <w:r w:rsidRPr="002A602E">
        <w:t>Studies on CIDP excluded:</w:t>
      </w:r>
      <w:r>
        <w:rPr>
          <w:webHidden/>
        </w:rPr>
        <w:tab/>
        <w:t>250</w:t>
      </w:r>
    </w:p>
    <w:p w:rsidR="00DF4A36" w:rsidRDefault="00DF4A36">
      <w:pPr>
        <w:pStyle w:val="TOC1"/>
        <w:rPr>
          <w:rFonts w:asciiTheme="minorHAnsi" w:eastAsiaTheme="minorEastAsia" w:hAnsiTheme="minorHAnsi" w:cstheme="minorBidi"/>
          <w:b w:val="0"/>
          <w:lang w:val="en-US" w:eastAsia="en-US"/>
        </w:rPr>
      </w:pPr>
      <w:r w:rsidRPr="002A602E">
        <w:t>References</w:t>
      </w:r>
      <w:r>
        <w:rPr>
          <w:webHidden/>
        </w:rPr>
        <w:tab/>
        <w:t>254</w:t>
      </w:r>
    </w:p>
    <w:p w:rsidR="00F81651" w:rsidRPr="00E3331A" w:rsidRDefault="00F81651"/>
    <w:p w:rsidR="008F59A8" w:rsidRPr="00E3331A" w:rsidRDefault="008F59A8" w:rsidP="003E4E1F">
      <w:pPr>
        <w:pStyle w:val="Heading2"/>
      </w:pPr>
      <w:r w:rsidRPr="00E3331A">
        <w:br w:type="page"/>
      </w:r>
      <w:bookmarkStart w:id="19" w:name="_Toc381796425"/>
      <w:bookmarkStart w:id="20" w:name="_Toc395200736"/>
      <w:bookmarkStart w:id="21" w:name="_Toc399247191"/>
      <w:bookmarkStart w:id="22" w:name="_Toc402884710"/>
      <w:bookmarkStart w:id="23" w:name="_Toc24103410"/>
      <w:r w:rsidRPr="00E3331A">
        <w:lastRenderedPageBreak/>
        <w:t>Tables</w:t>
      </w:r>
      <w:bookmarkEnd w:id="19"/>
      <w:bookmarkEnd w:id="20"/>
      <w:bookmarkEnd w:id="21"/>
      <w:bookmarkEnd w:id="22"/>
      <w:bookmarkEnd w:id="23"/>
    </w:p>
    <w:p w:rsidR="00DF4A36" w:rsidRDefault="00DF4A36">
      <w:pPr>
        <w:pStyle w:val="TableofFigures"/>
        <w:rPr>
          <w:rFonts w:asciiTheme="minorHAnsi" w:eastAsiaTheme="minorEastAsia" w:hAnsiTheme="minorHAnsi" w:cstheme="minorBidi"/>
          <w:lang w:val="en-US" w:eastAsia="en-US"/>
        </w:rPr>
      </w:pPr>
      <w:bookmarkStart w:id="24" w:name="_Toc381796426"/>
      <w:bookmarkStart w:id="25" w:name="_Toc395200737"/>
      <w:r w:rsidRPr="002A602E">
        <w:t>Table 1</w:t>
      </w:r>
      <w:r>
        <w:rPr>
          <w:rFonts w:asciiTheme="minorHAnsi" w:eastAsiaTheme="minorEastAsia" w:hAnsiTheme="minorHAnsi" w:cstheme="minorBidi"/>
          <w:lang w:val="en-US" w:eastAsia="en-US"/>
        </w:rPr>
        <w:tab/>
      </w:r>
      <w:r w:rsidRPr="002A602E">
        <w:t>Change in number of patients using IVIg for CIDP in Australia over time</w:t>
      </w:r>
      <w:r>
        <w:rPr>
          <w:webHidden/>
        </w:rPr>
        <w:tab/>
        <w:t>17</w:t>
      </w:r>
    </w:p>
    <w:p w:rsidR="00DF4A36" w:rsidRDefault="00DF4A36">
      <w:pPr>
        <w:pStyle w:val="TableofFigures"/>
        <w:rPr>
          <w:rFonts w:asciiTheme="minorHAnsi" w:eastAsiaTheme="minorEastAsia" w:hAnsiTheme="minorHAnsi" w:cstheme="minorBidi"/>
          <w:lang w:val="en-US" w:eastAsia="en-US"/>
        </w:rPr>
      </w:pPr>
      <w:r w:rsidRPr="002A602E">
        <w:t>Table 2</w:t>
      </w:r>
      <w:r>
        <w:rPr>
          <w:rFonts w:asciiTheme="minorHAnsi" w:eastAsiaTheme="minorEastAsia" w:hAnsiTheme="minorHAnsi" w:cstheme="minorBidi"/>
          <w:lang w:val="en-US" w:eastAsia="en-US"/>
        </w:rPr>
        <w:tab/>
      </w:r>
      <w:r w:rsidRPr="002A602E">
        <w:t xml:space="preserve"> </w:t>
      </w:r>
      <w:r w:rsidRPr="002A602E">
        <w:rPr>
          <w:rFonts w:cs="Arial"/>
          <w:snapToGrid w:val="0"/>
          <w:lang w:eastAsia="en-US"/>
        </w:rPr>
        <w:t>Balance of clinical benefits and harms of intervention (Ig), relative to comparator (no treatment or steroids), as measured by the critical patient-relevant outcomes in the key studies</w:t>
      </w:r>
      <w:r>
        <w:rPr>
          <w:webHidden/>
        </w:rPr>
        <w:tab/>
        <w:t>22</w:t>
      </w:r>
    </w:p>
    <w:p w:rsidR="00DF4A36" w:rsidRDefault="00DF4A36">
      <w:pPr>
        <w:pStyle w:val="TableofFigures"/>
        <w:rPr>
          <w:rFonts w:asciiTheme="minorHAnsi" w:eastAsiaTheme="minorEastAsia" w:hAnsiTheme="minorHAnsi" w:cstheme="minorBidi"/>
          <w:lang w:val="en-US" w:eastAsia="en-US"/>
        </w:rPr>
      </w:pPr>
      <w:r w:rsidRPr="002A602E">
        <w:t>Table 3</w:t>
      </w:r>
      <w:r>
        <w:rPr>
          <w:rFonts w:asciiTheme="minorHAnsi" w:eastAsiaTheme="minorEastAsia" w:hAnsiTheme="minorHAnsi" w:cstheme="minorBidi"/>
          <w:lang w:val="en-US" w:eastAsia="en-US"/>
        </w:rPr>
        <w:tab/>
      </w:r>
      <w:r w:rsidRPr="002A602E">
        <w:t>Summary of the economic evaluation</w:t>
      </w:r>
      <w:r>
        <w:rPr>
          <w:webHidden/>
        </w:rPr>
        <w:tab/>
        <w:t>24</w:t>
      </w:r>
    </w:p>
    <w:p w:rsidR="00DF4A36" w:rsidRDefault="00DF4A36">
      <w:pPr>
        <w:pStyle w:val="TableofFigures"/>
        <w:rPr>
          <w:rFonts w:asciiTheme="minorHAnsi" w:eastAsiaTheme="minorEastAsia" w:hAnsiTheme="minorHAnsi" w:cstheme="minorBidi"/>
          <w:lang w:val="en-US" w:eastAsia="en-US"/>
        </w:rPr>
      </w:pPr>
      <w:r w:rsidRPr="002A602E">
        <w:t>Table 4</w:t>
      </w:r>
      <w:r>
        <w:rPr>
          <w:rFonts w:asciiTheme="minorHAnsi" w:eastAsiaTheme="minorEastAsia" w:hAnsiTheme="minorHAnsi" w:cstheme="minorBidi"/>
          <w:lang w:val="en-US" w:eastAsia="en-US"/>
        </w:rPr>
        <w:tab/>
      </w:r>
      <w:r w:rsidRPr="002A602E">
        <w:t xml:space="preserve"> Incremental cost-effectiveness ratio of IVIg versus corticosteroids (average-patient)</w:t>
      </w:r>
      <w:r>
        <w:rPr>
          <w:webHidden/>
        </w:rPr>
        <w:tab/>
        <w:t>25</w:t>
      </w:r>
    </w:p>
    <w:p w:rsidR="00DF4A36" w:rsidRDefault="00DF4A36">
      <w:pPr>
        <w:pStyle w:val="TableofFigures"/>
        <w:rPr>
          <w:rFonts w:asciiTheme="minorHAnsi" w:eastAsiaTheme="minorEastAsia" w:hAnsiTheme="minorHAnsi" w:cstheme="minorBidi"/>
          <w:lang w:val="en-US" w:eastAsia="en-US"/>
        </w:rPr>
      </w:pPr>
      <w:r w:rsidRPr="002A602E">
        <w:t>Table 5</w:t>
      </w:r>
      <w:r>
        <w:rPr>
          <w:rFonts w:asciiTheme="minorHAnsi" w:eastAsiaTheme="minorEastAsia" w:hAnsiTheme="minorHAnsi" w:cstheme="minorBidi"/>
          <w:lang w:val="en-US" w:eastAsia="en-US"/>
        </w:rPr>
        <w:tab/>
      </w:r>
      <w:r w:rsidRPr="002A602E">
        <w:rPr>
          <w:rFonts w:cs="Arial"/>
          <w:snapToGrid w:val="0"/>
          <w:lang w:eastAsia="en-US"/>
        </w:rPr>
        <w:t>Drivers of the economic model</w:t>
      </w:r>
      <w:r>
        <w:rPr>
          <w:webHidden/>
        </w:rPr>
        <w:tab/>
        <w:t>26</w:t>
      </w:r>
    </w:p>
    <w:p w:rsidR="00DF4A36" w:rsidRDefault="00DF4A36">
      <w:pPr>
        <w:pStyle w:val="TableofFigures"/>
        <w:rPr>
          <w:rFonts w:asciiTheme="minorHAnsi" w:eastAsiaTheme="minorEastAsia" w:hAnsiTheme="minorHAnsi" w:cstheme="minorBidi"/>
          <w:lang w:val="en-US" w:eastAsia="en-US"/>
        </w:rPr>
      </w:pPr>
      <w:r w:rsidRPr="002A602E">
        <w:t>Table 6</w:t>
      </w:r>
      <w:r>
        <w:rPr>
          <w:rFonts w:asciiTheme="minorHAnsi" w:eastAsiaTheme="minorEastAsia" w:hAnsiTheme="minorHAnsi" w:cstheme="minorBidi"/>
          <w:lang w:val="en-US" w:eastAsia="en-US"/>
        </w:rPr>
        <w:tab/>
      </w:r>
      <w:r w:rsidRPr="002A602E">
        <w:t>Net government costs associated with Ig for CIDP patients, 2020-2024</w:t>
      </w:r>
      <w:r>
        <w:rPr>
          <w:webHidden/>
        </w:rPr>
        <w:tab/>
        <w:t>27</w:t>
      </w:r>
    </w:p>
    <w:p w:rsidR="00DF4A36" w:rsidRDefault="00DF4A36">
      <w:pPr>
        <w:pStyle w:val="TableofFigures"/>
        <w:rPr>
          <w:rFonts w:asciiTheme="minorHAnsi" w:eastAsiaTheme="minorEastAsia" w:hAnsiTheme="minorHAnsi" w:cstheme="minorBidi"/>
          <w:lang w:val="en-US" w:eastAsia="en-US"/>
        </w:rPr>
      </w:pPr>
      <w:r w:rsidRPr="002A602E">
        <w:t>Table 7</w:t>
      </w:r>
      <w:r>
        <w:rPr>
          <w:rFonts w:asciiTheme="minorHAnsi" w:eastAsiaTheme="minorEastAsia" w:hAnsiTheme="minorHAnsi" w:cstheme="minorBidi"/>
          <w:lang w:val="en-US" w:eastAsia="en-US"/>
        </w:rPr>
        <w:tab/>
      </w:r>
      <w:r w:rsidRPr="002A602E">
        <w:t>Igs listed on the ARTG and indicated for CIDP</w:t>
      </w:r>
      <w:r>
        <w:rPr>
          <w:webHidden/>
        </w:rPr>
        <w:tab/>
        <w:t>34</w:t>
      </w:r>
    </w:p>
    <w:p w:rsidR="00DF4A36" w:rsidRDefault="00DF4A36">
      <w:pPr>
        <w:pStyle w:val="TableofFigures"/>
        <w:rPr>
          <w:rFonts w:asciiTheme="minorHAnsi" w:eastAsiaTheme="minorEastAsia" w:hAnsiTheme="minorHAnsi" w:cstheme="minorBidi"/>
          <w:lang w:val="en-US" w:eastAsia="en-US"/>
        </w:rPr>
      </w:pPr>
      <w:r w:rsidRPr="002A602E">
        <w:t xml:space="preserve">Table 8 </w:t>
      </w:r>
      <w:r>
        <w:rPr>
          <w:rFonts w:asciiTheme="minorHAnsi" w:eastAsiaTheme="minorEastAsia" w:hAnsiTheme="minorHAnsi" w:cstheme="minorBidi"/>
          <w:lang w:val="en-US" w:eastAsia="en-US"/>
        </w:rPr>
        <w:tab/>
      </w:r>
      <w:r w:rsidRPr="002A602E">
        <w:t>Top 20 indications for Ig by level of use in Australia based on a review of data 2008/2009 to 2015/2016 by the National Blood Authority</w:t>
      </w:r>
      <w:r>
        <w:rPr>
          <w:webHidden/>
        </w:rPr>
        <w:tab/>
        <w:t>35</w:t>
      </w:r>
    </w:p>
    <w:p w:rsidR="00DF4A36" w:rsidRDefault="00DF4A36">
      <w:pPr>
        <w:pStyle w:val="TableofFigures"/>
        <w:rPr>
          <w:rFonts w:asciiTheme="minorHAnsi" w:eastAsiaTheme="minorEastAsia" w:hAnsiTheme="minorHAnsi" w:cstheme="minorBidi"/>
          <w:lang w:val="en-US" w:eastAsia="en-US"/>
        </w:rPr>
      </w:pPr>
      <w:r w:rsidRPr="002A602E">
        <w:t>Table 9</w:t>
      </w:r>
      <w:r>
        <w:rPr>
          <w:rFonts w:asciiTheme="minorHAnsi" w:eastAsiaTheme="minorEastAsia" w:hAnsiTheme="minorHAnsi" w:cstheme="minorBidi"/>
          <w:lang w:val="en-US" w:eastAsia="en-US"/>
        </w:rPr>
        <w:tab/>
      </w:r>
      <w:r w:rsidRPr="002A602E">
        <w:t>Price and suppliers of Ig products on the National Product Price List for plasma and recombinant products and indicated for CIDP as at 1 January 2019</w:t>
      </w:r>
      <w:r>
        <w:rPr>
          <w:webHidden/>
        </w:rPr>
        <w:tab/>
        <w:t>37</w:t>
      </w:r>
    </w:p>
    <w:p w:rsidR="00DF4A36" w:rsidRDefault="00DF4A36">
      <w:pPr>
        <w:pStyle w:val="TableofFigures"/>
        <w:rPr>
          <w:rFonts w:asciiTheme="minorHAnsi" w:eastAsiaTheme="minorEastAsia" w:hAnsiTheme="minorHAnsi" w:cstheme="minorBidi"/>
          <w:lang w:val="en-US" w:eastAsia="en-US"/>
        </w:rPr>
      </w:pPr>
      <w:r w:rsidRPr="002A602E">
        <w:t xml:space="preserve">Table 10 </w:t>
      </w:r>
      <w:r>
        <w:rPr>
          <w:rFonts w:asciiTheme="minorHAnsi" w:eastAsiaTheme="minorEastAsia" w:hAnsiTheme="minorHAnsi" w:cstheme="minorBidi"/>
          <w:lang w:val="en-US" w:eastAsia="en-US"/>
        </w:rPr>
        <w:tab/>
      </w:r>
      <w:r w:rsidRPr="002A602E">
        <w:t>Change in number of patients using IVIg for CIDP in Australia over time</w:t>
      </w:r>
      <w:r>
        <w:rPr>
          <w:webHidden/>
        </w:rPr>
        <w:tab/>
        <w:t>39</w:t>
      </w:r>
    </w:p>
    <w:p w:rsidR="00DF4A36" w:rsidRDefault="00DF4A36">
      <w:pPr>
        <w:pStyle w:val="TableofFigures"/>
        <w:rPr>
          <w:rFonts w:asciiTheme="minorHAnsi" w:eastAsiaTheme="minorEastAsia" w:hAnsiTheme="minorHAnsi" w:cstheme="minorBidi"/>
          <w:lang w:val="en-US" w:eastAsia="en-US"/>
        </w:rPr>
      </w:pPr>
      <w:r w:rsidRPr="002A602E">
        <w:t xml:space="preserve">Table 11 </w:t>
      </w:r>
      <w:r>
        <w:rPr>
          <w:rFonts w:asciiTheme="minorHAnsi" w:eastAsiaTheme="minorEastAsia" w:hAnsiTheme="minorHAnsi" w:cstheme="minorBidi"/>
          <w:lang w:val="en-US" w:eastAsia="en-US"/>
        </w:rPr>
        <w:tab/>
      </w:r>
      <w:r w:rsidRPr="002A602E">
        <w:t>IVIg supply for CIDP by state/territory 2015 to 2016</w:t>
      </w:r>
      <w:r>
        <w:rPr>
          <w:webHidden/>
        </w:rPr>
        <w:tab/>
        <w:t>39</w:t>
      </w:r>
    </w:p>
    <w:p w:rsidR="00DF4A36" w:rsidRDefault="00DF4A36">
      <w:pPr>
        <w:pStyle w:val="TableofFigures"/>
        <w:rPr>
          <w:rFonts w:asciiTheme="minorHAnsi" w:eastAsiaTheme="minorEastAsia" w:hAnsiTheme="minorHAnsi" w:cstheme="minorBidi"/>
          <w:lang w:val="en-US" w:eastAsia="en-US"/>
        </w:rPr>
      </w:pPr>
      <w:r w:rsidRPr="002A602E">
        <w:t>Table 12</w:t>
      </w:r>
      <w:r>
        <w:rPr>
          <w:rFonts w:asciiTheme="minorHAnsi" w:eastAsiaTheme="minorEastAsia" w:hAnsiTheme="minorHAnsi" w:cstheme="minorBidi"/>
          <w:lang w:val="en-US" w:eastAsia="en-US"/>
        </w:rPr>
        <w:tab/>
      </w:r>
      <w:r w:rsidRPr="002A602E">
        <w:t>Corticosteroids listed on the PBS and subsidised for CIDP according to the Applicant</w:t>
      </w:r>
      <w:r>
        <w:rPr>
          <w:webHidden/>
        </w:rPr>
        <w:tab/>
        <w:t>40</w:t>
      </w:r>
    </w:p>
    <w:p w:rsidR="00DF4A36" w:rsidRDefault="00DF4A36">
      <w:pPr>
        <w:pStyle w:val="TableofFigures"/>
        <w:rPr>
          <w:rFonts w:asciiTheme="minorHAnsi" w:eastAsiaTheme="minorEastAsia" w:hAnsiTheme="minorHAnsi" w:cstheme="minorBidi"/>
          <w:lang w:val="en-US" w:eastAsia="en-US"/>
        </w:rPr>
      </w:pPr>
      <w:r w:rsidRPr="002A602E">
        <w:t xml:space="preserve">Table 13 </w:t>
      </w:r>
      <w:r>
        <w:rPr>
          <w:rFonts w:asciiTheme="minorHAnsi" w:eastAsiaTheme="minorEastAsia" w:hAnsiTheme="minorHAnsi" w:cstheme="minorBidi"/>
          <w:lang w:val="en-US" w:eastAsia="en-US"/>
        </w:rPr>
        <w:tab/>
      </w:r>
      <w:r w:rsidRPr="002A602E">
        <w:t>Immunosuppressants listed on the PBS and subsidised for CIDP treatments</w:t>
      </w:r>
      <w:r>
        <w:rPr>
          <w:webHidden/>
        </w:rPr>
        <w:tab/>
        <w:t>43</w:t>
      </w:r>
    </w:p>
    <w:p w:rsidR="00DF4A36" w:rsidRDefault="00DF4A36">
      <w:pPr>
        <w:pStyle w:val="TableofFigures"/>
        <w:rPr>
          <w:rFonts w:asciiTheme="minorHAnsi" w:eastAsiaTheme="minorEastAsia" w:hAnsiTheme="minorHAnsi" w:cstheme="minorBidi"/>
          <w:lang w:val="en-US" w:eastAsia="en-US"/>
        </w:rPr>
      </w:pPr>
      <w:r w:rsidRPr="002A602E">
        <w:t xml:space="preserve">Table 14 </w:t>
      </w:r>
      <w:r>
        <w:rPr>
          <w:rFonts w:asciiTheme="minorHAnsi" w:eastAsiaTheme="minorEastAsia" w:hAnsiTheme="minorHAnsi" w:cstheme="minorBidi"/>
          <w:lang w:val="en-US" w:eastAsia="en-US"/>
        </w:rPr>
        <w:tab/>
      </w:r>
      <w:r w:rsidRPr="002A602E">
        <w:t>Current specified dosages of IVIg for initial CIDP treatment and for CIDP relapse*</w:t>
      </w:r>
      <w:r>
        <w:rPr>
          <w:webHidden/>
        </w:rPr>
        <w:tab/>
        <w:t>48</w:t>
      </w:r>
    </w:p>
    <w:p w:rsidR="00DF4A36" w:rsidRDefault="00DF4A36">
      <w:pPr>
        <w:pStyle w:val="TableofFigures"/>
        <w:rPr>
          <w:rFonts w:asciiTheme="minorHAnsi" w:eastAsiaTheme="minorEastAsia" w:hAnsiTheme="minorHAnsi" w:cstheme="minorBidi"/>
          <w:lang w:val="en-US" w:eastAsia="en-US"/>
        </w:rPr>
      </w:pPr>
      <w:r w:rsidRPr="002A602E">
        <w:t xml:space="preserve">Table 15 </w:t>
      </w:r>
      <w:r>
        <w:rPr>
          <w:rFonts w:asciiTheme="minorHAnsi" w:eastAsiaTheme="minorEastAsia" w:hAnsiTheme="minorHAnsi" w:cstheme="minorBidi"/>
          <w:lang w:val="en-US" w:eastAsia="en-US"/>
        </w:rPr>
        <w:tab/>
      </w:r>
      <w:r w:rsidRPr="002A602E">
        <w:t>Suggested frequency of monitoring during treatment with corticosteroids</w:t>
      </w:r>
      <w:r>
        <w:rPr>
          <w:webHidden/>
        </w:rPr>
        <w:tab/>
        <w:t>52</w:t>
      </w:r>
    </w:p>
    <w:p w:rsidR="00DF4A36" w:rsidRDefault="00DF4A36">
      <w:pPr>
        <w:pStyle w:val="TableofFigures"/>
        <w:rPr>
          <w:rFonts w:asciiTheme="minorHAnsi" w:eastAsiaTheme="minorEastAsia" w:hAnsiTheme="minorHAnsi" w:cstheme="minorBidi"/>
          <w:lang w:val="en-US" w:eastAsia="en-US"/>
        </w:rPr>
      </w:pPr>
      <w:r w:rsidRPr="002A602E">
        <w:t xml:space="preserve">Table 16 </w:t>
      </w:r>
      <w:r>
        <w:rPr>
          <w:rFonts w:asciiTheme="minorHAnsi" w:eastAsiaTheme="minorEastAsia" w:hAnsiTheme="minorHAnsi" w:cstheme="minorBidi"/>
          <w:lang w:val="en-US" w:eastAsia="en-US"/>
        </w:rPr>
        <w:tab/>
      </w:r>
      <w:r w:rsidRPr="002A602E">
        <w:t>Recommended dosages for immunosuppressants used to treat CIDP</w:t>
      </w:r>
      <w:r>
        <w:rPr>
          <w:webHidden/>
        </w:rPr>
        <w:tab/>
        <w:t>53</w:t>
      </w:r>
    </w:p>
    <w:p w:rsidR="00DF4A36" w:rsidRDefault="00DF4A36">
      <w:pPr>
        <w:pStyle w:val="TableofFigures"/>
        <w:rPr>
          <w:rFonts w:asciiTheme="minorHAnsi" w:eastAsiaTheme="minorEastAsia" w:hAnsiTheme="minorHAnsi" w:cstheme="minorBidi"/>
          <w:lang w:val="en-US" w:eastAsia="en-US"/>
        </w:rPr>
      </w:pPr>
      <w:r w:rsidRPr="002A602E">
        <w:t xml:space="preserve">Table 17 </w:t>
      </w:r>
      <w:r>
        <w:rPr>
          <w:rFonts w:asciiTheme="minorHAnsi" w:eastAsiaTheme="minorEastAsia" w:hAnsiTheme="minorHAnsi" w:cstheme="minorBidi"/>
          <w:lang w:val="en-US" w:eastAsia="en-US"/>
        </w:rPr>
        <w:tab/>
      </w:r>
      <w:r w:rsidRPr="002A602E">
        <w:t>Suggested frequency of monitoring during treatment with immunosuppressive drugs</w:t>
      </w:r>
      <w:r>
        <w:rPr>
          <w:webHidden/>
        </w:rPr>
        <w:tab/>
        <w:t>54</w:t>
      </w:r>
    </w:p>
    <w:p w:rsidR="00DF4A36" w:rsidRDefault="00DF4A36">
      <w:pPr>
        <w:pStyle w:val="TableofFigures"/>
        <w:rPr>
          <w:rFonts w:asciiTheme="minorHAnsi" w:eastAsiaTheme="minorEastAsia" w:hAnsiTheme="minorHAnsi" w:cstheme="minorBidi"/>
          <w:lang w:val="en-US" w:eastAsia="en-US"/>
        </w:rPr>
      </w:pPr>
      <w:r w:rsidRPr="002A602E">
        <w:t>Table 18</w:t>
      </w:r>
      <w:r>
        <w:rPr>
          <w:rFonts w:asciiTheme="minorHAnsi" w:eastAsiaTheme="minorEastAsia" w:hAnsiTheme="minorHAnsi" w:cstheme="minorBidi"/>
          <w:lang w:val="en-US" w:eastAsia="en-US"/>
        </w:rPr>
        <w:tab/>
      </w:r>
      <w:r w:rsidRPr="002A602E">
        <w:t>Search terms used in PubMed (adapted for Embase)</w:t>
      </w:r>
      <w:r>
        <w:rPr>
          <w:webHidden/>
        </w:rPr>
        <w:tab/>
        <w:t>57</w:t>
      </w:r>
    </w:p>
    <w:p w:rsidR="00DF4A36" w:rsidRDefault="00DF4A36">
      <w:pPr>
        <w:pStyle w:val="TableofFigures"/>
        <w:rPr>
          <w:rFonts w:asciiTheme="minorHAnsi" w:eastAsiaTheme="minorEastAsia" w:hAnsiTheme="minorHAnsi" w:cstheme="minorBidi"/>
          <w:lang w:val="en-US" w:eastAsia="en-US"/>
        </w:rPr>
      </w:pPr>
      <w:r w:rsidRPr="002A602E">
        <w:t>Table 19</w:t>
      </w:r>
      <w:r>
        <w:rPr>
          <w:rFonts w:asciiTheme="minorHAnsi" w:eastAsiaTheme="minorEastAsia" w:hAnsiTheme="minorHAnsi" w:cstheme="minorBidi"/>
          <w:lang w:val="en-US" w:eastAsia="en-US"/>
        </w:rPr>
        <w:tab/>
      </w:r>
      <w:r w:rsidRPr="002A602E">
        <w:t>Study selection criteria</w:t>
      </w:r>
      <w:r>
        <w:rPr>
          <w:webHidden/>
        </w:rPr>
        <w:tab/>
        <w:t>58</w:t>
      </w:r>
    </w:p>
    <w:p w:rsidR="00DF4A36" w:rsidRDefault="00DF4A36">
      <w:pPr>
        <w:pStyle w:val="TableofFigures"/>
        <w:rPr>
          <w:rFonts w:asciiTheme="minorHAnsi" w:eastAsiaTheme="minorEastAsia" w:hAnsiTheme="minorHAnsi" w:cstheme="minorBidi"/>
          <w:lang w:val="en-US" w:eastAsia="en-US"/>
        </w:rPr>
      </w:pPr>
      <w:r w:rsidRPr="002A602E">
        <w:lastRenderedPageBreak/>
        <w:t xml:space="preserve">Table 20 </w:t>
      </w:r>
      <w:r>
        <w:rPr>
          <w:rFonts w:asciiTheme="minorHAnsi" w:eastAsiaTheme="minorEastAsia" w:hAnsiTheme="minorHAnsi" w:cstheme="minorBidi"/>
          <w:lang w:val="en-US" w:eastAsia="en-US"/>
        </w:rPr>
        <w:tab/>
      </w:r>
      <w:r w:rsidRPr="002A602E">
        <w:t>Summary of Cochrane Risk of Bias assessment of the included randomised controlled trials</w:t>
      </w:r>
      <w:r>
        <w:rPr>
          <w:webHidden/>
        </w:rPr>
        <w:tab/>
        <w:t>61</w:t>
      </w:r>
    </w:p>
    <w:p w:rsidR="00DF4A36" w:rsidRDefault="00DF4A36">
      <w:pPr>
        <w:pStyle w:val="TableofFigures"/>
        <w:rPr>
          <w:rFonts w:asciiTheme="minorHAnsi" w:eastAsiaTheme="minorEastAsia" w:hAnsiTheme="minorHAnsi" w:cstheme="minorBidi"/>
          <w:lang w:val="en-US" w:eastAsia="en-US"/>
        </w:rPr>
      </w:pPr>
      <w:r w:rsidRPr="002A602E">
        <w:t>Table 21</w:t>
      </w:r>
      <w:r>
        <w:rPr>
          <w:rFonts w:asciiTheme="minorHAnsi" w:eastAsiaTheme="minorEastAsia" w:hAnsiTheme="minorHAnsi" w:cstheme="minorBidi"/>
          <w:lang w:val="en-US" w:eastAsia="en-US"/>
        </w:rPr>
        <w:tab/>
      </w:r>
      <w:r w:rsidRPr="002A602E">
        <w:rPr>
          <w:snapToGrid w:val="0"/>
          <w:lang w:eastAsia="en-US"/>
        </w:rPr>
        <w:t>Key features of the included evidence investigating treatment or maintenance of CIDP</w:t>
      </w:r>
      <w:r>
        <w:rPr>
          <w:webHidden/>
        </w:rPr>
        <w:tab/>
        <w:t>64</w:t>
      </w:r>
    </w:p>
    <w:p w:rsidR="00DF4A36" w:rsidRDefault="00DF4A36">
      <w:pPr>
        <w:pStyle w:val="TableofFigures"/>
        <w:rPr>
          <w:rFonts w:asciiTheme="minorHAnsi" w:eastAsiaTheme="minorEastAsia" w:hAnsiTheme="minorHAnsi" w:cstheme="minorBidi"/>
          <w:lang w:val="en-US" w:eastAsia="en-US"/>
        </w:rPr>
      </w:pPr>
      <w:r w:rsidRPr="002A602E">
        <w:t xml:space="preserve">Table 22 </w:t>
      </w:r>
      <w:r>
        <w:rPr>
          <w:rFonts w:asciiTheme="minorHAnsi" w:eastAsiaTheme="minorEastAsia" w:hAnsiTheme="minorHAnsi" w:cstheme="minorBidi"/>
          <w:lang w:val="en-US" w:eastAsia="en-US"/>
        </w:rPr>
        <w:tab/>
      </w:r>
      <w:r w:rsidRPr="002A602E">
        <w:t>List and description of currently validated scales suitable for use in CIDP</w:t>
      </w:r>
      <w:r>
        <w:rPr>
          <w:webHidden/>
        </w:rPr>
        <w:tab/>
        <w:t>70</w:t>
      </w:r>
    </w:p>
    <w:p w:rsidR="00DF4A36" w:rsidRDefault="00DF4A36">
      <w:pPr>
        <w:pStyle w:val="TableofFigures"/>
        <w:rPr>
          <w:rFonts w:asciiTheme="minorHAnsi" w:eastAsiaTheme="minorEastAsia" w:hAnsiTheme="minorHAnsi" w:cstheme="minorBidi"/>
          <w:lang w:val="en-US" w:eastAsia="en-US"/>
        </w:rPr>
      </w:pPr>
      <w:r w:rsidRPr="002A602E">
        <w:t xml:space="preserve">Table 23 </w:t>
      </w:r>
      <w:r>
        <w:rPr>
          <w:rFonts w:asciiTheme="minorHAnsi" w:eastAsiaTheme="minorEastAsia" w:hAnsiTheme="minorHAnsi" w:cstheme="minorBidi"/>
          <w:lang w:val="en-US" w:eastAsia="en-US"/>
        </w:rPr>
        <w:tab/>
      </w:r>
      <w:r w:rsidRPr="002A602E">
        <w:t>Outcome scales used in the studies included in this Assessment and NOT included in the list of validated scales for use in CIDP</w:t>
      </w:r>
      <w:r>
        <w:rPr>
          <w:webHidden/>
        </w:rPr>
        <w:tab/>
        <w:t>71</w:t>
      </w:r>
    </w:p>
    <w:p w:rsidR="00DF4A36" w:rsidRDefault="00DF4A36">
      <w:pPr>
        <w:pStyle w:val="TableofFigures"/>
        <w:rPr>
          <w:rFonts w:asciiTheme="minorHAnsi" w:eastAsiaTheme="minorEastAsia" w:hAnsiTheme="minorHAnsi" w:cstheme="minorBidi"/>
          <w:lang w:val="en-US" w:eastAsia="en-US"/>
        </w:rPr>
      </w:pPr>
      <w:r w:rsidRPr="002A602E">
        <w:t xml:space="preserve">Table 24 </w:t>
      </w:r>
      <w:r>
        <w:rPr>
          <w:rFonts w:asciiTheme="minorHAnsi" w:eastAsiaTheme="minorEastAsia" w:hAnsiTheme="minorHAnsi" w:cstheme="minorBidi"/>
          <w:lang w:val="en-US" w:eastAsia="en-US"/>
        </w:rPr>
        <w:tab/>
      </w:r>
      <w:r w:rsidRPr="002A602E">
        <w:t>Studies that included 'response rate' as one of their efficacy outcomes and their definition of 'response'</w:t>
      </w:r>
      <w:r>
        <w:rPr>
          <w:webHidden/>
        </w:rPr>
        <w:tab/>
        <w:t>72</w:t>
      </w:r>
    </w:p>
    <w:p w:rsidR="00DF4A36" w:rsidRDefault="00DF4A36">
      <w:pPr>
        <w:pStyle w:val="TableofFigures"/>
        <w:rPr>
          <w:rFonts w:asciiTheme="minorHAnsi" w:eastAsiaTheme="minorEastAsia" w:hAnsiTheme="minorHAnsi" w:cstheme="minorBidi"/>
          <w:lang w:val="en-US" w:eastAsia="en-US"/>
        </w:rPr>
      </w:pPr>
      <w:r w:rsidRPr="002A602E">
        <w:t>Table 25</w:t>
      </w:r>
      <w:r>
        <w:rPr>
          <w:rFonts w:asciiTheme="minorHAnsi" w:eastAsiaTheme="minorEastAsia" w:hAnsiTheme="minorHAnsi" w:cstheme="minorBidi"/>
          <w:lang w:val="en-US" w:eastAsia="en-US"/>
        </w:rPr>
        <w:tab/>
      </w:r>
      <w:r w:rsidRPr="002A602E">
        <w:rPr>
          <w:rFonts w:cs="Arial"/>
          <w:snapToGrid w:val="0"/>
          <w:lang w:eastAsia="en-US"/>
        </w:rPr>
        <w:t>Any adverse or serious adverse event reported in the randomised controlled trials (IVIg vs steroids)</w:t>
      </w:r>
      <w:r>
        <w:rPr>
          <w:webHidden/>
        </w:rPr>
        <w:tab/>
        <w:t>78</w:t>
      </w:r>
    </w:p>
    <w:p w:rsidR="00DF4A36" w:rsidRDefault="00DF4A36">
      <w:pPr>
        <w:pStyle w:val="TableofFigures"/>
        <w:rPr>
          <w:rFonts w:asciiTheme="minorHAnsi" w:eastAsiaTheme="minorEastAsia" w:hAnsiTheme="minorHAnsi" w:cstheme="minorBidi"/>
          <w:lang w:val="en-US" w:eastAsia="en-US"/>
        </w:rPr>
      </w:pPr>
      <w:r w:rsidRPr="002A602E">
        <w:t>Table 26</w:t>
      </w:r>
      <w:r>
        <w:rPr>
          <w:rFonts w:asciiTheme="minorHAnsi" w:eastAsiaTheme="minorEastAsia" w:hAnsiTheme="minorHAnsi" w:cstheme="minorBidi"/>
          <w:lang w:val="en-US" w:eastAsia="en-US"/>
        </w:rPr>
        <w:tab/>
      </w:r>
      <w:r w:rsidRPr="002A602E">
        <w:t>Adverse events associated with steroid use in giant cell arteritis patients</w:t>
      </w:r>
      <w:r>
        <w:rPr>
          <w:webHidden/>
        </w:rPr>
        <w:tab/>
        <w:t>78</w:t>
      </w:r>
    </w:p>
    <w:p w:rsidR="00DF4A36" w:rsidRDefault="00DF4A36">
      <w:pPr>
        <w:pStyle w:val="TableofFigures"/>
        <w:rPr>
          <w:rFonts w:asciiTheme="minorHAnsi" w:eastAsiaTheme="minorEastAsia" w:hAnsiTheme="minorHAnsi" w:cstheme="minorBidi"/>
          <w:lang w:val="en-US" w:eastAsia="en-US"/>
        </w:rPr>
      </w:pPr>
      <w:r w:rsidRPr="002A602E">
        <w:t>Table 27</w:t>
      </w:r>
      <w:r>
        <w:rPr>
          <w:rFonts w:asciiTheme="minorHAnsi" w:eastAsiaTheme="minorEastAsia" w:hAnsiTheme="minorHAnsi" w:cstheme="minorBidi"/>
          <w:lang w:val="en-US" w:eastAsia="en-US"/>
        </w:rPr>
        <w:tab/>
      </w:r>
      <w:r w:rsidRPr="002A602E">
        <w:rPr>
          <w:rFonts w:cs="Arial"/>
          <w:snapToGrid w:val="0"/>
          <w:lang w:eastAsia="en-US"/>
        </w:rPr>
        <w:t>Any adverse or serious adverse event reported in the randomised controlled trials (IVIg vs placebo)</w:t>
      </w:r>
      <w:r>
        <w:rPr>
          <w:webHidden/>
        </w:rPr>
        <w:tab/>
        <w:t>79</w:t>
      </w:r>
    </w:p>
    <w:p w:rsidR="00DF4A36" w:rsidRDefault="00DF4A36">
      <w:pPr>
        <w:pStyle w:val="TableofFigures"/>
        <w:rPr>
          <w:rFonts w:asciiTheme="minorHAnsi" w:eastAsiaTheme="minorEastAsia" w:hAnsiTheme="minorHAnsi" w:cstheme="minorBidi"/>
          <w:lang w:val="en-US" w:eastAsia="en-US"/>
        </w:rPr>
      </w:pPr>
      <w:r w:rsidRPr="002A602E">
        <w:t>Table 28</w:t>
      </w:r>
      <w:r>
        <w:rPr>
          <w:rFonts w:asciiTheme="minorHAnsi" w:eastAsiaTheme="minorEastAsia" w:hAnsiTheme="minorHAnsi" w:cstheme="minorBidi"/>
          <w:lang w:val="en-US" w:eastAsia="en-US"/>
        </w:rPr>
        <w:tab/>
      </w:r>
      <w:r w:rsidRPr="002A602E">
        <w:t>Nature of the adverse events reported by the randomised controlled trials</w:t>
      </w:r>
      <w:r>
        <w:rPr>
          <w:webHidden/>
        </w:rPr>
        <w:tab/>
        <w:t>81</w:t>
      </w:r>
    </w:p>
    <w:p w:rsidR="00DF4A36" w:rsidRDefault="00DF4A36">
      <w:pPr>
        <w:pStyle w:val="TableofFigures"/>
        <w:rPr>
          <w:rFonts w:asciiTheme="minorHAnsi" w:eastAsiaTheme="minorEastAsia" w:hAnsiTheme="minorHAnsi" w:cstheme="minorBidi"/>
          <w:lang w:val="en-US" w:eastAsia="en-US"/>
        </w:rPr>
      </w:pPr>
      <w:r w:rsidRPr="002A602E">
        <w:t>Table 29</w:t>
      </w:r>
      <w:r>
        <w:rPr>
          <w:rFonts w:asciiTheme="minorHAnsi" w:eastAsiaTheme="minorEastAsia" w:hAnsiTheme="minorHAnsi" w:cstheme="minorBidi"/>
          <w:lang w:val="en-US" w:eastAsia="en-US"/>
        </w:rPr>
        <w:tab/>
      </w:r>
      <w:r w:rsidRPr="002A602E">
        <w:t>Summary of effectiveness data on Ig compared to no treatment, steroids or plasma exchange as a treatment for CIDP</w:t>
      </w:r>
      <w:r>
        <w:rPr>
          <w:webHidden/>
        </w:rPr>
        <w:tab/>
        <w:t>92</w:t>
      </w:r>
    </w:p>
    <w:p w:rsidR="00DF4A36" w:rsidRDefault="00DF4A36">
      <w:pPr>
        <w:pStyle w:val="TableofFigures"/>
        <w:rPr>
          <w:rFonts w:asciiTheme="minorHAnsi" w:eastAsiaTheme="minorEastAsia" w:hAnsiTheme="minorHAnsi" w:cstheme="minorBidi"/>
          <w:lang w:val="en-US" w:eastAsia="en-US"/>
        </w:rPr>
      </w:pPr>
      <w:r w:rsidRPr="002A602E">
        <w:t>Table 30</w:t>
      </w:r>
      <w:r>
        <w:rPr>
          <w:rFonts w:asciiTheme="minorHAnsi" w:eastAsiaTheme="minorEastAsia" w:hAnsiTheme="minorHAnsi" w:cstheme="minorBidi"/>
          <w:lang w:val="en-US" w:eastAsia="en-US"/>
        </w:rPr>
        <w:tab/>
      </w:r>
      <w:r w:rsidRPr="002A602E">
        <w:t>Summary of effectiveness data for CIDP maintenance.</w:t>
      </w:r>
      <w:r>
        <w:rPr>
          <w:webHidden/>
        </w:rPr>
        <w:tab/>
        <w:t>94</w:t>
      </w:r>
    </w:p>
    <w:p w:rsidR="00DF4A36" w:rsidRDefault="00DF4A36">
      <w:pPr>
        <w:pStyle w:val="TableofFigures"/>
        <w:rPr>
          <w:rFonts w:asciiTheme="minorHAnsi" w:eastAsiaTheme="minorEastAsia" w:hAnsiTheme="minorHAnsi" w:cstheme="minorBidi"/>
          <w:lang w:val="en-US" w:eastAsia="en-US"/>
        </w:rPr>
      </w:pPr>
      <w:r w:rsidRPr="002A602E">
        <w:t>Table 31</w:t>
      </w:r>
      <w:r>
        <w:rPr>
          <w:rFonts w:asciiTheme="minorHAnsi" w:eastAsiaTheme="minorEastAsia" w:hAnsiTheme="minorHAnsi" w:cstheme="minorBidi"/>
          <w:lang w:val="en-US" w:eastAsia="en-US"/>
        </w:rPr>
        <w:tab/>
      </w:r>
      <w:r w:rsidRPr="002A602E">
        <w:t>Studies reporting outcomes with plasma exchange</w:t>
      </w:r>
      <w:r>
        <w:rPr>
          <w:webHidden/>
        </w:rPr>
        <w:tab/>
        <w:t>100</w:t>
      </w:r>
    </w:p>
    <w:p w:rsidR="00DF4A36" w:rsidRDefault="00DF4A36">
      <w:pPr>
        <w:pStyle w:val="TableofFigures"/>
        <w:rPr>
          <w:rFonts w:asciiTheme="minorHAnsi" w:eastAsiaTheme="minorEastAsia" w:hAnsiTheme="minorHAnsi" w:cstheme="minorBidi"/>
          <w:lang w:val="en-US" w:eastAsia="en-US"/>
        </w:rPr>
      </w:pPr>
      <w:r w:rsidRPr="002A602E">
        <w:t>Table 32</w:t>
      </w:r>
      <w:r>
        <w:rPr>
          <w:rFonts w:asciiTheme="minorHAnsi" w:eastAsiaTheme="minorEastAsia" w:hAnsiTheme="minorHAnsi" w:cstheme="minorBidi"/>
          <w:lang w:val="en-US" w:eastAsia="en-US"/>
        </w:rPr>
        <w:tab/>
      </w:r>
      <w:r w:rsidRPr="002A602E">
        <w:t>Studies reporting outcomes with azathioprine</w:t>
      </w:r>
      <w:r>
        <w:rPr>
          <w:webHidden/>
        </w:rPr>
        <w:tab/>
        <w:t>100</w:t>
      </w:r>
    </w:p>
    <w:p w:rsidR="00DF4A36" w:rsidRDefault="00DF4A36">
      <w:pPr>
        <w:pStyle w:val="TableofFigures"/>
        <w:rPr>
          <w:rFonts w:asciiTheme="minorHAnsi" w:eastAsiaTheme="minorEastAsia" w:hAnsiTheme="minorHAnsi" w:cstheme="minorBidi"/>
          <w:lang w:val="en-US" w:eastAsia="en-US"/>
        </w:rPr>
      </w:pPr>
      <w:r w:rsidRPr="002A602E">
        <w:t>Table 33</w:t>
      </w:r>
      <w:r>
        <w:rPr>
          <w:rFonts w:asciiTheme="minorHAnsi" w:eastAsiaTheme="minorEastAsia" w:hAnsiTheme="minorHAnsi" w:cstheme="minorBidi"/>
          <w:lang w:val="en-US" w:eastAsia="en-US"/>
        </w:rPr>
        <w:tab/>
      </w:r>
      <w:r w:rsidRPr="002A602E">
        <w:t>Studies reporting outcomes with cyclosporin</w:t>
      </w:r>
      <w:r>
        <w:rPr>
          <w:webHidden/>
        </w:rPr>
        <w:tab/>
        <w:t>101</w:t>
      </w:r>
    </w:p>
    <w:p w:rsidR="00DF4A36" w:rsidRDefault="00DF4A36">
      <w:pPr>
        <w:pStyle w:val="TableofFigures"/>
        <w:rPr>
          <w:rFonts w:asciiTheme="minorHAnsi" w:eastAsiaTheme="minorEastAsia" w:hAnsiTheme="minorHAnsi" w:cstheme="minorBidi"/>
          <w:lang w:val="en-US" w:eastAsia="en-US"/>
        </w:rPr>
      </w:pPr>
      <w:r w:rsidRPr="002A602E">
        <w:t>Table 34</w:t>
      </w:r>
      <w:r>
        <w:rPr>
          <w:rFonts w:asciiTheme="minorHAnsi" w:eastAsiaTheme="minorEastAsia" w:hAnsiTheme="minorHAnsi" w:cstheme="minorBidi"/>
          <w:lang w:val="en-US" w:eastAsia="en-US"/>
        </w:rPr>
        <w:tab/>
      </w:r>
      <w:r w:rsidRPr="002A602E">
        <w:t>Studies reporting outcomes with cyclophosphamide</w:t>
      </w:r>
      <w:r>
        <w:rPr>
          <w:webHidden/>
        </w:rPr>
        <w:tab/>
        <w:t>101</w:t>
      </w:r>
    </w:p>
    <w:p w:rsidR="00DF4A36" w:rsidRDefault="00DF4A36">
      <w:pPr>
        <w:pStyle w:val="TableofFigures"/>
        <w:rPr>
          <w:rFonts w:asciiTheme="minorHAnsi" w:eastAsiaTheme="minorEastAsia" w:hAnsiTheme="minorHAnsi" w:cstheme="minorBidi"/>
          <w:lang w:val="en-US" w:eastAsia="en-US"/>
        </w:rPr>
      </w:pPr>
      <w:r w:rsidRPr="002A602E">
        <w:t>Table 35</w:t>
      </w:r>
      <w:r>
        <w:rPr>
          <w:rFonts w:asciiTheme="minorHAnsi" w:eastAsiaTheme="minorEastAsia" w:hAnsiTheme="minorHAnsi" w:cstheme="minorBidi"/>
          <w:lang w:val="en-US" w:eastAsia="en-US"/>
        </w:rPr>
        <w:tab/>
      </w:r>
      <w:r w:rsidRPr="002A602E">
        <w:t>Studies reporting outcomes with immunoadsorption</w:t>
      </w:r>
      <w:r>
        <w:rPr>
          <w:webHidden/>
        </w:rPr>
        <w:tab/>
        <w:t>102</w:t>
      </w:r>
    </w:p>
    <w:p w:rsidR="00DF4A36" w:rsidRDefault="00DF4A36">
      <w:pPr>
        <w:pStyle w:val="TableofFigures"/>
        <w:rPr>
          <w:rFonts w:asciiTheme="minorHAnsi" w:eastAsiaTheme="minorEastAsia" w:hAnsiTheme="minorHAnsi" w:cstheme="minorBidi"/>
          <w:lang w:val="en-US" w:eastAsia="en-US"/>
        </w:rPr>
      </w:pPr>
      <w:r w:rsidRPr="002A602E">
        <w:t>Table 36</w:t>
      </w:r>
      <w:r>
        <w:rPr>
          <w:rFonts w:asciiTheme="minorHAnsi" w:eastAsiaTheme="minorEastAsia" w:hAnsiTheme="minorHAnsi" w:cstheme="minorBidi"/>
          <w:lang w:val="en-US" w:eastAsia="en-US"/>
        </w:rPr>
        <w:tab/>
      </w:r>
      <w:r w:rsidRPr="002A602E">
        <w:t>Studies reporting outcomes with methotrexate</w:t>
      </w:r>
      <w:r>
        <w:rPr>
          <w:webHidden/>
        </w:rPr>
        <w:tab/>
        <w:t>103</w:t>
      </w:r>
    </w:p>
    <w:p w:rsidR="00DF4A36" w:rsidRDefault="00DF4A36">
      <w:pPr>
        <w:pStyle w:val="TableofFigures"/>
        <w:rPr>
          <w:rFonts w:asciiTheme="minorHAnsi" w:eastAsiaTheme="minorEastAsia" w:hAnsiTheme="minorHAnsi" w:cstheme="minorBidi"/>
          <w:lang w:val="en-US" w:eastAsia="en-US"/>
        </w:rPr>
      </w:pPr>
      <w:r w:rsidRPr="002A602E">
        <w:t>Table 37</w:t>
      </w:r>
      <w:r>
        <w:rPr>
          <w:rFonts w:asciiTheme="minorHAnsi" w:eastAsiaTheme="minorEastAsia" w:hAnsiTheme="minorHAnsi" w:cstheme="minorBidi"/>
          <w:lang w:val="en-US" w:eastAsia="en-US"/>
        </w:rPr>
        <w:tab/>
      </w:r>
      <w:r w:rsidRPr="002A602E">
        <w:t>Studies reporting outcomes with mycophenolate mofetil</w:t>
      </w:r>
      <w:r>
        <w:rPr>
          <w:webHidden/>
        </w:rPr>
        <w:tab/>
        <w:t>104</w:t>
      </w:r>
    </w:p>
    <w:p w:rsidR="00DF4A36" w:rsidRDefault="00DF4A36">
      <w:pPr>
        <w:pStyle w:val="TableofFigures"/>
        <w:rPr>
          <w:rFonts w:asciiTheme="minorHAnsi" w:eastAsiaTheme="minorEastAsia" w:hAnsiTheme="minorHAnsi" w:cstheme="minorBidi"/>
          <w:lang w:val="en-US" w:eastAsia="en-US"/>
        </w:rPr>
      </w:pPr>
      <w:r w:rsidRPr="002A602E">
        <w:t xml:space="preserve">Table 38 </w:t>
      </w:r>
      <w:r>
        <w:rPr>
          <w:rFonts w:asciiTheme="minorHAnsi" w:eastAsiaTheme="minorEastAsia" w:hAnsiTheme="minorHAnsi" w:cstheme="minorBidi"/>
          <w:lang w:val="en-US" w:eastAsia="en-US"/>
        </w:rPr>
        <w:tab/>
      </w:r>
      <w:r w:rsidRPr="002A602E">
        <w:t>Studies reporting outcomes with rituximab</w:t>
      </w:r>
      <w:r>
        <w:rPr>
          <w:webHidden/>
        </w:rPr>
        <w:tab/>
        <w:t>105</w:t>
      </w:r>
    </w:p>
    <w:p w:rsidR="00DF4A36" w:rsidRDefault="00DF4A36">
      <w:pPr>
        <w:pStyle w:val="TableofFigures"/>
        <w:rPr>
          <w:rFonts w:asciiTheme="minorHAnsi" w:eastAsiaTheme="minorEastAsia" w:hAnsiTheme="minorHAnsi" w:cstheme="minorBidi"/>
          <w:lang w:val="en-US" w:eastAsia="en-US"/>
        </w:rPr>
      </w:pPr>
      <w:r w:rsidRPr="002A602E">
        <w:t>Table 39</w:t>
      </w:r>
      <w:r>
        <w:rPr>
          <w:rFonts w:asciiTheme="minorHAnsi" w:eastAsiaTheme="minorEastAsia" w:hAnsiTheme="minorHAnsi" w:cstheme="minorBidi"/>
          <w:lang w:val="en-US" w:eastAsia="en-US"/>
        </w:rPr>
        <w:tab/>
      </w:r>
      <w:r w:rsidRPr="002A602E">
        <w:t>Adverse events reported in patients receiving IVIg (includes SCIg), steroids or plasma exchange</w:t>
      </w:r>
      <w:r>
        <w:rPr>
          <w:webHidden/>
        </w:rPr>
        <w:tab/>
        <w:t>109</w:t>
      </w:r>
    </w:p>
    <w:p w:rsidR="00DF4A36" w:rsidRDefault="00DF4A36">
      <w:pPr>
        <w:pStyle w:val="TableofFigures"/>
        <w:rPr>
          <w:rFonts w:asciiTheme="minorHAnsi" w:eastAsiaTheme="minorEastAsia" w:hAnsiTheme="minorHAnsi" w:cstheme="minorBidi"/>
          <w:lang w:val="en-US" w:eastAsia="en-US"/>
        </w:rPr>
      </w:pPr>
      <w:r w:rsidRPr="002A602E">
        <w:t>Table 40</w:t>
      </w:r>
      <w:r>
        <w:rPr>
          <w:rFonts w:asciiTheme="minorHAnsi" w:eastAsiaTheme="minorEastAsia" w:hAnsiTheme="minorHAnsi" w:cstheme="minorBidi"/>
          <w:lang w:val="en-US" w:eastAsia="en-US"/>
        </w:rPr>
        <w:tab/>
      </w:r>
      <w:r w:rsidRPr="002A602E">
        <w:t>Adverse events reported in patients receiving immunosuppressants or immunoadsorption</w:t>
      </w:r>
      <w:r>
        <w:rPr>
          <w:webHidden/>
        </w:rPr>
        <w:tab/>
        <w:t>111</w:t>
      </w:r>
    </w:p>
    <w:p w:rsidR="00DF4A36" w:rsidRDefault="00DF4A36">
      <w:pPr>
        <w:pStyle w:val="TableofFigures"/>
        <w:rPr>
          <w:rFonts w:asciiTheme="minorHAnsi" w:eastAsiaTheme="minorEastAsia" w:hAnsiTheme="minorHAnsi" w:cstheme="minorBidi"/>
          <w:lang w:val="en-US" w:eastAsia="en-US"/>
        </w:rPr>
      </w:pPr>
      <w:r w:rsidRPr="002A602E">
        <w:lastRenderedPageBreak/>
        <w:t>Table 41</w:t>
      </w:r>
      <w:r>
        <w:rPr>
          <w:rFonts w:asciiTheme="minorHAnsi" w:eastAsiaTheme="minorEastAsia" w:hAnsiTheme="minorHAnsi" w:cstheme="minorBidi"/>
          <w:lang w:val="en-US" w:eastAsia="en-US"/>
        </w:rPr>
        <w:tab/>
      </w:r>
      <w:r w:rsidRPr="002A602E">
        <w:rPr>
          <w:rFonts w:cs="Arial"/>
          <w:snapToGrid w:val="0"/>
          <w:lang w:eastAsia="en-US"/>
        </w:rPr>
        <w:t>Balance of clinical benefits and harms of Ig, relative to no treatment, as measured by the critical patient-relevant outcomes in the key studies</w:t>
      </w:r>
      <w:r>
        <w:rPr>
          <w:webHidden/>
        </w:rPr>
        <w:tab/>
        <w:t>114</w:t>
      </w:r>
    </w:p>
    <w:p w:rsidR="00DF4A36" w:rsidRDefault="00DF4A36">
      <w:pPr>
        <w:pStyle w:val="TableofFigures"/>
        <w:rPr>
          <w:rFonts w:asciiTheme="minorHAnsi" w:eastAsiaTheme="minorEastAsia" w:hAnsiTheme="minorHAnsi" w:cstheme="minorBidi"/>
          <w:lang w:val="en-US" w:eastAsia="en-US"/>
        </w:rPr>
      </w:pPr>
      <w:r w:rsidRPr="002A602E">
        <w:t>Table 42</w:t>
      </w:r>
      <w:r>
        <w:rPr>
          <w:rFonts w:asciiTheme="minorHAnsi" w:eastAsiaTheme="minorEastAsia" w:hAnsiTheme="minorHAnsi" w:cstheme="minorBidi"/>
          <w:lang w:val="en-US" w:eastAsia="en-US"/>
        </w:rPr>
        <w:tab/>
      </w:r>
      <w:r w:rsidRPr="002A602E">
        <w:t>Outline of Section C issues being addressed</w:t>
      </w:r>
      <w:r>
        <w:rPr>
          <w:webHidden/>
        </w:rPr>
        <w:tab/>
        <w:t>116</w:t>
      </w:r>
    </w:p>
    <w:p w:rsidR="00DF4A36" w:rsidRDefault="00DF4A36">
      <w:pPr>
        <w:pStyle w:val="TableofFigures"/>
        <w:rPr>
          <w:rFonts w:asciiTheme="minorHAnsi" w:eastAsiaTheme="minorEastAsia" w:hAnsiTheme="minorHAnsi" w:cstheme="minorBidi"/>
          <w:lang w:val="en-US" w:eastAsia="en-US"/>
        </w:rPr>
      </w:pPr>
      <w:r w:rsidRPr="002A602E">
        <w:t>Table 43</w:t>
      </w:r>
      <w:r>
        <w:rPr>
          <w:rFonts w:asciiTheme="minorHAnsi" w:eastAsiaTheme="minorEastAsia" w:hAnsiTheme="minorHAnsi" w:cstheme="minorBidi"/>
          <w:lang w:val="en-US" w:eastAsia="en-US"/>
        </w:rPr>
        <w:tab/>
      </w:r>
      <w:r w:rsidRPr="002A602E">
        <w:t>Features of Immunoglobulin trial patient populations</w:t>
      </w:r>
      <w:r>
        <w:rPr>
          <w:webHidden/>
        </w:rPr>
        <w:tab/>
        <w:t>117</w:t>
      </w:r>
    </w:p>
    <w:p w:rsidR="00DF4A36" w:rsidRDefault="00DF4A36">
      <w:pPr>
        <w:pStyle w:val="TableofFigures"/>
        <w:rPr>
          <w:rFonts w:asciiTheme="minorHAnsi" w:eastAsiaTheme="minorEastAsia" w:hAnsiTheme="minorHAnsi" w:cstheme="minorBidi"/>
          <w:lang w:val="en-US" w:eastAsia="en-US"/>
        </w:rPr>
      </w:pPr>
      <w:r w:rsidRPr="002A602E">
        <w:t>Table 44</w:t>
      </w:r>
      <w:r>
        <w:rPr>
          <w:rFonts w:asciiTheme="minorHAnsi" w:eastAsiaTheme="minorEastAsia" w:hAnsiTheme="minorHAnsi" w:cstheme="minorBidi"/>
          <w:lang w:val="en-US" w:eastAsia="en-US"/>
        </w:rPr>
        <w:tab/>
      </w:r>
      <w:r w:rsidRPr="002A602E">
        <w:t>McCrone et al. (2003) patient characteristics</w:t>
      </w:r>
      <w:r>
        <w:rPr>
          <w:webHidden/>
        </w:rPr>
        <w:tab/>
        <w:t>118</w:t>
      </w:r>
    </w:p>
    <w:p w:rsidR="00DF4A36" w:rsidRDefault="00DF4A36">
      <w:pPr>
        <w:pStyle w:val="TableofFigures"/>
        <w:rPr>
          <w:rFonts w:asciiTheme="minorHAnsi" w:eastAsiaTheme="minorEastAsia" w:hAnsiTheme="minorHAnsi" w:cstheme="minorBidi"/>
          <w:lang w:val="en-US" w:eastAsia="en-US"/>
        </w:rPr>
      </w:pPr>
      <w:r w:rsidRPr="002A602E">
        <w:t>Table 45</w:t>
      </w:r>
      <w:r>
        <w:rPr>
          <w:rFonts w:asciiTheme="minorHAnsi" w:eastAsiaTheme="minorEastAsia" w:hAnsiTheme="minorHAnsi" w:cstheme="minorBidi"/>
          <w:lang w:val="en-US" w:eastAsia="en-US"/>
        </w:rPr>
        <w:tab/>
      </w:r>
      <w:r w:rsidRPr="002A602E">
        <w:t>Features of Corticosteroid trial or observational study patient populations</w:t>
      </w:r>
      <w:r>
        <w:rPr>
          <w:webHidden/>
        </w:rPr>
        <w:tab/>
        <w:t>122</w:t>
      </w:r>
    </w:p>
    <w:p w:rsidR="00DF4A36" w:rsidRDefault="00DF4A36">
      <w:pPr>
        <w:pStyle w:val="TableofFigures"/>
        <w:rPr>
          <w:rFonts w:asciiTheme="minorHAnsi" w:eastAsiaTheme="minorEastAsia" w:hAnsiTheme="minorHAnsi" w:cstheme="minorBidi"/>
          <w:lang w:val="en-US" w:eastAsia="en-US"/>
        </w:rPr>
      </w:pPr>
      <w:r w:rsidRPr="002A602E">
        <w:t>Table 46</w:t>
      </w:r>
      <w:r>
        <w:rPr>
          <w:rFonts w:asciiTheme="minorHAnsi" w:eastAsiaTheme="minorEastAsia" w:hAnsiTheme="minorHAnsi" w:cstheme="minorBidi"/>
          <w:lang w:val="en-US" w:eastAsia="en-US"/>
        </w:rPr>
        <w:tab/>
      </w:r>
      <w:r w:rsidRPr="002A602E">
        <w:t>Studies on health-related quality of life in CIDP</w:t>
      </w:r>
      <w:r>
        <w:rPr>
          <w:webHidden/>
        </w:rPr>
        <w:tab/>
        <w:t>126</w:t>
      </w:r>
    </w:p>
    <w:p w:rsidR="00DF4A36" w:rsidRDefault="00DF4A36">
      <w:pPr>
        <w:pStyle w:val="TableofFigures"/>
        <w:rPr>
          <w:rFonts w:asciiTheme="minorHAnsi" w:eastAsiaTheme="minorEastAsia" w:hAnsiTheme="minorHAnsi" w:cstheme="minorBidi"/>
          <w:lang w:val="en-US" w:eastAsia="en-US"/>
        </w:rPr>
      </w:pPr>
      <w:r w:rsidRPr="002A602E">
        <w:t>Table 47</w:t>
      </w:r>
      <w:r>
        <w:rPr>
          <w:rFonts w:asciiTheme="minorHAnsi" w:eastAsiaTheme="minorEastAsia" w:hAnsiTheme="minorHAnsi" w:cstheme="minorBidi"/>
          <w:lang w:val="en-US" w:eastAsia="en-US"/>
        </w:rPr>
        <w:tab/>
      </w:r>
      <w:r w:rsidRPr="002A602E">
        <w:t>Search strategy for Australian CIDP adverse events utility literature review</w:t>
      </w:r>
      <w:r>
        <w:rPr>
          <w:webHidden/>
        </w:rPr>
        <w:tab/>
        <w:t>130</w:t>
      </w:r>
    </w:p>
    <w:p w:rsidR="00DF4A36" w:rsidRDefault="00DF4A36">
      <w:pPr>
        <w:pStyle w:val="TableofFigures"/>
        <w:rPr>
          <w:rFonts w:asciiTheme="minorHAnsi" w:eastAsiaTheme="minorEastAsia" w:hAnsiTheme="minorHAnsi" w:cstheme="minorBidi"/>
          <w:lang w:val="en-US" w:eastAsia="en-US"/>
        </w:rPr>
      </w:pPr>
      <w:r w:rsidRPr="002A602E">
        <w:t>Table 48</w:t>
      </w:r>
      <w:r>
        <w:rPr>
          <w:rFonts w:asciiTheme="minorHAnsi" w:eastAsiaTheme="minorEastAsia" w:hAnsiTheme="minorHAnsi" w:cstheme="minorBidi"/>
          <w:lang w:val="en-US" w:eastAsia="en-US"/>
        </w:rPr>
        <w:tab/>
      </w:r>
      <w:r w:rsidRPr="002A602E">
        <w:t>Results of Australian adverse events utility literature review</w:t>
      </w:r>
      <w:r>
        <w:rPr>
          <w:webHidden/>
        </w:rPr>
        <w:tab/>
        <w:t>131</w:t>
      </w:r>
    </w:p>
    <w:p w:rsidR="00DF4A36" w:rsidRDefault="00DF4A36">
      <w:pPr>
        <w:pStyle w:val="TableofFigures"/>
        <w:rPr>
          <w:rFonts w:asciiTheme="minorHAnsi" w:eastAsiaTheme="minorEastAsia" w:hAnsiTheme="minorHAnsi" w:cstheme="minorBidi"/>
          <w:lang w:val="en-US" w:eastAsia="en-US"/>
        </w:rPr>
      </w:pPr>
      <w:r w:rsidRPr="002A602E">
        <w:t>Table 49</w:t>
      </w:r>
      <w:r>
        <w:rPr>
          <w:rFonts w:asciiTheme="minorHAnsi" w:eastAsiaTheme="minorEastAsia" w:hAnsiTheme="minorHAnsi" w:cstheme="minorBidi"/>
          <w:lang w:val="en-US" w:eastAsia="en-US"/>
        </w:rPr>
        <w:tab/>
      </w:r>
      <w:r w:rsidRPr="002A602E">
        <w:t>Studies identified outlining utilities for Adverse Event states</w:t>
      </w:r>
      <w:r>
        <w:rPr>
          <w:webHidden/>
        </w:rPr>
        <w:tab/>
        <w:t>131</w:t>
      </w:r>
    </w:p>
    <w:p w:rsidR="00DF4A36" w:rsidRDefault="00DF4A36">
      <w:pPr>
        <w:pStyle w:val="TableofFigures"/>
        <w:rPr>
          <w:rFonts w:asciiTheme="minorHAnsi" w:eastAsiaTheme="minorEastAsia" w:hAnsiTheme="minorHAnsi" w:cstheme="minorBidi"/>
          <w:lang w:val="en-US" w:eastAsia="en-US"/>
        </w:rPr>
      </w:pPr>
      <w:r w:rsidRPr="002A602E">
        <w:t>Table 50</w:t>
      </w:r>
      <w:r>
        <w:rPr>
          <w:rFonts w:asciiTheme="minorHAnsi" w:eastAsiaTheme="minorEastAsia" w:hAnsiTheme="minorHAnsi" w:cstheme="minorBidi"/>
          <w:lang w:val="en-US" w:eastAsia="en-US"/>
        </w:rPr>
        <w:tab/>
      </w:r>
      <w:r w:rsidRPr="002A602E">
        <w:t>Summary of utility inputs for the Section D cost-effectiveness model</w:t>
      </w:r>
      <w:r>
        <w:rPr>
          <w:webHidden/>
        </w:rPr>
        <w:tab/>
        <w:t>136</w:t>
      </w:r>
    </w:p>
    <w:p w:rsidR="00DF4A36" w:rsidRDefault="00DF4A36">
      <w:pPr>
        <w:pStyle w:val="TableofFigures"/>
        <w:rPr>
          <w:rFonts w:asciiTheme="minorHAnsi" w:eastAsiaTheme="minorEastAsia" w:hAnsiTheme="minorHAnsi" w:cstheme="minorBidi"/>
          <w:lang w:val="en-US" w:eastAsia="en-US"/>
        </w:rPr>
      </w:pPr>
      <w:r w:rsidRPr="002A602E">
        <w:t>Table 51</w:t>
      </w:r>
      <w:r>
        <w:rPr>
          <w:rFonts w:asciiTheme="minorHAnsi" w:eastAsiaTheme="minorEastAsia" w:hAnsiTheme="minorHAnsi" w:cstheme="minorBidi"/>
          <w:lang w:val="en-US" w:eastAsia="en-US"/>
        </w:rPr>
        <w:tab/>
      </w:r>
      <w:r w:rsidRPr="002A602E">
        <w:t>Summary of response and relapse assumptions for extrapolation</w:t>
      </w:r>
      <w:r>
        <w:rPr>
          <w:webHidden/>
        </w:rPr>
        <w:tab/>
        <w:t>140</w:t>
      </w:r>
    </w:p>
    <w:p w:rsidR="00DF4A36" w:rsidRDefault="00DF4A36">
      <w:pPr>
        <w:pStyle w:val="TableofFigures"/>
        <w:rPr>
          <w:rFonts w:asciiTheme="minorHAnsi" w:eastAsiaTheme="minorEastAsia" w:hAnsiTheme="minorHAnsi" w:cstheme="minorBidi"/>
          <w:lang w:val="en-US" w:eastAsia="en-US"/>
        </w:rPr>
      </w:pPr>
      <w:r w:rsidRPr="002A602E">
        <w:t>Table 52</w:t>
      </w:r>
      <w:r>
        <w:rPr>
          <w:rFonts w:asciiTheme="minorHAnsi" w:eastAsiaTheme="minorEastAsia" w:hAnsiTheme="minorHAnsi" w:cstheme="minorBidi"/>
          <w:lang w:val="en-US" w:eastAsia="en-US"/>
        </w:rPr>
        <w:tab/>
      </w:r>
      <w:r w:rsidRPr="002A602E">
        <w:t>Summary of steroid adverse event and mortality assumptions for extrapolation</w:t>
      </w:r>
      <w:r>
        <w:rPr>
          <w:webHidden/>
        </w:rPr>
        <w:tab/>
        <w:t>141</w:t>
      </w:r>
    </w:p>
    <w:p w:rsidR="00DF4A36" w:rsidRDefault="00DF4A36">
      <w:pPr>
        <w:pStyle w:val="TableofFigures"/>
        <w:rPr>
          <w:rFonts w:asciiTheme="minorHAnsi" w:eastAsiaTheme="minorEastAsia" w:hAnsiTheme="minorHAnsi" w:cstheme="minorBidi"/>
          <w:lang w:val="en-US" w:eastAsia="en-US"/>
        </w:rPr>
      </w:pPr>
      <w:r w:rsidRPr="002A602E">
        <w:t>Table 53</w:t>
      </w:r>
      <w:r>
        <w:rPr>
          <w:rFonts w:asciiTheme="minorHAnsi" w:eastAsiaTheme="minorEastAsia" w:hAnsiTheme="minorHAnsi" w:cstheme="minorBidi"/>
          <w:lang w:val="en-US" w:eastAsia="en-US"/>
        </w:rPr>
        <w:tab/>
      </w:r>
      <w:r w:rsidRPr="002A602E">
        <w:t>Summary of results of pre-modelling studies and their uses in the economic evaluation</w:t>
      </w:r>
      <w:r>
        <w:rPr>
          <w:webHidden/>
        </w:rPr>
        <w:tab/>
        <w:t>143</w:t>
      </w:r>
    </w:p>
    <w:p w:rsidR="00DF4A36" w:rsidRDefault="00DF4A36">
      <w:pPr>
        <w:pStyle w:val="TableofFigures"/>
        <w:rPr>
          <w:rFonts w:asciiTheme="minorHAnsi" w:eastAsiaTheme="minorEastAsia" w:hAnsiTheme="minorHAnsi" w:cstheme="minorBidi"/>
          <w:lang w:val="en-US" w:eastAsia="en-US"/>
        </w:rPr>
      </w:pPr>
      <w:r w:rsidRPr="002A602E">
        <w:t>Table 54</w:t>
      </w:r>
      <w:r>
        <w:rPr>
          <w:rFonts w:asciiTheme="minorHAnsi" w:eastAsiaTheme="minorEastAsia" w:hAnsiTheme="minorHAnsi" w:cstheme="minorBidi"/>
          <w:lang w:val="en-US" w:eastAsia="en-US"/>
        </w:rPr>
        <w:tab/>
      </w:r>
      <w:r w:rsidRPr="002A602E">
        <w:t>Comparison between eligibility criteria in study and circumstances of use</w:t>
      </w:r>
      <w:r>
        <w:rPr>
          <w:webHidden/>
        </w:rPr>
        <w:tab/>
        <w:t>145</w:t>
      </w:r>
    </w:p>
    <w:p w:rsidR="00DF4A36" w:rsidRDefault="00DF4A36">
      <w:pPr>
        <w:pStyle w:val="TableofFigures"/>
        <w:rPr>
          <w:rFonts w:asciiTheme="minorHAnsi" w:eastAsiaTheme="minorEastAsia" w:hAnsiTheme="minorHAnsi" w:cstheme="minorBidi"/>
          <w:lang w:val="en-US" w:eastAsia="en-US"/>
        </w:rPr>
      </w:pPr>
      <w:r w:rsidRPr="002A602E">
        <w:t>Table 55</w:t>
      </w:r>
      <w:r>
        <w:rPr>
          <w:rFonts w:asciiTheme="minorHAnsi" w:eastAsiaTheme="minorEastAsia" w:hAnsiTheme="minorHAnsi" w:cstheme="minorBidi"/>
          <w:lang w:val="en-US" w:eastAsia="en-US"/>
        </w:rPr>
        <w:tab/>
      </w:r>
      <w:r w:rsidRPr="002A602E">
        <w:t>Summary of the economic evaluation</w:t>
      </w:r>
      <w:r>
        <w:rPr>
          <w:webHidden/>
        </w:rPr>
        <w:tab/>
        <w:t>149</w:t>
      </w:r>
    </w:p>
    <w:p w:rsidR="00DF4A36" w:rsidRDefault="00DF4A36">
      <w:pPr>
        <w:pStyle w:val="TableofFigures"/>
        <w:rPr>
          <w:rFonts w:asciiTheme="minorHAnsi" w:eastAsiaTheme="minorEastAsia" w:hAnsiTheme="minorHAnsi" w:cstheme="minorBidi"/>
          <w:lang w:val="en-US" w:eastAsia="en-US"/>
        </w:rPr>
      </w:pPr>
      <w:r w:rsidRPr="002A602E">
        <w:t>Table 56</w:t>
      </w:r>
      <w:r>
        <w:rPr>
          <w:rFonts w:asciiTheme="minorHAnsi" w:eastAsiaTheme="minorEastAsia" w:hAnsiTheme="minorHAnsi" w:cstheme="minorBidi"/>
          <w:lang w:val="en-US" w:eastAsia="en-US"/>
        </w:rPr>
        <w:tab/>
      </w:r>
      <w:r w:rsidRPr="002A602E">
        <w:t>Search terms used</w:t>
      </w:r>
      <w:r>
        <w:rPr>
          <w:webHidden/>
        </w:rPr>
        <w:tab/>
        <w:t>150</w:t>
      </w:r>
    </w:p>
    <w:p w:rsidR="00DF4A36" w:rsidRDefault="00DF4A36">
      <w:pPr>
        <w:pStyle w:val="TableofFigures"/>
        <w:rPr>
          <w:rFonts w:asciiTheme="minorHAnsi" w:eastAsiaTheme="minorEastAsia" w:hAnsiTheme="minorHAnsi" w:cstheme="minorBidi"/>
          <w:lang w:val="en-US" w:eastAsia="en-US"/>
        </w:rPr>
      </w:pPr>
      <w:r w:rsidRPr="002A602E">
        <w:t>Table 57</w:t>
      </w:r>
      <w:r>
        <w:rPr>
          <w:rFonts w:asciiTheme="minorHAnsi" w:eastAsiaTheme="minorEastAsia" w:hAnsiTheme="minorHAnsi" w:cstheme="minorBidi"/>
          <w:lang w:val="en-US" w:eastAsia="en-US"/>
        </w:rPr>
        <w:tab/>
      </w:r>
      <w:r w:rsidRPr="002A602E">
        <w:t>Summary of the process used to identify and select studies for the economic evaluation</w:t>
      </w:r>
      <w:r>
        <w:rPr>
          <w:webHidden/>
        </w:rPr>
        <w:tab/>
        <w:t>150</w:t>
      </w:r>
    </w:p>
    <w:p w:rsidR="00DF4A36" w:rsidRDefault="00DF4A36">
      <w:pPr>
        <w:pStyle w:val="TableofFigures"/>
        <w:rPr>
          <w:rFonts w:asciiTheme="minorHAnsi" w:eastAsiaTheme="minorEastAsia" w:hAnsiTheme="minorHAnsi" w:cstheme="minorBidi"/>
          <w:lang w:val="en-US" w:eastAsia="en-US"/>
        </w:rPr>
      </w:pPr>
      <w:r w:rsidRPr="002A602E">
        <w:t>Table 58</w:t>
      </w:r>
      <w:r>
        <w:rPr>
          <w:rFonts w:asciiTheme="minorHAnsi" w:eastAsiaTheme="minorEastAsia" w:hAnsiTheme="minorHAnsi" w:cstheme="minorBidi"/>
          <w:lang w:val="en-US" w:eastAsia="en-US"/>
        </w:rPr>
        <w:tab/>
      </w:r>
      <w:r w:rsidRPr="002A602E">
        <w:t>Economic models assessing CIDP treatment</w:t>
      </w:r>
      <w:r>
        <w:rPr>
          <w:webHidden/>
        </w:rPr>
        <w:tab/>
        <w:t>151</w:t>
      </w:r>
    </w:p>
    <w:p w:rsidR="00DF4A36" w:rsidRDefault="00DF4A36">
      <w:pPr>
        <w:pStyle w:val="TableofFigures"/>
        <w:rPr>
          <w:rFonts w:asciiTheme="minorHAnsi" w:eastAsiaTheme="minorEastAsia" w:hAnsiTheme="minorHAnsi" w:cstheme="minorBidi"/>
          <w:lang w:val="en-US" w:eastAsia="en-US"/>
        </w:rPr>
      </w:pPr>
      <w:r w:rsidRPr="002A602E">
        <w:t>Table 59</w:t>
      </w:r>
      <w:r>
        <w:rPr>
          <w:rFonts w:asciiTheme="minorHAnsi" w:eastAsiaTheme="minorEastAsia" w:hAnsiTheme="minorHAnsi" w:cstheme="minorBidi"/>
          <w:lang w:val="en-US" w:eastAsia="en-US"/>
        </w:rPr>
        <w:tab/>
      </w:r>
      <w:r w:rsidRPr="002A602E">
        <w:t>Six-week cost (€, 2000-01 prices) of services at baseline and during first treatment period</w:t>
      </w:r>
      <w:r>
        <w:rPr>
          <w:webHidden/>
        </w:rPr>
        <w:tab/>
        <w:t>153</w:t>
      </w:r>
    </w:p>
    <w:p w:rsidR="00DF4A36" w:rsidRDefault="00DF4A36">
      <w:pPr>
        <w:pStyle w:val="TableofFigures"/>
        <w:rPr>
          <w:rFonts w:asciiTheme="minorHAnsi" w:eastAsiaTheme="minorEastAsia" w:hAnsiTheme="minorHAnsi" w:cstheme="minorBidi"/>
          <w:lang w:val="en-US" w:eastAsia="en-US"/>
        </w:rPr>
      </w:pPr>
      <w:r w:rsidRPr="002A602E">
        <w:t>Table 60</w:t>
      </w:r>
      <w:r>
        <w:rPr>
          <w:rFonts w:asciiTheme="minorHAnsi" w:eastAsiaTheme="minorEastAsia" w:hAnsiTheme="minorHAnsi" w:cstheme="minorBidi"/>
          <w:lang w:val="en-US" w:eastAsia="en-US"/>
        </w:rPr>
        <w:tab/>
      </w:r>
      <w:r w:rsidRPr="002A602E">
        <w:t>Costs of IVIg and SCIg (</w:t>
      </w:r>
      <w:r w:rsidRPr="002A602E">
        <w:rPr>
          <w:rFonts w:cs="Calibri"/>
        </w:rPr>
        <w:t>€)</w:t>
      </w:r>
      <w:r>
        <w:rPr>
          <w:webHidden/>
        </w:rPr>
        <w:tab/>
        <w:t>154</w:t>
      </w:r>
    </w:p>
    <w:p w:rsidR="00DF4A36" w:rsidRDefault="00DF4A36">
      <w:pPr>
        <w:pStyle w:val="TableofFigures"/>
        <w:rPr>
          <w:rFonts w:asciiTheme="minorHAnsi" w:eastAsiaTheme="minorEastAsia" w:hAnsiTheme="minorHAnsi" w:cstheme="minorBidi"/>
          <w:lang w:val="en-US" w:eastAsia="en-US"/>
        </w:rPr>
      </w:pPr>
      <w:r w:rsidRPr="002A602E">
        <w:t>Table 61</w:t>
      </w:r>
      <w:r>
        <w:rPr>
          <w:rFonts w:asciiTheme="minorHAnsi" w:eastAsiaTheme="minorEastAsia" w:hAnsiTheme="minorHAnsi" w:cstheme="minorBidi"/>
          <w:lang w:val="en-US" w:eastAsia="en-US"/>
        </w:rPr>
        <w:tab/>
      </w:r>
      <w:r w:rsidRPr="002A602E">
        <w:t>Quality of life evaluation of different modalities of immunoglobulin therapy</w:t>
      </w:r>
      <w:r>
        <w:rPr>
          <w:webHidden/>
        </w:rPr>
        <w:tab/>
        <w:t>155</w:t>
      </w:r>
    </w:p>
    <w:p w:rsidR="00DF4A36" w:rsidRDefault="00DF4A36">
      <w:pPr>
        <w:pStyle w:val="TableofFigures"/>
        <w:rPr>
          <w:rFonts w:asciiTheme="minorHAnsi" w:eastAsiaTheme="minorEastAsia" w:hAnsiTheme="minorHAnsi" w:cstheme="minorBidi"/>
          <w:lang w:val="en-US" w:eastAsia="en-US"/>
        </w:rPr>
      </w:pPr>
      <w:r w:rsidRPr="002A602E">
        <w:t>Table 62</w:t>
      </w:r>
      <w:r>
        <w:rPr>
          <w:rFonts w:asciiTheme="minorHAnsi" w:eastAsiaTheme="minorEastAsia" w:hAnsiTheme="minorHAnsi" w:cstheme="minorBidi"/>
          <w:lang w:val="en-US" w:eastAsia="en-US"/>
        </w:rPr>
        <w:tab/>
      </w:r>
      <w:r w:rsidRPr="002A602E">
        <w:t>Ig economic studies included in Membe et al. (2008)</w:t>
      </w:r>
      <w:r>
        <w:rPr>
          <w:webHidden/>
        </w:rPr>
        <w:tab/>
        <w:t>156</w:t>
      </w:r>
    </w:p>
    <w:p w:rsidR="00DF4A36" w:rsidRDefault="00DF4A36">
      <w:pPr>
        <w:pStyle w:val="TableofFigures"/>
        <w:rPr>
          <w:rFonts w:asciiTheme="minorHAnsi" w:eastAsiaTheme="minorEastAsia" w:hAnsiTheme="minorHAnsi" w:cstheme="minorBidi"/>
          <w:lang w:val="en-US" w:eastAsia="en-US"/>
        </w:rPr>
      </w:pPr>
      <w:r w:rsidRPr="002A602E">
        <w:t>Table 63</w:t>
      </w:r>
      <w:r>
        <w:rPr>
          <w:rFonts w:asciiTheme="minorHAnsi" w:eastAsiaTheme="minorEastAsia" w:hAnsiTheme="minorHAnsi" w:cstheme="minorBidi"/>
          <w:lang w:val="en-US" w:eastAsia="en-US"/>
        </w:rPr>
        <w:tab/>
      </w:r>
      <w:r w:rsidRPr="002A602E">
        <w:t>Health resource identification and quantification (Lazzaro et al, 2014)</w:t>
      </w:r>
      <w:r>
        <w:rPr>
          <w:webHidden/>
        </w:rPr>
        <w:tab/>
        <w:t>157</w:t>
      </w:r>
    </w:p>
    <w:p w:rsidR="00DF4A36" w:rsidRDefault="00DF4A36">
      <w:pPr>
        <w:pStyle w:val="TableofFigures"/>
        <w:rPr>
          <w:rFonts w:asciiTheme="minorHAnsi" w:eastAsiaTheme="minorEastAsia" w:hAnsiTheme="minorHAnsi" w:cstheme="minorBidi"/>
          <w:lang w:val="en-US" w:eastAsia="en-US"/>
        </w:rPr>
      </w:pPr>
      <w:r w:rsidRPr="002A602E">
        <w:lastRenderedPageBreak/>
        <w:t>Table 64</w:t>
      </w:r>
      <w:r>
        <w:rPr>
          <w:rFonts w:asciiTheme="minorHAnsi" w:eastAsiaTheme="minorEastAsia" w:hAnsiTheme="minorHAnsi" w:cstheme="minorBidi"/>
          <w:lang w:val="en-US" w:eastAsia="en-US"/>
        </w:rPr>
        <w:tab/>
      </w:r>
      <w:r w:rsidRPr="002A602E">
        <w:t>Demographic characteristics and clinical characteristics in the 6-month pre-index period and 2-year follow-up</w:t>
      </w:r>
      <w:r>
        <w:rPr>
          <w:webHidden/>
        </w:rPr>
        <w:tab/>
        <w:t>160</w:t>
      </w:r>
    </w:p>
    <w:p w:rsidR="00DF4A36" w:rsidRDefault="00DF4A36">
      <w:pPr>
        <w:pStyle w:val="TableofFigures"/>
        <w:rPr>
          <w:rFonts w:asciiTheme="minorHAnsi" w:eastAsiaTheme="minorEastAsia" w:hAnsiTheme="minorHAnsi" w:cstheme="minorBidi"/>
          <w:lang w:val="en-US" w:eastAsia="en-US"/>
        </w:rPr>
      </w:pPr>
      <w:r w:rsidRPr="002A602E">
        <w:t>Table 65</w:t>
      </w:r>
      <w:r>
        <w:rPr>
          <w:rFonts w:asciiTheme="minorHAnsi" w:eastAsiaTheme="minorEastAsia" w:hAnsiTheme="minorHAnsi" w:cstheme="minorBidi"/>
          <w:lang w:val="en-US" w:eastAsia="en-US"/>
        </w:rPr>
        <w:tab/>
      </w:r>
      <w:r w:rsidRPr="002A602E">
        <w:t>Healthcare cost (US$) per patient over the 2-year follow-up</w:t>
      </w:r>
      <w:r>
        <w:rPr>
          <w:webHidden/>
        </w:rPr>
        <w:tab/>
        <w:t>161</w:t>
      </w:r>
    </w:p>
    <w:p w:rsidR="00DF4A36" w:rsidRDefault="00DF4A36">
      <w:pPr>
        <w:pStyle w:val="TableofFigures"/>
        <w:rPr>
          <w:rFonts w:asciiTheme="minorHAnsi" w:eastAsiaTheme="minorEastAsia" w:hAnsiTheme="minorHAnsi" w:cstheme="minorBidi"/>
          <w:lang w:val="en-US" w:eastAsia="en-US"/>
        </w:rPr>
      </w:pPr>
      <w:r w:rsidRPr="002A602E">
        <w:t>Table 66</w:t>
      </w:r>
      <w:r>
        <w:rPr>
          <w:rFonts w:asciiTheme="minorHAnsi" w:eastAsiaTheme="minorEastAsia" w:hAnsiTheme="minorHAnsi" w:cstheme="minorBidi"/>
          <w:lang w:val="en-US" w:eastAsia="en-US"/>
        </w:rPr>
        <w:tab/>
      </w:r>
      <w:r w:rsidRPr="002A602E">
        <w:t>Responses to each of the domains of the EuroQoL</w:t>
      </w:r>
      <w:r>
        <w:rPr>
          <w:webHidden/>
        </w:rPr>
        <w:tab/>
        <w:t>162</w:t>
      </w:r>
    </w:p>
    <w:p w:rsidR="00DF4A36" w:rsidRDefault="00DF4A36">
      <w:pPr>
        <w:pStyle w:val="TableofFigures"/>
        <w:rPr>
          <w:rFonts w:asciiTheme="minorHAnsi" w:eastAsiaTheme="minorEastAsia" w:hAnsiTheme="minorHAnsi" w:cstheme="minorBidi"/>
          <w:lang w:val="en-US" w:eastAsia="en-US"/>
        </w:rPr>
      </w:pPr>
      <w:r w:rsidRPr="002A602E">
        <w:t>Table 67</w:t>
      </w:r>
      <w:r>
        <w:rPr>
          <w:rFonts w:asciiTheme="minorHAnsi" w:eastAsiaTheme="minorEastAsia" w:hAnsiTheme="minorHAnsi" w:cstheme="minorBidi"/>
          <w:lang w:val="en-US" w:eastAsia="en-US"/>
        </w:rPr>
        <w:tab/>
      </w:r>
      <w:r w:rsidRPr="002A602E">
        <w:t>The annual cost of the components of healthcare provision, social services and productivity per patient</w:t>
      </w:r>
      <w:r>
        <w:rPr>
          <w:webHidden/>
        </w:rPr>
        <w:tab/>
        <w:t>163</w:t>
      </w:r>
    </w:p>
    <w:p w:rsidR="00DF4A36" w:rsidRDefault="00DF4A36">
      <w:pPr>
        <w:pStyle w:val="TableofFigures"/>
        <w:rPr>
          <w:rFonts w:asciiTheme="minorHAnsi" w:eastAsiaTheme="minorEastAsia" w:hAnsiTheme="minorHAnsi" w:cstheme="minorBidi"/>
          <w:lang w:val="en-US" w:eastAsia="en-US"/>
        </w:rPr>
      </w:pPr>
      <w:r w:rsidRPr="002A602E">
        <w:t>Table 68</w:t>
      </w:r>
      <w:r>
        <w:rPr>
          <w:rFonts w:asciiTheme="minorHAnsi" w:eastAsiaTheme="minorEastAsia" w:hAnsiTheme="minorHAnsi" w:cstheme="minorBidi"/>
          <w:lang w:val="en-US" w:eastAsia="en-US"/>
        </w:rPr>
        <w:tab/>
      </w:r>
      <w:r w:rsidRPr="002A602E">
        <w:t>Economic model health states</w:t>
      </w:r>
      <w:r>
        <w:rPr>
          <w:webHidden/>
        </w:rPr>
        <w:tab/>
        <w:t>169</w:t>
      </w:r>
    </w:p>
    <w:p w:rsidR="00DF4A36" w:rsidRDefault="00DF4A36">
      <w:pPr>
        <w:pStyle w:val="TableofFigures"/>
        <w:rPr>
          <w:rFonts w:asciiTheme="minorHAnsi" w:eastAsiaTheme="minorEastAsia" w:hAnsiTheme="minorHAnsi" w:cstheme="minorBidi"/>
          <w:lang w:val="en-US" w:eastAsia="en-US"/>
        </w:rPr>
      </w:pPr>
      <w:r w:rsidRPr="002A602E">
        <w:t>Table 69</w:t>
      </w:r>
      <w:r>
        <w:rPr>
          <w:rFonts w:asciiTheme="minorHAnsi" w:eastAsiaTheme="minorEastAsia" w:hAnsiTheme="minorHAnsi" w:cstheme="minorBidi"/>
          <w:lang w:val="en-US" w:eastAsia="en-US"/>
        </w:rPr>
        <w:tab/>
      </w:r>
      <w:r w:rsidRPr="002A602E">
        <w:t>Baseline patient and disease characteristics of the modelled patient cohort</w:t>
      </w:r>
      <w:r>
        <w:rPr>
          <w:webHidden/>
        </w:rPr>
        <w:tab/>
        <w:t>170</w:t>
      </w:r>
    </w:p>
    <w:p w:rsidR="00DF4A36" w:rsidRDefault="00DF4A36">
      <w:pPr>
        <w:pStyle w:val="TableofFigures"/>
        <w:rPr>
          <w:rFonts w:asciiTheme="minorHAnsi" w:eastAsiaTheme="minorEastAsia" w:hAnsiTheme="minorHAnsi" w:cstheme="minorBidi"/>
          <w:lang w:val="en-US" w:eastAsia="en-US"/>
        </w:rPr>
      </w:pPr>
      <w:r w:rsidRPr="002A602E">
        <w:t>Table 70</w:t>
      </w:r>
      <w:r>
        <w:rPr>
          <w:rFonts w:asciiTheme="minorHAnsi" w:eastAsiaTheme="minorEastAsia" w:hAnsiTheme="minorHAnsi" w:cstheme="minorBidi"/>
          <w:lang w:val="en-US" w:eastAsia="en-US"/>
        </w:rPr>
        <w:tab/>
      </w:r>
      <w:r w:rsidRPr="002A602E">
        <w:t>Health state transition probabilities</w:t>
      </w:r>
      <w:r>
        <w:rPr>
          <w:webHidden/>
        </w:rPr>
        <w:tab/>
        <w:t>171</w:t>
      </w:r>
    </w:p>
    <w:p w:rsidR="00DF4A36" w:rsidRDefault="00DF4A36">
      <w:pPr>
        <w:pStyle w:val="TableofFigures"/>
        <w:rPr>
          <w:rFonts w:asciiTheme="minorHAnsi" w:eastAsiaTheme="minorEastAsia" w:hAnsiTheme="minorHAnsi" w:cstheme="minorBidi"/>
          <w:lang w:val="en-US" w:eastAsia="en-US"/>
        </w:rPr>
      </w:pPr>
      <w:r w:rsidRPr="002A602E">
        <w:t>Table 71</w:t>
      </w:r>
      <w:r>
        <w:rPr>
          <w:rFonts w:asciiTheme="minorHAnsi" w:eastAsiaTheme="minorEastAsia" w:hAnsiTheme="minorHAnsi" w:cstheme="minorBidi"/>
          <w:lang w:val="en-US" w:eastAsia="en-US"/>
        </w:rPr>
        <w:tab/>
      </w:r>
      <w:r w:rsidRPr="002A602E">
        <w:t>Resources associated with IVIg</w:t>
      </w:r>
      <w:r>
        <w:rPr>
          <w:webHidden/>
        </w:rPr>
        <w:tab/>
        <w:t>177</w:t>
      </w:r>
    </w:p>
    <w:p w:rsidR="00DF4A36" w:rsidRDefault="00DF4A36">
      <w:pPr>
        <w:pStyle w:val="TableofFigures"/>
        <w:rPr>
          <w:rFonts w:asciiTheme="minorHAnsi" w:eastAsiaTheme="minorEastAsia" w:hAnsiTheme="minorHAnsi" w:cstheme="minorBidi"/>
          <w:lang w:val="en-US" w:eastAsia="en-US"/>
        </w:rPr>
      </w:pPr>
      <w:r w:rsidRPr="002A602E">
        <w:t>Table 72</w:t>
      </w:r>
      <w:r>
        <w:rPr>
          <w:rFonts w:asciiTheme="minorHAnsi" w:eastAsiaTheme="minorEastAsia" w:hAnsiTheme="minorHAnsi" w:cstheme="minorBidi"/>
          <w:lang w:val="en-US" w:eastAsia="en-US"/>
        </w:rPr>
        <w:tab/>
      </w:r>
      <w:r w:rsidRPr="002A602E">
        <w:t>Resources associated with corticosteroids</w:t>
      </w:r>
      <w:r>
        <w:rPr>
          <w:webHidden/>
        </w:rPr>
        <w:tab/>
        <w:t>180</w:t>
      </w:r>
    </w:p>
    <w:p w:rsidR="00DF4A36" w:rsidRDefault="00DF4A36">
      <w:pPr>
        <w:pStyle w:val="TableofFigures"/>
        <w:rPr>
          <w:rFonts w:asciiTheme="minorHAnsi" w:eastAsiaTheme="minorEastAsia" w:hAnsiTheme="minorHAnsi" w:cstheme="minorBidi"/>
          <w:lang w:val="en-US" w:eastAsia="en-US"/>
        </w:rPr>
      </w:pPr>
      <w:r w:rsidRPr="002A602E">
        <w:t>Table 73</w:t>
      </w:r>
      <w:r>
        <w:rPr>
          <w:rFonts w:asciiTheme="minorHAnsi" w:eastAsiaTheme="minorEastAsia" w:hAnsiTheme="minorHAnsi" w:cstheme="minorBidi"/>
          <w:lang w:val="en-US" w:eastAsia="en-US"/>
        </w:rPr>
        <w:tab/>
      </w:r>
      <w:r w:rsidRPr="002A602E">
        <w:t>Costs of Azathioprine regimen for steroid non-responders</w:t>
      </w:r>
      <w:r>
        <w:rPr>
          <w:webHidden/>
        </w:rPr>
        <w:tab/>
        <w:t>184</w:t>
      </w:r>
    </w:p>
    <w:p w:rsidR="00DF4A36" w:rsidRDefault="00DF4A36">
      <w:pPr>
        <w:pStyle w:val="TableofFigures"/>
        <w:rPr>
          <w:rFonts w:asciiTheme="minorHAnsi" w:eastAsiaTheme="minorEastAsia" w:hAnsiTheme="minorHAnsi" w:cstheme="minorBidi"/>
          <w:lang w:val="en-US" w:eastAsia="en-US"/>
        </w:rPr>
      </w:pPr>
      <w:r w:rsidRPr="002A602E">
        <w:t>Table 74</w:t>
      </w:r>
      <w:r>
        <w:rPr>
          <w:rFonts w:asciiTheme="minorHAnsi" w:eastAsiaTheme="minorEastAsia" w:hAnsiTheme="minorHAnsi" w:cstheme="minorBidi"/>
          <w:lang w:val="en-US" w:eastAsia="en-US"/>
        </w:rPr>
        <w:tab/>
      </w:r>
      <w:r w:rsidRPr="002A602E">
        <w:t>Corticosteroid adverse event costs</w:t>
      </w:r>
      <w:r>
        <w:rPr>
          <w:webHidden/>
        </w:rPr>
        <w:tab/>
        <w:t>186</w:t>
      </w:r>
    </w:p>
    <w:p w:rsidR="00DF4A36" w:rsidRDefault="00DF4A36">
      <w:pPr>
        <w:pStyle w:val="TableofFigures"/>
        <w:rPr>
          <w:rFonts w:asciiTheme="minorHAnsi" w:eastAsiaTheme="minorEastAsia" w:hAnsiTheme="minorHAnsi" w:cstheme="minorBidi"/>
          <w:lang w:val="en-US" w:eastAsia="en-US"/>
        </w:rPr>
      </w:pPr>
      <w:r w:rsidRPr="002A602E">
        <w:t>Table 75</w:t>
      </w:r>
      <w:r>
        <w:rPr>
          <w:rFonts w:asciiTheme="minorHAnsi" w:eastAsiaTheme="minorEastAsia" w:hAnsiTheme="minorHAnsi" w:cstheme="minorBidi"/>
          <w:lang w:val="en-US" w:eastAsia="en-US"/>
        </w:rPr>
        <w:tab/>
      </w:r>
      <w:r w:rsidRPr="002A602E">
        <w:t>Azathioprine immunosuppressant non-response and disabled costs</w:t>
      </w:r>
      <w:r>
        <w:rPr>
          <w:webHidden/>
        </w:rPr>
        <w:tab/>
        <w:t>190</w:t>
      </w:r>
    </w:p>
    <w:p w:rsidR="00DF4A36" w:rsidRDefault="00DF4A36">
      <w:pPr>
        <w:pStyle w:val="TableofFigures"/>
        <w:rPr>
          <w:rFonts w:asciiTheme="minorHAnsi" w:eastAsiaTheme="minorEastAsia" w:hAnsiTheme="minorHAnsi" w:cstheme="minorBidi"/>
          <w:lang w:val="en-US" w:eastAsia="en-US"/>
        </w:rPr>
      </w:pPr>
      <w:r w:rsidRPr="002A602E">
        <w:t>Table 76</w:t>
      </w:r>
      <w:r>
        <w:rPr>
          <w:rFonts w:asciiTheme="minorHAnsi" w:eastAsiaTheme="minorEastAsia" w:hAnsiTheme="minorHAnsi" w:cstheme="minorBidi"/>
          <w:lang w:val="en-US" w:eastAsia="en-US"/>
        </w:rPr>
        <w:tab/>
      </w:r>
      <w:r w:rsidRPr="002A602E">
        <w:t>Utility value used in the model</w:t>
      </w:r>
      <w:r>
        <w:rPr>
          <w:webHidden/>
        </w:rPr>
        <w:tab/>
        <w:t>191</w:t>
      </w:r>
    </w:p>
    <w:p w:rsidR="00DF4A36" w:rsidRDefault="00DF4A36">
      <w:pPr>
        <w:pStyle w:val="TableofFigures"/>
        <w:rPr>
          <w:rFonts w:asciiTheme="minorHAnsi" w:eastAsiaTheme="minorEastAsia" w:hAnsiTheme="minorHAnsi" w:cstheme="minorBidi"/>
          <w:lang w:val="en-US" w:eastAsia="en-US"/>
        </w:rPr>
      </w:pPr>
      <w:r w:rsidRPr="002A602E">
        <w:t>Table 77</w:t>
      </w:r>
      <w:r>
        <w:rPr>
          <w:rFonts w:asciiTheme="minorHAnsi" w:eastAsiaTheme="minorEastAsia" w:hAnsiTheme="minorHAnsi" w:cstheme="minorBidi"/>
          <w:lang w:val="en-US" w:eastAsia="en-US"/>
        </w:rPr>
        <w:tab/>
      </w:r>
      <w:r w:rsidRPr="002A602E">
        <w:rPr>
          <w:lang w:eastAsia="en-GB"/>
        </w:rPr>
        <w:t>Health care costs by resource type for IVIg trial analysis (average per patient)</w:t>
      </w:r>
      <w:r>
        <w:rPr>
          <w:webHidden/>
        </w:rPr>
        <w:tab/>
        <w:t>192</w:t>
      </w:r>
    </w:p>
    <w:p w:rsidR="00DF4A36" w:rsidRDefault="00DF4A36">
      <w:pPr>
        <w:pStyle w:val="TableofFigures"/>
        <w:rPr>
          <w:rFonts w:asciiTheme="minorHAnsi" w:eastAsiaTheme="minorEastAsia" w:hAnsiTheme="minorHAnsi" w:cstheme="minorBidi"/>
          <w:lang w:val="en-US" w:eastAsia="en-US"/>
        </w:rPr>
      </w:pPr>
      <w:r w:rsidRPr="002A602E">
        <w:t>Table 78</w:t>
      </w:r>
      <w:r>
        <w:rPr>
          <w:rFonts w:asciiTheme="minorHAnsi" w:eastAsiaTheme="minorEastAsia" w:hAnsiTheme="minorHAnsi" w:cstheme="minorBidi"/>
          <w:lang w:val="en-US" w:eastAsia="en-US"/>
        </w:rPr>
        <w:tab/>
      </w:r>
      <w:r w:rsidRPr="002A602E">
        <w:rPr>
          <w:lang w:eastAsia="en-GB"/>
        </w:rPr>
        <w:t>Health care costs by resource type for IVIg 10-year extrapolated analysis (average per patient)</w:t>
      </w:r>
      <w:r>
        <w:rPr>
          <w:webHidden/>
        </w:rPr>
        <w:tab/>
        <w:t>193</w:t>
      </w:r>
    </w:p>
    <w:p w:rsidR="00DF4A36" w:rsidRDefault="00DF4A36">
      <w:pPr>
        <w:pStyle w:val="TableofFigures"/>
        <w:rPr>
          <w:rFonts w:asciiTheme="minorHAnsi" w:eastAsiaTheme="minorEastAsia" w:hAnsiTheme="minorHAnsi" w:cstheme="minorBidi"/>
          <w:lang w:val="en-US" w:eastAsia="en-US"/>
        </w:rPr>
      </w:pPr>
      <w:r w:rsidRPr="002A602E">
        <w:t>Table 79</w:t>
      </w:r>
      <w:r>
        <w:rPr>
          <w:rFonts w:asciiTheme="minorHAnsi" w:eastAsiaTheme="minorEastAsia" w:hAnsiTheme="minorHAnsi" w:cstheme="minorBidi"/>
          <w:lang w:val="en-US" w:eastAsia="en-US"/>
        </w:rPr>
        <w:tab/>
      </w:r>
      <w:r w:rsidRPr="002A602E">
        <w:t>Average patient h</w:t>
      </w:r>
      <w:r w:rsidRPr="002A602E">
        <w:rPr>
          <w:lang w:eastAsia="en-GB"/>
        </w:rPr>
        <w:t>ealth outcomes by health state and by outcome measure for trial analysis</w:t>
      </w:r>
      <w:r>
        <w:rPr>
          <w:webHidden/>
        </w:rPr>
        <w:tab/>
        <w:t>194</w:t>
      </w:r>
    </w:p>
    <w:p w:rsidR="00DF4A36" w:rsidRDefault="00DF4A36">
      <w:pPr>
        <w:pStyle w:val="TableofFigures"/>
        <w:rPr>
          <w:rFonts w:asciiTheme="minorHAnsi" w:eastAsiaTheme="minorEastAsia" w:hAnsiTheme="minorHAnsi" w:cstheme="minorBidi"/>
          <w:lang w:val="en-US" w:eastAsia="en-US"/>
        </w:rPr>
      </w:pPr>
      <w:r w:rsidRPr="002A602E">
        <w:t>Table 80</w:t>
      </w:r>
      <w:r>
        <w:rPr>
          <w:rFonts w:asciiTheme="minorHAnsi" w:eastAsiaTheme="minorEastAsia" w:hAnsiTheme="minorHAnsi" w:cstheme="minorBidi"/>
          <w:lang w:val="en-US" w:eastAsia="en-US"/>
        </w:rPr>
        <w:tab/>
      </w:r>
      <w:r w:rsidRPr="002A602E">
        <w:rPr>
          <w:lang w:eastAsia="en-GB"/>
        </w:rPr>
        <w:t>Health outcomes for 10-year analysis (per patient)</w:t>
      </w:r>
      <w:r>
        <w:rPr>
          <w:webHidden/>
        </w:rPr>
        <w:tab/>
        <w:t>195</w:t>
      </w:r>
    </w:p>
    <w:p w:rsidR="00DF4A36" w:rsidRDefault="00DF4A36">
      <w:pPr>
        <w:pStyle w:val="TableofFigures"/>
        <w:rPr>
          <w:rFonts w:asciiTheme="minorHAnsi" w:eastAsiaTheme="minorEastAsia" w:hAnsiTheme="minorHAnsi" w:cstheme="minorBidi"/>
          <w:lang w:val="en-US" w:eastAsia="en-US"/>
        </w:rPr>
      </w:pPr>
      <w:r w:rsidRPr="002A602E">
        <w:t>Table 81</w:t>
      </w:r>
      <w:r>
        <w:rPr>
          <w:rFonts w:asciiTheme="minorHAnsi" w:eastAsiaTheme="minorEastAsia" w:hAnsiTheme="minorHAnsi" w:cstheme="minorBidi"/>
          <w:lang w:val="en-US" w:eastAsia="en-US"/>
        </w:rPr>
        <w:tab/>
      </w:r>
      <w:r w:rsidRPr="002A602E">
        <w:t>Incremental cost-effectiveness ratio of IVIg versus corticosteroids (average patient)</w:t>
      </w:r>
      <w:r>
        <w:rPr>
          <w:webHidden/>
        </w:rPr>
        <w:tab/>
        <w:t>196</w:t>
      </w:r>
    </w:p>
    <w:p w:rsidR="00DF4A36" w:rsidRDefault="00DF4A36">
      <w:pPr>
        <w:pStyle w:val="TableofFigures"/>
        <w:rPr>
          <w:rFonts w:asciiTheme="minorHAnsi" w:eastAsiaTheme="minorEastAsia" w:hAnsiTheme="minorHAnsi" w:cstheme="minorBidi"/>
          <w:lang w:val="en-US" w:eastAsia="en-US"/>
        </w:rPr>
      </w:pPr>
      <w:r w:rsidRPr="002A602E">
        <w:t>Table 82</w:t>
      </w:r>
      <w:r>
        <w:rPr>
          <w:rFonts w:asciiTheme="minorHAnsi" w:eastAsiaTheme="minorEastAsia" w:hAnsiTheme="minorHAnsi" w:cstheme="minorBidi"/>
          <w:lang w:val="en-US" w:eastAsia="en-US"/>
        </w:rPr>
        <w:tab/>
      </w:r>
      <w:r w:rsidRPr="002A602E">
        <w:t>Sensitivity analysis for IVIg versus corticosteroids 10-year analysis</w:t>
      </w:r>
      <w:r>
        <w:rPr>
          <w:webHidden/>
        </w:rPr>
        <w:tab/>
        <w:t>197</w:t>
      </w:r>
    </w:p>
    <w:p w:rsidR="00DF4A36" w:rsidRDefault="00DF4A36">
      <w:pPr>
        <w:pStyle w:val="TableofFigures"/>
        <w:rPr>
          <w:rFonts w:asciiTheme="minorHAnsi" w:eastAsiaTheme="minorEastAsia" w:hAnsiTheme="minorHAnsi" w:cstheme="minorBidi"/>
          <w:lang w:val="en-US" w:eastAsia="en-US"/>
        </w:rPr>
      </w:pPr>
      <w:r w:rsidRPr="002A602E">
        <w:t>Table 83</w:t>
      </w:r>
      <w:r>
        <w:rPr>
          <w:rFonts w:asciiTheme="minorHAnsi" w:eastAsiaTheme="minorEastAsia" w:hAnsiTheme="minorHAnsi" w:cstheme="minorBidi"/>
          <w:lang w:val="en-US" w:eastAsia="en-US"/>
        </w:rPr>
        <w:tab/>
      </w:r>
      <w:r w:rsidRPr="002A602E">
        <w:t>Resources associated with SCIg</w:t>
      </w:r>
      <w:r>
        <w:rPr>
          <w:webHidden/>
        </w:rPr>
        <w:tab/>
        <w:t>202</w:t>
      </w:r>
    </w:p>
    <w:p w:rsidR="00DF4A36" w:rsidRDefault="00DF4A36">
      <w:pPr>
        <w:pStyle w:val="TableofFigures"/>
        <w:rPr>
          <w:rFonts w:asciiTheme="minorHAnsi" w:eastAsiaTheme="minorEastAsia" w:hAnsiTheme="minorHAnsi" w:cstheme="minorBidi"/>
          <w:lang w:val="en-US" w:eastAsia="en-US"/>
        </w:rPr>
      </w:pPr>
      <w:r w:rsidRPr="002A602E">
        <w:t>Table 84</w:t>
      </w:r>
      <w:r>
        <w:rPr>
          <w:rFonts w:asciiTheme="minorHAnsi" w:eastAsiaTheme="minorEastAsia" w:hAnsiTheme="minorHAnsi" w:cstheme="minorBidi"/>
          <w:lang w:val="en-US" w:eastAsia="en-US"/>
        </w:rPr>
        <w:tab/>
      </w:r>
      <w:r w:rsidRPr="002A602E">
        <w:t>Costs of plasma exchange</w:t>
      </w:r>
      <w:r>
        <w:rPr>
          <w:webHidden/>
        </w:rPr>
        <w:tab/>
        <w:t>204</w:t>
      </w:r>
    </w:p>
    <w:p w:rsidR="00DF4A36" w:rsidRDefault="00DF4A36">
      <w:pPr>
        <w:pStyle w:val="TableofFigures"/>
        <w:rPr>
          <w:rFonts w:asciiTheme="minorHAnsi" w:eastAsiaTheme="minorEastAsia" w:hAnsiTheme="minorHAnsi" w:cstheme="minorBidi"/>
          <w:lang w:val="en-US" w:eastAsia="en-US"/>
        </w:rPr>
      </w:pPr>
      <w:r w:rsidRPr="002A602E">
        <w:t>Table 85</w:t>
      </w:r>
      <w:r>
        <w:rPr>
          <w:rFonts w:asciiTheme="minorHAnsi" w:eastAsiaTheme="minorEastAsia" w:hAnsiTheme="minorHAnsi" w:cstheme="minorBidi"/>
          <w:lang w:val="en-US" w:eastAsia="en-US"/>
        </w:rPr>
        <w:tab/>
      </w:r>
      <w:r w:rsidRPr="002A602E">
        <w:rPr>
          <w:rFonts w:cs="Arial"/>
          <w:snapToGrid w:val="0"/>
          <w:lang w:eastAsia="en-US"/>
        </w:rPr>
        <w:t>Key drivers of the economic model</w:t>
      </w:r>
      <w:r>
        <w:rPr>
          <w:webHidden/>
        </w:rPr>
        <w:tab/>
        <w:t>208</w:t>
      </w:r>
    </w:p>
    <w:p w:rsidR="00DF4A36" w:rsidRDefault="00DF4A36">
      <w:pPr>
        <w:pStyle w:val="TableofFigures"/>
        <w:rPr>
          <w:rFonts w:asciiTheme="minorHAnsi" w:eastAsiaTheme="minorEastAsia" w:hAnsiTheme="minorHAnsi" w:cstheme="minorBidi"/>
          <w:lang w:val="en-US" w:eastAsia="en-US"/>
        </w:rPr>
      </w:pPr>
      <w:r w:rsidRPr="002A602E">
        <w:t>Table 86</w:t>
      </w:r>
      <w:r>
        <w:rPr>
          <w:rFonts w:asciiTheme="minorHAnsi" w:eastAsiaTheme="minorEastAsia" w:hAnsiTheme="minorHAnsi" w:cstheme="minorBidi"/>
          <w:lang w:val="en-US" w:eastAsia="en-US"/>
        </w:rPr>
        <w:tab/>
      </w:r>
      <w:r w:rsidRPr="002A602E">
        <w:rPr>
          <w:rFonts w:cs="Calibri"/>
        </w:rPr>
        <w:t>Historical patient numbers using IVIg for CIDP in Australia (total) by year</w:t>
      </w:r>
      <w:r>
        <w:rPr>
          <w:webHidden/>
        </w:rPr>
        <w:tab/>
        <w:t>210</w:t>
      </w:r>
    </w:p>
    <w:p w:rsidR="00DF4A36" w:rsidRDefault="00DF4A36">
      <w:pPr>
        <w:pStyle w:val="TableofFigures"/>
        <w:rPr>
          <w:rFonts w:asciiTheme="minorHAnsi" w:eastAsiaTheme="minorEastAsia" w:hAnsiTheme="minorHAnsi" w:cstheme="minorBidi"/>
          <w:lang w:val="en-US" w:eastAsia="en-US"/>
        </w:rPr>
      </w:pPr>
      <w:r w:rsidRPr="002A602E">
        <w:t>Table 87</w:t>
      </w:r>
      <w:r>
        <w:rPr>
          <w:rFonts w:asciiTheme="minorHAnsi" w:eastAsiaTheme="minorEastAsia" w:hAnsiTheme="minorHAnsi" w:cstheme="minorBidi"/>
          <w:lang w:val="en-US" w:eastAsia="en-US"/>
        </w:rPr>
        <w:tab/>
      </w:r>
      <w:r w:rsidRPr="002A602E">
        <w:t>Projected CIDP patient uptake of Ig in Australia, 2020-2024 (based on utilisation data from 2012-2018)</w:t>
      </w:r>
      <w:r>
        <w:rPr>
          <w:webHidden/>
        </w:rPr>
        <w:tab/>
        <w:t>210</w:t>
      </w:r>
    </w:p>
    <w:p w:rsidR="00DF4A36" w:rsidRDefault="00DF4A36">
      <w:pPr>
        <w:pStyle w:val="TableofFigures"/>
        <w:rPr>
          <w:rFonts w:asciiTheme="minorHAnsi" w:eastAsiaTheme="minorEastAsia" w:hAnsiTheme="minorHAnsi" w:cstheme="minorBidi"/>
          <w:lang w:val="en-US" w:eastAsia="en-US"/>
        </w:rPr>
      </w:pPr>
      <w:r w:rsidRPr="002A602E">
        <w:lastRenderedPageBreak/>
        <w:t>Table 88</w:t>
      </w:r>
      <w:r>
        <w:rPr>
          <w:rFonts w:asciiTheme="minorHAnsi" w:eastAsiaTheme="minorEastAsia" w:hAnsiTheme="minorHAnsi" w:cstheme="minorBidi"/>
          <w:lang w:val="en-US" w:eastAsia="en-US"/>
        </w:rPr>
        <w:tab/>
      </w:r>
      <w:r w:rsidRPr="002A602E">
        <w:t>Unit costs of Ig Delivery: IVIg product cost and delivery (maintenance)</w:t>
      </w:r>
      <w:r>
        <w:rPr>
          <w:webHidden/>
        </w:rPr>
        <w:tab/>
        <w:t>212</w:t>
      </w:r>
    </w:p>
    <w:p w:rsidR="00DF4A36" w:rsidRDefault="00DF4A36">
      <w:pPr>
        <w:pStyle w:val="TableofFigures"/>
        <w:rPr>
          <w:rFonts w:asciiTheme="minorHAnsi" w:eastAsiaTheme="minorEastAsia" w:hAnsiTheme="minorHAnsi" w:cstheme="minorBidi"/>
          <w:lang w:val="en-US" w:eastAsia="en-US"/>
        </w:rPr>
      </w:pPr>
      <w:r w:rsidRPr="002A602E">
        <w:t>Table 89</w:t>
      </w:r>
      <w:r>
        <w:rPr>
          <w:rFonts w:asciiTheme="minorHAnsi" w:eastAsiaTheme="minorEastAsia" w:hAnsiTheme="minorHAnsi" w:cstheme="minorBidi"/>
          <w:lang w:val="en-US" w:eastAsia="en-US"/>
        </w:rPr>
        <w:tab/>
      </w:r>
      <w:r w:rsidRPr="002A602E">
        <w:t>Estimated costs of Ig for CIDP, 2020-2024</w:t>
      </w:r>
      <w:r>
        <w:rPr>
          <w:webHidden/>
        </w:rPr>
        <w:tab/>
        <w:t>213</w:t>
      </w:r>
    </w:p>
    <w:p w:rsidR="00DF4A36" w:rsidRDefault="00DF4A36">
      <w:pPr>
        <w:pStyle w:val="TableofFigures"/>
        <w:rPr>
          <w:rFonts w:asciiTheme="minorHAnsi" w:eastAsiaTheme="minorEastAsia" w:hAnsiTheme="minorHAnsi" w:cstheme="minorBidi"/>
          <w:lang w:val="en-US" w:eastAsia="en-US"/>
        </w:rPr>
      </w:pPr>
      <w:r w:rsidRPr="002A602E">
        <w:t>Table 90</w:t>
      </w:r>
      <w:r>
        <w:rPr>
          <w:rFonts w:asciiTheme="minorHAnsi" w:eastAsiaTheme="minorEastAsia" w:hAnsiTheme="minorHAnsi" w:cstheme="minorBidi"/>
          <w:lang w:val="en-US" w:eastAsia="en-US"/>
        </w:rPr>
        <w:tab/>
      </w:r>
      <w:r w:rsidRPr="002A602E">
        <w:t>Unit costs of steroids delivery</w:t>
      </w:r>
      <w:r>
        <w:rPr>
          <w:webHidden/>
        </w:rPr>
        <w:tab/>
        <w:t>214</w:t>
      </w:r>
    </w:p>
    <w:p w:rsidR="00DF4A36" w:rsidRDefault="00DF4A36">
      <w:pPr>
        <w:pStyle w:val="TableofFigures"/>
        <w:rPr>
          <w:rFonts w:asciiTheme="minorHAnsi" w:eastAsiaTheme="minorEastAsia" w:hAnsiTheme="minorHAnsi" w:cstheme="minorBidi"/>
          <w:lang w:val="en-US" w:eastAsia="en-US"/>
        </w:rPr>
      </w:pPr>
      <w:r w:rsidRPr="002A602E">
        <w:t>Table 91</w:t>
      </w:r>
      <w:r>
        <w:rPr>
          <w:rFonts w:asciiTheme="minorHAnsi" w:eastAsiaTheme="minorEastAsia" w:hAnsiTheme="minorHAnsi" w:cstheme="minorBidi"/>
          <w:lang w:val="en-US" w:eastAsia="en-US"/>
        </w:rPr>
        <w:tab/>
      </w:r>
      <w:r w:rsidRPr="002A602E">
        <w:t>Projected cost changes for the MBS, 2020-2024</w:t>
      </w:r>
      <w:r>
        <w:rPr>
          <w:webHidden/>
        </w:rPr>
        <w:tab/>
        <w:t>215</w:t>
      </w:r>
    </w:p>
    <w:p w:rsidR="00DF4A36" w:rsidRDefault="00DF4A36">
      <w:pPr>
        <w:pStyle w:val="TableofFigures"/>
        <w:rPr>
          <w:rFonts w:asciiTheme="minorHAnsi" w:eastAsiaTheme="minorEastAsia" w:hAnsiTheme="minorHAnsi" w:cstheme="minorBidi"/>
          <w:lang w:val="en-US" w:eastAsia="en-US"/>
        </w:rPr>
      </w:pPr>
      <w:r w:rsidRPr="002A602E">
        <w:t>Table 92</w:t>
      </w:r>
      <w:r>
        <w:rPr>
          <w:rFonts w:asciiTheme="minorHAnsi" w:eastAsiaTheme="minorEastAsia" w:hAnsiTheme="minorHAnsi" w:cstheme="minorBidi"/>
          <w:lang w:val="en-US" w:eastAsia="en-US"/>
        </w:rPr>
        <w:tab/>
      </w:r>
      <w:r w:rsidRPr="002A602E">
        <w:t>Projected cost changes for PBS medicines, 2020-2024</w:t>
      </w:r>
      <w:r>
        <w:rPr>
          <w:webHidden/>
        </w:rPr>
        <w:tab/>
        <w:t>216</w:t>
      </w:r>
    </w:p>
    <w:p w:rsidR="00DF4A36" w:rsidRDefault="00DF4A36">
      <w:pPr>
        <w:pStyle w:val="TableofFigures"/>
        <w:rPr>
          <w:rFonts w:asciiTheme="minorHAnsi" w:eastAsiaTheme="minorEastAsia" w:hAnsiTheme="minorHAnsi" w:cstheme="minorBidi"/>
          <w:lang w:val="en-US" w:eastAsia="en-US"/>
        </w:rPr>
      </w:pPr>
      <w:r w:rsidRPr="002A602E">
        <w:t>Table 93: Projected cost changes for state hospital delivery of Ig, 2020-2024</w:t>
      </w:r>
      <w:r>
        <w:rPr>
          <w:webHidden/>
        </w:rPr>
        <w:tab/>
        <w:t>216</w:t>
      </w:r>
    </w:p>
    <w:p w:rsidR="00DF4A36" w:rsidRDefault="00DF4A36">
      <w:pPr>
        <w:pStyle w:val="TableofFigures"/>
        <w:rPr>
          <w:rFonts w:asciiTheme="minorHAnsi" w:eastAsiaTheme="minorEastAsia" w:hAnsiTheme="minorHAnsi" w:cstheme="minorBidi"/>
          <w:lang w:val="en-US" w:eastAsia="en-US"/>
        </w:rPr>
      </w:pPr>
      <w:r w:rsidRPr="002A602E">
        <w:t>Table 94</w:t>
      </w:r>
      <w:r>
        <w:rPr>
          <w:rFonts w:asciiTheme="minorHAnsi" w:eastAsiaTheme="minorEastAsia" w:hAnsiTheme="minorHAnsi" w:cstheme="minorBidi"/>
          <w:lang w:val="en-US" w:eastAsia="en-US"/>
        </w:rPr>
        <w:tab/>
      </w:r>
      <w:r w:rsidRPr="002A602E">
        <w:t>Estimated net costs to government, 2020-2024</w:t>
      </w:r>
      <w:r>
        <w:rPr>
          <w:webHidden/>
        </w:rPr>
        <w:tab/>
        <w:t>217</w:t>
      </w:r>
    </w:p>
    <w:p w:rsidR="00DF4A36" w:rsidRDefault="00DF4A36">
      <w:pPr>
        <w:pStyle w:val="TableofFigures"/>
        <w:rPr>
          <w:rFonts w:asciiTheme="minorHAnsi" w:eastAsiaTheme="minorEastAsia" w:hAnsiTheme="minorHAnsi" w:cstheme="minorBidi"/>
          <w:lang w:val="en-US" w:eastAsia="en-US"/>
        </w:rPr>
      </w:pPr>
      <w:r w:rsidRPr="002A602E">
        <w:t>Table 95</w:t>
      </w:r>
      <w:r>
        <w:rPr>
          <w:rFonts w:asciiTheme="minorHAnsi" w:eastAsiaTheme="minorEastAsia" w:hAnsiTheme="minorHAnsi" w:cstheme="minorBidi"/>
          <w:lang w:val="en-US" w:eastAsia="en-US"/>
        </w:rPr>
        <w:tab/>
      </w:r>
      <w:r w:rsidRPr="002A602E">
        <w:t>Net government cost sensitivity analysis</w:t>
      </w:r>
      <w:r>
        <w:rPr>
          <w:webHidden/>
        </w:rPr>
        <w:tab/>
        <w:t>218</w:t>
      </w:r>
    </w:p>
    <w:p w:rsidR="00DF4A36" w:rsidRDefault="00DF4A36">
      <w:pPr>
        <w:pStyle w:val="TableofFigures"/>
        <w:rPr>
          <w:rFonts w:asciiTheme="minorHAnsi" w:eastAsiaTheme="minorEastAsia" w:hAnsiTheme="minorHAnsi" w:cstheme="minorBidi"/>
          <w:lang w:val="en-US" w:eastAsia="en-US"/>
        </w:rPr>
      </w:pPr>
      <w:r w:rsidRPr="002A602E">
        <w:t xml:space="preserve">Table 96 </w:t>
      </w:r>
      <w:r>
        <w:rPr>
          <w:rFonts w:asciiTheme="minorHAnsi" w:eastAsiaTheme="minorEastAsia" w:hAnsiTheme="minorHAnsi" w:cstheme="minorBidi"/>
          <w:lang w:val="en-US" w:eastAsia="en-US"/>
        </w:rPr>
        <w:tab/>
      </w:r>
      <w:r w:rsidRPr="002A602E">
        <w:t>Clinical trials identified on CIDP and Ig search of ClinicalTrials.gov (searched 16th May 2019)</w:t>
      </w:r>
      <w:r>
        <w:rPr>
          <w:webHidden/>
        </w:rPr>
        <w:tab/>
        <w:t>220</w:t>
      </w:r>
    </w:p>
    <w:p w:rsidR="00DF4A36" w:rsidRDefault="00DF4A36">
      <w:pPr>
        <w:pStyle w:val="TableofFigures"/>
        <w:rPr>
          <w:rFonts w:asciiTheme="minorHAnsi" w:eastAsiaTheme="minorEastAsia" w:hAnsiTheme="minorHAnsi" w:cstheme="minorBidi"/>
          <w:lang w:val="en-US" w:eastAsia="en-US"/>
        </w:rPr>
      </w:pPr>
      <w:r w:rsidRPr="002A602E">
        <w:t>Table 97</w:t>
      </w:r>
      <w:r>
        <w:rPr>
          <w:rFonts w:asciiTheme="minorHAnsi" w:eastAsiaTheme="minorEastAsia" w:hAnsiTheme="minorHAnsi" w:cstheme="minorBidi"/>
          <w:lang w:val="en-US" w:eastAsia="en-US"/>
        </w:rPr>
        <w:tab/>
      </w:r>
      <w:r w:rsidRPr="002A602E">
        <w:rPr>
          <w:snapToGrid w:val="0"/>
          <w:lang w:eastAsia="en-US"/>
        </w:rPr>
        <w:t xml:space="preserve">Key features of the randomised controlled trials on the treatment and maintenance of CIDP </w:t>
      </w:r>
      <w:r w:rsidRPr="002A602E">
        <w:t>included in the systematic literature review</w:t>
      </w:r>
      <w:r>
        <w:rPr>
          <w:webHidden/>
        </w:rPr>
        <w:tab/>
        <w:t>232</w:t>
      </w:r>
    </w:p>
    <w:p w:rsidR="00DF4A36" w:rsidRDefault="00DF4A36">
      <w:pPr>
        <w:pStyle w:val="TableofFigures"/>
        <w:rPr>
          <w:rFonts w:asciiTheme="minorHAnsi" w:eastAsiaTheme="minorEastAsia" w:hAnsiTheme="minorHAnsi" w:cstheme="minorBidi"/>
          <w:lang w:val="en-US" w:eastAsia="en-US"/>
        </w:rPr>
      </w:pPr>
      <w:r w:rsidRPr="002A602E">
        <w:t>Table 98</w:t>
      </w:r>
      <w:r>
        <w:rPr>
          <w:rFonts w:asciiTheme="minorHAnsi" w:eastAsiaTheme="minorEastAsia" w:hAnsiTheme="minorHAnsi" w:cstheme="minorBidi"/>
          <w:lang w:val="en-US" w:eastAsia="en-US"/>
        </w:rPr>
        <w:tab/>
      </w:r>
      <w:r w:rsidRPr="002A602E">
        <w:t>Summary of effectiveness data for other comparisons</w:t>
      </w:r>
      <w:r>
        <w:rPr>
          <w:webHidden/>
        </w:rPr>
        <w:tab/>
        <w:t>241</w:t>
      </w:r>
    </w:p>
    <w:p w:rsidR="00DF4A36" w:rsidRDefault="00DF4A36">
      <w:pPr>
        <w:pStyle w:val="TableofFigures"/>
        <w:rPr>
          <w:rFonts w:asciiTheme="minorHAnsi" w:eastAsiaTheme="minorEastAsia" w:hAnsiTheme="minorHAnsi" w:cstheme="minorBidi"/>
          <w:lang w:val="en-US" w:eastAsia="en-US"/>
        </w:rPr>
      </w:pPr>
      <w:r w:rsidRPr="002A602E">
        <w:t>Table 99</w:t>
      </w:r>
      <w:r>
        <w:rPr>
          <w:rFonts w:asciiTheme="minorHAnsi" w:eastAsiaTheme="minorEastAsia" w:hAnsiTheme="minorHAnsi" w:cstheme="minorBidi"/>
          <w:lang w:val="en-US" w:eastAsia="en-US"/>
        </w:rPr>
        <w:tab/>
      </w:r>
      <w:r w:rsidRPr="002A602E">
        <w:t>Studies included for the extended assessment of harms, key characteristics and safety data</w:t>
      </w:r>
      <w:r>
        <w:rPr>
          <w:webHidden/>
        </w:rPr>
        <w:tab/>
        <w:t>243</w:t>
      </w:r>
    </w:p>
    <w:p w:rsidR="00310008" w:rsidRPr="00E3331A" w:rsidRDefault="00310008" w:rsidP="003E4E1F">
      <w:pPr>
        <w:pStyle w:val="Heading2"/>
      </w:pPr>
      <w:bookmarkStart w:id="26" w:name="_Toc399247192"/>
      <w:bookmarkStart w:id="27" w:name="_Toc402884711"/>
      <w:bookmarkStart w:id="28" w:name="_Toc24103411"/>
      <w:r w:rsidRPr="00E3331A">
        <w:t>Boxes</w:t>
      </w:r>
      <w:bookmarkEnd w:id="24"/>
      <w:bookmarkEnd w:id="25"/>
      <w:bookmarkEnd w:id="26"/>
      <w:bookmarkEnd w:id="27"/>
      <w:bookmarkEnd w:id="28"/>
    </w:p>
    <w:p w:rsidR="00B85C75" w:rsidRDefault="00B85C75">
      <w:pPr>
        <w:pStyle w:val="TableofFigures"/>
        <w:rPr>
          <w:rFonts w:asciiTheme="minorHAnsi" w:eastAsiaTheme="minorEastAsia" w:hAnsiTheme="minorHAnsi" w:cstheme="minorBidi"/>
        </w:rPr>
      </w:pPr>
      <w:r w:rsidRPr="002A602E">
        <w:t>Box 1</w:t>
      </w:r>
      <w:r>
        <w:rPr>
          <w:rFonts w:asciiTheme="minorHAnsi" w:eastAsiaTheme="minorEastAsia" w:hAnsiTheme="minorHAnsi" w:cstheme="minorBidi"/>
        </w:rPr>
        <w:tab/>
      </w:r>
      <w:r w:rsidRPr="002A602E">
        <w:t>Criteria for identifying and selecting studies to determine the safety of Ig in patients with CIDP</w:t>
      </w:r>
      <w:r>
        <w:rPr>
          <w:webHidden/>
        </w:rPr>
        <w:tab/>
      </w:r>
      <w:r w:rsidR="00DF4A36">
        <w:rPr>
          <w:webHidden/>
        </w:rPr>
        <w:t>55</w:t>
      </w:r>
    </w:p>
    <w:p w:rsidR="00B85C75" w:rsidRDefault="00B85C75">
      <w:pPr>
        <w:pStyle w:val="TableofFigures"/>
        <w:rPr>
          <w:rFonts w:asciiTheme="minorHAnsi" w:eastAsiaTheme="minorEastAsia" w:hAnsiTheme="minorHAnsi" w:cstheme="minorBidi"/>
        </w:rPr>
      </w:pPr>
      <w:r w:rsidRPr="002A602E">
        <w:t>Box 2</w:t>
      </w:r>
      <w:r>
        <w:rPr>
          <w:rFonts w:asciiTheme="minorHAnsi" w:eastAsiaTheme="minorEastAsia" w:hAnsiTheme="minorHAnsi" w:cstheme="minorBidi"/>
        </w:rPr>
        <w:tab/>
      </w:r>
      <w:r w:rsidRPr="002A602E">
        <w:t>Criteria for identifying and selecting studies to determine the efficacy of Ig in patients with CIDP</w:t>
      </w:r>
      <w:r>
        <w:rPr>
          <w:webHidden/>
        </w:rPr>
        <w:tab/>
      </w:r>
      <w:r w:rsidR="00DF4A36">
        <w:rPr>
          <w:webHidden/>
        </w:rPr>
        <w:t>55</w:t>
      </w:r>
    </w:p>
    <w:p w:rsidR="008A46A4" w:rsidRPr="00E3331A" w:rsidRDefault="008A46A4" w:rsidP="00A27881">
      <w:pPr>
        <w:pStyle w:val="TableofFigures"/>
        <w:tabs>
          <w:tab w:val="clear" w:pos="1800"/>
          <w:tab w:val="left" w:pos="1276"/>
        </w:tabs>
        <w:ind w:left="1276" w:hanging="1276"/>
        <w:jc w:val="both"/>
        <w:rPr>
          <w:rFonts w:eastAsia="MS Mincho" w:cs="Times New Roman"/>
        </w:rPr>
      </w:pPr>
    </w:p>
    <w:p w:rsidR="00452F32" w:rsidRPr="00E3331A" w:rsidRDefault="008F59A8" w:rsidP="003E4E1F">
      <w:pPr>
        <w:pStyle w:val="Heading2"/>
      </w:pPr>
      <w:bookmarkStart w:id="29" w:name="_Toc381796427"/>
      <w:bookmarkStart w:id="30" w:name="_Toc395200738"/>
      <w:bookmarkStart w:id="31" w:name="_Toc399247193"/>
      <w:bookmarkStart w:id="32" w:name="_Toc402884712"/>
      <w:bookmarkStart w:id="33" w:name="_Toc24103412"/>
      <w:r w:rsidRPr="00E3331A">
        <w:t>Figures</w:t>
      </w:r>
      <w:bookmarkEnd w:id="29"/>
      <w:bookmarkEnd w:id="30"/>
      <w:bookmarkEnd w:id="31"/>
      <w:bookmarkEnd w:id="32"/>
      <w:bookmarkEnd w:id="33"/>
    </w:p>
    <w:p w:rsidR="00B85C75" w:rsidRDefault="00B85C75">
      <w:pPr>
        <w:pStyle w:val="TableofFigures"/>
        <w:rPr>
          <w:rFonts w:asciiTheme="minorHAnsi" w:eastAsiaTheme="minorEastAsia" w:hAnsiTheme="minorHAnsi" w:cstheme="minorBidi"/>
        </w:rPr>
      </w:pPr>
      <w:r w:rsidRPr="002A602E">
        <w:t>Figure 1</w:t>
      </w:r>
      <w:r>
        <w:rPr>
          <w:rFonts w:asciiTheme="minorHAnsi" w:eastAsiaTheme="minorEastAsia" w:hAnsiTheme="minorHAnsi" w:cstheme="minorBidi"/>
        </w:rPr>
        <w:tab/>
      </w:r>
      <w:r w:rsidRPr="002A602E">
        <w:t>Current management algorithm for CIDP patients eligible for Ig therapy</w:t>
      </w:r>
      <w:r>
        <w:rPr>
          <w:webHidden/>
        </w:rPr>
        <w:tab/>
      </w:r>
      <w:r w:rsidR="00DF4A36">
        <w:rPr>
          <w:webHidden/>
        </w:rPr>
        <w:t>45</w:t>
      </w:r>
    </w:p>
    <w:p w:rsidR="00B85C75" w:rsidRDefault="00B85C75">
      <w:pPr>
        <w:pStyle w:val="TableofFigures"/>
        <w:rPr>
          <w:rFonts w:asciiTheme="minorHAnsi" w:eastAsiaTheme="minorEastAsia" w:hAnsiTheme="minorHAnsi" w:cstheme="minorBidi"/>
        </w:rPr>
      </w:pPr>
      <w:r w:rsidRPr="002A602E">
        <w:rPr>
          <w:lang w:val="en-GB" w:eastAsia="ja-JP"/>
        </w:rPr>
        <w:t>Figure 2</w:t>
      </w:r>
      <w:r>
        <w:rPr>
          <w:rFonts w:asciiTheme="minorHAnsi" w:eastAsiaTheme="minorEastAsia" w:hAnsiTheme="minorHAnsi" w:cstheme="minorBidi"/>
        </w:rPr>
        <w:tab/>
      </w:r>
      <w:r w:rsidRPr="002A602E">
        <w:rPr>
          <w:lang w:val="en-GB" w:eastAsia="ja-JP"/>
        </w:rPr>
        <w:t>Proposed algorithm for treatment of patients in the absence (or failure) of Ig.</w:t>
      </w:r>
      <w:r>
        <w:rPr>
          <w:webHidden/>
        </w:rPr>
        <w:tab/>
      </w:r>
      <w:r w:rsidR="00DF4A36">
        <w:rPr>
          <w:webHidden/>
        </w:rPr>
        <w:t>46</w:t>
      </w:r>
    </w:p>
    <w:p w:rsidR="00B85C75" w:rsidRDefault="00B85C75">
      <w:pPr>
        <w:pStyle w:val="TableofFigures"/>
        <w:rPr>
          <w:rFonts w:asciiTheme="minorHAnsi" w:eastAsiaTheme="minorEastAsia" w:hAnsiTheme="minorHAnsi" w:cstheme="minorBidi"/>
        </w:rPr>
      </w:pPr>
      <w:r w:rsidRPr="002A602E">
        <w:t xml:space="preserve">Figure 3 </w:t>
      </w:r>
      <w:r>
        <w:rPr>
          <w:rFonts w:asciiTheme="minorHAnsi" w:eastAsiaTheme="minorEastAsia" w:hAnsiTheme="minorHAnsi" w:cstheme="minorBidi"/>
        </w:rPr>
        <w:tab/>
      </w:r>
      <w:r w:rsidRPr="002A602E">
        <w:t>Summary of the process used to identify and select studies for the Assessment</w:t>
      </w:r>
      <w:r>
        <w:rPr>
          <w:webHidden/>
        </w:rPr>
        <w:tab/>
      </w:r>
      <w:r w:rsidR="00DF4A36">
        <w:rPr>
          <w:webHidden/>
        </w:rPr>
        <w:t>59</w:t>
      </w:r>
    </w:p>
    <w:p w:rsidR="00B85C75" w:rsidRDefault="00B85C75">
      <w:pPr>
        <w:pStyle w:val="TableofFigures"/>
        <w:rPr>
          <w:rFonts w:asciiTheme="minorHAnsi" w:eastAsiaTheme="minorEastAsia" w:hAnsiTheme="minorHAnsi" w:cstheme="minorBidi"/>
        </w:rPr>
      </w:pPr>
      <w:r w:rsidRPr="002A602E">
        <w:t>Figure 4</w:t>
      </w:r>
      <w:r>
        <w:rPr>
          <w:rFonts w:asciiTheme="minorHAnsi" w:eastAsiaTheme="minorEastAsia" w:hAnsiTheme="minorHAnsi" w:cstheme="minorBidi"/>
        </w:rPr>
        <w:tab/>
      </w:r>
      <w:r w:rsidRPr="002A602E">
        <w:t>Makov model structure</w:t>
      </w:r>
      <w:r>
        <w:rPr>
          <w:webHidden/>
        </w:rPr>
        <w:tab/>
      </w:r>
      <w:r w:rsidR="00DF4A36">
        <w:rPr>
          <w:webHidden/>
        </w:rPr>
        <w:t>165</w:t>
      </w:r>
    </w:p>
    <w:p w:rsidR="00B85C75" w:rsidRDefault="00B85C75">
      <w:pPr>
        <w:pStyle w:val="TableofFigures"/>
        <w:rPr>
          <w:rFonts w:asciiTheme="minorHAnsi" w:eastAsiaTheme="minorEastAsia" w:hAnsiTheme="minorHAnsi" w:cstheme="minorBidi"/>
        </w:rPr>
      </w:pPr>
      <w:r w:rsidRPr="002A602E">
        <w:t>Figure 5</w:t>
      </w:r>
      <w:r>
        <w:rPr>
          <w:rFonts w:asciiTheme="minorHAnsi" w:eastAsiaTheme="minorEastAsia" w:hAnsiTheme="minorHAnsi" w:cstheme="minorBidi"/>
        </w:rPr>
        <w:tab/>
      </w:r>
      <w:r w:rsidRPr="002A602E">
        <w:t>Ig patient distribution between health states – 6 month follow-up trial period</w:t>
      </w:r>
      <w:r>
        <w:rPr>
          <w:webHidden/>
        </w:rPr>
        <w:tab/>
      </w:r>
      <w:r w:rsidR="00DF4A36">
        <w:rPr>
          <w:webHidden/>
        </w:rPr>
        <w:t>173</w:t>
      </w:r>
    </w:p>
    <w:p w:rsidR="00B85C75" w:rsidRDefault="00B85C75">
      <w:pPr>
        <w:pStyle w:val="TableofFigures"/>
        <w:rPr>
          <w:rFonts w:asciiTheme="minorHAnsi" w:eastAsiaTheme="minorEastAsia" w:hAnsiTheme="minorHAnsi" w:cstheme="minorBidi"/>
        </w:rPr>
      </w:pPr>
      <w:r w:rsidRPr="002A602E">
        <w:lastRenderedPageBreak/>
        <w:t>Figure 6</w:t>
      </w:r>
      <w:r>
        <w:rPr>
          <w:rFonts w:asciiTheme="minorHAnsi" w:eastAsiaTheme="minorEastAsia" w:hAnsiTheme="minorHAnsi" w:cstheme="minorBidi"/>
        </w:rPr>
        <w:tab/>
      </w:r>
      <w:r w:rsidRPr="002A602E">
        <w:t>Ig-arm patient distribution between health states – 10 year follow-up</w:t>
      </w:r>
      <w:r>
        <w:rPr>
          <w:webHidden/>
        </w:rPr>
        <w:tab/>
      </w:r>
      <w:r w:rsidR="00DF4A36">
        <w:rPr>
          <w:webHidden/>
        </w:rPr>
        <w:t>174</w:t>
      </w:r>
    </w:p>
    <w:p w:rsidR="00B85C75" w:rsidRDefault="00B85C75">
      <w:pPr>
        <w:pStyle w:val="TableofFigures"/>
        <w:rPr>
          <w:rFonts w:asciiTheme="minorHAnsi" w:eastAsiaTheme="minorEastAsia" w:hAnsiTheme="minorHAnsi" w:cstheme="minorBidi"/>
        </w:rPr>
      </w:pPr>
      <w:r w:rsidRPr="002A602E">
        <w:t>Figure 7</w:t>
      </w:r>
      <w:r>
        <w:rPr>
          <w:rFonts w:asciiTheme="minorHAnsi" w:eastAsiaTheme="minorEastAsia" w:hAnsiTheme="minorHAnsi" w:cstheme="minorBidi"/>
        </w:rPr>
        <w:tab/>
      </w:r>
      <w:r w:rsidRPr="002A602E">
        <w:t>Steroid-arm patient distribution between health states – 10 year follow-up</w:t>
      </w:r>
      <w:r>
        <w:rPr>
          <w:webHidden/>
        </w:rPr>
        <w:tab/>
      </w:r>
      <w:r w:rsidR="00DF4A36">
        <w:rPr>
          <w:webHidden/>
        </w:rPr>
        <w:t>174</w:t>
      </w:r>
    </w:p>
    <w:p w:rsidR="00B85C75" w:rsidRDefault="00B85C75">
      <w:pPr>
        <w:pStyle w:val="TableofFigures"/>
        <w:rPr>
          <w:rFonts w:asciiTheme="minorHAnsi" w:eastAsiaTheme="minorEastAsia" w:hAnsiTheme="minorHAnsi" w:cstheme="minorBidi"/>
        </w:rPr>
      </w:pPr>
      <w:r w:rsidRPr="002A602E">
        <w:t>Figure 8</w:t>
      </w:r>
      <w:r>
        <w:rPr>
          <w:rFonts w:asciiTheme="minorHAnsi" w:eastAsiaTheme="minorEastAsia" w:hAnsiTheme="minorHAnsi" w:cstheme="minorBidi"/>
        </w:rPr>
        <w:tab/>
      </w:r>
      <w:r w:rsidRPr="002A602E">
        <w:t>Difference between Ig and steroid patient distribution between health states – 10 year follow-up</w:t>
      </w:r>
      <w:r>
        <w:rPr>
          <w:webHidden/>
        </w:rPr>
        <w:tab/>
      </w:r>
      <w:r w:rsidR="00DF4A36">
        <w:rPr>
          <w:webHidden/>
        </w:rPr>
        <w:t>175</w:t>
      </w:r>
    </w:p>
    <w:p w:rsidR="00452F32" w:rsidRPr="00E3331A" w:rsidRDefault="00452F32" w:rsidP="00A27881">
      <w:pPr>
        <w:tabs>
          <w:tab w:val="left" w:pos="1276"/>
        </w:tabs>
        <w:ind w:left="1276" w:hanging="1276"/>
        <w:jc w:val="both"/>
      </w:pPr>
    </w:p>
    <w:p w:rsidR="008F59A8" w:rsidRPr="00E3331A" w:rsidRDefault="008F59A8" w:rsidP="00DF343F">
      <w:pPr>
        <w:jc w:val="both"/>
        <w:sectPr w:rsidR="008F59A8" w:rsidRPr="00E3331A" w:rsidSect="0080059D">
          <w:headerReference w:type="even" r:id="rId10"/>
          <w:headerReference w:type="default" r:id="rId11"/>
          <w:footerReference w:type="even" r:id="rId12"/>
          <w:footerReference w:type="default" r:id="rId13"/>
          <w:headerReference w:type="first" r:id="rId14"/>
          <w:type w:val="oddPage"/>
          <w:pgSz w:w="11906" w:h="16838"/>
          <w:pgMar w:top="1440" w:right="1440" w:bottom="1440" w:left="1440" w:header="720" w:footer="720" w:gutter="0"/>
          <w:paperSrc w:first="2" w:other="2"/>
          <w:pgNumType w:fmt="lowerRoman"/>
          <w:cols w:space="720"/>
          <w:docGrid w:linePitch="299"/>
        </w:sectPr>
      </w:pPr>
    </w:p>
    <w:p w:rsidR="002F5F9B" w:rsidRPr="00E3331A" w:rsidRDefault="000D1300" w:rsidP="00DF343F">
      <w:pPr>
        <w:pStyle w:val="Heading1"/>
        <w:jc w:val="both"/>
      </w:pPr>
      <w:bookmarkStart w:id="34" w:name="_Toc236559502"/>
      <w:bookmarkStart w:id="35" w:name="_Toc379118056"/>
      <w:bookmarkStart w:id="36" w:name="_Toc381796428"/>
      <w:bookmarkStart w:id="37" w:name="_Toc24103413"/>
      <w:r w:rsidRPr="00E3331A">
        <w:lastRenderedPageBreak/>
        <w:t>Executive S</w:t>
      </w:r>
      <w:r w:rsidR="002F5F9B" w:rsidRPr="00E3331A">
        <w:t>ummary</w:t>
      </w:r>
      <w:bookmarkEnd w:id="34"/>
      <w:bookmarkEnd w:id="35"/>
      <w:bookmarkEnd w:id="36"/>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3A3" w:rsidRPr="00E3331A" w:rsidTr="0007007F">
        <w:trPr>
          <w:tblHeader/>
        </w:trPr>
        <w:tc>
          <w:tcPr>
            <w:tcW w:w="9016" w:type="dxa"/>
            <w:tcBorders>
              <w:top w:val="single" w:sz="4" w:space="0" w:color="auto"/>
              <w:left w:val="single" w:sz="4" w:space="0" w:color="auto"/>
              <w:bottom w:val="nil"/>
              <w:right w:val="single" w:sz="4" w:space="0" w:color="auto"/>
            </w:tcBorders>
            <w:shd w:val="clear" w:color="auto" w:fill="auto"/>
            <w:hideMark/>
          </w:tcPr>
          <w:p w:rsidR="000323A3" w:rsidRPr="00E3331A" w:rsidRDefault="000323A3" w:rsidP="0007007F">
            <w:pPr>
              <w:pStyle w:val="Heading5"/>
              <w:ind w:left="720"/>
            </w:pPr>
            <w:bookmarkStart w:id="38" w:name="_Toc381796429"/>
            <w:r w:rsidRPr="00E3331A">
              <w:t xml:space="preserve">Main issues for </w:t>
            </w:r>
            <w:r w:rsidR="00A91058" w:rsidRPr="00E3331A">
              <w:t xml:space="preserve">MSAC </w:t>
            </w:r>
            <w:r w:rsidRPr="00E3331A">
              <w:t>consideration</w:t>
            </w:r>
          </w:p>
        </w:tc>
      </w:tr>
      <w:tr w:rsidR="000323A3" w:rsidRPr="00E3331A" w:rsidTr="0007007F">
        <w:tc>
          <w:tcPr>
            <w:tcW w:w="9016" w:type="dxa"/>
            <w:tcBorders>
              <w:top w:val="nil"/>
              <w:left w:val="single" w:sz="4" w:space="0" w:color="auto"/>
              <w:bottom w:val="single" w:sz="4" w:space="0" w:color="auto"/>
              <w:right w:val="single" w:sz="4" w:space="0" w:color="auto"/>
            </w:tcBorders>
            <w:shd w:val="clear" w:color="auto" w:fill="auto"/>
            <w:hideMark/>
          </w:tcPr>
          <w:p w:rsidR="00522CEA" w:rsidRPr="00E3331A" w:rsidRDefault="00D55F1F" w:rsidP="0007007F">
            <w:pPr>
              <w:pStyle w:val="BodyTextSTD"/>
              <w:numPr>
                <w:ilvl w:val="0"/>
                <w:numId w:val="36"/>
              </w:numPr>
            </w:pPr>
            <w:r w:rsidRPr="00E3331A">
              <w:t xml:space="preserve">Utilisation of </w:t>
            </w:r>
            <w:r w:rsidR="00D719F3" w:rsidRPr="00E3331A">
              <w:t>Immunoglobulin (</w:t>
            </w:r>
            <w:r w:rsidRPr="00E3331A">
              <w:t>Ig</w:t>
            </w:r>
            <w:r w:rsidR="00D719F3" w:rsidRPr="00E3331A">
              <w:t>)</w:t>
            </w:r>
            <w:r w:rsidRPr="00E3331A">
              <w:t xml:space="preserve"> for </w:t>
            </w:r>
            <w:r w:rsidR="00D719F3" w:rsidRPr="00E3331A">
              <w:t xml:space="preserve">chronic inflammatory demyelinating polyneuropathy (CIDP) </w:t>
            </w:r>
            <w:r w:rsidRPr="00E3331A">
              <w:t>is increasing</w:t>
            </w:r>
            <w:r w:rsidR="00D719F3" w:rsidRPr="00E3331A">
              <w:t>,</w:t>
            </w:r>
            <w:r w:rsidRPr="00E3331A">
              <w:t xml:space="preserve"> both in terms of </w:t>
            </w:r>
            <w:r w:rsidR="00D719F3" w:rsidRPr="00E3331A">
              <w:t xml:space="preserve">the </w:t>
            </w:r>
            <w:r w:rsidRPr="00E3331A">
              <w:t xml:space="preserve">number of patients receiving the treatment annually and the </w:t>
            </w:r>
            <w:r w:rsidR="00D719F3" w:rsidRPr="00E3331A">
              <w:t xml:space="preserve">quantity </w:t>
            </w:r>
            <w:r w:rsidRPr="00E3331A">
              <w:t>of Ig used per patient. In 2011/12</w:t>
            </w:r>
            <w:r w:rsidR="00D719F3" w:rsidRPr="00E3331A">
              <w:t>,</w:t>
            </w:r>
            <w:r w:rsidRPr="00E3331A">
              <w:t xml:space="preserve"> 1,551 patients received Ig</w:t>
            </w:r>
            <w:r w:rsidR="00D719F3" w:rsidRPr="00E3331A">
              <w:t xml:space="preserve"> </w:t>
            </w:r>
            <w:r w:rsidRPr="00E3331A">
              <w:t xml:space="preserve">for CIDP at an average </w:t>
            </w:r>
            <w:r w:rsidR="00D719F3" w:rsidRPr="00E3331A">
              <w:t xml:space="preserve">amount </w:t>
            </w:r>
            <w:r w:rsidRPr="00E3331A">
              <w:t>of 437g per</w:t>
            </w:r>
            <w:r w:rsidR="009B58B9">
              <w:t xml:space="preserve"> </w:t>
            </w:r>
            <w:r w:rsidRPr="00E3331A">
              <w:t>patient. In 2017/18</w:t>
            </w:r>
            <w:r w:rsidR="00D719F3" w:rsidRPr="00E3331A">
              <w:t>,</w:t>
            </w:r>
            <w:r w:rsidRPr="00E3331A">
              <w:t xml:space="preserve"> 2,595 </w:t>
            </w:r>
            <w:r w:rsidR="007C068F" w:rsidRPr="00E3331A">
              <w:t>patients</w:t>
            </w:r>
            <w:r w:rsidRPr="00E3331A">
              <w:t xml:space="preserve"> </w:t>
            </w:r>
            <w:r w:rsidR="002A1741" w:rsidRPr="00E3331A">
              <w:t xml:space="preserve">each </w:t>
            </w:r>
            <w:r w:rsidRPr="00E3331A">
              <w:t xml:space="preserve">received an average </w:t>
            </w:r>
            <w:r w:rsidR="002A1741" w:rsidRPr="00E3331A">
              <w:t xml:space="preserve">amount </w:t>
            </w:r>
            <w:r w:rsidRPr="00E3331A">
              <w:t>of 497g of Ig.</w:t>
            </w:r>
            <w:r w:rsidR="005D56D1" w:rsidRPr="00E3331A">
              <w:t xml:space="preserve"> It is not known how utilisation of Ig will change under Version 3 of </w:t>
            </w:r>
            <w:r w:rsidR="005D56D1" w:rsidRPr="00E3331A">
              <w:rPr>
                <w:i/>
              </w:rPr>
              <w:t>The Criteria for the Clinical Use of Immunoglobulin in Australia</w:t>
            </w:r>
            <w:r w:rsidR="00426EAD" w:rsidRPr="00E3331A">
              <w:t>, released in 2018</w:t>
            </w:r>
            <w:r w:rsidR="005D56D1" w:rsidRPr="00E3331A">
              <w:rPr>
                <w:i/>
              </w:rPr>
              <w:t xml:space="preserve">. </w:t>
            </w:r>
            <w:r w:rsidR="005D56D1" w:rsidRPr="00E3331A">
              <w:t xml:space="preserve">Data on utilisation under Version 3 </w:t>
            </w:r>
            <w:r w:rsidR="003D4F30" w:rsidRPr="00E3331A">
              <w:t>were</w:t>
            </w:r>
            <w:r w:rsidR="005D56D1" w:rsidRPr="00E3331A">
              <w:t xml:space="preserve"> not available at the time of </w:t>
            </w:r>
            <w:r w:rsidR="003D4F30" w:rsidRPr="00E3331A">
              <w:t>preparing</w:t>
            </w:r>
            <w:r w:rsidR="005D56D1" w:rsidRPr="00E3331A">
              <w:t xml:space="preserve"> this Assessment.</w:t>
            </w:r>
          </w:p>
          <w:p w:rsidR="00126186" w:rsidRPr="00E3331A" w:rsidRDefault="00126186" w:rsidP="0007007F">
            <w:pPr>
              <w:pStyle w:val="BodyTextSTD"/>
              <w:numPr>
                <w:ilvl w:val="0"/>
                <w:numId w:val="36"/>
              </w:numPr>
            </w:pPr>
            <w:r w:rsidRPr="00E3331A">
              <w:t xml:space="preserve">The number of patients with </w:t>
            </w:r>
            <w:r w:rsidR="00241979" w:rsidRPr="00E3331A">
              <w:t xml:space="preserve">CIDP </w:t>
            </w:r>
            <w:r w:rsidR="009B58B9">
              <w:t>in Australia is</w:t>
            </w:r>
            <w:r w:rsidRPr="00E3331A">
              <w:t xml:space="preserve"> unclear. National Blood Authority </w:t>
            </w:r>
            <w:r w:rsidR="00AB513D" w:rsidRPr="00E3331A">
              <w:t xml:space="preserve">(NBA) </w:t>
            </w:r>
            <w:r w:rsidRPr="00E3331A">
              <w:t xml:space="preserve">data indicates </w:t>
            </w:r>
            <w:r w:rsidR="00F87214" w:rsidRPr="00E3331A">
              <w:t xml:space="preserve">that </w:t>
            </w:r>
            <w:r w:rsidR="00D55F1F" w:rsidRPr="00E3331A">
              <w:t>2,595</w:t>
            </w:r>
            <w:r w:rsidRPr="00E3331A">
              <w:t xml:space="preserve"> patients receiv</w:t>
            </w:r>
            <w:r w:rsidR="00F87214" w:rsidRPr="00E3331A">
              <w:t>ed</w:t>
            </w:r>
            <w:r w:rsidRPr="00E3331A">
              <w:t xml:space="preserve"> Ig for CIDP in </w:t>
            </w:r>
            <w:r w:rsidR="0044197B" w:rsidRPr="00E3331A">
              <w:t>2017/18</w:t>
            </w:r>
            <w:r w:rsidRPr="00E3331A">
              <w:t>. This is higher than expected based on published prevalence data for CIDP</w:t>
            </w:r>
            <w:r w:rsidR="002F417B">
              <w:t xml:space="preserve">. The </w:t>
            </w:r>
            <w:r w:rsidR="00816996" w:rsidRPr="00E3331A">
              <w:t>European Federation of Neurological Societies/Peripheral Nerve Society (EFNS</w:t>
            </w:r>
            <w:r w:rsidR="006978E9" w:rsidRPr="00E3331A">
              <w:t>/PNS</w:t>
            </w:r>
            <w:r w:rsidR="00816996" w:rsidRPr="00E3331A">
              <w:t xml:space="preserve">) </w:t>
            </w:r>
            <w:r w:rsidR="006978E9" w:rsidRPr="00E3331A">
              <w:t>prevalence</w:t>
            </w:r>
            <w:r w:rsidR="00BB0DED" w:rsidRPr="00E3331A">
              <w:t xml:space="preserve"> rates suggest the number of Australians with CIDP would be in the </w:t>
            </w:r>
            <w:r w:rsidR="006978E9" w:rsidRPr="00E3331A">
              <w:t xml:space="preserve">range </w:t>
            </w:r>
            <w:r w:rsidR="00816996" w:rsidRPr="00E3331A">
              <w:t xml:space="preserve">of </w:t>
            </w:r>
            <w:r w:rsidR="00D55F1F" w:rsidRPr="00E3331A">
              <w:t>578 to 1</w:t>
            </w:r>
            <w:r w:rsidR="006978E9" w:rsidRPr="00E3331A">
              <w:t>,</w:t>
            </w:r>
            <w:r w:rsidR="00D55F1F" w:rsidRPr="00E3331A">
              <w:t xml:space="preserve">593 using upper and lower confidence interval bounds from Rajabaly </w:t>
            </w:r>
            <w:r w:rsidR="00983BA7">
              <w:t xml:space="preserve">et al. </w:t>
            </w:r>
            <w:r w:rsidR="00924E38" w:rsidRPr="00E3331A">
              <w:t>(</w:t>
            </w:r>
            <w:r w:rsidR="00D55F1F" w:rsidRPr="00E3331A">
              <w:t>2009</w:t>
            </w:r>
            <w:r w:rsidR="00924E38" w:rsidRPr="00E3331A">
              <w:t>)</w:t>
            </w:r>
            <w:r w:rsidR="00D55F1F" w:rsidRPr="00E3331A">
              <w:t xml:space="preserve"> and Mahdi Rogers </w:t>
            </w:r>
            <w:r w:rsidR="00983BA7">
              <w:t xml:space="preserve">et al. </w:t>
            </w:r>
            <w:r w:rsidR="00924E38" w:rsidRPr="00E3331A">
              <w:t>(</w:t>
            </w:r>
            <w:r w:rsidR="00D55F1F" w:rsidRPr="00E3331A">
              <w:t>2014</w:t>
            </w:r>
            <w:r w:rsidR="00924E38" w:rsidRPr="00E3331A">
              <w:t>)</w:t>
            </w:r>
            <w:r w:rsidR="00D55F1F" w:rsidRPr="00E3331A">
              <w:t xml:space="preserve"> and including possible, proba</w:t>
            </w:r>
            <w:r w:rsidR="006978E9" w:rsidRPr="00E3331A">
              <w:t>b</w:t>
            </w:r>
            <w:r w:rsidR="00D55F1F" w:rsidRPr="00E3331A">
              <w:t>le and definite cases</w:t>
            </w:r>
            <w:r w:rsidRPr="00E3331A">
              <w:t xml:space="preserve">. </w:t>
            </w:r>
          </w:p>
          <w:p w:rsidR="00BB0DED" w:rsidRPr="00E3331A" w:rsidRDefault="00C20208" w:rsidP="0007007F">
            <w:pPr>
              <w:pStyle w:val="BodyTextSTD"/>
              <w:numPr>
                <w:ilvl w:val="0"/>
                <w:numId w:val="36"/>
              </w:numPr>
            </w:pPr>
            <w:r w:rsidRPr="00E3331A">
              <w:t xml:space="preserve">Ig </w:t>
            </w:r>
            <w:r w:rsidR="00B10BD5" w:rsidRPr="00E3331A">
              <w:t xml:space="preserve">appears to be an </w:t>
            </w:r>
            <w:r w:rsidR="00485C1D" w:rsidRPr="00E3331A">
              <w:t>efficacious</w:t>
            </w:r>
            <w:r w:rsidR="00B10BD5" w:rsidRPr="00E3331A">
              <w:t xml:space="preserve"> treatment for CIDP (compared to no </w:t>
            </w:r>
            <w:r w:rsidR="00310A0B" w:rsidRPr="00E3331A">
              <w:t xml:space="preserve">active </w:t>
            </w:r>
            <w:r w:rsidR="00B10BD5" w:rsidRPr="00E3331A">
              <w:t xml:space="preserve">treatment) and limited </w:t>
            </w:r>
            <w:r w:rsidR="00485C1D" w:rsidRPr="00E3331A">
              <w:t>evidence</w:t>
            </w:r>
            <w:r w:rsidR="00B10BD5" w:rsidRPr="00E3331A">
              <w:t xml:space="preserve"> </w:t>
            </w:r>
            <w:r w:rsidR="00D902D5" w:rsidRPr="00E3331A">
              <w:t>indicates</w:t>
            </w:r>
            <w:r w:rsidRPr="00E3331A">
              <w:t xml:space="preserve"> that</w:t>
            </w:r>
            <w:r w:rsidR="00B10BD5" w:rsidRPr="00E3331A">
              <w:t xml:space="preserve"> Ig has </w:t>
            </w:r>
            <w:r w:rsidR="00982F57" w:rsidRPr="00E3331A">
              <w:t xml:space="preserve">at least </w:t>
            </w:r>
            <w:r w:rsidR="00B10BD5" w:rsidRPr="00E3331A">
              <w:t xml:space="preserve">non-inferior effectiveness to steroids in this population. </w:t>
            </w:r>
          </w:p>
          <w:p w:rsidR="00ED589E" w:rsidRPr="00E3331A" w:rsidRDefault="00ED589E" w:rsidP="00ED589E">
            <w:pPr>
              <w:pStyle w:val="BodyTextSTD"/>
              <w:numPr>
                <w:ilvl w:val="0"/>
                <w:numId w:val="36"/>
              </w:numPr>
            </w:pPr>
            <w:r w:rsidRPr="00E3331A">
              <w:t xml:space="preserve">Safety and effectiveness findings for all treatments are limited by short follow-up and small patient numbers in the included studies. Safety data, in particular, were poorly reported in the randomised controlled trials (RCTs). </w:t>
            </w:r>
          </w:p>
          <w:p w:rsidR="00BB0DED" w:rsidRPr="00E3331A" w:rsidRDefault="00BB0DED" w:rsidP="0007007F">
            <w:pPr>
              <w:pStyle w:val="BodyTextSTD"/>
              <w:numPr>
                <w:ilvl w:val="0"/>
                <w:numId w:val="36"/>
              </w:numPr>
            </w:pPr>
            <w:r w:rsidRPr="00E3331A">
              <w:t>O</w:t>
            </w:r>
            <w:r w:rsidR="00485C1D" w:rsidRPr="00E3331A">
              <w:t>verall</w:t>
            </w:r>
            <w:r w:rsidRPr="00E3331A">
              <w:t>, the</w:t>
            </w:r>
            <w:r w:rsidR="00485C1D" w:rsidRPr="00E3331A">
              <w:t xml:space="preserve"> rate of serious adverse </w:t>
            </w:r>
            <w:r w:rsidR="00241979" w:rsidRPr="00E3331A">
              <w:t xml:space="preserve">events associated </w:t>
            </w:r>
            <w:r w:rsidR="00485C1D" w:rsidRPr="00E3331A">
              <w:t xml:space="preserve">with any treatment for CIDP over the short to intermediate term is low. </w:t>
            </w:r>
            <w:r w:rsidR="00310A0B" w:rsidRPr="00E3331A">
              <w:t>Adverse events associated with Ig were typically mild and transient</w:t>
            </w:r>
            <w:r w:rsidR="00C20208" w:rsidRPr="00E3331A">
              <w:t>, whereas</w:t>
            </w:r>
            <w:r w:rsidR="00310A0B" w:rsidRPr="00E3331A">
              <w:t xml:space="preserve"> e</w:t>
            </w:r>
            <w:r w:rsidR="007F1232" w:rsidRPr="00E3331A">
              <w:t>xtended steroid treatment</w:t>
            </w:r>
            <w:r w:rsidR="00241979" w:rsidRPr="00E3331A">
              <w:t xml:space="preserve"> </w:t>
            </w:r>
            <w:r w:rsidR="007F1232" w:rsidRPr="00E3331A">
              <w:t xml:space="preserve">is known to be associated with a range of </w:t>
            </w:r>
            <w:r w:rsidR="00AE0320">
              <w:t xml:space="preserve">serious </w:t>
            </w:r>
            <w:r w:rsidR="007F1232" w:rsidRPr="00E3331A">
              <w:t xml:space="preserve">adverse events including psychiatric disorders, metabolic complications, infections and gastrointestinal disorders. </w:t>
            </w:r>
          </w:p>
          <w:p w:rsidR="000B1256" w:rsidRPr="00E3331A" w:rsidRDefault="00BB0DED" w:rsidP="000B1256">
            <w:pPr>
              <w:pStyle w:val="BodyTextSTD"/>
              <w:numPr>
                <w:ilvl w:val="0"/>
                <w:numId w:val="36"/>
              </w:numPr>
            </w:pPr>
            <w:r w:rsidRPr="00E3331A">
              <w:t>The Reference Group suggested the adverse event profile</w:t>
            </w:r>
            <w:r w:rsidR="00ED589E" w:rsidRPr="00E3331A">
              <w:t xml:space="preserve"> associated with steroid use in patients with giant cell </w:t>
            </w:r>
            <w:r w:rsidR="00AE0320" w:rsidRPr="00AE0320">
              <w:t xml:space="preserve">arteritis </w:t>
            </w:r>
            <w:r w:rsidRPr="00E3331A">
              <w:t>reported in the publication by Wilson et al. (2007) is applica</w:t>
            </w:r>
            <w:r w:rsidR="00ED589E" w:rsidRPr="00E3331A">
              <w:t>b</w:t>
            </w:r>
            <w:r w:rsidRPr="00E3331A">
              <w:t xml:space="preserve">le to the Australian CIDP population. Results from this publication are included in Section B6. </w:t>
            </w:r>
          </w:p>
          <w:p w:rsidR="000323A3" w:rsidRPr="00E3331A" w:rsidRDefault="000323A3" w:rsidP="00376BF6">
            <w:pPr>
              <w:pStyle w:val="BodyTextSTD"/>
              <w:numPr>
                <w:ilvl w:val="0"/>
                <w:numId w:val="36"/>
              </w:numPr>
            </w:pPr>
            <w:r w:rsidRPr="00E3331A">
              <w:t xml:space="preserve">The modelling in this </w:t>
            </w:r>
            <w:r w:rsidR="005541CA" w:rsidRPr="00E3331A">
              <w:t>A</w:t>
            </w:r>
            <w:r w:rsidRPr="00E3331A">
              <w:t xml:space="preserve">ssessment generated a </w:t>
            </w:r>
            <w:r w:rsidR="00376BF6" w:rsidRPr="00E3331A">
              <w:t>10</w:t>
            </w:r>
            <w:r w:rsidRPr="00E3331A">
              <w:t xml:space="preserve">-year </w:t>
            </w:r>
            <w:r w:rsidR="002D3966" w:rsidRPr="00E3331A">
              <w:t>incremental cost-effectiveness ratio (ICER)</w:t>
            </w:r>
            <w:r w:rsidRPr="00E3331A">
              <w:t xml:space="preserve"> of </w:t>
            </w:r>
            <w:r w:rsidR="00376BF6" w:rsidRPr="00E3331A">
              <w:t xml:space="preserve">$197,472 </w:t>
            </w:r>
            <w:r w:rsidRPr="00E3331A">
              <w:t xml:space="preserve">per </w:t>
            </w:r>
            <w:r w:rsidR="00D94AF6" w:rsidRPr="00E3331A">
              <w:t>q</w:t>
            </w:r>
            <w:r w:rsidR="002D3966" w:rsidRPr="00E3331A">
              <w:t>uality-adjusted life-year (QALY)</w:t>
            </w:r>
            <w:r w:rsidR="00D94AF6" w:rsidRPr="00E3331A">
              <w:t>,</w:t>
            </w:r>
            <w:r w:rsidRPr="00E3331A">
              <w:t xml:space="preserve"> and </w:t>
            </w:r>
            <w:r w:rsidR="005C0568" w:rsidRPr="00E3331A">
              <w:t>a 6-month</w:t>
            </w:r>
            <w:r w:rsidRPr="00E3331A">
              <w:t xml:space="preserve"> ICER of </w:t>
            </w:r>
            <w:r w:rsidR="00376BF6" w:rsidRPr="00E3331A">
              <w:t xml:space="preserve">$269,038 </w:t>
            </w:r>
            <w:r w:rsidR="00F77F34" w:rsidRPr="00E3331A">
              <w:t xml:space="preserve">per </w:t>
            </w:r>
            <w:r w:rsidR="00426EAD" w:rsidRPr="00E3331A">
              <w:t xml:space="preserve">QALY </w:t>
            </w:r>
            <w:r w:rsidR="005C0568" w:rsidRPr="00E3331A">
              <w:t>when comparing Ig to steroids</w:t>
            </w:r>
            <w:r w:rsidRPr="00E3331A">
              <w:t xml:space="preserve">. </w:t>
            </w:r>
            <w:r w:rsidR="00D94AF6" w:rsidRPr="00E3331A">
              <w:t>A</w:t>
            </w:r>
            <w:r w:rsidRPr="00E3331A">
              <w:t>ssumption</w:t>
            </w:r>
            <w:r w:rsidR="005C0568" w:rsidRPr="00E3331A">
              <w:t>s</w:t>
            </w:r>
            <w:r w:rsidRPr="00E3331A">
              <w:t xml:space="preserve"> about the</w:t>
            </w:r>
            <w:r w:rsidR="00126186" w:rsidRPr="00E3331A">
              <w:t xml:space="preserve"> utility gain associated with Ig </w:t>
            </w:r>
            <w:r w:rsidR="00126186" w:rsidRPr="00E3331A">
              <w:lastRenderedPageBreak/>
              <w:t>use,</w:t>
            </w:r>
            <w:r w:rsidR="005C0568" w:rsidRPr="00E3331A">
              <w:t xml:space="preserve"> </w:t>
            </w:r>
            <w:r w:rsidR="00D94AF6" w:rsidRPr="00E3331A">
              <w:t xml:space="preserve">the </w:t>
            </w:r>
            <w:r w:rsidR="005C0568" w:rsidRPr="00E3331A">
              <w:t xml:space="preserve">amount of Ig </w:t>
            </w:r>
            <w:r w:rsidR="00241979" w:rsidRPr="00E3331A">
              <w:t>used,</w:t>
            </w:r>
            <w:r w:rsidR="005C0568" w:rsidRPr="00E3331A">
              <w:t xml:space="preserve"> and</w:t>
            </w:r>
            <w:r w:rsidRPr="00E3331A">
              <w:t xml:space="preserve"> </w:t>
            </w:r>
            <w:r w:rsidR="00D94AF6" w:rsidRPr="00E3331A">
              <w:t xml:space="preserve">the </w:t>
            </w:r>
            <w:r w:rsidRPr="00E3331A">
              <w:t>price paid for I</w:t>
            </w:r>
            <w:r w:rsidR="005C0568" w:rsidRPr="00E3331A">
              <w:t xml:space="preserve">g are </w:t>
            </w:r>
            <w:r w:rsidRPr="00E3331A">
              <w:t>key driver</w:t>
            </w:r>
            <w:r w:rsidR="005C0568" w:rsidRPr="00E3331A">
              <w:t>s</w:t>
            </w:r>
            <w:r w:rsidRPr="00E3331A">
              <w:t xml:space="preserve"> of </w:t>
            </w:r>
            <w:r w:rsidR="005C0568" w:rsidRPr="00E3331A">
              <w:t xml:space="preserve">the </w:t>
            </w:r>
            <w:r w:rsidRPr="00E3331A">
              <w:t>model results</w:t>
            </w:r>
            <w:r w:rsidR="005C0568" w:rsidRPr="00E3331A">
              <w:t>. T</w:t>
            </w:r>
            <w:r w:rsidRPr="00E3331A">
              <w:t>he base c</w:t>
            </w:r>
            <w:r w:rsidR="005C0568" w:rsidRPr="00E3331A">
              <w:t>ase</w:t>
            </w:r>
            <w:r w:rsidRPr="00E3331A">
              <w:t xml:space="preserve"> assumes </w:t>
            </w:r>
            <w:r w:rsidR="00327DF4" w:rsidRPr="00E3331A">
              <w:t xml:space="preserve">497g of </w:t>
            </w:r>
            <w:r w:rsidR="005C0568" w:rsidRPr="00E3331A">
              <w:t>Ig per patient per year</w:t>
            </w:r>
            <w:r w:rsidR="00126186" w:rsidRPr="00E3331A">
              <w:t>,</w:t>
            </w:r>
            <w:r w:rsidR="005C0568" w:rsidRPr="00E3331A">
              <w:t xml:space="preserve"> </w:t>
            </w:r>
            <w:r w:rsidRPr="00E3331A">
              <w:t>a price per gram of $</w:t>
            </w:r>
            <w:r w:rsidR="00825486" w:rsidRPr="00E3331A">
              <w:t>60.4</w:t>
            </w:r>
            <w:r w:rsidR="00047ADA" w:rsidRPr="00E3331A">
              <w:t>1</w:t>
            </w:r>
            <w:r w:rsidR="00327DF4" w:rsidRPr="00E3331A">
              <w:t>,</w:t>
            </w:r>
            <w:r w:rsidR="005C0568" w:rsidRPr="00E3331A">
              <w:t xml:space="preserve"> and a utility gain of 0.12</w:t>
            </w:r>
            <w:r w:rsidR="00825486" w:rsidRPr="00E3331A">
              <w:t xml:space="preserve"> over </w:t>
            </w:r>
            <w:r w:rsidR="00327DF4" w:rsidRPr="00E3331A">
              <w:t xml:space="preserve">six </w:t>
            </w:r>
            <w:r w:rsidR="00825486" w:rsidRPr="00E3331A">
              <w:t>months of Ig treatment</w:t>
            </w:r>
            <w:r w:rsidRPr="00E3331A">
              <w:t xml:space="preserve">. </w:t>
            </w:r>
          </w:p>
          <w:p w:rsidR="00CE1422" w:rsidRPr="00E3331A" w:rsidRDefault="000323A3" w:rsidP="0007007F">
            <w:pPr>
              <w:pStyle w:val="BodyTextSTD"/>
              <w:numPr>
                <w:ilvl w:val="0"/>
                <w:numId w:val="36"/>
              </w:numPr>
            </w:pPr>
            <w:r w:rsidRPr="00E3331A">
              <w:t>The EFNS/PNS</w:t>
            </w:r>
            <w:r w:rsidR="00AF136E" w:rsidRPr="00E3331A">
              <w:t xml:space="preserve"> </w:t>
            </w:r>
            <w:r w:rsidRPr="00E3331A">
              <w:t>guidelines recommend either steroids or Ig as the first option for patients with moderate to severe CIDP. The PICO noted</w:t>
            </w:r>
            <w:r w:rsidR="00241979" w:rsidRPr="00E3331A">
              <w:t xml:space="preserve"> </w:t>
            </w:r>
            <w:r w:rsidRPr="00E3331A">
              <w:t>that</w:t>
            </w:r>
            <w:r w:rsidR="00241979" w:rsidRPr="00E3331A">
              <w:t xml:space="preserve">, </w:t>
            </w:r>
            <w:r w:rsidR="00AF136E" w:rsidRPr="00E3331A">
              <w:t>i</w:t>
            </w:r>
            <w:r w:rsidR="00241979" w:rsidRPr="00E3331A">
              <w:t xml:space="preserve">n Australia, </w:t>
            </w:r>
            <w:r w:rsidRPr="00E3331A">
              <w:t xml:space="preserve">Ig </w:t>
            </w:r>
            <w:r w:rsidR="00241979" w:rsidRPr="00E3331A">
              <w:t>can be a</w:t>
            </w:r>
            <w:r w:rsidRPr="00E3331A">
              <w:t xml:space="preserve"> </w:t>
            </w:r>
            <w:r w:rsidR="00345C95" w:rsidRPr="00E3331A">
              <w:t>first-choice</w:t>
            </w:r>
            <w:r w:rsidRPr="00E3331A">
              <w:t xml:space="preserve"> treatment option for patients </w:t>
            </w:r>
            <w:r w:rsidR="00A0781E" w:rsidRPr="00E3331A">
              <w:t xml:space="preserve">meeting the requirements set out in </w:t>
            </w:r>
            <w:r w:rsidR="005D56D1" w:rsidRPr="00E3331A">
              <w:t>V</w:t>
            </w:r>
            <w:r w:rsidR="00A0781E" w:rsidRPr="00E3331A">
              <w:t xml:space="preserve">ersion 3 of </w:t>
            </w:r>
            <w:r w:rsidR="00A0781E" w:rsidRPr="00E3331A">
              <w:rPr>
                <w:i/>
              </w:rPr>
              <w:t>The Criteria</w:t>
            </w:r>
            <w:r w:rsidRPr="00E3331A">
              <w:t xml:space="preserve">. The degree to which Ig is being used as a first option is difficult to quantify. </w:t>
            </w:r>
          </w:p>
          <w:p w:rsidR="00BD5568" w:rsidRPr="00E3331A" w:rsidRDefault="00C02C59" w:rsidP="00CE1422">
            <w:pPr>
              <w:pStyle w:val="BodyTextSTD"/>
              <w:numPr>
                <w:ilvl w:val="0"/>
                <w:numId w:val="36"/>
              </w:numPr>
            </w:pPr>
            <w:r w:rsidRPr="00E3331A">
              <w:t xml:space="preserve">Section E </w:t>
            </w:r>
            <w:r w:rsidR="00CE1422" w:rsidRPr="00E3331A">
              <w:t xml:space="preserve">estimates of </w:t>
            </w:r>
            <w:r w:rsidR="000323A3" w:rsidRPr="00E3331A">
              <w:t xml:space="preserve">Ig usage </w:t>
            </w:r>
            <w:r w:rsidR="00CE1422" w:rsidRPr="00E3331A">
              <w:t xml:space="preserve">for CIDP </w:t>
            </w:r>
            <w:r w:rsidR="00376BF6" w:rsidRPr="00E3331A">
              <w:t xml:space="preserve">over the next 5-years </w:t>
            </w:r>
            <w:r w:rsidR="00CE1422" w:rsidRPr="00E3331A">
              <w:t xml:space="preserve">are </w:t>
            </w:r>
            <w:r w:rsidR="00376BF6" w:rsidRPr="00E3331A">
              <w:t xml:space="preserve">based on the </w:t>
            </w:r>
            <w:r w:rsidR="003D4F30" w:rsidRPr="00E3331A">
              <w:t xml:space="preserve">linear </w:t>
            </w:r>
            <w:r w:rsidR="00376BF6" w:rsidRPr="00E3331A">
              <w:t xml:space="preserve">trend </w:t>
            </w:r>
            <w:r w:rsidR="00CE1422" w:rsidRPr="00E3331A">
              <w:t xml:space="preserve">in Australian utilisation </w:t>
            </w:r>
            <w:r w:rsidR="00376BF6" w:rsidRPr="00E3331A">
              <w:t>reported from 2012-2018</w:t>
            </w:r>
            <w:r w:rsidR="000323A3" w:rsidRPr="00E3331A">
              <w:t>.</w:t>
            </w:r>
            <w:r w:rsidR="00BD5568" w:rsidRPr="00E3331A">
              <w:t xml:space="preserve"> </w:t>
            </w:r>
            <w:r w:rsidR="00376BF6" w:rsidRPr="00E3331A">
              <w:t xml:space="preserve">Ig costs increase from $88.1 to </w:t>
            </w:r>
            <w:r w:rsidR="00CE1422" w:rsidRPr="00E3331A">
              <w:t>$</w:t>
            </w:r>
            <w:r w:rsidR="00376BF6" w:rsidRPr="00E3331A">
              <w:t>108.8 million per year between 2020 and 2024. When PBS, M</w:t>
            </w:r>
            <w:r w:rsidR="00B73E3D">
              <w:t>edicare Benefits Schedule (MBS)</w:t>
            </w:r>
            <w:r w:rsidR="00376BF6" w:rsidRPr="00E3331A">
              <w:t xml:space="preserve"> and state hospital costs are considered, Ig use and its delivery are projected to generate net </w:t>
            </w:r>
            <w:r w:rsidR="00CE1422" w:rsidRPr="00E3331A">
              <w:t xml:space="preserve">costs to </w:t>
            </w:r>
            <w:r w:rsidR="00376BF6" w:rsidRPr="00E3331A">
              <w:t>government of $103.6 million in 2020, increasing to</w:t>
            </w:r>
            <w:r w:rsidR="00F21090" w:rsidRPr="00E3331A">
              <w:t xml:space="preserve"> $127.</w:t>
            </w:r>
            <w:r w:rsidR="00376BF6" w:rsidRPr="00E3331A">
              <w:t>9 million by 2024.</w:t>
            </w:r>
          </w:p>
        </w:tc>
      </w:tr>
    </w:tbl>
    <w:p w:rsidR="008C7152" w:rsidRPr="00E3331A" w:rsidRDefault="00236B1B" w:rsidP="003E4E1F">
      <w:pPr>
        <w:pStyle w:val="Heading2"/>
      </w:pPr>
      <w:bookmarkStart w:id="39" w:name="_Toc24103414"/>
      <w:bookmarkEnd w:id="38"/>
      <w:r w:rsidRPr="00E3331A">
        <w:lastRenderedPageBreak/>
        <w:t>Chronic Inflammatory Demyelinating Polyneuropathy</w:t>
      </w:r>
      <w:bookmarkEnd w:id="39"/>
    </w:p>
    <w:p w:rsidR="00EB4DCD" w:rsidRPr="00E3331A" w:rsidRDefault="00EB4DCD" w:rsidP="004169C7">
      <w:r w:rsidRPr="00E3331A">
        <w:t xml:space="preserve">This </w:t>
      </w:r>
      <w:r w:rsidR="005541CA" w:rsidRPr="00E3331A">
        <w:t>C</w:t>
      </w:r>
      <w:r w:rsidRPr="00E3331A">
        <w:t xml:space="preserve">ontracted </w:t>
      </w:r>
      <w:r w:rsidR="005541CA" w:rsidRPr="00E3331A">
        <w:t>A</w:t>
      </w:r>
      <w:r w:rsidRPr="00E3331A">
        <w:t xml:space="preserve">ssessment examines the evidence </w:t>
      </w:r>
      <w:r w:rsidR="00D712E4" w:rsidRPr="00E3331A">
        <w:t xml:space="preserve">on </w:t>
      </w:r>
      <w:r w:rsidR="00F2359A" w:rsidRPr="00E3331A">
        <w:t>Ig</w:t>
      </w:r>
      <w:r w:rsidR="00D712E4" w:rsidRPr="00E3331A">
        <w:t xml:space="preserve"> for </w:t>
      </w:r>
      <w:r w:rsidR="00F2359A" w:rsidRPr="00E3331A">
        <w:t xml:space="preserve">the </w:t>
      </w:r>
      <w:r w:rsidR="00D712E4" w:rsidRPr="00E3331A">
        <w:t xml:space="preserve">management of </w:t>
      </w:r>
      <w:r w:rsidR="00D31865" w:rsidRPr="00E3331A">
        <w:t>CIDP</w:t>
      </w:r>
      <w:r w:rsidR="007F1232" w:rsidRPr="00E3331A">
        <w:t xml:space="preserve"> </w:t>
      </w:r>
      <w:r w:rsidR="00D712E4" w:rsidRPr="00E3331A">
        <w:t xml:space="preserve">as part of the </w:t>
      </w:r>
      <w:r w:rsidR="00F2359A" w:rsidRPr="00E3331A">
        <w:t>Review of Immunoglobulin use in Australia</w:t>
      </w:r>
      <w:r w:rsidRPr="00E3331A">
        <w:t xml:space="preserve">. </w:t>
      </w:r>
    </w:p>
    <w:p w:rsidR="007D7A19" w:rsidRPr="00E3331A" w:rsidRDefault="007D7A19" w:rsidP="00AA2C7A">
      <w:pPr>
        <w:pStyle w:val="ESNumberedSectionHeading"/>
        <w:numPr>
          <w:ilvl w:val="0"/>
          <w:numId w:val="0"/>
        </w:numPr>
        <w:ind w:left="1134" w:hanging="1134"/>
      </w:pPr>
      <w:bookmarkStart w:id="40" w:name="_Toc24103415"/>
      <w:r w:rsidRPr="00E3331A">
        <w:t xml:space="preserve">Alignment with agreed </w:t>
      </w:r>
      <w:r w:rsidR="0088661A" w:rsidRPr="00E3331A">
        <w:t>PICO Confirmation</w:t>
      </w:r>
      <w:bookmarkEnd w:id="40"/>
    </w:p>
    <w:p w:rsidR="008A6152" w:rsidRPr="00E3331A" w:rsidRDefault="008A6152" w:rsidP="00DF343F">
      <w:pPr>
        <w:jc w:val="both"/>
      </w:pPr>
      <w:r w:rsidRPr="00E3331A">
        <w:t xml:space="preserve">This </w:t>
      </w:r>
      <w:r w:rsidR="00F2359A" w:rsidRPr="00E3331A">
        <w:t>A</w:t>
      </w:r>
      <w:r w:rsidRPr="00E3331A">
        <w:t>ssessment addresses all</w:t>
      </w:r>
      <w:r w:rsidR="00F2359A" w:rsidRPr="00E3331A">
        <w:t xml:space="preserve"> </w:t>
      </w:r>
      <w:r w:rsidRPr="00E3331A">
        <w:t>the PICO</w:t>
      </w:r>
      <w:r w:rsidR="00B313E2" w:rsidRPr="00E3331A">
        <w:rPr>
          <w:rStyle w:val="FootnoteReference"/>
        </w:rPr>
        <w:footnoteReference w:id="2"/>
      </w:r>
      <w:r w:rsidRPr="00E3331A">
        <w:t xml:space="preserve"> elements </w:t>
      </w:r>
      <w:r w:rsidR="00593423" w:rsidRPr="00E3331A">
        <w:t>pre-</w:t>
      </w:r>
      <w:r w:rsidRPr="00E3331A">
        <w:t xml:space="preserve">specified in the </w:t>
      </w:r>
      <w:r w:rsidR="0088661A" w:rsidRPr="00E3331A">
        <w:t>PICO Confirmation</w:t>
      </w:r>
      <w:r w:rsidRPr="00E3331A">
        <w:t xml:space="preserve"> </w:t>
      </w:r>
      <w:r w:rsidR="00C47764" w:rsidRPr="00E3331A">
        <w:t>ratified</w:t>
      </w:r>
      <w:r w:rsidR="00593423" w:rsidRPr="00E3331A">
        <w:t xml:space="preserve"> </w:t>
      </w:r>
      <w:r w:rsidR="00B313E2" w:rsidRPr="00E3331A">
        <w:t>by</w:t>
      </w:r>
      <w:r w:rsidR="00F2359A" w:rsidRPr="00E3331A">
        <w:t xml:space="preserve"> the Immunoglobulin Review Reference Group</w:t>
      </w:r>
      <w:r w:rsidRPr="00E3331A">
        <w:t>.</w:t>
      </w:r>
      <w:r w:rsidR="00B313E2" w:rsidRPr="00E3331A">
        <w:t xml:space="preserve"> </w:t>
      </w:r>
    </w:p>
    <w:p w:rsidR="008C7152" w:rsidRPr="00E3331A" w:rsidRDefault="008A6152" w:rsidP="009F7373">
      <w:pPr>
        <w:pStyle w:val="Heading3"/>
      </w:pPr>
      <w:bookmarkStart w:id="41" w:name="_Toc395200742"/>
      <w:bookmarkStart w:id="42" w:name="_Toc24103416"/>
      <w:r w:rsidRPr="00E3331A">
        <w:t xml:space="preserve">Proposed </w:t>
      </w:r>
      <w:r w:rsidR="00630910" w:rsidRPr="00E3331A">
        <w:t>M</w:t>
      </w:r>
      <w:r w:rsidRPr="00E3331A">
        <w:t xml:space="preserve">edical </w:t>
      </w:r>
      <w:r w:rsidR="00630910" w:rsidRPr="00E3331A">
        <w:t>S</w:t>
      </w:r>
      <w:r w:rsidRPr="00E3331A">
        <w:t>ervice</w:t>
      </w:r>
      <w:bookmarkEnd w:id="41"/>
      <w:bookmarkEnd w:id="42"/>
    </w:p>
    <w:p w:rsidR="00F2359A" w:rsidRPr="00E3331A" w:rsidRDefault="00F2359A" w:rsidP="00F2359A">
      <w:bookmarkStart w:id="43" w:name="_Toc379118248"/>
      <w:bookmarkStart w:id="44" w:name="_Toc381796432"/>
      <w:r w:rsidRPr="00E3331A">
        <w:t xml:space="preserve">The intervention under review is </w:t>
      </w:r>
      <w:r w:rsidR="00C51E07" w:rsidRPr="00E3331A">
        <w:t>Ig</w:t>
      </w:r>
      <w:r w:rsidRPr="00E3331A">
        <w:t xml:space="preserve"> therapy. Immunoglobulins are antibodies that have been purified from the plasma of healthy blood donors. In Australia, Ig is provided by the </w:t>
      </w:r>
      <w:r w:rsidR="00D31865" w:rsidRPr="00E3331A">
        <w:t>NBA</w:t>
      </w:r>
      <w:r w:rsidR="00AB513D" w:rsidRPr="00E3331A">
        <w:t xml:space="preserve"> </w:t>
      </w:r>
      <w:r w:rsidRPr="00E3331A">
        <w:t xml:space="preserve">and is sourced from plasma collected by the Australian Red Cross Blood Service, </w:t>
      </w:r>
      <w:r w:rsidR="00CA169F" w:rsidRPr="00E3331A">
        <w:t xml:space="preserve">from </w:t>
      </w:r>
      <w:r w:rsidRPr="00E3331A">
        <w:t xml:space="preserve">plasma fractionation by CSL Behring Pty Ltd and </w:t>
      </w:r>
      <w:r w:rsidR="00CA169F" w:rsidRPr="00E3331A">
        <w:t xml:space="preserve">from </w:t>
      </w:r>
      <w:r w:rsidRPr="00E3331A">
        <w:t xml:space="preserve">imported supplies (Referral Form, page 4). </w:t>
      </w:r>
    </w:p>
    <w:p w:rsidR="00841DB0" w:rsidRPr="00E3331A" w:rsidRDefault="00A5274F" w:rsidP="00841DB0">
      <w:r>
        <w:t>At the commencement of this Review</w:t>
      </w:r>
      <w:r w:rsidR="00D31865" w:rsidRPr="00E3331A">
        <w:t xml:space="preserve"> only intravenous Ig (IVIg)</w:t>
      </w:r>
      <w:r>
        <w:t xml:space="preserve"> was</w:t>
      </w:r>
      <w:r w:rsidR="00D31865" w:rsidRPr="00E3331A">
        <w:t xml:space="preserve"> funded for CIDP. </w:t>
      </w:r>
      <w:r w:rsidR="00CA169F" w:rsidRPr="00E3331A">
        <w:t>T</w:t>
      </w:r>
      <w:r w:rsidR="00841DB0" w:rsidRPr="00E3331A">
        <w:t xml:space="preserve">he Reference Group </w:t>
      </w:r>
      <w:r w:rsidR="00CA169F" w:rsidRPr="00E3331A">
        <w:t>advise</w:t>
      </w:r>
      <w:r>
        <w:t>d</w:t>
      </w:r>
      <w:r w:rsidR="00CA169F" w:rsidRPr="00E3331A">
        <w:t xml:space="preserve"> </w:t>
      </w:r>
      <w:r w:rsidR="00841DB0" w:rsidRPr="00E3331A">
        <w:t xml:space="preserve">that funding for </w:t>
      </w:r>
      <w:r w:rsidR="00D31865" w:rsidRPr="00E3331A">
        <w:t>subcutaneous Ig (</w:t>
      </w:r>
      <w:r w:rsidR="00841DB0" w:rsidRPr="00E3331A">
        <w:t>SCIg</w:t>
      </w:r>
      <w:r w:rsidR="00D31865" w:rsidRPr="00E3331A">
        <w:t>)</w:t>
      </w:r>
      <w:r w:rsidR="00841DB0" w:rsidRPr="00E3331A">
        <w:t xml:space="preserve"> </w:t>
      </w:r>
      <w:r>
        <w:t>was</w:t>
      </w:r>
      <w:r w:rsidR="00841DB0" w:rsidRPr="00E3331A">
        <w:t xml:space="preserve"> probable in the foreseeable future. The specific conditions relating to Ig use, the qualifying criteria, and </w:t>
      </w:r>
      <w:r w:rsidR="006C10D5" w:rsidRPr="00E3331A">
        <w:t>recommended</w:t>
      </w:r>
      <w:r w:rsidR="00841DB0" w:rsidRPr="00E3331A">
        <w:t xml:space="preserve"> dosages for CIDP </w:t>
      </w:r>
      <w:r w:rsidR="00CA169F" w:rsidRPr="00E3331A">
        <w:t xml:space="preserve">were developed by the NBA </w:t>
      </w:r>
      <w:r w:rsidR="000D3BEC" w:rsidRPr="00E3331A">
        <w:t>(NBA C</w:t>
      </w:r>
      <w:r w:rsidR="00CA169F" w:rsidRPr="00E3331A">
        <w:t xml:space="preserve">riteria </w:t>
      </w:r>
      <w:r w:rsidR="00841DB0" w:rsidRPr="00E3331A">
        <w:t xml:space="preserve">outlined in </w:t>
      </w:r>
      <w:r w:rsidR="00B65A0B" w:rsidRPr="00E3331A">
        <w:t>V</w:t>
      </w:r>
      <w:r w:rsidR="00841DB0" w:rsidRPr="00E3331A">
        <w:t xml:space="preserve">ersion 3 of </w:t>
      </w:r>
      <w:r w:rsidR="00841DB0" w:rsidRPr="00E3331A">
        <w:rPr>
          <w:i/>
        </w:rPr>
        <w:t>The</w:t>
      </w:r>
      <w:r w:rsidR="00841DB0" w:rsidRPr="00E3331A">
        <w:t xml:space="preserve"> </w:t>
      </w:r>
      <w:r w:rsidR="00841DB0" w:rsidRPr="00E3331A">
        <w:rPr>
          <w:i/>
        </w:rPr>
        <w:t>Criteria for the clinical use of Immunoglobulin in Australia)</w:t>
      </w:r>
      <w:r w:rsidR="005D56D1" w:rsidRPr="00E3331A">
        <w:rPr>
          <w:i/>
        </w:rPr>
        <w:t xml:space="preserve"> </w:t>
      </w:r>
      <w:r w:rsidR="00B85C75">
        <w:rPr>
          <w:i/>
          <w:noProof/>
        </w:rPr>
        <w:t>(NBA 2018)</w:t>
      </w:r>
      <w:r w:rsidR="00CA169F" w:rsidRPr="00E3331A">
        <w:t xml:space="preserve">. </w:t>
      </w:r>
      <w:r w:rsidR="00841DB0" w:rsidRPr="00E3331A">
        <w:t xml:space="preserve">IVIg is </w:t>
      </w:r>
      <w:r w:rsidR="00FC459D" w:rsidRPr="00E3331A">
        <w:t xml:space="preserve">most often </w:t>
      </w:r>
      <w:r w:rsidR="00841DB0" w:rsidRPr="00E3331A">
        <w:t xml:space="preserve">infused in the public </w:t>
      </w:r>
      <w:r w:rsidR="00D31865" w:rsidRPr="00E3331A">
        <w:t>‘</w:t>
      </w:r>
      <w:r w:rsidR="00841DB0" w:rsidRPr="00E3331A">
        <w:t>day</w:t>
      </w:r>
      <w:r w:rsidR="00D45BCF" w:rsidRPr="00E3331A">
        <w:t>-</w:t>
      </w:r>
      <w:r w:rsidR="00841DB0" w:rsidRPr="00E3331A">
        <w:t>case</w:t>
      </w:r>
      <w:r w:rsidR="00D31865" w:rsidRPr="00E3331A">
        <w:t>’</w:t>
      </w:r>
      <w:r w:rsidR="00841DB0" w:rsidRPr="00E3331A">
        <w:t xml:space="preserve"> setting</w:t>
      </w:r>
      <w:r w:rsidR="008B0B81" w:rsidRPr="00E3331A">
        <w:t>. It</w:t>
      </w:r>
      <w:r w:rsidR="00841DB0" w:rsidRPr="00E3331A">
        <w:t xml:space="preserve"> </w:t>
      </w:r>
      <w:r w:rsidR="00841DB0" w:rsidRPr="00E3331A">
        <w:lastRenderedPageBreak/>
        <w:t>may also be administered to private patients in public hospitals and in private same-day infusion facilities unattached to a hospital.</w:t>
      </w:r>
    </w:p>
    <w:p w:rsidR="008F1D1C" w:rsidRPr="00E3331A" w:rsidRDefault="008F1D1C" w:rsidP="005C061E">
      <w:pPr>
        <w:pStyle w:val="Heading3"/>
      </w:pPr>
      <w:bookmarkStart w:id="45" w:name="_Toc24103417"/>
      <w:bookmarkStart w:id="46" w:name="_Toc395200743"/>
      <w:r w:rsidRPr="00E3331A">
        <w:t>Population</w:t>
      </w:r>
      <w:bookmarkEnd w:id="45"/>
    </w:p>
    <w:p w:rsidR="008F2C1C" w:rsidRPr="00E3331A" w:rsidRDefault="00976F16" w:rsidP="00AA2C7A">
      <w:r w:rsidRPr="00E3331A">
        <w:t>The population for this Assessment is patients with</w:t>
      </w:r>
      <w:r w:rsidR="007F1232" w:rsidRPr="00E3331A">
        <w:t xml:space="preserve"> </w:t>
      </w:r>
      <w:r w:rsidRPr="00E3331A">
        <w:t>CIDP</w:t>
      </w:r>
      <w:r w:rsidR="003B09AB">
        <w:t xml:space="preserve"> eligible for Ig treatment under Version 3 of </w:t>
      </w:r>
      <w:r w:rsidR="003B09AB" w:rsidRPr="00304276">
        <w:rPr>
          <w:i/>
        </w:rPr>
        <w:t>‘The Criteria’</w:t>
      </w:r>
      <w:r w:rsidR="003B09AB">
        <w:t>. CIDP is</w:t>
      </w:r>
      <w:r w:rsidR="00495D50" w:rsidRPr="00E3331A">
        <w:t xml:space="preserve"> </w:t>
      </w:r>
      <w:r w:rsidR="007F1232" w:rsidRPr="00E3331A">
        <w:t>a</w:t>
      </w:r>
      <w:r w:rsidRPr="00E3331A">
        <w:t xml:space="preserve"> neurological autoimmune disorder whereby the body’s immune system attacks and damages the myelin sheath of the peripheral nerves causing electrical impulses </w:t>
      </w:r>
      <w:r w:rsidR="00495D50" w:rsidRPr="00E3331A">
        <w:t xml:space="preserve">to be </w:t>
      </w:r>
      <w:r w:rsidRPr="00E3331A">
        <w:t xml:space="preserve">slowed or lost. If left untreated irreversible damage to the nerve axons can occur. </w:t>
      </w:r>
      <w:r w:rsidR="008F2C1C" w:rsidRPr="00E3331A">
        <w:t>Early symptoms include sensory</w:t>
      </w:r>
      <w:r w:rsidR="001C68C7" w:rsidRPr="00E3331A">
        <w:t xml:space="preserve"> symptoms of</w:t>
      </w:r>
      <w:r w:rsidR="008F2C1C" w:rsidRPr="00E3331A">
        <w:t xml:space="preserve"> tingling or loss of feeling in the toes and fingers, and/or weakness in the arms and hands or legs and feet. </w:t>
      </w:r>
      <w:r w:rsidR="001C68C7" w:rsidRPr="00E3331A">
        <w:t>E</w:t>
      </w:r>
      <w:r w:rsidRPr="00E3331A">
        <w:t>stimate</w:t>
      </w:r>
      <w:r w:rsidR="001C68C7" w:rsidRPr="00E3331A">
        <w:t>s indicate</w:t>
      </w:r>
      <w:r w:rsidRPr="00E3331A">
        <w:t xml:space="preserve"> that </w:t>
      </w:r>
      <w:r w:rsidR="00D31865" w:rsidRPr="00E3331A">
        <w:t xml:space="preserve">the </w:t>
      </w:r>
      <w:r w:rsidRPr="00E3331A">
        <w:t xml:space="preserve">cumulative disability caused by untreated CIDP can lead to wheelchair dependence in </w:t>
      </w:r>
      <w:r w:rsidR="00D31865" w:rsidRPr="00E3331A">
        <w:t>approximately</w:t>
      </w:r>
      <w:r w:rsidRPr="00E3331A">
        <w:t xml:space="preserve"> one-third of patients.</w:t>
      </w:r>
      <w:r w:rsidR="008F2C1C" w:rsidRPr="00E3331A">
        <w:t xml:space="preserve"> </w:t>
      </w:r>
    </w:p>
    <w:p w:rsidR="008F2C1C" w:rsidRPr="00E3331A" w:rsidRDefault="008F2C1C" w:rsidP="00AA2C7A">
      <w:r w:rsidRPr="00E3331A">
        <w:t>Diagnosis of CIDP is difficult</w:t>
      </w:r>
      <w:r w:rsidR="009D5AA0" w:rsidRPr="00E3331A">
        <w:t>,</w:t>
      </w:r>
      <w:r w:rsidRPr="00E3331A">
        <w:t xml:space="preserve"> as there is no definitive test and the symptoms are often vague and match those of several other diseases. Diagnosis is based on a combination of clinical, electrodiagnostic and laboratory investigations (cerebrospinal fluid, magnetic resonance imaging, nerve biopsy) as well as</w:t>
      </w:r>
      <w:r w:rsidR="00D31865" w:rsidRPr="00E3331A">
        <w:t xml:space="preserve"> </w:t>
      </w:r>
      <w:r w:rsidRPr="00E3331A">
        <w:t>treatment response as outlined in the EFNS/PNS</w:t>
      </w:r>
      <w:r w:rsidR="002D3966" w:rsidRPr="00E3331A">
        <w:t>)</w:t>
      </w:r>
      <w:r w:rsidRPr="00E3331A">
        <w:t xml:space="preserve"> guideline on CIDP</w:t>
      </w:r>
      <w:r w:rsidR="00D31865" w:rsidRPr="00E3331A">
        <w:t>.</w:t>
      </w:r>
    </w:p>
    <w:p w:rsidR="00B63821" w:rsidRPr="00E3331A" w:rsidRDefault="00A423BE" w:rsidP="00AA2C7A">
      <w:r w:rsidRPr="00E3331A">
        <w:t xml:space="preserve">Estimated CIDP patient numbers in Australia </w:t>
      </w:r>
      <w:r w:rsidR="00FC578D" w:rsidRPr="00E3331A">
        <w:t xml:space="preserve">range </w:t>
      </w:r>
      <w:r w:rsidRPr="00E3331A">
        <w:t xml:space="preserve">from </w:t>
      </w:r>
      <w:r w:rsidR="00D55F1F" w:rsidRPr="00E3331A">
        <w:t>578 to 1</w:t>
      </w:r>
      <w:r w:rsidR="005F7B6E" w:rsidRPr="00E3331A">
        <w:t>,</w:t>
      </w:r>
      <w:r w:rsidR="00D55F1F" w:rsidRPr="00E3331A">
        <w:t xml:space="preserve">593 using upper and lower confidence interval bounds from Rajabaly </w:t>
      </w:r>
      <w:r w:rsidR="00983BA7">
        <w:t xml:space="preserve">et al. </w:t>
      </w:r>
      <w:r w:rsidR="005F7B6E" w:rsidRPr="00E3331A">
        <w:t>(</w:t>
      </w:r>
      <w:r w:rsidR="00D55F1F" w:rsidRPr="00E3331A">
        <w:t>2009</w:t>
      </w:r>
      <w:r w:rsidR="005F7B6E" w:rsidRPr="00E3331A">
        <w:t>)</w:t>
      </w:r>
      <w:r w:rsidR="00D55F1F" w:rsidRPr="00E3331A">
        <w:t xml:space="preserve"> and Mahdi Rogers </w:t>
      </w:r>
      <w:r w:rsidR="00983BA7">
        <w:t xml:space="preserve">et al. </w:t>
      </w:r>
      <w:r w:rsidR="00D55F1F" w:rsidRPr="00E3331A">
        <w:t>(2014) and including possible, probale and definite cases</w:t>
      </w:r>
      <w:r w:rsidR="00D55F1F" w:rsidRPr="00E3331A" w:rsidDel="00D55F1F">
        <w:t xml:space="preserve"> </w:t>
      </w:r>
      <w:r w:rsidRPr="00E3331A">
        <w:t xml:space="preserve">(see Section A.4 and C for more detail). </w:t>
      </w:r>
      <w:r w:rsidR="00B63821" w:rsidRPr="00E3331A">
        <w:t>Data from the NBA shows that in the 201</w:t>
      </w:r>
      <w:r w:rsidR="00D55F1F" w:rsidRPr="00E3331A">
        <w:t>7</w:t>
      </w:r>
      <w:r w:rsidR="00B63821" w:rsidRPr="00E3331A">
        <w:t>/1</w:t>
      </w:r>
      <w:r w:rsidR="00D55F1F" w:rsidRPr="00E3331A">
        <w:t>8</w:t>
      </w:r>
      <w:r w:rsidR="00B63821" w:rsidRPr="00E3331A">
        <w:t xml:space="preserve"> financial year 2,</w:t>
      </w:r>
      <w:r w:rsidR="00D55F1F" w:rsidRPr="00E3331A">
        <w:t xml:space="preserve">595 </w:t>
      </w:r>
      <w:r w:rsidR="00B63821" w:rsidRPr="00E3331A">
        <w:t>patients in Australia received Ig for CIDP (</w:t>
      </w:r>
      <w:r w:rsidR="006F35B9" w:rsidRPr="00E3331A">
        <w:t xml:space="preserve">Table </w:t>
      </w:r>
      <w:r w:rsidR="006F35B9">
        <w:rPr>
          <w:noProof/>
        </w:rPr>
        <w:t>1</w:t>
      </w:r>
      <w:r w:rsidR="00B63821" w:rsidRPr="00E3331A">
        <w:t xml:space="preserve">). </w:t>
      </w:r>
    </w:p>
    <w:p w:rsidR="00B63821" w:rsidRPr="00E3331A" w:rsidRDefault="00B63821" w:rsidP="00B63821">
      <w:pPr>
        <w:pStyle w:val="Caption"/>
        <w:ind w:left="1134" w:hanging="1134"/>
      </w:pPr>
      <w:bookmarkStart w:id="47" w:name="_Ref10018528"/>
      <w:bookmarkStart w:id="48" w:name="_Toc24103307"/>
      <w:r w:rsidRPr="00E3331A">
        <w:t xml:space="preserve">Table </w:t>
      </w:r>
      <w:r w:rsidR="006F35B9">
        <w:rPr>
          <w:noProof/>
        </w:rPr>
        <w:t>1</w:t>
      </w:r>
      <w:bookmarkEnd w:id="47"/>
      <w:r w:rsidRPr="00E3331A">
        <w:tab/>
        <w:t>Change in number of patients using IVIg for CIDP in Australia over time</w:t>
      </w:r>
      <w:bookmarkEnd w:id="48"/>
      <w:r w:rsidRPr="00E3331A">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6"/>
        <w:gridCol w:w="1286"/>
        <w:gridCol w:w="1356"/>
        <w:gridCol w:w="1226"/>
        <w:gridCol w:w="1226"/>
        <w:gridCol w:w="1179"/>
        <w:gridCol w:w="1177"/>
      </w:tblGrid>
      <w:tr w:rsidR="00D55F1F" w:rsidRPr="00E3331A" w:rsidDel="00A134DA" w:rsidTr="003840DD">
        <w:tc>
          <w:tcPr>
            <w:tcW w:w="868" w:type="pct"/>
          </w:tcPr>
          <w:p w:rsidR="00D55F1F" w:rsidRPr="00E3331A" w:rsidDel="00A134DA" w:rsidRDefault="00D55F1F" w:rsidP="000323A3">
            <w:pPr>
              <w:pStyle w:val="Tabletext1"/>
              <w:rPr>
                <w:b/>
              </w:rPr>
            </w:pPr>
            <w:r w:rsidRPr="00E3331A">
              <w:rPr>
                <w:b/>
              </w:rPr>
              <w:t>Financial year</w:t>
            </w:r>
          </w:p>
        </w:tc>
        <w:tc>
          <w:tcPr>
            <w:tcW w:w="713" w:type="pct"/>
          </w:tcPr>
          <w:p w:rsidR="00D55F1F" w:rsidRPr="00E3331A" w:rsidDel="00A134DA" w:rsidRDefault="00D55F1F" w:rsidP="000323A3">
            <w:pPr>
              <w:pStyle w:val="Tabletext1"/>
              <w:rPr>
                <w:b/>
              </w:rPr>
            </w:pPr>
            <w:r w:rsidRPr="00E3331A">
              <w:rPr>
                <w:b/>
              </w:rPr>
              <w:t>2011–2012</w:t>
            </w:r>
          </w:p>
        </w:tc>
        <w:tc>
          <w:tcPr>
            <w:tcW w:w="752" w:type="pct"/>
          </w:tcPr>
          <w:p w:rsidR="00D55F1F" w:rsidRPr="00E3331A" w:rsidDel="00A134DA" w:rsidRDefault="00D55F1F" w:rsidP="000323A3">
            <w:pPr>
              <w:pStyle w:val="Tabletext1"/>
              <w:rPr>
                <w:b/>
              </w:rPr>
            </w:pPr>
            <w:r w:rsidRPr="00E3331A">
              <w:rPr>
                <w:b/>
              </w:rPr>
              <w:t>2012–13</w:t>
            </w:r>
          </w:p>
        </w:tc>
        <w:tc>
          <w:tcPr>
            <w:tcW w:w="680" w:type="pct"/>
          </w:tcPr>
          <w:p w:rsidR="00D55F1F" w:rsidRPr="00E3331A" w:rsidDel="00A134DA" w:rsidRDefault="00D55F1F" w:rsidP="000323A3">
            <w:pPr>
              <w:pStyle w:val="Tabletext1"/>
              <w:rPr>
                <w:b/>
              </w:rPr>
            </w:pPr>
            <w:r w:rsidRPr="00E3331A">
              <w:rPr>
                <w:b/>
              </w:rPr>
              <w:t>2013–14</w:t>
            </w:r>
          </w:p>
        </w:tc>
        <w:tc>
          <w:tcPr>
            <w:tcW w:w="680" w:type="pct"/>
          </w:tcPr>
          <w:p w:rsidR="00D55F1F" w:rsidRPr="00E3331A" w:rsidDel="00A134DA" w:rsidRDefault="00D55F1F" w:rsidP="000323A3">
            <w:pPr>
              <w:pStyle w:val="Tabletext1"/>
              <w:rPr>
                <w:b/>
              </w:rPr>
            </w:pPr>
            <w:r w:rsidRPr="00E3331A">
              <w:rPr>
                <w:b/>
              </w:rPr>
              <w:t>2014–15</w:t>
            </w:r>
          </w:p>
        </w:tc>
        <w:tc>
          <w:tcPr>
            <w:tcW w:w="654" w:type="pct"/>
          </w:tcPr>
          <w:p w:rsidR="00D55F1F" w:rsidRPr="00E3331A" w:rsidRDefault="00D55F1F" w:rsidP="000323A3">
            <w:pPr>
              <w:pStyle w:val="Tabletext1"/>
              <w:rPr>
                <w:b/>
              </w:rPr>
            </w:pPr>
            <w:r w:rsidRPr="00E3331A">
              <w:rPr>
                <w:b/>
              </w:rPr>
              <w:t>2015–16</w:t>
            </w:r>
          </w:p>
        </w:tc>
        <w:tc>
          <w:tcPr>
            <w:tcW w:w="653" w:type="pct"/>
          </w:tcPr>
          <w:p w:rsidR="00D55F1F" w:rsidRPr="00E3331A" w:rsidRDefault="00D55F1F" w:rsidP="000323A3">
            <w:pPr>
              <w:pStyle w:val="Tabletext1"/>
              <w:rPr>
                <w:b/>
              </w:rPr>
            </w:pPr>
            <w:r w:rsidRPr="00E3331A">
              <w:rPr>
                <w:b/>
              </w:rPr>
              <w:t>2017</w:t>
            </w:r>
            <w:r w:rsidR="001877E8" w:rsidRPr="00E3331A">
              <w:rPr>
                <w:b/>
              </w:rPr>
              <w:t>–</w:t>
            </w:r>
            <w:r w:rsidRPr="00E3331A">
              <w:rPr>
                <w:b/>
              </w:rPr>
              <w:t>18</w:t>
            </w:r>
          </w:p>
        </w:tc>
      </w:tr>
      <w:tr w:rsidR="00D55F1F" w:rsidRPr="00E3331A" w:rsidDel="00A134DA" w:rsidTr="003840DD">
        <w:tc>
          <w:tcPr>
            <w:tcW w:w="868" w:type="pct"/>
          </w:tcPr>
          <w:p w:rsidR="00D55F1F" w:rsidRPr="00E3331A" w:rsidDel="00A134DA" w:rsidRDefault="00D55F1F" w:rsidP="000323A3">
            <w:pPr>
              <w:pStyle w:val="Tabletext1"/>
            </w:pPr>
            <w:r w:rsidRPr="00E3331A">
              <w:t>Patient number</w:t>
            </w:r>
          </w:p>
        </w:tc>
        <w:tc>
          <w:tcPr>
            <w:tcW w:w="713" w:type="pct"/>
          </w:tcPr>
          <w:p w:rsidR="00D55F1F" w:rsidRPr="00E3331A" w:rsidDel="00A134DA" w:rsidRDefault="00D55F1F" w:rsidP="000323A3">
            <w:pPr>
              <w:pStyle w:val="Tabletext1"/>
            </w:pPr>
            <w:r w:rsidRPr="00E3331A">
              <w:t>1,551</w:t>
            </w:r>
          </w:p>
        </w:tc>
        <w:tc>
          <w:tcPr>
            <w:tcW w:w="752" w:type="pct"/>
          </w:tcPr>
          <w:p w:rsidR="00D55F1F" w:rsidRPr="00E3331A" w:rsidDel="00A134DA" w:rsidRDefault="00D55F1F" w:rsidP="000323A3">
            <w:pPr>
              <w:pStyle w:val="Tabletext1"/>
            </w:pPr>
            <w:r w:rsidRPr="00E3331A">
              <w:t>1,753</w:t>
            </w:r>
          </w:p>
        </w:tc>
        <w:tc>
          <w:tcPr>
            <w:tcW w:w="680" w:type="pct"/>
          </w:tcPr>
          <w:p w:rsidR="00D55F1F" w:rsidRPr="00E3331A" w:rsidDel="00A134DA" w:rsidRDefault="00D55F1F" w:rsidP="000323A3">
            <w:pPr>
              <w:pStyle w:val="Tabletext1"/>
            </w:pPr>
            <w:r w:rsidRPr="00E3331A">
              <w:t>1,903</w:t>
            </w:r>
          </w:p>
        </w:tc>
        <w:tc>
          <w:tcPr>
            <w:tcW w:w="680" w:type="pct"/>
          </w:tcPr>
          <w:p w:rsidR="00D55F1F" w:rsidRPr="00E3331A" w:rsidDel="00A134DA" w:rsidRDefault="00D55F1F" w:rsidP="000323A3">
            <w:pPr>
              <w:pStyle w:val="Tabletext1"/>
            </w:pPr>
            <w:r w:rsidRPr="00E3331A">
              <w:t>2,054</w:t>
            </w:r>
          </w:p>
        </w:tc>
        <w:tc>
          <w:tcPr>
            <w:tcW w:w="654" w:type="pct"/>
          </w:tcPr>
          <w:p w:rsidR="00D55F1F" w:rsidRPr="00E3331A" w:rsidDel="00A134DA" w:rsidRDefault="00D55F1F" w:rsidP="000323A3">
            <w:pPr>
              <w:pStyle w:val="Tabletext1"/>
            </w:pPr>
            <w:r w:rsidRPr="00E3331A">
              <w:t>2,250</w:t>
            </w:r>
          </w:p>
        </w:tc>
        <w:tc>
          <w:tcPr>
            <w:tcW w:w="653" w:type="pct"/>
          </w:tcPr>
          <w:p w:rsidR="00D55F1F" w:rsidRPr="00E3331A" w:rsidRDefault="00D55F1F" w:rsidP="000323A3">
            <w:pPr>
              <w:pStyle w:val="Tabletext1"/>
            </w:pPr>
            <w:r w:rsidRPr="00E3331A">
              <w:t>2,595</w:t>
            </w:r>
          </w:p>
        </w:tc>
      </w:tr>
      <w:tr w:rsidR="00D55F1F" w:rsidRPr="00E3331A" w:rsidDel="00A134DA" w:rsidTr="003840DD">
        <w:tc>
          <w:tcPr>
            <w:tcW w:w="868" w:type="pct"/>
          </w:tcPr>
          <w:p w:rsidR="00D55F1F" w:rsidRPr="00E3331A" w:rsidRDefault="00D55F1F" w:rsidP="000323A3">
            <w:pPr>
              <w:pStyle w:val="Tabletext1"/>
            </w:pPr>
            <w:r w:rsidRPr="00E3331A">
              <w:t>Total Ig (grams used)</w:t>
            </w:r>
          </w:p>
        </w:tc>
        <w:tc>
          <w:tcPr>
            <w:tcW w:w="713" w:type="pct"/>
          </w:tcPr>
          <w:p w:rsidR="00D55F1F" w:rsidRPr="00E3331A" w:rsidRDefault="00D55F1F" w:rsidP="000323A3">
            <w:pPr>
              <w:pStyle w:val="Tabletext1"/>
            </w:pPr>
            <w:r w:rsidRPr="00E3331A">
              <w:t>677,458</w:t>
            </w:r>
          </w:p>
        </w:tc>
        <w:tc>
          <w:tcPr>
            <w:tcW w:w="752" w:type="pct"/>
          </w:tcPr>
          <w:p w:rsidR="00D55F1F" w:rsidRPr="00E3331A" w:rsidRDefault="00D55F1F" w:rsidP="000323A3">
            <w:pPr>
              <w:pStyle w:val="Tabletext1"/>
            </w:pPr>
            <w:r w:rsidRPr="00E3331A">
              <w:t>758,271</w:t>
            </w:r>
          </w:p>
        </w:tc>
        <w:tc>
          <w:tcPr>
            <w:tcW w:w="680" w:type="pct"/>
          </w:tcPr>
          <w:p w:rsidR="00D55F1F" w:rsidRPr="00E3331A" w:rsidRDefault="00D55F1F" w:rsidP="000323A3">
            <w:pPr>
              <w:pStyle w:val="Tabletext1"/>
            </w:pPr>
            <w:r w:rsidRPr="00E3331A">
              <w:t>857,533</w:t>
            </w:r>
          </w:p>
        </w:tc>
        <w:tc>
          <w:tcPr>
            <w:tcW w:w="680" w:type="pct"/>
          </w:tcPr>
          <w:p w:rsidR="00D55F1F" w:rsidRPr="00E3331A" w:rsidRDefault="00D55F1F" w:rsidP="000323A3">
            <w:pPr>
              <w:pStyle w:val="Tabletext1"/>
            </w:pPr>
            <w:r w:rsidRPr="00E3331A">
              <w:t>974,258</w:t>
            </w:r>
          </w:p>
        </w:tc>
        <w:tc>
          <w:tcPr>
            <w:tcW w:w="654" w:type="pct"/>
          </w:tcPr>
          <w:p w:rsidR="00D55F1F" w:rsidRPr="00E3331A" w:rsidRDefault="00D55F1F" w:rsidP="000323A3">
            <w:pPr>
              <w:pStyle w:val="Tabletext1"/>
            </w:pPr>
            <w:r w:rsidRPr="00E3331A">
              <w:t>1,071,135</w:t>
            </w:r>
          </w:p>
        </w:tc>
        <w:tc>
          <w:tcPr>
            <w:tcW w:w="653" w:type="pct"/>
          </w:tcPr>
          <w:p w:rsidR="00D55F1F" w:rsidRPr="00E3331A" w:rsidRDefault="00D55F1F" w:rsidP="000323A3">
            <w:pPr>
              <w:pStyle w:val="Tabletext1"/>
            </w:pPr>
            <w:r w:rsidRPr="00E3331A">
              <w:t>1,290,730</w:t>
            </w:r>
          </w:p>
        </w:tc>
      </w:tr>
    </w:tbl>
    <w:p w:rsidR="00B63821" w:rsidRPr="00E3331A" w:rsidRDefault="000E3AD5" w:rsidP="00B63821">
      <w:pPr>
        <w:rPr>
          <w:rFonts w:ascii="Arial Narrow" w:hAnsi="Arial Narrow"/>
          <w:sz w:val="18"/>
          <w:szCs w:val="18"/>
        </w:rPr>
      </w:pPr>
      <w:r w:rsidRPr="00E3331A">
        <w:rPr>
          <w:rFonts w:ascii="Arial Narrow" w:hAnsi="Arial Narrow"/>
          <w:sz w:val="18"/>
          <w:szCs w:val="18"/>
        </w:rPr>
        <w:t xml:space="preserve">Source: annual report by the National Blood Authority on the issue and use of Ig </w:t>
      </w:r>
      <w:r w:rsidR="00B85C75">
        <w:rPr>
          <w:rFonts w:ascii="Arial Narrow" w:hAnsi="Arial Narrow"/>
          <w:noProof/>
          <w:sz w:val="18"/>
          <w:szCs w:val="18"/>
        </w:rPr>
        <w:t>(NBA 2019b)</w:t>
      </w:r>
    </w:p>
    <w:p w:rsidR="00A423BE" w:rsidRPr="00E3331A" w:rsidRDefault="004072A9" w:rsidP="00A423BE">
      <w:r w:rsidRPr="00E3331A">
        <w:t>The</w:t>
      </w:r>
      <w:r w:rsidR="00A423BE" w:rsidRPr="00E3331A">
        <w:t xml:space="preserve"> difference between prevalence data and Ig usage figures may be due to prevalence studies using </w:t>
      </w:r>
      <w:r w:rsidR="00D31865" w:rsidRPr="00E3331A">
        <w:t xml:space="preserve">a </w:t>
      </w:r>
      <w:r w:rsidR="00A423BE" w:rsidRPr="00E3331A">
        <w:t>narrow</w:t>
      </w:r>
      <w:r w:rsidRPr="00E3331A">
        <w:t>er</w:t>
      </w:r>
      <w:r w:rsidR="00A423BE" w:rsidRPr="00E3331A">
        <w:t xml:space="preserve"> set of criteria for CIDP diagnosis than </w:t>
      </w:r>
      <w:r w:rsidRPr="00E3331A">
        <w:t xml:space="preserve">that </w:t>
      </w:r>
      <w:r w:rsidR="00A423BE" w:rsidRPr="00E3331A">
        <w:t>used in clinical practice</w:t>
      </w:r>
      <w:r w:rsidR="001A281A" w:rsidRPr="00E3331A">
        <w:t>, and</w:t>
      </w:r>
      <w:r w:rsidR="00A423BE" w:rsidRPr="00E3331A">
        <w:t xml:space="preserve"> patients </w:t>
      </w:r>
      <w:r w:rsidR="001A281A" w:rsidRPr="00E3331A">
        <w:t xml:space="preserve">being </w:t>
      </w:r>
      <w:r w:rsidR="00A423BE" w:rsidRPr="00E3331A">
        <w:t>misdiagnosed with CIDP</w:t>
      </w:r>
      <w:r w:rsidR="001A281A" w:rsidRPr="00E3331A">
        <w:t>, such as those</w:t>
      </w:r>
      <w:r w:rsidR="00A423BE" w:rsidRPr="00E3331A">
        <w:t xml:space="preserve"> with non-CIDP autoimmune neuropathies being labelled as having CIDP</w:t>
      </w:r>
      <w:r w:rsidR="00F964DA" w:rsidRPr="00E3331A">
        <w:t>.</w:t>
      </w:r>
      <w:r w:rsidR="00A423BE" w:rsidRPr="00E3331A">
        <w:t xml:space="preserve"> This issue is further discussed in Section C of this Assessment.</w:t>
      </w:r>
      <w:r w:rsidR="00D55F1F" w:rsidRPr="00E3331A">
        <w:t xml:space="preserve"> </w:t>
      </w:r>
      <w:r w:rsidR="005C0E3B" w:rsidRPr="00E3331A">
        <w:t>Further, e</w:t>
      </w:r>
      <w:r w:rsidR="00D55F1F" w:rsidRPr="00E3331A">
        <w:t>xpert advice from the Reference Group is that</w:t>
      </w:r>
      <w:r w:rsidR="005C0E3B" w:rsidRPr="00E3331A">
        <w:t xml:space="preserve"> “prevalence studies only take research level proven diagnoses, whereas many patients are diagnosed at the clinical level without tests meeting full research criteria.”</w:t>
      </w:r>
    </w:p>
    <w:p w:rsidR="00753141" w:rsidRPr="00E3331A" w:rsidRDefault="005602D3" w:rsidP="009F7373">
      <w:pPr>
        <w:pStyle w:val="Heading3"/>
      </w:pPr>
      <w:bookmarkStart w:id="49" w:name="_Toc395200744"/>
      <w:bookmarkStart w:id="50" w:name="_Toc24103418"/>
      <w:bookmarkStart w:id="51" w:name="_Toc379118249"/>
      <w:bookmarkStart w:id="52" w:name="_Toc381796433"/>
      <w:bookmarkEnd w:id="43"/>
      <w:bookmarkEnd w:id="44"/>
      <w:bookmarkEnd w:id="46"/>
      <w:r w:rsidRPr="00E3331A">
        <w:t xml:space="preserve">Comparator </w:t>
      </w:r>
      <w:r w:rsidR="00630910" w:rsidRPr="00E3331A">
        <w:t>D</w:t>
      </w:r>
      <w:r w:rsidRPr="00E3331A">
        <w:t>etail</w:t>
      </w:r>
      <w:r w:rsidR="00753141" w:rsidRPr="00E3331A">
        <w:t>s</w:t>
      </w:r>
      <w:bookmarkEnd w:id="49"/>
      <w:bookmarkEnd w:id="50"/>
      <w:r w:rsidRPr="00E3331A">
        <w:t xml:space="preserve"> </w:t>
      </w:r>
    </w:p>
    <w:p w:rsidR="005F2648" w:rsidRPr="00E3331A" w:rsidRDefault="001A281A" w:rsidP="005F2648">
      <w:pPr>
        <w:jc w:val="both"/>
      </w:pPr>
      <w:r w:rsidRPr="00E3331A">
        <w:t>C</w:t>
      </w:r>
      <w:r w:rsidR="005F2648" w:rsidRPr="00E3331A">
        <w:t xml:space="preserve">omparators to Ig agreed upon in the PICO are: </w:t>
      </w:r>
    </w:p>
    <w:p w:rsidR="005F2648" w:rsidRPr="00E3331A" w:rsidRDefault="005F2648" w:rsidP="001F5B33">
      <w:pPr>
        <w:pStyle w:val="ColorfulList-Accent11"/>
        <w:numPr>
          <w:ilvl w:val="0"/>
          <w:numId w:val="19"/>
        </w:numPr>
        <w:jc w:val="both"/>
      </w:pPr>
      <w:r w:rsidRPr="00E3331A">
        <w:t>Steroids (oral and IV)</w:t>
      </w:r>
    </w:p>
    <w:p w:rsidR="005F2648" w:rsidRPr="00E3331A" w:rsidRDefault="005F2648" w:rsidP="001F5B33">
      <w:pPr>
        <w:pStyle w:val="ColorfulList-Accent11"/>
        <w:numPr>
          <w:ilvl w:val="0"/>
          <w:numId w:val="19"/>
        </w:numPr>
        <w:jc w:val="both"/>
      </w:pPr>
      <w:r w:rsidRPr="00E3331A">
        <w:t>Plasma exchange</w:t>
      </w:r>
    </w:p>
    <w:p w:rsidR="005F2648" w:rsidRPr="00E3331A" w:rsidRDefault="005F2648" w:rsidP="001F5B33">
      <w:pPr>
        <w:pStyle w:val="ColorfulList-Accent11"/>
        <w:numPr>
          <w:ilvl w:val="0"/>
          <w:numId w:val="19"/>
        </w:numPr>
        <w:jc w:val="both"/>
      </w:pPr>
      <w:r w:rsidRPr="00E3331A">
        <w:lastRenderedPageBreak/>
        <w:t xml:space="preserve">Immunosuppressant and/or immunomodulatory drugs and therapies not including </w:t>
      </w:r>
      <w:r w:rsidR="003B09AB">
        <w:t xml:space="preserve">Ig or </w:t>
      </w:r>
      <w:r w:rsidRPr="00E3331A">
        <w:t>steroids</w:t>
      </w:r>
      <w:r w:rsidR="003B09AB">
        <w:t xml:space="preserve"> (this comparator is referred to as immunosuppressants or by specific drug name in this report</w:t>
      </w:r>
      <w:r w:rsidR="001B576E">
        <w:t>)</w:t>
      </w:r>
    </w:p>
    <w:p w:rsidR="005F2648" w:rsidRPr="00E3331A" w:rsidRDefault="005F2648" w:rsidP="001F5B33">
      <w:pPr>
        <w:pStyle w:val="ColorfulList-Accent11"/>
        <w:numPr>
          <w:ilvl w:val="0"/>
          <w:numId w:val="19"/>
        </w:numPr>
        <w:jc w:val="both"/>
      </w:pPr>
      <w:r w:rsidRPr="00E3331A">
        <w:t>A combination of two or more of the above therapies</w:t>
      </w:r>
    </w:p>
    <w:p w:rsidR="005F2648" w:rsidRPr="00E3331A" w:rsidRDefault="005F2648" w:rsidP="001F5B33">
      <w:pPr>
        <w:pStyle w:val="ColorfulList-Accent11"/>
        <w:numPr>
          <w:ilvl w:val="0"/>
          <w:numId w:val="19"/>
        </w:numPr>
        <w:jc w:val="both"/>
      </w:pPr>
      <w:r w:rsidRPr="00E3331A">
        <w:t>No active treatment, No Ig</w:t>
      </w:r>
    </w:p>
    <w:p w:rsidR="00753141" w:rsidRPr="00E3331A" w:rsidRDefault="005F2648" w:rsidP="005F2648">
      <w:r w:rsidRPr="00E3331A">
        <w:t xml:space="preserve">A description of each comparator is provided in Section A.5 of this Assessment. </w:t>
      </w:r>
    </w:p>
    <w:p w:rsidR="008C7152" w:rsidRPr="00E3331A" w:rsidRDefault="008C7152" w:rsidP="009F7373">
      <w:pPr>
        <w:pStyle w:val="Heading3"/>
      </w:pPr>
      <w:bookmarkStart w:id="53" w:name="_Toc395200745"/>
      <w:bookmarkStart w:id="54" w:name="_Toc24103419"/>
      <w:r w:rsidRPr="00E3331A">
        <w:t xml:space="preserve">Clinical </w:t>
      </w:r>
      <w:bookmarkEnd w:id="51"/>
      <w:bookmarkEnd w:id="52"/>
      <w:bookmarkEnd w:id="53"/>
      <w:r w:rsidR="00D544ED" w:rsidRPr="00E3331A">
        <w:t>management algorithm(s)</w:t>
      </w:r>
      <w:bookmarkEnd w:id="54"/>
    </w:p>
    <w:p w:rsidR="005F2648" w:rsidRPr="00E3331A" w:rsidRDefault="005F2648" w:rsidP="005F2648">
      <w:r w:rsidRPr="00E3331A">
        <w:t xml:space="preserve">The current clinical management algorithm is described in </w:t>
      </w:r>
      <w:r w:rsidR="006F35B9" w:rsidRPr="00E3331A">
        <w:t xml:space="preserve">Figure </w:t>
      </w:r>
      <w:r w:rsidR="006F35B9">
        <w:rPr>
          <w:noProof/>
        </w:rPr>
        <w:t>1</w:t>
      </w:r>
      <w:r w:rsidRPr="00E3331A">
        <w:t xml:space="preserve"> (Section A.6). </w:t>
      </w:r>
      <w:r w:rsidR="00F371B4" w:rsidRPr="00E3331A">
        <w:t>P</w:t>
      </w:r>
      <w:r w:rsidRPr="00E3331A">
        <w:t>atients with an established diagnosis of CIDP with significant disability and/or compromised walking</w:t>
      </w:r>
      <w:r w:rsidR="00F371B4" w:rsidRPr="00E3331A">
        <w:t>,</w:t>
      </w:r>
      <w:r w:rsidRPr="00E3331A">
        <w:t xml:space="preserve"> and who meet the specification of </w:t>
      </w:r>
      <w:r w:rsidR="00E4406C" w:rsidRPr="00E3331A">
        <w:t>V</w:t>
      </w:r>
      <w:r w:rsidRPr="00E3331A">
        <w:t xml:space="preserve">ersion 3 of </w:t>
      </w:r>
      <w:r w:rsidR="00E4406C" w:rsidRPr="00E3331A">
        <w:t>‘</w:t>
      </w:r>
      <w:r w:rsidRPr="001B576E">
        <w:rPr>
          <w:i/>
        </w:rPr>
        <w:t>the Criteria</w:t>
      </w:r>
      <w:r w:rsidR="001B576E">
        <w:t>’</w:t>
      </w:r>
      <w:r w:rsidRPr="00E3331A">
        <w:t xml:space="preserve"> can access Ig as a first</w:t>
      </w:r>
      <w:r w:rsidR="00D45BCF" w:rsidRPr="00E3331A">
        <w:t>-</w:t>
      </w:r>
      <w:r w:rsidRPr="00E3331A">
        <w:t xml:space="preserve">line treatment. Treatment response is reviewed </w:t>
      </w:r>
      <w:r w:rsidR="009E33AA" w:rsidRPr="00E3331A">
        <w:t xml:space="preserve">four </w:t>
      </w:r>
      <w:r w:rsidRPr="00E3331A">
        <w:t xml:space="preserve">months after </w:t>
      </w:r>
      <w:r w:rsidR="009E33AA" w:rsidRPr="00E3331A">
        <w:t xml:space="preserve">commencing </w:t>
      </w:r>
      <w:r w:rsidRPr="00E3331A">
        <w:t>therapy</w:t>
      </w:r>
      <w:r w:rsidR="009E33AA" w:rsidRPr="00E3331A">
        <w:t>,</w:t>
      </w:r>
      <w:r w:rsidRPr="00E3331A">
        <w:t xml:space="preserve"> and if the minimum response outline</w:t>
      </w:r>
      <w:r w:rsidR="009E33AA" w:rsidRPr="00E3331A">
        <w:t>d</w:t>
      </w:r>
      <w:r w:rsidRPr="00E3331A">
        <w:t xml:space="preserve"> in Version 3 of </w:t>
      </w:r>
      <w:r w:rsidR="00E4406C" w:rsidRPr="00E3331A">
        <w:rPr>
          <w:i/>
        </w:rPr>
        <w:t>‘</w:t>
      </w:r>
      <w:r w:rsidRPr="00E3331A">
        <w:rPr>
          <w:i/>
        </w:rPr>
        <w:t>the Criteria</w:t>
      </w:r>
      <w:r w:rsidR="00E4406C" w:rsidRPr="00E3331A">
        <w:rPr>
          <w:i/>
        </w:rPr>
        <w:t>’</w:t>
      </w:r>
      <w:r w:rsidRPr="00E3331A">
        <w:t xml:space="preserve"> is </w:t>
      </w:r>
      <w:r w:rsidR="009E33AA" w:rsidRPr="00E3331A">
        <w:t>achieved,</w:t>
      </w:r>
      <w:r w:rsidRPr="00E3331A">
        <w:t xml:space="preserve"> Ig treatment is continued. If</w:t>
      </w:r>
      <w:r w:rsidR="00301A75" w:rsidRPr="00E3331A">
        <w:t xml:space="preserve"> these criteria are</w:t>
      </w:r>
      <w:r w:rsidRPr="00E3331A">
        <w:t xml:space="preserve"> not</w:t>
      </w:r>
      <w:r w:rsidR="00301A75" w:rsidRPr="00E3331A">
        <w:t xml:space="preserve"> met</w:t>
      </w:r>
      <w:r w:rsidRPr="00E3331A">
        <w:t xml:space="preserve">, </w:t>
      </w:r>
      <w:r w:rsidR="00301A75" w:rsidRPr="00E3331A">
        <w:t xml:space="preserve">then </w:t>
      </w:r>
      <w:r w:rsidRPr="00E3331A">
        <w:t>alternate therapies (steroids, plasma exchange, immunosuppressants</w:t>
      </w:r>
      <w:r w:rsidR="00301A75" w:rsidRPr="00E3331A">
        <w:t>)</w:t>
      </w:r>
      <w:r w:rsidRPr="00E3331A">
        <w:t xml:space="preserve"> </w:t>
      </w:r>
      <w:r w:rsidR="005C0E3B" w:rsidRPr="00E3331A">
        <w:t xml:space="preserve">or combination therapies </w:t>
      </w:r>
      <w:r w:rsidRPr="00E3331A">
        <w:t xml:space="preserve">are trialled. </w:t>
      </w:r>
    </w:p>
    <w:p w:rsidR="00FB6A8A" w:rsidRPr="00E3331A" w:rsidRDefault="00630910" w:rsidP="009F7373">
      <w:pPr>
        <w:pStyle w:val="Heading3"/>
      </w:pPr>
      <w:bookmarkStart w:id="55" w:name="_Toc395200746"/>
      <w:bookmarkStart w:id="56" w:name="_Toc24103420"/>
      <w:bookmarkStart w:id="57" w:name="_Toc379118058"/>
      <w:bookmarkStart w:id="58" w:name="_Toc379118250"/>
      <w:bookmarkStart w:id="59" w:name="_Toc381796434"/>
      <w:r w:rsidRPr="00E3331A">
        <w:t>Key Differences in the D</w:t>
      </w:r>
      <w:r w:rsidR="00FB6A8A" w:rsidRPr="00E3331A">
        <w:t xml:space="preserve">elivery of the </w:t>
      </w:r>
      <w:r w:rsidRPr="00E3331A">
        <w:t>Medical Service and the Main C</w:t>
      </w:r>
      <w:r w:rsidR="00FB6A8A" w:rsidRPr="00E3331A">
        <w:t>omparator</w:t>
      </w:r>
      <w:bookmarkEnd w:id="55"/>
      <w:bookmarkEnd w:id="56"/>
      <w:r w:rsidR="00FB6A8A" w:rsidRPr="00E3331A">
        <w:t xml:space="preserve"> </w:t>
      </w:r>
    </w:p>
    <w:p w:rsidR="00FB6A8A" w:rsidRPr="00E3331A" w:rsidRDefault="00297F9F" w:rsidP="00DF343F">
      <w:pPr>
        <w:jc w:val="both"/>
      </w:pPr>
      <w:r w:rsidRPr="00E3331A">
        <w:t>Treatments for CIDP differ in their</w:t>
      </w:r>
      <w:r w:rsidR="000B5E0D" w:rsidRPr="00E3331A">
        <w:t xml:space="preserve"> </w:t>
      </w:r>
      <w:r w:rsidRPr="00E3331A">
        <w:t>mode of action, speed of control, degree of invasiveness, side effect profile and costs.</w:t>
      </w:r>
      <w:r w:rsidR="00FB6A8A" w:rsidRPr="00E3331A">
        <w:t xml:space="preserve"> </w:t>
      </w:r>
      <w:r w:rsidRPr="00E3331A">
        <w:t>Ig is currently administered intravenously</w:t>
      </w:r>
      <w:r w:rsidR="007F149B" w:rsidRPr="00E3331A">
        <w:t>,</w:t>
      </w:r>
      <w:r w:rsidRPr="00E3331A">
        <w:t xml:space="preserve"> usually in a hospital setting</w:t>
      </w:r>
      <w:r w:rsidR="007F149B" w:rsidRPr="00E3331A">
        <w:t>.</w:t>
      </w:r>
      <w:r w:rsidRPr="00E3331A">
        <w:t xml:space="preserve"> </w:t>
      </w:r>
      <w:r w:rsidR="007F149B" w:rsidRPr="00E3331A">
        <w:t>S</w:t>
      </w:r>
      <w:r w:rsidRPr="00E3331A">
        <w:t xml:space="preserve">teroids and immunosuppressants can be prescribed orally for </w:t>
      </w:r>
      <w:r w:rsidR="007F149B" w:rsidRPr="00E3331A">
        <w:t xml:space="preserve">use </w:t>
      </w:r>
      <w:r w:rsidRPr="00E3331A">
        <w:t xml:space="preserve">at home or </w:t>
      </w:r>
      <w:r w:rsidR="007F149B" w:rsidRPr="00E3331A">
        <w:t xml:space="preserve">provided </w:t>
      </w:r>
      <w:r w:rsidRPr="00E3331A">
        <w:t>intravenously in either an outpatient or day-ca</w:t>
      </w:r>
      <w:r w:rsidR="007F149B" w:rsidRPr="00E3331A">
        <w:t>r</w:t>
      </w:r>
      <w:r w:rsidRPr="00E3331A">
        <w:t>e setting. Plasma exchange is provided in major teaching hospitals as an outpatient, day stay or inpatient setting.</w:t>
      </w:r>
      <w:r w:rsidR="007F149B" w:rsidRPr="00E3331A">
        <w:t xml:space="preserve"> A more detailed description of treatment differences is provided in Section A.7.</w:t>
      </w:r>
    </w:p>
    <w:p w:rsidR="00297F9F" w:rsidRPr="00E3331A" w:rsidRDefault="007F149B" w:rsidP="00451ECD">
      <w:r w:rsidRPr="00E3331A">
        <w:t>P</w:t>
      </w:r>
      <w:r w:rsidR="00297F9F" w:rsidRPr="00E3331A">
        <w:t xml:space="preserve">atients receiving steroids require closer monitoring than </w:t>
      </w:r>
      <w:r w:rsidRPr="00E3331A">
        <w:t xml:space="preserve">do </w:t>
      </w:r>
      <w:r w:rsidR="00297F9F" w:rsidRPr="00E3331A">
        <w:t xml:space="preserve">patients </w:t>
      </w:r>
      <w:r w:rsidRPr="00E3331A">
        <w:t xml:space="preserve">receiving </w:t>
      </w:r>
      <w:r w:rsidR="00297F9F" w:rsidRPr="00E3331A">
        <w:t>Ig</w:t>
      </w:r>
      <w:r w:rsidRPr="00E3331A">
        <w:t>,</w:t>
      </w:r>
      <w:r w:rsidR="00297F9F" w:rsidRPr="00E3331A">
        <w:t xml:space="preserve"> need</w:t>
      </w:r>
      <w:r w:rsidRPr="00E3331A">
        <w:t>ing</w:t>
      </w:r>
      <w:r w:rsidR="00297F9F" w:rsidRPr="00E3331A">
        <w:t xml:space="preserve"> regular (at least 6</w:t>
      </w:r>
      <w:r w:rsidRPr="00E3331A">
        <w:t>-</w:t>
      </w:r>
      <w:r w:rsidR="00297F9F" w:rsidRPr="00E3331A">
        <w:t>monthly) reviews for blood pressure, blood sugar, weight, skin integrity, infectious complications</w:t>
      </w:r>
      <w:r w:rsidR="000B5E0D" w:rsidRPr="00E3331A">
        <w:t xml:space="preserve"> and</w:t>
      </w:r>
      <w:r w:rsidR="00297F9F" w:rsidRPr="00E3331A">
        <w:t xml:space="preserve"> dental review. </w:t>
      </w:r>
      <w:r w:rsidRPr="00E3331A">
        <w:t>P</w:t>
      </w:r>
      <w:r w:rsidR="00297F9F" w:rsidRPr="00E3331A">
        <w:t>atients prescribed immunosuppressant</w:t>
      </w:r>
      <w:r w:rsidR="000B5E0D" w:rsidRPr="00E3331A">
        <w:t>s</w:t>
      </w:r>
      <w:r w:rsidR="00297F9F" w:rsidRPr="00E3331A">
        <w:t xml:space="preserve"> </w:t>
      </w:r>
      <w:r w:rsidRPr="00E3331A">
        <w:t xml:space="preserve">also </w:t>
      </w:r>
      <w:r w:rsidR="00297F9F" w:rsidRPr="00E3331A">
        <w:t xml:space="preserve">require close surveillance (weekly blood tests </w:t>
      </w:r>
      <w:r w:rsidRPr="00E3331A">
        <w:t xml:space="preserve">initially, </w:t>
      </w:r>
      <w:r w:rsidR="00297F9F" w:rsidRPr="00E3331A">
        <w:t xml:space="preserve">then </w:t>
      </w:r>
      <w:r w:rsidR="006E4C38" w:rsidRPr="00E3331A">
        <w:t xml:space="preserve">every </w:t>
      </w:r>
      <w:r w:rsidR="00297F9F" w:rsidRPr="00E3331A">
        <w:t>1-3 month</w:t>
      </w:r>
      <w:r w:rsidR="006E4C38" w:rsidRPr="00E3331A">
        <w:t>s</w:t>
      </w:r>
      <w:r w:rsidR="00297F9F" w:rsidRPr="00E3331A">
        <w:t>).</w:t>
      </w:r>
    </w:p>
    <w:p w:rsidR="00224E39" w:rsidRPr="00E3331A" w:rsidRDefault="00224E39" w:rsidP="00224E39">
      <w:pPr>
        <w:pStyle w:val="ESNumberedSectionHeading"/>
        <w:numPr>
          <w:ilvl w:val="0"/>
          <w:numId w:val="0"/>
        </w:numPr>
        <w:jc w:val="both"/>
      </w:pPr>
      <w:bookmarkStart w:id="60" w:name="_Toc395200747"/>
      <w:bookmarkStart w:id="61" w:name="_Toc426968105"/>
      <w:bookmarkStart w:id="62" w:name="_Toc24103421"/>
      <w:r w:rsidRPr="00E3331A">
        <w:t>Clinical Claim</w:t>
      </w:r>
      <w:bookmarkEnd w:id="60"/>
      <w:bookmarkEnd w:id="61"/>
      <w:bookmarkEnd w:id="62"/>
    </w:p>
    <w:p w:rsidR="00297F9F" w:rsidRPr="00E3331A" w:rsidRDefault="00063007" w:rsidP="00451ECD">
      <w:bookmarkStart w:id="63" w:name="_Toc395200748"/>
      <w:r w:rsidRPr="00E3331A">
        <w:t xml:space="preserve">Ig </w:t>
      </w:r>
      <w:r w:rsidR="00297F9F" w:rsidRPr="00E3331A">
        <w:t xml:space="preserve">has </w:t>
      </w:r>
      <w:r w:rsidR="00982F57" w:rsidRPr="00E3331A">
        <w:t xml:space="preserve">at least </w:t>
      </w:r>
      <w:r w:rsidR="00297F9F" w:rsidRPr="00E3331A">
        <w:t xml:space="preserve">non-inferior effectiveness and superior safety than the comparator interventions of steroids (oral and IV), plasma exchange, </w:t>
      </w:r>
      <w:r w:rsidR="001279F9">
        <w:t xml:space="preserve">and </w:t>
      </w:r>
      <w:r w:rsidR="00297F9F" w:rsidRPr="00E3331A">
        <w:t>immunosuppressant</w:t>
      </w:r>
      <w:r w:rsidR="003B09AB">
        <w:t xml:space="preserve">s </w:t>
      </w:r>
      <w:r w:rsidR="006A5EA9" w:rsidRPr="00E3331A">
        <w:t xml:space="preserve">(individually or in combination) in </w:t>
      </w:r>
      <w:r w:rsidR="00297F9F" w:rsidRPr="00E3331A">
        <w:t>the management of CIDP.</w:t>
      </w:r>
    </w:p>
    <w:p w:rsidR="00297F9F" w:rsidRPr="00E3331A" w:rsidRDefault="00297F9F" w:rsidP="00297F9F">
      <w:r w:rsidRPr="00E3331A">
        <w:t>Ig has superior effectiveness but inferior safety to the comparator treatment of no active treatment</w:t>
      </w:r>
      <w:r w:rsidR="00982F57" w:rsidRPr="00E3331A">
        <w:t>.</w:t>
      </w:r>
    </w:p>
    <w:p w:rsidR="00C96FE9" w:rsidRPr="00E3331A" w:rsidRDefault="00630910" w:rsidP="00DF343F">
      <w:pPr>
        <w:pStyle w:val="Heading3"/>
        <w:jc w:val="both"/>
      </w:pPr>
      <w:bookmarkStart w:id="64" w:name="_Toc24103422"/>
      <w:r w:rsidRPr="00E3331A">
        <w:rPr>
          <w:rStyle w:val="Heading3Char"/>
          <w:b/>
          <w:smallCaps/>
        </w:rPr>
        <w:t>Approach T</w:t>
      </w:r>
      <w:r w:rsidR="00AE1CBE" w:rsidRPr="00E3331A">
        <w:t xml:space="preserve">aken to the </w:t>
      </w:r>
      <w:r w:rsidRPr="00E3331A">
        <w:rPr>
          <w:rStyle w:val="Heading3Char"/>
          <w:b/>
          <w:smallCaps/>
        </w:rPr>
        <w:t>E</w:t>
      </w:r>
      <w:r w:rsidR="00AE1CBE" w:rsidRPr="00E3331A">
        <w:t xml:space="preserve">vidence </w:t>
      </w:r>
      <w:r w:rsidRPr="00E3331A">
        <w:rPr>
          <w:rStyle w:val="Heading3Char"/>
          <w:b/>
          <w:smallCaps/>
        </w:rPr>
        <w:t>A</w:t>
      </w:r>
      <w:r w:rsidR="00AE1CBE" w:rsidRPr="00E3331A">
        <w:t>ssessment</w:t>
      </w:r>
      <w:bookmarkEnd w:id="63"/>
      <w:bookmarkEnd w:id="64"/>
    </w:p>
    <w:p w:rsidR="00F5251C" w:rsidRPr="00E3331A" w:rsidRDefault="006A5EA9" w:rsidP="00297F9F">
      <w:r w:rsidRPr="00E3331A">
        <w:t xml:space="preserve">The medical literature was searched on 25 March 2019 </w:t>
      </w:r>
      <w:r w:rsidR="00297F9F" w:rsidRPr="00E3331A">
        <w:t xml:space="preserve">to identify all relevant studies on the treatment of CIDP published to date. Studies were screened </w:t>
      </w:r>
      <w:r w:rsidR="00D56939" w:rsidRPr="00E3331A">
        <w:t xml:space="preserve">by a single reviewer for </w:t>
      </w:r>
      <w:r w:rsidR="00297F9F" w:rsidRPr="00E3331A">
        <w:t xml:space="preserve">title and </w:t>
      </w:r>
      <w:r w:rsidR="00297F9F" w:rsidRPr="00E3331A">
        <w:lastRenderedPageBreak/>
        <w:t>abstract</w:t>
      </w:r>
      <w:r w:rsidRPr="00E3331A">
        <w:t>,</w:t>
      </w:r>
      <w:r w:rsidR="00297F9F" w:rsidRPr="00E3331A">
        <w:t xml:space="preserve"> with all exclusions checked by a second reviewer. Full</w:t>
      </w:r>
      <w:r w:rsidR="00D45BCF" w:rsidRPr="00E3331A">
        <w:t>-</w:t>
      </w:r>
      <w:r w:rsidR="00297F9F" w:rsidRPr="00E3331A">
        <w:t>text selection was performed independently by two reviewers.</w:t>
      </w:r>
    </w:p>
    <w:p w:rsidR="008C7152" w:rsidRPr="00E3331A" w:rsidRDefault="00630910" w:rsidP="00DF343F">
      <w:pPr>
        <w:pStyle w:val="Heading3"/>
        <w:jc w:val="both"/>
      </w:pPr>
      <w:bookmarkStart w:id="65" w:name="_Toc395200749"/>
      <w:bookmarkStart w:id="66" w:name="_Toc24103423"/>
      <w:r w:rsidRPr="00E3331A">
        <w:rPr>
          <w:rStyle w:val="Heading3Char"/>
          <w:b/>
          <w:smallCaps/>
        </w:rPr>
        <w:t>Characteristics of the Evidence B</w:t>
      </w:r>
      <w:r w:rsidR="00A36EB9" w:rsidRPr="00E3331A">
        <w:rPr>
          <w:rStyle w:val="Heading3Char"/>
          <w:b/>
          <w:smallCaps/>
        </w:rPr>
        <w:t>ase</w:t>
      </w:r>
      <w:bookmarkEnd w:id="57"/>
      <w:bookmarkEnd w:id="58"/>
      <w:bookmarkEnd w:id="59"/>
      <w:bookmarkEnd w:id="65"/>
      <w:bookmarkEnd w:id="66"/>
    </w:p>
    <w:p w:rsidR="00297F9F" w:rsidRPr="00E3331A" w:rsidRDefault="00D56939" w:rsidP="00297F9F">
      <w:r w:rsidRPr="00E3331A">
        <w:t xml:space="preserve">Reviews identified 22 publications reporting 14 </w:t>
      </w:r>
      <w:r w:rsidR="002D3966" w:rsidRPr="00E3331A">
        <w:t>RCTs</w:t>
      </w:r>
      <w:r w:rsidR="00297F9F" w:rsidRPr="00E3331A">
        <w:t xml:space="preserve"> that investigated treatment of CIDP in patients with active disease characterised by presence of significant disability. Risk of bias in the RCTs was high in most studies. Typically, this was due to deviation from</w:t>
      </w:r>
      <w:r w:rsidR="006A5EA9" w:rsidRPr="00E3331A">
        <w:t xml:space="preserve"> the</w:t>
      </w:r>
      <w:r w:rsidR="00297F9F" w:rsidRPr="00E3331A">
        <w:t xml:space="preserve"> intended intervention and missing outcome data</w:t>
      </w:r>
      <w:r w:rsidRPr="00E3331A">
        <w:t>.</w:t>
      </w:r>
      <w:r w:rsidR="00297F9F" w:rsidRPr="00E3331A">
        <w:t xml:space="preserve"> </w:t>
      </w:r>
      <w:r w:rsidRPr="00E3331A">
        <w:t>O</w:t>
      </w:r>
      <w:r w:rsidR="00A51788" w:rsidRPr="00E3331A">
        <w:t>verall</w:t>
      </w:r>
      <w:r w:rsidRPr="00E3331A">
        <w:t>,</w:t>
      </w:r>
      <w:r w:rsidR="00297F9F" w:rsidRPr="00E3331A">
        <w:t xml:space="preserve"> the studies </w:t>
      </w:r>
      <w:r w:rsidR="000B5E0D" w:rsidRPr="00E3331A">
        <w:t xml:space="preserve">were </w:t>
      </w:r>
      <w:r w:rsidR="00297F9F" w:rsidRPr="00E3331A">
        <w:t>generally limited to short-term</w:t>
      </w:r>
      <w:r w:rsidR="005C0E3B" w:rsidRPr="00E3331A">
        <w:t xml:space="preserve"> (≤ 6 months)</w:t>
      </w:r>
      <w:r w:rsidR="00297F9F" w:rsidRPr="00E3331A">
        <w:t xml:space="preserve"> outcomes</w:t>
      </w:r>
      <w:r w:rsidR="000B5E0D" w:rsidRPr="00E3331A">
        <w:t>. Despite these limitations, t</w:t>
      </w:r>
      <w:r w:rsidR="00297F9F" w:rsidRPr="00E3331A">
        <w:t xml:space="preserve">he evidence base appears to be applicable to the intended population of this Assessment. </w:t>
      </w:r>
    </w:p>
    <w:p w:rsidR="00A36EB9" w:rsidRPr="00E3331A" w:rsidRDefault="00D56939" w:rsidP="005C061E">
      <w:r w:rsidRPr="00E3331A">
        <w:t>F</w:t>
      </w:r>
      <w:r w:rsidR="00297F9F" w:rsidRPr="00E3331A">
        <w:t xml:space="preserve">ive </w:t>
      </w:r>
      <w:r w:rsidRPr="00E3331A">
        <w:t xml:space="preserve">additional </w:t>
      </w:r>
      <w:r w:rsidR="00297F9F" w:rsidRPr="00E3331A">
        <w:t xml:space="preserve">trials were identified that assessed treatment maintenance in patients who were in remission or currently responding to treatment. </w:t>
      </w:r>
    </w:p>
    <w:p w:rsidR="00A36EB9" w:rsidRPr="00E3331A" w:rsidRDefault="00A36EB9" w:rsidP="00DF343F">
      <w:pPr>
        <w:pStyle w:val="Heading3"/>
        <w:jc w:val="both"/>
      </w:pPr>
      <w:bookmarkStart w:id="67" w:name="_Toc395200750"/>
      <w:bookmarkStart w:id="68" w:name="_Toc24103424"/>
      <w:r w:rsidRPr="00E3331A">
        <w:t>Results</w:t>
      </w:r>
      <w:bookmarkEnd w:id="67"/>
      <w:bookmarkEnd w:id="68"/>
    </w:p>
    <w:p w:rsidR="00E91BE1" w:rsidRPr="00E3331A" w:rsidRDefault="008C7152" w:rsidP="00DF343F">
      <w:pPr>
        <w:pStyle w:val="Heading4"/>
        <w:jc w:val="both"/>
      </w:pPr>
      <w:r w:rsidRPr="00E3331A">
        <w:t xml:space="preserve">Safety </w:t>
      </w:r>
    </w:p>
    <w:p w:rsidR="00AB2055" w:rsidRPr="00E3331A" w:rsidRDefault="00AB2055" w:rsidP="00AB2055">
      <w:r w:rsidRPr="00E3331A">
        <w:t xml:space="preserve">The evidence reviewed in this </w:t>
      </w:r>
      <w:r w:rsidR="005541CA" w:rsidRPr="00E3331A">
        <w:t>A</w:t>
      </w:r>
      <w:r w:rsidRPr="00E3331A">
        <w:t xml:space="preserve">ssessment </w:t>
      </w:r>
      <w:r w:rsidR="00A51788" w:rsidRPr="00E3331A">
        <w:t xml:space="preserve">indicates </w:t>
      </w:r>
      <w:r w:rsidRPr="00E3331A">
        <w:t>that the overall rate of serious adverse</w:t>
      </w:r>
      <w:r w:rsidR="006A5EA9" w:rsidRPr="00E3331A">
        <w:t xml:space="preserve"> events</w:t>
      </w:r>
      <w:r w:rsidRPr="00E3331A">
        <w:t xml:space="preserve"> with any treatment over the short</w:t>
      </w:r>
      <w:r w:rsidR="007E71D5" w:rsidRPr="00E3331A">
        <w:t xml:space="preserve"> </w:t>
      </w:r>
      <w:r w:rsidRPr="00E3331A">
        <w:t xml:space="preserve">to intermediate term is low. </w:t>
      </w:r>
      <w:r w:rsidR="007E71D5" w:rsidRPr="00E3331A">
        <w:t xml:space="preserve">Ig </w:t>
      </w:r>
      <w:r w:rsidRPr="00E3331A">
        <w:t>and steroids</w:t>
      </w:r>
      <w:r w:rsidR="000B5E0D" w:rsidRPr="00E3331A">
        <w:t xml:space="preserve"> were the treatments for which most evidence was available. O</w:t>
      </w:r>
      <w:r w:rsidRPr="00E3331A">
        <w:t>ther active treatments</w:t>
      </w:r>
      <w:r w:rsidR="000B5E0D" w:rsidRPr="00E3331A">
        <w:t xml:space="preserve"> (plasma exchange, immunosuppressants)</w:t>
      </w:r>
      <w:r w:rsidRPr="00E3331A">
        <w:t xml:space="preserve"> were associated with small study cohorts and low confidence in safety reporting. A formal test of non-inferiority or superiority of IVIg relative to any other comparator could not be applied owing</w:t>
      </w:r>
      <w:r w:rsidR="000B5E0D" w:rsidRPr="00E3331A">
        <w:t xml:space="preserve"> to</w:t>
      </w:r>
      <w:r w:rsidRPr="00E3331A">
        <w:t xml:space="preserve"> the paucity of studies reporting safety outcomes and limitations in trial design. </w:t>
      </w:r>
      <w:r w:rsidR="000B5E0D" w:rsidRPr="00E3331A">
        <w:t>M</w:t>
      </w:r>
      <w:r w:rsidRPr="00E3331A">
        <w:t xml:space="preserve">ost patients with CIDP will require long-term </w:t>
      </w:r>
      <w:r w:rsidR="005868FC" w:rsidRPr="00E3331A">
        <w:t>treatment and</w:t>
      </w:r>
      <w:r w:rsidRPr="00E3331A">
        <w:t xml:space="preserve"> may require multiple therapies over the course of their disease</w:t>
      </w:r>
      <w:r w:rsidR="007E71D5" w:rsidRPr="00E3331A">
        <w:t>,</w:t>
      </w:r>
      <w:r w:rsidR="000B5E0D" w:rsidRPr="00E3331A">
        <w:t xml:space="preserve"> th</w:t>
      </w:r>
      <w:r w:rsidR="009E2ED8" w:rsidRPr="00E3331A">
        <w:t xml:space="preserve">ereby being exposed to a range of harms. </w:t>
      </w:r>
    </w:p>
    <w:p w:rsidR="00E02E50" w:rsidRPr="00E3331A" w:rsidRDefault="00E02E50" w:rsidP="003840DD">
      <w:pPr>
        <w:pStyle w:val="Heading5"/>
      </w:pPr>
      <w:r w:rsidRPr="00E3331A">
        <w:t>Adverse events associated with Ig</w:t>
      </w:r>
    </w:p>
    <w:p w:rsidR="00AB2055" w:rsidRPr="00E3331A" w:rsidRDefault="004A5128" w:rsidP="00AB2055">
      <w:r w:rsidRPr="00E3331A">
        <w:t>In a total of 1,108</w:t>
      </w:r>
      <w:r w:rsidR="00AB2055" w:rsidRPr="00E3331A">
        <w:t xml:space="preserve"> patients </w:t>
      </w:r>
      <w:r w:rsidRPr="00E3331A">
        <w:t>treated with Ig</w:t>
      </w:r>
      <w:r w:rsidR="00BC2032" w:rsidRPr="00E3331A">
        <w:t>,</w:t>
      </w:r>
      <w:r w:rsidR="00AB2055" w:rsidRPr="00E3331A">
        <w:t xml:space="preserve"> the most frequently reported adverse event was headache</w:t>
      </w:r>
      <w:r w:rsidR="006A5EA9" w:rsidRPr="00E3331A">
        <w:t>,</w:t>
      </w:r>
      <w:r w:rsidR="00AB2055" w:rsidRPr="00E3331A">
        <w:t xml:space="preserve"> reported in 155 patients. </w:t>
      </w:r>
      <w:r w:rsidR="006A5EA9" w:rsidRPr="00E3331A">
        <w:t>Next most frequent was</w:t>
      </w:r>
      <w:r w:rsidR="00AB2055" w:rsidRPr="00E3331A">
        <w:t xml:space="preserve"> general disorders and administration site conditions (n</w:t>
      </w:r>
      <w:r w:rsidR="009E371B" w:rsidRPr="00E3331A">
        <w:t xml:space="preserve"> </w:t>
      </w:r>
      <w:r w:rsidR="00AB2055" w:rsidRPr="00E3331A">
        <w:t>=</w:t>
      </w:r>
      <w:r w:rsidR="009E371B" w:rsidRPr="00E3331A">
        <w:t xml:space="preserve"> </w:t>
      </w:r>
      <w:r w:rsidR="00AB2055" w:rsidRPr="00E3331A">
        <w:t>80)</w:t>
      </w:r>
      <w:r w:rsidR="00BC2032" w:rsidRPr="00E3331A">
        <w:t>,</w:t>
      </w:r>
      <w:r w:rsidR="00AB2055" w:rsidRPr="00E3331A">
        <w:t xml:space="preserve"> which included fever, chills and flu-like reaction. Gastrointestinal disorders (</w:t>
      </w:r>
      <w:r w:rsidR="00A07838">
        <w:t xml:space="preserve">n = </w:t>
      </w:r>
      <w:r w:rsidR="00AB2055" w:rsidRPr="00E3331A">
        <w:t>55), skin disorders (n</w:t>
      </w:r>
      <w:r w:rsidR="009E371B" w:rsidRPr="00E3331A">
        <w:t xml:space="preserve"> </w:t>
      </w:r>
      <w:r w:rsidR="00AB2055" w:rsidRPr="00E3331A">
        <w:t>=</w:t>
      </w:r>
      <w:r w:rsidR="009E371B" w:rsidRPr="00E3331A">
        <w:t xml:space="preserve"> </w:t>
      </w:r>
      <w:r w:rsidR="00AB2055" w:rsidRPr="00E3331A">
        <w:t>31, predominantly rash) and infections (n</w:t>
      </w:r>
      <w:r w:rsidR="009E371B" w:rsidRPr="00E3331A">
        <w:t xml:space="preserve"> </w:t>
      </w:r>
      <w:r w:rsidR="00AB2055" w:rsidRPr="00E3331A">
        <w:t>=</w:t>
      </w:r>
      <w:r w:rsidR="009E371B" w:rsidRPr="00E3331A">
        <w:t xml:space="preserve"> </w:t>
      </w:r>
      <w:r w:rsidR="00AB2055" w:rsidRPr="00E3331A">
        <w:t>46) were also common. Less frequent but serious events were vascular disorders and blood and lymphatic system disorders</w:t>
      </w:r>
      <w:r w:rsidR="006A5EA9" w:rsidRPr="00E3331A">
        <w:t>,</w:t>
      </w:r>
      <w:r w:rsidR="00AB2055" w:rsidRPr="00E3331A">
        <w:t xml:space="preserve"> namely deep vein thrombosis (n</w:t>
      </w:r>
      <w:r w:rsidR="00982F57" w:rsidRPr="00E3331A">
        <w:t xml:space="preserve"> </w:t>
      </w:r>
      <w:r w:rsidR="00AB2055" w:rsidRPr="00E3331A">
        <w:t>=</w:t>
      </w:r>
      <w:r w:rsidR="006A5EA9" w:rsidRPr="00E3331A">
        <w:t xml:space="preserve"> </w:t>
      </w:r>
      <w:r w:rsidR="00AB2055" w:rsidRPr="00E3331A">
        <w:t>3), cerebrovascular event</w:t>
      </w:r>
      <w:r w:rsidR="006A5EA9" w:rsidRPr="00E3331A">
        <w:t>s</w:t>
      </w:r>
      <w:r w:rsidR="00AB2055" w:rsidRPr="00E3331A">
        <w:t xml:space="preserve"> (n</w:t>
      </w:r>
      <w:r w:rsidR="006A5EA9" w:rsidRPr="00E3331A">
        <w:t xml:space="preserve"> </w:t>
      </w:r>
      <w:r w:rsidR="00AB2055" w:rsidRPr="00E3331A">
        <w:t>=</w:t>
      </w:r>
      <w:r w:rsidR="00982F57" w:rsidRPr="00E3331A">
        <w:t xml:space="preserve"> </w:t>
      </w:r>
      <w:r w:rsidR="00AB2055" w:rsidRPr="00E3331A">
        <w:t>2) and haemolysis (n</w:t>
      </w:r>
      <w:r w:rsidR="009E371B" w:rsidRPr="00E3331A">
        <w:t xml:space="preserve"> </w:t>
      </w:r>
      <w:r w:rsidR="00AB2055" w:rsidRPr="00E3331A">
        <w:t>=</w:t>
      </w:r>
      <w:r w:rsidR="009E371B" w:rsidRPr="00E3331A">
        <w:t xml:space="preserve"> </w:t>
      </w:r>
      <w:r w:rsidR="00AB2055" w:rsidRPr="00E3331A">
        <w:t xml:space="preserve">11). The data reviewed on patients with CIDP </w:t>
      </w:r>
      <w:r w:rsidR="006A5EA9" w:rsidRPr="00E3331A">
        <w:t xml:space="preserve">treated with IVIg </w:t>
      </w:r>
      <w:r w:rsidR="00AB2055" w:rsidRPr="00E3331A">
        <w:t>shows an adverse event profile consistent with the broad literature on the safety of IVIg.</w:t>
      </w:r>
    </w:p>
    <w:p w:rsidR="00BC2032" w:rsidRPr="00E3331A" w:rsidRDefault="00E02E50" w:rsidP="00982F57">
      <w:pPr>
        <w:pStyle w:val="Heading5"/>
      </w:pPr>
      <w:r w:rsidRPr="00E3331A">
        <w:t>Adverse events associated with steroids</w:t>
      </w:r>
    </w:p>
    <w:p w:rsidR="00AB2055" w:rsidRPr="00E3331A" w:rsidRDefault="000352DA" w:rsidP="007B3E0D">
      <w:r w:rsidRPr="00E3331A">
        <w:t>C</w:t>
      </w:r>
      <w:r w:rsidR="00AB2055" w:rsidRPr="00E3331A">
        <w:t>orticosteroids result</w:t>
      </w:r>
      <w:r w:rsidR="00EB1270" w:rsidRPr="00E3331A">
        <w:t>ed</w:t>
      </w:r>
      <w:r w:rsidR="00AB2055" w:rsidRPr="00E3331A">
        <w:t xml:space="preserve"> in a similar </w:t>
      </w:r>
      <w:r w:rsidR="00F618C9" w:rsidRPr="00E3331A">
        <w:t>proportion</w:t>
      </w:r>
      <w:r w:rsidR="00AB2055" w:rsidRPr="00E3331A">
        <w:t xml:space="preserve"> of patients experiencing adverse events</w:t>
      </w:r>
      <w:r w:rsidR="00EB1270" w:rsidRPr="00E3331A">
        <w:t xml:space="preserve">. </w:t>
      </w:r>
      <w:r w:rsidR="00AB2055" w:rsidRPr="00E3331A">
        <w:t xml:space="preserve">Steroids were associated with psychiatric disorders, metabolic complications, infections and gastrointestinal disorders. </w:t>
      </w:r>
      <w:r w:rsidR="00BC77F1" w:rsidRPr="00E3331A">
        <w:t xml:space="preserve">A total of 358 patients were included in studies reporting safety outcomes. </w:t>
      </w:r>
      <w:r w:rsidR="00AB2055" w:rsidRPr="00E3331A">
        <w:t xml:space="preserve">The most </w:t>
      </w:r>
      <w:r w:rsidR="00AB2055" w:rsidRPr="00E3331A">
        <w:lastRenderedPageBreak/>
        <w:t>common</w:t>
      </w:r>
      <w:r w:rsidRPr="00E3331A">
        <w:t>ly</w:t>
      </w:r>
      <w:r w:rsidR="00AB2055" w:rsidRPr="00E3331A">
        <w:t xml:space="preserve"> </w:t>
      </w:r>
      <w:r w:rsidRPr="00E3331A">
        <w:t xml:space="preserve">reported </w:t>
      </w:r>
      <w:r w:rsidR="00AB2055" w:rsidRPr="00E3331A">
        <w:t>adverse events were insomnia (n</w:t>
      </w:r>
      <w:r w:rsidR="00BC77F1" w:rsidRPr="00E3331A">
        <w:t xml:space="preserve"> </w:t>
      </w:r>
      <w:r w:rsidR="00AB2055" w:rsidRPr="00E3331A">
        <w:t>=</w:t>
      </w:r>
      <w:r w:rsidR="00BC77F1" w:rsidRPr="00E3331A">
        <w:t xml:space="preserve"> </w:t>
      </w:r>
      <w:r w:rsidR="00AB2055" w:rsidRPr="00E3331A">
        <w:t>35), mood changes (n</w:t>
      </w:r>
      <w:r w:rsidR="00BC77F1" w:rsidRPr="00E3331A">
        <w:t xml:space="preserve"> </w:t>
      </w:r>
      <w:r w:rsidR="00AB2055" w:rsidRPr="00E3331A">
        <w:t>=</w:t>
      </w:r>
      <w:r w:rsidR="00BC77F1" w:rsidRPr="00E3331A">
        <w:t xml:space="preserve"> </w:t>
      </w:r>
      <w:r w:rsidR="00AB2055" w:rsidRPr="00E3331A">
        <w:t>23), Cushing</w:t>
      </w:r>
      <w:r w:rsidR="006A5EA9" w:rsidRPr="00E3331A">
        <w:t>oid</w:t>
      </w:r>
      <w:r w:rsidR="00AB2055" w:rsidRPr="00E3331A">
        <w:t xml:space="preserve"> appearance (n</w:t>
      </w:r>
      <w:r w:rsidR="00BC77F1" w:rsidRPr="00E3331A">
        <w:t xml:space="preserve"> </w:t>
      </w:r>
      <w:r w:rsidR="00AB2055" w:rsidRPr="00E3331A">
        <w:t>=</w:t>
      </w:r>
      <w:r w:rsidR="00BC77F1" w:rsidRPr="00E3331A">
        <w:t xml:space="preserve"> </w:t>
      </w:r>
      <w:r w:rsidR="00AB2055" w:rsidRPr="00E3331A">
        <w:t>20), indigestion (n</w:t>
      </w:r>
      <w:r w:rsidR="00BC77F1" w:rsidRPr="00E3331A">
        <w:t xml:space="preserve"> </w:t>
      </w:r>
      <w:r w:rsidR="00AB2055" w:rsidRPr="00E3331A">
        <w:t>=</w:t>
      </w:r>
      <w:r w:rsidR="00BC77F1" w:rsidRPr="00E3331A">
        <w:t xml:space="preserve"> </w:t>
      </w:r>
      <w:r w:rsidR="00AB2055" w:rsidRPr="00E3331A">
        <w:t>23), hypertension (n</w:t>
      </w:r>
      <w:r w:rsidR="00BC77F1" w:rsidRPr="00E3331A">
        <w:t xml:space="preserve"> </w:t>
      </w:r>
      <w:r w:rsidR="00AB2055" w:rsidRPr="00E3331A">
        <w:t>=</w:t>
      </w:r>
      <w:r w:rsidR="00BC77F1" w:rsidRPr="00E3331A">
        <w:t xml:space="preserve"> </w:t>
      </w:r>
      <w:r w:rsidR="00AB2055" w:rsidRPr="00E3331A">
        <w:t>14) and infection (n</w:t>
      </w:r>
      <w:r w:rsidR="00BC77F1" w:rsidRPr="00E3331A">
        <w:t xml:space="preserve"> </w:t>
      </w:r>
      <w:r w:rsidR="00AB2055" w:rsidRPr="00E3331A">
        <w:t>=</w:t>
      </w:r>
      <w:r w:rsidR="00BC77F1" w:rsidRPr="00E3331A">
        <w:t xml:space="preserve"> </w:t>
      </w:r>
      <w:r w:rsidR="00AB2055" w:rsidRPr="00E3331A">
        <w:t xml:space="preserve">15). </w:t>
      </w:r>
      <w:r w:rsidRPr="00E3331A">
        <w:t>E</w:t>
      </w:r>
      <w:r w:rsidR="00AB2055" w:rsidRPr="00E3331A">
        <w:t>vents</w:t>
      </w:r>
      <w:r w:rsidRPr="00E3331A">
        <w:t xml:space="preserve"> classified as serious</w:t>
      </w:r>
      <w:r w:rsidR="00AB2055" w:rsidRPr="00E3331A">
        <w:t xml:space="preserve"> (by </w:t>
      </w:r>
      <w:r w:rsidR="00B11865" w:rsidRPr="00E3331A">
        <w:t xml:space="preserve">the </w:t>
      </w:r>
      <w:r w:rsidR="00AB2055" w:rsidRPr="00E3331A">
        <w:t>study authors) included gastritis (</w:t>
      </w:r>
      <w:r w:rsidR="00BC77F1" w:rsidRPr="00E3331A">
        <w:t xml:space="preserve">n = </w:t>
      </w:r>
      <w:r w:rsidR="00AB2055" w:rsidRPr="00E3331A">
        <w:t>1), psychosis (</w:t>
      </w:r>
      <w:r w:rsidR="00BC77F1" w:rsidRPr="00E3331A">
        <w:t xml:space="preserve">n = </w:t>
      </w:r>
      <w:r w:rsidR="00AB2055" w:rsidRPr="00E3331A">
        <w:t>1</w:t>
      </w:r>
      <w:r w:rsidR="005868FC" w:rsidRPr="00E3331A">
        <w:t xml:space="preserve">), </w:t>
      </w:r>
      <w:r w:rsidR="006A5EA9" w:rsidRPr="00E3331A">
        <w:t>C</w:t>
      </w:r>
      <w:r w:rsidR="005868FC" w:rsidRPr="00E3331A">
        <w:t>ushingoid</w:t>
      </w:r>
      <w:r w:rsidR="00AB2055" w:rsidRPr="00E3331A">
        <w:t xml:space="preserve"> appearance (</w:t>
      </w:r>
      <w:r w:rsidR="00BC77F1" w:rsidRPr="00E3331A">
        <w:t xml:space="preserve">n = </w:t>
      </w:r>
      <w:r w:rsidR="00AB2055" w:rsidRPr="00E3331A">
        <w:t>3), gastrointestinal bleeding (</w:t>
      </w:r>
      <w:r w:rsidR="00BC77F1" w:rsidRPr="00E3331A">
        <w:t xml:space="preserve">n = </w:t>
      </w:r>
      <w:r w:rsidR="00AB2055" w:rsidRPr="00E3331A">
        <w:t>2)</w:t>
      </w:r>
      <w:r w:rsidR="00BC77F1" w:rsidRPr="00E3331A">
        <w:t xml:space="preserve">, </w:t>
      </w:r>
      <w:r w:rsidR="00AB2055" w:rsidRPr="00E3331A">
        <w:t>infectious complications (</w:t>
      </w:r>
      <w:r w:rsidR="00BC77F1" w:rsidRPr="00E3331A">
        <w:t xml:space="preserve">n = </w:t>
      </w:r>
      <w:r w:rsidR="00AB2055" w:rsidRPr="00E3331A">
        <w:t xml:space="preserve">3) and one death in a patient with urinary sepsis. </w:t>
      </w:r>
    </w:p>
    <w:p w:rsidR="00E02E50" w:rsidRPr="00E3331A" w:rsidRDefault="00E02E50" w:rsidP="00E02E50">
      <w:r w:rsidRPr="00E3331A">
        <w:t xml:space="preserve">The safety profile of steroids </w:t>
      </w:r>
      <w:r w:rsidR="00B11865" w:rsidRPr="00E3331A">
        <w:t xml:space="preserve">is </w:t>
      </w:r>
      <w:r w:rsidRPr="00E3331A">
        <w:t>understood to be related both to dose and duration of treatment</w:t>
      </w:r>
      <w:r w:rsidR="00B11865" w:rsidRPr="00E3331A">
        <w:t>.</w:t>
      </w:r>
      <w:r w:rsidRPr="00E3331A">
        <w:t xml:space="preserve"> </w:t>
      </w:r>
      <w:r w:rsidR="00B11865" w:rsidRPr="00E3331A">
        <w:t>H</w:t>
      </w:r>
      <w:r w:rsidRPr="00E3331A">
        <w:t xml:space="preserve">igher-doses and extended treatments carry a higher risk for serious adverse events such as cardiovascular and metabolic adverse events </w:t>
      </w:r>
      <w:r w:rsidR="00B85C75">
        <w:rPr>
          <w:noProof/>
        </w:rPr>
        <w:t>(Rice et al. 2017)</w:t>
      </w:r>
      <w:r w:rsidRPr="00E3331A">
        <w:t>.</w:t>
      </w:r>
      <w:r w:rsidR="00911C59" w:rsidRPr="00E3331A">
        <w:t xml:space="preserve"> </w:t>
      </w:r>
      <w:r w:rsidR="00702375" w:rsidRPr="00E3331A">
        <w:t xml:space="preserve">Cocito </w:t>
      </w:r>
      <w:r w:rsidR="00983BA7">
        <w:t xml:space="preserve">et al. </w:t>
      </w:r>
      <w:r w:rsidR="00702375" w:rsidRPr="00E3331A">
        <w:t>(2012) and</w:t>
      </w:r>
      <w:r w:rsidR="002452F1" w:rsidRPr="00E3331A">
        <w:t xml:space="preserve"> </w:t>
      </w:r>
      <w:r w:rsidR="00B85C75">
        <w:rPr>
          <w:noProof/>
        </w:rPr>
        <w:t>Nobile-Orazio et al. (2012b)</w:t>
      </w:r>
      <w:r w:rsidR="00702375" w:rsidRPr="00E3331A">
        <w:t xml:space="preserve"> </w:t>
      </w:r>
      <w:r w:rsidRPr="00E3331A">
        <w:t>followed patients for 52 weeks</w:t>
      </w:r>
      <w:r w:rsidR="002452F1" w:rsidRPr="00E3331A">
        <w:t>.</w:t>
      </w:r>
      <w:r w:rsidRPr="00E3331A">
        <w:t xml:space="preserve"> </w:t>
      </w:r>
      <w:r w:rsidR="002452F1" w:rsidRPr="00E3331A">
        <w:t>A</w:t>
      </w:r>
      <w:r w:rsidRPr="00E3331A">
        <w:t xml:space="preserve"> subsequent publication with 4.5 years of follow-up identified no new cases of diabetes or glaucoma or other serious adverse events not identified in the 52 week analysis. However, clinical feedback indicates this may not represent the true harms profile of steroids. </w:t>
      </w:r>
    </w:p>
    <w:p w:rsidR="00004790" w:rsidRPr="00E3331A" w:rsidRDefault="00E02E50" w:rsidP="007B3E0D">
      <w:pPr>
        <w:rPr>
          <w:lang w:eastAsia="en-GB"/>
        </w:rPr>
      </w:pPr>
      <w:r w:rsidRPr="00E3331A">
        <w:t>Within the</w:t>
      </w:r>
      <w:r w:rsidR="007B3E0D" w:rsidRPr="00E3331A">
        <w:t xml:space="preserve"> RCT evidence</w:t>
      </w:r>
      <w:r w:rsidR="002452F1" w:rsidRPr="00E3331A">
        <w:t>,</w:t>
      </w:r>
      <w:r w:rsidR="007B3E0D" w:rsidRPr="00E3331A">
        <w:t xml:space="preserve"> corticosteroids are started on a high dose (oral or IV) and then tapered over a period (usually no longer than </w:t>
      </w:r>
      <w:r w:rsidR="00372508" w:rsidRPr="00E3331A">
        <w:t xml:space="preserve">six </w:t>
      </w:r>
      <w:r w:rsidR="007B3E0D" w:rsidRPr="00E3331A">
        <w:t xml:space="preserve">months). However, </w:t>
      </w:r>
      <w:r w:rsidR="00372508" w:rsidRPr="00E3331A">
        <w:rPr>
          <w:lang w:eastAsia="en-GB"/>
        </w:rPr>
        <w:t>population based studies</w:t>
      </w:r>
      <w:r w:rsidR="00372508" w:rsidRPr="00E3331A">
        <w:t xml:space="preserve"> reveal that </w:t>
      </w:r>
      <w:r w:rsidR="007B3E0D" w:rsidRPr="00E3331A">
        <w:t xml:space="preserve">if steroids are used in a </w:t>
      </w:r>
      <w:r w:rsidR="007B3E0D" w:rsidRPr="00E3331A">
        <w:rPr>
          <w:lang w:eastAsia="en-GB"/>
        </w:rPr>
        <w:t xml:space="preserve">chronic fashion </w:t>
      </w:r>
      <w:r w:rsidR="00304276">
        <w:rPr>
          <w:lang w:eastAsia="en-GB"/>
        </w:rPr>
        <w:t>or</w:t>
      </w:r>
      <w:r w:rsidR="007B3E0D" w:rsidRPr="00E3331A">
        <w:rPr>
          <w:lang w:eastAsia="en-GB"/>
        </w:rPr>
        <w:t xml:space="preserve"> patients receive multiple rounds of pulsed strategies, </w:t>
      </w:r>
      <w:bookmarkStart w:id="69" w:name="_Hlk12437807"/>
      <w:r w:rsidR="007B3E0D" w:rsidRPr="00E3331A">
        <w:rPr>
          <w:lang w:eastAsia="en-GB"/>
        </w:rPr>
        <w:t xml:space="preserve">patients may be at higher risk of adverse events </w:t>
      </w:r>
      <w:r w:rsidR="00372508" w:rsidRPr="00E3331A">
        <w:rPr>
          <w:lang w:eastAsia="en-GB"/>
        </w:rPr>
        <w:t>including</w:t>
      </w:r>
      <w:r w:rsidR="007B3E0D" w:rsidRPr="00E3331A">
        <w:rPr>
          <w:lang w:eastAsia="en-GB"/>
        </w:rPr>
        <w:t xml:space="preserve"> hypertension; bone fracture; cataract; nausea, vomiting and other gastrointestinal conditions; metabolic issues (eg weight gain, hyperglycemia and type 2 diabetes); and cardiovascular adverse events</w:t>
      </w:r>
      <w:r w:rsidR="00372508" w:rsidRPr="00E3331A">
        <w:rPr>
          <w:lang w:eastAsia="en-GB"/>
        </w:rPr>
        <w:t xml:space="preserve"> </w:t>
      </w:r>
      <w:r w:rsidR="00B85C75">
        <w:rPr>
          <w:noProof/>
          <w:lang w:eastAsia="en-GB"/>
        </w:rPr>
        <w:t>(Rice et al. 2017)</w:t>
      </w:r>
      <w:r w:rsidR="007B3E0D" w:rsidRPr="00E3331A">
        <w:rPr>
          <w:lang w:eastAsia="en-GB"/>
        </w:rPr>
        <w:t>.</w:t>
      </w:r>
      <w:bookmarkEnd w:id="69"/>
      <w:r w:rsidRPr="00E3331A">
        <w:t xml:space="preserve"> </w:t>
      </w:r>
      <w:r w:rsidRPr="00E3331A">
        <w:rPr>
          <w:lang w:eastAsia="en-GB"/>
        </w:rPr>
        <w:t>It is not clear from the peer</w:t>
      </w:r>
      <w:r w:rsidR="00A61A52" w:rsidRPr="00E3331A">
        <w:rPr>
          <w:lang w:eastAsia="en-GB"/>
        </w:rPr>
        <w:t>-</w:t>
      </w:r>
      <w:r w:rsidRPr="00E3331A">
        <w:rPr>
          <w:lang w:eastAsia="en-GB"/>
        </w:rPr>
        <w:t>reviewed literature whether chronic steroid treatment is prevalent in this population.</w:t>
      </w:r>
    </w:p>
    <w:p w:rsidR="006D7382" w:rsidRPr="00E3331A" w:rsidRDefault="00004790" w:rsidP="001C4E5C">
      <w:r w:rsidRPr="00E3331A">
        <w:rPr>
          <w:lang w:eastAsia="en-GB"/>
        </w:rPr>
        <w:t xml:space="preserve">The Reference Group noted that the evidence on </w:t>
      </w:r>
      <w:r w:rsidR="000A5193" w:rsidRPr="00E3331A">
        <w:rPr>
          <w:lang w:eastAsia="en-GB"/>
        </w:rPr>
        <w:t xml:space="preserve">the </w:t>
      </w:r>
      <w:r w:rsidRPr="00E3331A">
        <w:rPr>
          <w:lang w:eastAsia="en-GB"/>
        </w:rPr>
        <w:t>adverse events</w:t>
      </w:r>
      <w:r w:rsidR="000A5193" w:rsidRPr="00E3331A">
        <w:rPr>
          <w:lang w:eastAsia="en-GB"/>
        </w:rPr>
        <w:t xml:space="preserve"> </w:t>
      </w:r>
      <w:r w:rsidRPr="00E3331A">
        <w:rPr>
          <w:lang w:eastAsia="en-GB"/>
        </w:rPr>
        <w:t xml:space="preserve">of steroids in CIDP patients did not </w:t>
      </w:r>
      <w:r w:rsidR="007C0A4E" w:rsidRPr="00E3331A">
        <w:rPr>
          <w:lang w:eastAsia="en-GB"/>
        </w:rPr>
        <w:t>adequately</w:t>
      </w:r>
      <w:r w:rsidRPr="00E3331A">
        <w:rPr>
          <w:lang w:eastAsia="en-GB"/>
        </w:rPr>
        <w:t xml:space="preserve"> capture the </w:t>
      </w:r>
      <w:r w:rsidR="000A5193" w:rsidRPr="00E3331A">
        <w:rPr>
          <w:lang w:eastAsia="en-GB"/>
        </w:rPr>
        <w:t xml:space="preserve">safety profile. Expert advice from the Reference Group is that a publication on the adverse events experienced by patients with giant cell </w:t>
      </w:r>
      <w:r w:rsidR="00AE0320" w:rsidRPr="00AE0320">
        <w:t xml:space="preserve">arteritis </w:t>
      </w:r>
      <w:r w:rsidR="000A5193" w:rsidRPr="00E3331A">
        <w:rPr>
          <w:lang w:eastAsia="en-GB"/>
        </w:rPr>
        <w:t>provided a more applicable safety profile of steroids</w:t>
      </w:r>
      <w:r w:rsidR="00193CE5" w:rsidRPr="00E3331A">
        <w:rPr>
          <w:lang w:eastAsia="en-GB"/>
        </w:rPr>
        <w:t xml:space="preserve"> </w:t>
      </w:r>
      <w:r w:rsidR="00B85C75">
        <w:rPr>
          <w:noProof/>
          <w:lang w:eastAsia="en-GB"/>
        </w:rPr>
        <w:t>(Wilson et al. 2017)</w:t>
      </w:r>
      <w:r w:rsidR="000A5193" w:rsidRPr="00E3331A">
        <w:rPr>
          <w:lang w:eastAsia="en-GB"/>
        </w:rPr>
        <w:t xml:space="preserve">. The rationale provided by the Reference Group for citing this paper is that patients with giant cell </w:t>
      </w:r>
      <w:r w:rsidR="00AE0320" w:rsidRPr="00AE0320">
        <w:t xml:space="preserve">arteritis </w:t>
      </w:r>
      <w:r w:rsidR="000A5193" w:rsidRPr="00E3331A">
        <w:rPr>
          <w:lang w:eastAsia="en-GB"/>
        </w:rPr>
        <w:t xml:space="preserve">did not usually have treatemt options other than steroids during the period that data was collected and that the use of steroids in this population was applicable to CIDP patients in Australia. </w:t>
      </w:r>
      <w:r w:rsidR="0096641D" w:rsidRPr="00E3331A">
        <w:rPr>
          <w:lang w:eastAsia="en-GB"/>
        </w:rPr>
        <w:t xml:space="preserve">Wilson et al. (2017) </w:t>
      </w:r>
      <w:r w:rsidR="001C4E5C" w:rsidRPr="00E3331A">
        <w:rPr>
          <w:lang w:eastAsia="en-GB"/>
        </w:rPr>
        <w:t>found steroid</w:t>
      </w:r>
      <w:r w:rsidR="00A07838">
        <w:rPr>
          <w:lang w:eastAsia="en-GB"/>
        </w:rPr>
        <w:t xml:space="preserve"> </w:t>
      </w:r>
      <w:r w:rsidR="006D7382" w:rsidRPr="00E3331A">
        <w:t>use is associated with increased risk of diabetes</w:t>
      </w:r>
      <w:r w:rsidR="001C4E5C" w:rsidRPr="00E3331A">
        <w:t xml:space="preserve"> (incidence rate ratio (IRR) 1.4, 95% CI [1.2, 1.7])</w:t>
      </w:r>
      <w:r w:rsidR="006D7382" w:rsidRPr="00E3331A">
        <w:t>, osteoperosis</w:t>
      </w:r>
      <w:r w:rsidR="001C4E5C" w:rsidRPr="00E3331A">
        <w:t xml:space="preserve"> (IRR 2.4, 95% CI [2.1, 2.8])</w:t>
      </w:r>
      <w:r w:rsidR="006D7382" w:rsidRPr="00E3331A">
        <w:t>, fractures</w:t>
      </w:r>
      <w:r w:rsidR="001C4E5C" w:rsidRPr="00E3331A">
        <w:t xml:space="preserve"> (IRR 1.4</w:t>
      </w:r>
      <w:r w:rsidR="00C4528E" w:rsidRPr="00E3331A">
        <w:t>,</w:t>
      </w:r>
      <w:r w:rsidR="001C4E5C" w:rsidRPr="00E3331A">
        <w:t xml:space="preserve"> 95% CI [</w:t>
      </w:r>
      <w:r w:rsidR="00E360F9" w:rsidRPr="00E3331A">
        <w:t>1.2</w:t>
      </w:r>
      <w:r w:rsidR="001C4E5C" w:rsidRPr="00E3331A">
        <w:t xml:space="preserve">, </w:t>
      </w:r>
      <w:r w:rsidR="00E360F9" w:rsidRPr="00E3331A">
        <w:t>1.6</w:t>
      </w:r>
      <w:r w:rsidR="001C4E5C" w:rsidRPr="00E3331A">
        <w:t>])</w:t>
      </w:r>
      <w:r w:rsidR="006D7382" w:rsidRPr="00E3331A">
        <w:t>, glaucoma</w:t>
      </w:r>
      <w:r w:rsidR="001C4E5C" w:rsidRPr="00E3331A">
        <w:t xml:space="preserve"> (IRR 2.</w:t>
      </w:r>
      <w:r w:rsidR="00E360F9" w:rsidRPr="00E3331A">
        <w:t>0</w:t>
      </w:r>
      <w:r w:rsidR="001C4E5C" w:rsidRPr="00E3331A">
        <w:t>, 95% CI [</w:t>
      </w:r>
      <w:r w:rsidR="00E360F9" w:rsidRPr="00E3331A">
        <w:t>1.6</w:t>
      </w:r>
      <w:r w:rsidR="001C4E5C" w:rsidRPr="00E3331A">
        <w:t>, 2.</w:t>
      </w:r>
      <w:r w:rsidR="00E360F9" w:rsidRPr="00E3331A">
        <w:t>5</w:t>
      </w:r>
      <w:r w:rsidR="001C4E5C" w:rsidRPr="00E3331A">
        <w:t>])</w:t>
      </w:r>
      <w:r w:rsidR="006D7382" w:rsidRPr="00E3331A">
        <w:t xml:space="preserve"> and serious infection</w:t>
      </w:r>
      <w:r w:rsidR="001C4E5C" w:rsidRPr="00E3331A">
        <w:t xml:space="preserve"> (IRR </w:t>
      </w:r>
      <w:r w:rsidR="00E360F9" w:rsidRPr="00E3331A">
        <w:t>1.5</w:t>
      </w:r>
      <w:r w:rsidR="001C4E5C" w:rsidRPr="00E3331A">
        <w:t xml:space="preserve">, 95% CI </w:t>
      </w:r>
      <w:r w:rsidR="00E360F9" w:rsidRPr="00E3331A">
        <w:t>1.3</w:t>
      </w:r>
      <w:r w:rsidR="001C4E5C" w:rsidRPr="00E3331A">
        <w:t xml:space="preserve">, </w:t>
      </w:r>
      <w:r w:rsidR="00E360F9" w:rsidRPr="00E3331A">
        <w:t>1.7</w:t>
      </w:r>
      <w:r w:rsidR="001C4E5C" w:rsidRPr="00E3331A">
        <w:t>])</w:t>
      </w:r>
      <w:r w:rsidR="006D7382" w:rsidRPr="00E3331A">
        <w:t xml:space="preserve">. </w:t>
      </w:r>
    </w:p>
    <w:p w:rsidR="00E02E50" w:rsidRPr="00E3331A" w:rsidRDefault="00E02E50" w:rsidP="003840DD">
      <w:pPr>
        <w:pStyle w:val="Heading5"/>
      </w:pPr>
      <w:r w:rsidRPr="00E3331A">
        <w:t xml:space="preserve">Adverse events associated with plasma exchange </w:t>
      </w:r>
    </w:p>
    <w:p w:rsidR="00AB2055" w:rsidRPr="00E3331A" w:rsidRDefault="00AB2055" w:rsidP="00CF540F">
      <w:r w:rsidRPr="00E3331A">
        <w:t>Adverse events with plasma exchange were poorly reported but included difficulty accessing veins (n</w:t>
      </w:r>
      <w:r w:rsidR="003439E6" w:rsidRPr="00E3331A">
        <w:t xml:space="preserve"> </w:t>
      </w:r>
      <w:r w:rsidRPr="00E3331A">
        <w:t>=</w:t>
      </w:r>
      <w:r w:rsidR="003439E6" w:rsidRPr="00E3331A">
        <w:t xml:space="preserve"> </w:t>
      </w:r>
      <w:r w:rsidRPr="00E3331A">
        <w:t>3) and deficiency of coagulation factors (n</w:t>
      </w:r>
      <w:r w:rsidR="003439E6" w:rsidRPr="00E3331A">
        <w:t xml:space="preserve"> </w:t>
      </w:r>
      <w:r w:rsidRPr="00E3331A">
        <w:t>=</w:t>
      </w:r>
      <w:r w:rsidR="006A5EA9" w:rsidRPr="00E3331A">
        <w:t xml:space="preserve"> </w:t>
      </w:r>
      <w:r w:rsidRPr="00E3331A">
        <w:t>1); myocardial infarction (n</w:t>
      </w:r>
      <w:r w:rsidR="003439E6" w:rsidRPr="00E3331A">
        <w:t xml:space="preserve"> </w:t>
      </w:r>
      <w:r w:rsidRPr="00E3331A">
        <w:t>=</w:t>
      </w:r>
      <w:r w:rsidR="006A5EA9" w:rsidRPr="00E3331A">
        <w:t xml:space="preserve"> </w:t>
      </w:r>
      <w:r w:rsidRPr="00E3331A">
        <w:t>1); cerebrovascular event (n</w:t>
      </w:r>
      <w:r w:rsidR="003439E6" w:rsidRPr="00E3331A">
        <w:t xml:space="preserve"> </w:t>
      </w:r>
      <w:r w:rsidRPr="00E3331A">
        <w:t>=</w:t>
      </w:r>
      <w:r w:rsidR="003439E6" w:rsidRPr="00E3331A">
        <w:t xml:space="preserve"> </w:t>
      </w:r>
      <w:r w:rsidRPr="00E3331A">
        <w:t xml:space="preserve">1); and </w:t>
      </w:r>
      <w:r w:rsidR="00345C95" w:rsidRPr="00E3331A">
        <w:t>septicaemia</w:t>
      </w:r>
      <w:r w:rsidRPr="00E3331A">
        <w:t xml:space="preserve"> associated with a tunnelled catheter (n</w:t>
      </w:r>
      <w:r w:rsidR="001D2001" w:rsidRPr="00E3331A">
        <w:t xml:space="preserve"> </w:t>
      </w:r>
      <w:r w:rsidRPr="00E3331A">
        <w:t>=</w:t>
      </w:r>
      <w:r w:rsidR="001D2001" w:rsidRPr="00E3331A">
        <w:t xml:space="preserve"> </w:t>
      </w:r>
      <w:r w:rsidRPr="00E3331A">
        <w:t>1). However, relative to the experience with steroids and IVIg</w:t>
      </w:r>
      <w:r w:rsidR="00F03C5F" w:rsidRPr="00E3331A">
        <w:t>,</w:t>
      </w:r>
      <w:r w:rsidRPr="00E3331A">
        <w:t xml:space="preserve"> the total number of patients in studies reporting </w:t>
      </w:r>
      <w:r w:rsidR="006A5EA9" w:rsidRPr="00E3331A">
        <w:t xml:space="preserve">issues of </w:t>
      </w:r>
      <w:r w:rsidRPr="00E3331A">
        <w:t>safety with plasma exchange was small (</w:t>
      </w:r>
      <w:r w:rsidR="003439E6" w:rsidRPr="00E3331A">
        <w:t xml:space="preserve">n = </w:t>
      </w:r>
      <w:r w:rsidRPr="00E3331A">
        <w:t>104). In the broader literature</w:t>
      </w:r>
      <w:r w:rsidR="00F03C5F" w:rsidRPr="00E3331A">
        <w:t>,</w:t>
      </w:r>
      <w:r w:rsidRPr="00E3331A">
        <w:t xml:space="preserve"> plasma exchange is observed to carry a small risk of cardiovascular, respiratory and anaphylacti</w:t>
      </w:r>
      <w:r w:rsidR="00691B1A" w:rsidRPr="00E3331A">
        <w:t>c</w:t>
      </w:r>
      <w:r w:rsidRPr="00E3331A">
        <w:t xml:space="preserve"> events</w:t>
      </w:r>
      <w:r w:rsidR="003439E6" w:rsidRPr="00E3331A">
        <w:t>.</w:t>
      </w:r>
      <w:r w:rsidR="006F7B17" w:rsidRPr="00E3331A">
        <w:t xml:space="preserve"> Some complications of </w:t>
      </w:r>
      <w:r w:rsidR="006F7B17" w:rsidRPr="00E3331A">
        <w:lastRenderedPageBreak/>
        <w:t xml:space="preserve">central venous catheters may be avoided by the use of </w:t>
      </w:r>
      <w:r w:rsidR="00CF540F" w:rsidRPr="00E3331A">
        <w:t>peripheral veins</w:t>
      </w:r>
      <w:r w:rsidR="00702375" w:rsidRPr="00E3331A">
        <w:t xml:space="preserve"> </w:t>
      </w:r>
      <w:r w:rsidR="00B85C75">
        <w:rPr>
          <w:noProof/>
        </w:rPr>
        <w:t>(Fridey and Kaplan 2019)</w:t>
      </w:r>
      <w:r w:rsidR="006F7B17" w:rsidRPr="00E3331A">
        <w:t>, however, this issue has not been investigated in the literature on CIDP</w:t>
      </w:r>
      <w:r w:rsidR="00F03C5F" w:rsidRPr="00E3331A">
        <w:t>.</w:t>
      </w:r>
      <w:r w:rsidR="00CF540F" w:rsidRPr="00E3331A" w:rsidDel="00CF540F">
        <w:t xml:space="preserve"> </w:t>
      </w:r>
    </w:p>
    <w:p w:rsidR="00E02E50" w:rsidRPr="00E3331A" w:rsidRDefault="00E02E50" w:rsidP="003840DD">
      <w:pPr>
        <w:pStyle w:val="Heading5"/>
      </w:pPr>
      <w:r w:rsidRPr="00E3331A">
        <w:t>Adverse events associated with other treatments</w:t>
      </w:r>
    </w:p>
    <w:p w:rsidR="00AB2055" w:rsidRPr="00E3331A" w:rsidRDefault="0055374B" w:rsidP="00CF540F">
      <w:r w:rsidRPr="00E3331A">
        <w:t>Section B.7. of this report a</w:t>
      </w:r>
      <w:r w:rsidR="003439E6" w:rsidRPr="00E3331A">
        <w:t xml:space="preserve">lso </w:t>
      </w:r>
      <w:r w:rsidR="005541CA" w:rsidRPr="00E3331A">
        <w:t>i</w:t>
      </w:r>
      <w:r w:rsidR="00AB2055" w:rsidRPr="00E3331A">
        <w:t>nclude</w:t>
      </w:r>
      <w:r w:rsidRPr="00E3331A">
        <w:t>s</w:t>
      </w:r>
      <w:r w:rsidR="00AB2055" w:rsidRPr="00E3331A">
        <w:t xml:space="preserve"> studies reporting on the experience of patients with CIDP receiving azathioprine, cyclosporin, cyclophosphamide, methotrexate, mycophenolate mofetil, rituximab and immunoadsorption. However, the quantity </w:t>
      </w:r>
      <w:r w:rsidRPr="00E3331A">
        <w:t xml:space="preserve">and quality </w:t>
      </w:r>
      <w:r w:rsidR="00AB2055" w:rsidRPr="00E3331A">
        <w:t xml:space="preserve">of evidence </w:t>
      </w:r>
      <w:r w:rsidR="005868FC" w:rsidRPr="00E3331A">
        <w:t>identified</w:t>
      </w:r>
      <w:r w:rsidR="00AB2055" w:rsidRPr="00E3331A">
        <w:t xml:space="preserve"> was poor</w:t>
      </w:r>
      <w:r w:rsidRPr="00E3331A">
        <w:t>,</w:t>
      </w:r>
      <w:r w:rsidR="00AB2055" w:rsidRPr="00E3331A">
        <w:t xml:space="preserve"> with total patient numbers typically less than 100. </w:t>
      </w:r>
      <w:r w:rsidR="00A51788" w:rsidRPr="00E3331A">
        <w:t>All</w:t>
      </w:r>
      <w:r w:rsidR="00AB2055" w:rsidRPr="00E3331A">
        <w:t xml:space="preserve"> </w:t>
      </w:r>
      <w:r w:rsidR="006A5EA9" w:rsidRPr="00E3331A">
        <w:t xml:space="preserve">of </w:t>
      </w:r>
      <w:r w:rsidR="00AB2055" w:rsidRPr="00E3331A">
        <w:t>these interventions were associated with adverse events</w:t>
      </w:r>
      <w:r w:rsidRPr="00E3331A">
        <w:t>.</w:t>
      </w:r>
      <w:r w:rsidR="00AB2055" w:rsidRPr="00E3331A">
        <w:t xml:space="preserve"> </w:t>
      </w:r>
      <w:r w:rsidRPr="00E3331A">
        <w:t>N</w:t>
      </w:r>
      <w:r w:rsidR="00AB2055" w:rsidRPr="00E3331A">
        <w:t>otable or severe complications included the development of lymphoma in a patient receiving rituximab</w:t>
      </w:r>
      <w:r w:rsidR="00AB2055" w:rsidRPr="00E3331A">
        <w:rPr>
          <w:rStyle w:val="FootnoteReference"/>
        </w:rPr>
        <w:footnoteReference w:id="3"/>
      </w:r>
      <w:r w:rsidRPr="00E3331A">
        <w:t>,</w:t>
      </w:r>
      <w:r w:rsidR="00AB2055" w:rsidRPr="00E3331A">
        <w:t xml:space="preserve"> thrombotic events with immunoadsorption</w:t>
      </w:r>
      <w:r w:rsidRPr="00E3331A">
        <w:t>,</w:t>
      </w:r>
      <w:r w:rsidR="00AB2055" w:rsidRPr="00E3331A">
        <w:t xml:space="preserve"> and significant nephrotoxicity in patients receiving cyclosporin. Azathioprine, methotrexate and mycophenolate mofetil were also associated with adverse events such as nausea. </w:t>
      </w:r>
    </w:p>
    <w:p w:rsidR="00AB2055" w:rsidRPr="00E3331A" w:rsidRDefault="006A5EA9" w:rsidP="00AB2055">
      <w:r w:rsidRPr="00E3331A">
        <w:t>Considering the above information</w:t>
      </w:r>
      <w:r w:rsidR="00AB2055" w:rsidRPr="00E3331A">
        <w:t xml:space="preserve">, IVIg can be considered a relatively safe intervention with serious adverse events infrequent and common adverse events typically </w:t>
      </w:r>
      <w:r w:rsidR="0055374B" w:rsidRPr="00E3331A">
        <w:t xml:space="preserve">being </w:t>
      </w:r>
      <w:r w:rsidR="00AB2055" w:rsidRPr="00E3331A">
        <w:t xml:space="preserve">transient and mild. </w:t>
      </w:r>
    </w:p>
    <w:p w:rsidR="00E91BE1" w:rsidRPr="00E3331A" w:rsidRDefault="00AB2055" w:rsidP="00AB2055">
      <w:pPr>
        <w:pStyle w:val="Heading4"/>
        <w:jc w:val="both"/>
      </w:pPr>
      <w:r w:rsidRPr="00E3331A">
        <w:t xml:space="preserve"> </w:t>
      </w:r>
      <w:r w:rsidR="008C7152" w:rsidRPr="00E3331A">
        <w:t xml:space="preserve">Effectiveness </w:t>
      </w:r>
    </w:p>
    <w:p w:rsidR="005C0E3B" w:rsidRPr="00E3331A" w:rsidRDefault="005C0E3B" w:rsidP="003840DD">
      <w:pPr>
        <w:pStyle w:val="Heading5"/>
      </w:pPr>
      <w:r w:rsidRPr="00E3331A">
        <w:t>Effectiveness of Ig compared to no treatment</w:t>
      </w:r>
    </w:p>
    <w:p w:rsidR="005C0E3B" w:rsidRPr="00E3331A" w:rsidRDefault="00F67E61" w:rsidP="00F67E61">
      <w:pPr>
        <w:jc w:val="both"/>
      </w:pPr>
      <w:r w:rsidRPr="00E3331A">
        <w:t xml:space="preserve">The evidence reviewed in this </w:t>
      </w:r>
      <w:r w:rsidR="005541CA" w:rsidRPr="00E3331A">
        <w:t>A</w:t>
      </w:r>
      <w:r w:rsidRPr="00E3331A">
        <w:t xml:space="preserve">ssessment </w:t>
      </w:r>
      <w:r w:rsidR="00821974" w:rsidRPr="00E3331A">
        <w:t>indicates</w:t>
      </w:r>
      <w:r w:rsidRPr="00E3331A">
        <w:t xml:space="preserve"> that Ig likely has superior effectiveness</w:t>
      </w:r>
      <w:r w:rsidR="003049CA" w:rsidRPr="00E3331A">
        <w:t xml:space="preserve"> relative to no treatment</w:t>
      </w:r>
      <w:r w:rsidRPr="00E3331A">
        <w:t xml:space="preserve">. </w:t>
      </w:r>
      <w:r w:rsidR="003049CA" w:rsidRPr="00E3331A">
        <w:t xml:space="preserve">Ig </w:t>
      </w:r>
      <w:r w:rsidR="005C0E3B" w:rsidRPr="00E3331A">
        <w:t>therapy was found to elicit a clinically meaningful response in approximately 50</w:t>
      </w:r>
      <w:r w:rsidR="003049CA" w:rsidRPr="00E3331A">
        <w:t xml:space="preserve">% </w:t>
      </w:r>
      <w:r w:rsidR="005C0E3B" w:rsidRPr="00E3331A">
        <w:t>of patients receiving the treatment</w:t>
      </w:r>
      <w:r w:rsidR="00D51194" w:rsidRPr="00E3331A">
        <w:t>,</w:t>
      </w:r>
      <w:r w:rsidR="005C0E3B" w:rsidRPr="00E3331A">
        <w:t xml:space="preserve"> and th</w:t>
      </w:r>
      <w:r w:rsidR="00D51194" w:rsidRPr="00E3331A">
        <w:t xml:space="preserve">us </w:t>
      </w:r>
      <w:r w:rsidR="005C0E3B" w:rsidRPr="00E3331A">
        <w:t>is likely to be a beneficial treatment option for patients with CIDP.</w:t>
      </w:r>
    </w:p>
    <w:p w:rsidR="005C0E3B" w:rsidRPr="00E3331A" w:rsidRDefault="005C0E3B" w:rsidP="005C0E3B">
      <w:pPr>
        <w:pStyle w:val="Heading5"/>
      </w:pPr>
      <w:r w:rsidRPr="00E3331A">
        <w:t>Effectiveness of Ig compared to steroids</w:t>
      </w:r>
    </w:p>
    <w:p w:rsidR="00B56B84" w:rsidRPr="00E3331A" w:rsidRDefault="00B56B84" w:rsidP="003840DD">
      <w:r w:rsidRPr="00E3331A">
        <w:t>Two RCTs directly compared Ig to steroids for CIDP treatment (Hughes et al., 2001, Nobile-Orazio et al., 2012b).</w:t>
      </w:r>
    </w:p>
    <w:p w:rsidR="00B56B84" w:rsidRPr="00E3331A" w:rsidRDefault="00CF199F" w:rsidP="00B56B84">
      <w:r w:rsidRPr="00E3331A">
        <w:t>In Nobile-Orazio et al. (2012b), f</w:t>
      </w:r>
      <w:r w:rsidR="00B56B84" w:rsidRPr="00E3331A">
        <w:t xml:space="preserve">or the composite outcome of discontinuation (any cause), steroid use was associate with higher risk of discontinuation than Ig (relative risk (RR) 0.54, 95% CI [ 0.34, 0.87]). Eleven patients (52%) in the steroid arm discontinued; five due to progressive worsening, three due to failure to improve, one for adverse events (gastritis) and two for reasons unreported. Three patients (12.5%) discontinued Ig therapy; two because of progressive worsening and one due to failure to improve. It is not known what the RR would be if only discontinuations due to inefficacy </w:t>
      </w:r>
      <w:r w:rsidR="00B56B84" w:rsidRPr="00E3331A">
        <w:lastRenderedPageBreak/>
        <w:t xml:space="preserve">were considered. </w:t>
      </w:r>
      <w:r w:rsidRPr="00E3331A">
        <w:t>Following cessation of treatment, patients treated with methylprednisolone remained in remission longer than those treated with Ig.</w:t>
      </w:r>
    </w:p>
    <w:p w:rsidR="00CF199F" w:rsidRPr="00E3331A" w:rsidRDefault="00B56B84" w:rsidP="00B56B84">
      <w:r w:rsidRPr="00E3331A">
        <w:t>The authors reported no difference between Ig and methylprednisolone with respect to secondary outcomes of M</w:t>
      </w:r>
      <w:r w:rsidR="00B73E3D">
        <w:t>edical Research Council (MRC) score</w:t>
      </w:r>
      <w:r w:rsidRPr="00E3331A">
        <w:t>, grip strength, O</w:t>
      </w:r>
      <w:r w:rsidR="00B73E3D">
        <w:t>verall Neuropathy Limitations Scale (ONLS)</w:t>
      </w:r>
      <w:r w:rsidRPr="00E3331A">
        <w:t xml:space="preserve">, SF36, ISS and W10M tests. </w:t>
      </w:r>
    </w:p>
    <w:p w:rsidR="005C0E3B" w:rsidRPr="00E3331A" w:rsidRDefault="00CF199F" w:rsidP="00B56B84">
      <w:r w:rsidRPr="00E3331A">
        <w:t>Hughes et al. (2001) reported no difference between IVIg and oral prednisolone with respect to I</w:t>
      </w:r>
      <w:r w:rsidR="00B73E3D">
        <w:t>nflammatory Neuropathy Cause and Treatment (INCAT)</w:t>
      </w:r>
      <w:r w:rsidRPr="00E3331A">
        <w:t xml:space="preserve">, 10MWS and 9HPB outcomes. </w:t>
      </w:r>
    </w:p>
    <w:p w:rsidR="005C0E3B" w:rsidRPr="00E3331A" w:rsidRDefault="005C0E3B" w:rsidP="005C0E3B">
      <w:pPr>
        <w:pStyle w:val="Heading5"/>
      </w:pPr>
      <w:r w:rsidRPr="00E3331A">
        <w:t>Effectiveness of Ig compared to plasma exchange</w:t>
      </w:r>
    </w:p>
    <w:p w:rsidR="005C0E3B" w:rsidRPr="00E3331A" w:rsidRDefault="00F67E61" w:rsidP="00F67E61">
      <w:pPr>
        <w:jc w:val="both"/>
      </w:pPr>
      <w:r w:rsidRPr="00E3331A">
        <w:t xml:space="preserve">Evidence on the comparison of Ig and plasma exchange was </w:t>
      </w:r>
      <w:r w:rsidR="005C0E3B" w:rsidRPr="00E3331A">
        <w:t>limited</w:t>
      </w:r>
      <w:r w:rsidR="00D51194" w:rsidRPr="00E3331A">
        <w:t>.</w:t>
      </w:r>
      <w:r w:rsidR="005C0E3B" w:rsidRPr="00E3331A">
        <w:t xml:space="preserve"> </w:t>
      </w:r>
      <w:r w:rsidR="00D51194" w:rsidRPr="00E3331A">
        <w:t>R</w:t>
      </w:r>
      <w:r w:rsidR="005C0E3B" w:rsidRPr="00E3331A">
        <w:t>esults from a single trial</w:t>
      </w:r>
      <w:r w:rsidRPr="00E3331A">
        <w:t xml:space="preserve"> support a finding of non-inferiority. </w:t>
      </w:r>
    </w:p>
    <w:p w:rsidR="005C0E3B" w:rsidRPr="00E3331A" w:rsidRDefault="005C0E3B" w:rsidP="003840DD">
      <w:pPr>
        <w:pStyle w:val="Heading5"/>
      </w:pPr>
      <w:r w:rsidRPr="00E3331A">
        <w:t>Effectivenes of Ig compared to immunosuppressants</w:t>
      </w:r>
    </w:p>
    <w:p w:rsidR="005C0E3B" w:rsidRPr="00E3331A" w:rsidRDefault="005C0E3B" w:rsidP="005C0E3B">
      <w:pPr>
        <w:jc w:val="both"/>
      </w:pPr>
      <w:r w:rsidRPr="00E3331A">
        <w:t>Available evidence indicates that there is little short-term (≤ 6 months) benefit from the addition of immunosuppressants to</w:t>
      </w:r>
      <w:r w:rsidR="004A2274" w:rsidRPr="00E3331A">
        <w:t xml:space="preserve"> Ig </w:t>
      </w:r>
      <w:r w:rsidR="003A0BA6" w:rsidRPr="00E3331A">
        <w:t xml:space="preserve">or </w:t>
      </w:r>
      <w:r w:rsidR="004A2274" w:rsidRPr="00E3331A">
        <w:t>steroids</w:t>
      </w:r>
      <w:r w:rsidR="003A0BA6" w:rsidRPr="00E3331A">
        <w:t xml:space="preserve"> </w:t>
      </w:r>
      <w:r w:rsidRPr="00E3331A">
        <w:t>(specific to the drugs and dosages used in the RCTs)</w:t>
      </w:r>
      <w:r w:rsidR="00D51194" w:rsidRPr="00E3331A">
        <w:t>.</w:t>
      </w:r>
      <w:r w:rsidRPr="00E3331A">
        <w:t xml:space="preserve"> </w:t>
      </w:r>
      <w:r w:rsidR="00D51194" w:rsidRPr="00E3331A">
        <w:t>N</w:t>
      </w:r>
      <w:r w:rsidRPr="00E3331A">
        <w:t>o long-term data was available.</w:t>
      </w:r>
    </w:p>
    <w:p w:rsidR="005C0E3B" w:rsidRPr="00E3331A" w:rsidRDefault="005C0E3B" w:rsidP="003840DD">
      <w:pPr>
        <w:pStyle w:val="Heading5"/>
      </w:pPr>
      <w:r w:rsidRPr="00E3331A">
        <w:t>Limitations of the evidence base</w:t>
      </w:r>
    </w:p>
    <w:p w:rsidR="003439E6" w:rsidRPr="00E3331A" w:rsidRDefault="005C0E3B" w:rsidP="00F67E61">
      <w:pPr>
        <w:jc w:val="both"/>
      </w:pPr>
      <w:r w:rsidRPr="00E3331A">
        <w:t>T</w:t>
      </w:r>
      <w:r w:rsidR="003439E6" w:rsidRPr="00E3331A">
        <w:t xml:space="preserve">hese findings are based on </w:t>
      </w:r>
      <w:r w:rsidR="00F67E61" w:rsidRPr="00E3331A">
        <w:t>limited, mixed</w:t>
      </w:r>
      <w:r w:rsidR="003439E6" w:rsidRPr="00E3331A">
        <w:t>-</w:t>
      </w:r>
      <w:r w:rsidR="00F67E61" w:rsidRPr="00E3331A">
        <w:t xml:space="preserve">quality evidence. Generally, trials were small and follow-up duration was short. Risk of bias was </w:t>
      </w:r>
      <w:r w:rsidR="006A5EA9" w:rsidRPr="00E3331A">
        <w:t>‘</w:t>
      </w:r>
      <w:r w:rsidR="00F67E61" w:rsidRPr="00E3331A">
        <w:t>high</w:t>
      </w:r>
      <w:r w:rsidR="006A5EA9" w:rsidRPr="00E3331A">
        <w:t>’</w:t>
      </w:r>
      <w:r w:rsidR="00F67E61" w:rsidRPr="00E3331A">
        <w:t xml:space="preserve"> in </w:t>
      </w:r>
      <w:r w:rsidR="006A5EA9" w:rsidRPr="00E3331A">
        <w:t>11</w:t>
      </w:r>
      <w:r w:rsidR="00F67E61" w:rsidRPr="00E3331A">
        <w:t xml:space="preserve"> of the 20 identified RCTs and </w:t>
      </w:r>
      <w:r w:rsidR="00821974" w:rsidRPr="00E3331A">
        <w:t xml:space="preserve">a </w:t>
      </w:r>
      <w:r w:rsidR="006A5EA9" w:rsidRPr="00E3331A">
        <w:t>‘</w:t>
      </w:r>
      <w:r w:rsidR="00F67E61" w:rsidRPr="00E3331A">
        <w:t>concern</w:t>
      </w:r>
      <w:r w:rsidR="006A5EA9" w:rsidRPr="00E3331A">
        <w:t>’</w:t>
      </w:r>
      <w:r w:rsidR="00F67E61" w:rsidRPr="00E3331A">
        <w:t xml:space="preserve"> in a further three. The relative long-term effectiveness of any of the treatments for CIDP is therefore uncertain. </w:t>
      </w:r>
    </w:p>
    <w:p w:rsidR="008340E9" w:rsidRPr="00E3331A" w:rsidRDefault="00540F5E" w:rsidP="005C061E">
      <w:pPr>
        <w:pStyle w:val="Caption"/>
        <w:rPr>
          <w:rFonts w:cs="Arial"/>
          <w:snapToGrid w:val="0"/>
          <w:szCs w:val="16"/>
          <w:lang w:eastAsia="en-US"/>
        </w:rPr>
      </w:pPr>
      <w:bookmarkStart w:id="70" w:name="_Ref421184437"/>
      <w:bookmarkStart w:id="71" w:name="_Toc24103308"/>
      <w:r w:rsidRPr="00E3331A">
        <w:t xml:space="preserve">Table </w:t>
      </w:r>
      <w:r w:rsidR="006F35B9">
        <w:rPr>
          <w:noProof/>
        </w:rPr>
        <w:t>2</w:t>
      </w:r>
      <w:bookmarkEnd w:id="70"/>
      <w:r w:rsidRPr="00E3331A">
        <w:tab/>
      </w:r>
      <w:r w:rsidR="008340E9" w:rsidRPr="00E3331A">
        <w:tab/>
      </w:r>
      <w:r w:rsidR="008340E9" w:rsidRPr="00E3331A">
        <w:rPr>
          <w:rFonts w:cs="Arial"/>
          <w:snapToGrid w:val="0"/>
          <w:szCs w:val="16"/>
          <w:lang w:eastAsia="en-US"/>
        </w:rPr>
        <w:t>Balance of clinical benefits and harms of intervention</w:t>
      </w:r>
      <w:r w:rsidR="0048316C" w:rsidRPr="00E3331A">
        <w:rPr>
          <w:rFonts w:cs="Arial"/>
          <w:snapToGrid w:val="0"/>
          <w:szCs w:val="16"/>
          <w:lang w:eastAsia="en-US"/>
        </w:rPr>
        <w:t xml:space="preserve"> (Ig)</w:t>
      </w:r>
      <w:r w:rsidR="008340E9" w:rsidRPr="00E3331A">
        <w:rPr>
          <w:rFonts w:cs="Arial"/>
          <w:snapToGrid w:val="0"/>
          <w:szCs w:val="16"/>
          <w:lang w:eastAsia="en-US"/>
        </w:rPr>
        <w:t>, relative to comparator</w:t>
      </w:r>
      <w:r w:rsidR="0048316C" w:rsidRPr="00E3331A">
        <w:rPr>
          <w:rFonts w:cs="Arial"/>
          <w:snapToGrid w:val="0"/>
          <w:szCs w:val="16"/>
          <w:lang w:eastAsia="en-US"/>
        </w:rPr>
        <w:t xml:space="preserve"> (no treatment or steroids)</w:t>
      </w:r>
      <w:r w:rsidR="008340E9" w:rsidRPr="00E3331A">
        <w:rPr>
          <w:rFonts w:cs="Arial"/>
          <w:snapToGrid w:val="0"/>
          <w:szCs w:val="16"/>
          <w:lang w:eastAsia="en-US"/>
        </w:rPr>
        <w:t xml:space="preserve">, as measured by the </w:t>
      </w:r>
      <w:r w:rsidR="008340E9" w:rsidRPr="00E3331A">
        <w:rPr>
          <w:rFonts w:cs="Arial"/>
          <w:snapToGrid w:val="0"/>
          <w:szCs w:val="16"/>
          <w:u w:val="single"/>
          <w:lang w:eastAsia="en-US"/>
        </w:rPr>
        <w:t>critical</w:t>
      </w:r>
      <w:r w:rsidR="008340E9" w:rsidRPr="00E3331A">
        <w:rPr>
          <w:rFonts w:cs="Arial"/>
          <w:snapToGrid w:val="0"/>
          <w:szCs w:val="16"/>
          <w:lang w:eastAsia="en-US"/>
        </w:rPr>
        <w:t xml:space="preserve"> patient-relevant outcomes in the key studies</w:t>
      </w:r>
      <w:bookmarkEnd w:id="71"/>
      <w:r w:rsidR="008340E9" w:rsidRPr="00E3331A">
        <w:rPr>
          <w:rFonts w:cs="Arial"/>
          <w:snapToGrid w:val="0"/>
          <w:szCs w:val="16"/>
          <w:lang w:eastAsia="en-US"/>
        </w:rPr>
        <w:t xml:space="preserve"> </w:t>
      </w:r>
    </w:p>
    <w:tbl>
      <w:tblPr>
        <w:tblW w:w="5000" w:type="pct"/>
        <w:tblLook w:val="04A0" w:firstRow="1" w:lastRow="0" w:firstColumn="1" w:lastColumn="0" w:noHBand="0" w:noVBand="1"/>
      </w:tblPr>
      <w:tblGrid>
        <w:gridCol w:w="1715"/>
        <w:gridCol w:w="1859"/>
        <w:gridCol w:w="1608"/>
        <w:gridCol w:w="1870"/>
        <w:gridCol w:w="1964"/>
      </w:tblGrid>
      <w:tr w:rsidR="00303FA4" w:rsidRPr="00E3331A" w:rsidTr="0048316C">
        <w:tc>
          <w:tcPr>
            <w:tcW w:w="951" w:type="pct"/>
            <w:tcBorders>
              <w:top w:val="single" w:sz="4" w:space="0" w:color="auto"/>
              <w:left w:val="single" w:sz="4" w:space="0" w:color="auto"/>
              <w:bottom w:val="single" w:sz="4" w:space="0" w:color="auto"/>
              <w:right w:val="single" w:sz="4" w:space="0" w:color="auto"/>
            </w:tcBorders>
          </w:tcPr>
          <w:p w:rsidR="00303FA4" w:rsidRPr="00E3331A" w:rsidRDefault="00303FA4" w:rsidP="00303FA4">
            <w:pPr>
              <w:pStyle w:val="TableHeading"/>
            </w:pPr>
            <w:r w:rsidRPr="00E3331A">
              <w:t>Outcomes</w:t>
            </w:r>
          </w:p>
          <w:p w:rsidR="00303FA4" w:rsidRPr="00E3331A" w:rsidRDefault="00303FA4" w:rsidP="00303FA4">
            <w:pPr>
              <w:pStyle w:val="TableHeading"/>
            </w:pPr>
            <w:r w:rsidRPr="00E3331A">
              <w:t>Follow-up</w:t>
            </w:r>
          </w:p>
        </w:tc>
        <w:tc>
          <w:tcPr>
            <w:tcW w:w="1031" w:type="pct"/>
            <w:tcBorders>
              <w:top w:val="single" w:sz="4" w:space="0" w:color="auto"/>
              <w:left w:val="single" w:sz="4" w:space="0" w:color="auto"/>
              <w:bottom w:val="single" w:sz="4" w:space="0" w:color="auto"/>
              <w:right w:val="single" w:sz="4" w:space="0" w:color="auto"/>
            </w:tcBorders>
          </w:tcPr>
          <w:p w:rsidR="00303FA4" w:rsidRPr="00E3331A" w:rsidRDefault="00303FA4" w:rsidP="00303FA4">
            <w:pPr>
              <w:pStyle w:val="TableHeading"/>
            </w:pPr>
            <w:r w:rsidRPr="00E3331A">
              <w:t>Participants (studies)</w:t>
            </w:r>
          </w:p>
          <w:p w:rsidR="00303FA4" w:rsidRPr="00E3331A" w:rsidRDefault="00303FA4" w:rsidP="00303FA4">
            <w:pPr>
              <w:pStyle w:val="TableHeading"/>
            </w:pPr>
          </w:p>
        </w:tc>
        <w:tc>
          <w:tcPr>
            <w:tcW w:w="892" w:type="pct"/>
            <w:tcBorders>
              <w:top w:val="single" w:sz="4" w:space="0" w:color="auto"/>
              <w:left w:val="single" w:sz="4" w:space="0" w:color="auto"/>
              <w:bottom w:val="single" w:sz="4" w:space="0" w:color="auto"/>
              <w:right w:val="single" w:sz="4" w:space="0" w:color="auto"/>
            </w:tcBorders>
          </w:tcPr>
          <w:p w:rsidR="00303FA4" w:rsidRPr="00E3331A" w:rsidRDefault="00303FA4" w:rsidP="00303FA4">
            <w:pPr>
              <w:pStyle w:val="TableHeading"/>
            </w:pPr>
            <w:r w:rsidRPr="00E3331A">
              <w:t>Quality of evidence (GRADE)</w:t>
            </w:r>
            <w:r w:rsidRPr="00E3331A">
              <w:rPr>
                <w:rFonts w:cs="Arial"/>
                <w:sz w:val="18"/>
                <w:szCs w:val="18"/>
                <w:vertAlign w:val="superscript"/>
              </w:rPr>
              <w:t xml:space="preserve"> a</w:t>
            </w:r>
          </w:p>
        </w:tc>
        <w:tc>
          <w:tcPr>
            <w:tcW w:w="1037" w:type="pct"/>
            <w:tcBorders>
              <w:top w:val="single" w:sz="4" w:space="0" w:color="auto"/>
              <w:left w:val="single" w:sz="4" w:space="0" w:color="auto"/>
              <w:bottom w:val="single" w:sz="4" w:space="0" w:color="auto"/>
              <w:right w:val="single" w:sz="4" w:space="0" w:color="auto"/>
            </w:tcBorders>
          </w:tcPr>
          <w:p w:rsidR="00303FA4" w:rsidRPr="00E3331A" w:rsidRDefault="0048316C" w:rsidP="00303FA4">
            <w:pPr>
              <w:pStyle w:val="TableHeading"/>
            </w:pPr>
            <w:r w:rsidRPr="00E3331A">
              <w:rPr>
                <w:color w:val="000000"/>
              </w:rPr>
              <w:t>Risk with no treatemt</w:t>
            </w:r>
          </w:p>
        </w:tc>
        <w:tc>
          <w:tcPr>
            <w:tcW w:w="1089" w:type="pct"/>
            <w:tcBorders>
              <w:top w:val="single" w:sz="4" w:space="0" w:color="auto"/>
              <w:left w:val="single" w:sz="4" w:space="0" w:color="auto"/>
              <w:bottom w:val="single" w:sz="4" w:space="0" w:color="auto"/>
              <w:right w:val="single" w:sz="4" w:space="0" w:color="auto"/>
            </w:tcBorders>
          </w:tcPr>
          <w:p w:rsidR="00303FA4" w:rsidRPr="00E3331A" w:rsidRDefault="0048316C" w:rsidP="00303FA4">
            <w:pPr>
              <w:pStyle w:val="TableHeading"/>
            </w:pPr>
            <w:r w:rsidRPr="00E3331A">
              <w:rPr>
                <w:color w:val="000000"/>
              </w:rPr>
              <w:t>Risk difference with Ig</w:t>
            </w:r>
          </w:p>
        </w:tc>
      </w:tr>
      <w:tr w:rsidR="001279F9" w:rsidRPr="00E3331A" w:rsidTr="001279F9">
        <w:tc>
          <w:tcPr>
            <w:tcW w:w="5000" w:type="pct"/>
            <w:gridSpan w:val="5"/>
            <w:tcBorders>
              <w:top w:val="single" w:sz="4" w:space="0" w:color="auto"/>
              <w:left w:val="single" w:sz="4" w:space="0" w:color="auto"/>
              <w:bottom w:val="single" w:sz="4" w:space="0" w:color="auto"/>
              <w:right w:val="single" w:sz="4" w:space="0" w:color="auto"/>
            </w:tcBorders>
          </w:tcPr>
          <w:p w:rsidR="001279F9" w:rsidRPr="00E3331A" w:rsidRDefault="001279F9" w:rsidP="00303FA4">
            <w:pPr>
              <w:pStyle w:val="TableHeading"/>
              <w:rPr>
                <w:color w:val="000000"/>
              </w:rPr>
            </w:pPr>
            <w:r w:rsidRPr="00E3331A">
              <w:t>Relative to no treatment</w:t>
            </w:r>
          </w:p>
        </w:tc>
      </w:tr>
      <w:tr w:rsidR="00303FA4" w:rsidRPr="00E3331A" w:rsidTr="0048316C">
        <w:tc>
          <w:tcPr>
            <w:tcW w:w="951" w:type="pct"/>
            <w:tcBorders>
              <w:top w:val="single" w:sz="4" w:space="0" w:color="auto"/>
              <w:left w:val="single" w:sz="4" w:space="0" w:color="auto"/>
              <w:bottom w:val="single" w:sz="4" w:space="0" w:color="auto"/>
              <w:right w:val="single" w:sz="4" w:space="0" w:color="auto"/>
            </w:tcBorders>
            <w:vAlign w:val="center"/>
          </w:tcPr>
          <w:p w:rsidR="00303FA4" w:rsidRPr="00E3331A" w:rsidRDefault="00303FA4" w:rsidP="0048316C">
            <w:pPr>
              <w:pStyle w:val="Tabletext1"/>
            </w:pPr>
            <w:r w:rsidRPr="00E3331A">
              <w:t>INCAT</w:t>
            </w:r>
            <w:r w:rsidRPr="00E3331A">
              <w:br/>
              <w:t>follow</w:t>
            </w:r>
            <w:r w:rsidR="000C0E99">
              <w:t>-</w:t>
            </w:r>
            <w:r w:rsidRPr="00E3331A">
              <w:t xml:space="preserve">up: median 6 months </w:t>
            </w:r>
          </w:p>
        </w:tc>
        <w:tc>
          <w:tcPr>
            <w:tcW w:w="1031" w:type="pct"/>
            <w:tcBorders>
              <w:top w:val="single" w:sz="4" w:space="0" w:color="auto"/>
              <w:left w:val="single" w:sz="4" w:space="0" w:color="auto"/>
              <w:bottom w:val="single" w:sz="4" w:space="0" w:color="auto"/>
              <w:right w:val="single" w:sz="4" w:space="0" w:color="auto"/>
            </w:tcBorders>
            <w:vAlign w:val="center"/>
          </w:tcPr>
          <w:p w:rsidR="00303FA4" w:rsidRPr="00E3331A" w:rsidRDefault="00303FA4" w:rsidP="0048316C">
            <w:pPr>
              <w:pStyle w:val="Tabletext1"/>
            </w:pPr>
            <w:r w:rsidRPr="00E3331A">
              <w:t>117</w:t>
            </w:r>
            <w:r w:rsidRPr="00E3331A">
              <w:br/>
              <w:t xml:space="preserve">(1 RCT) </w:t>
            </w:r>
          </w:p>
        </w:tc>
        <w:tc>
          <w:tcPr>
            <w:tcW w:w="892" w:type="pct"/>
            <w:tcBorders>
              <w:top w:val="single" w:sz="4" w:space="0" w:color="auto"/>
              <w:left w:val="single" w:sz="4" w:space="0" w:color="auto"/>
              <w:bottom w:val="single" w:sz="4" w:space="0" w:color="auto"/>
              <w:right w:val="single" w:sz="4" w:space="0" w:color="auto"/>
            </w:tcBorders>
            <w:vAlign w:val="center"/>
          </w:tcPr>
          <w:p w:rsidR="00303FA4" w:rsidRPr="00E3331A" w:rsidRDefault="00303FA4" w:rsidP="0048316C">
            <w:pPr>
              <w:pStyle w:val="Tabletext1"/>
            </w:pPr>
            <w:r w:rsidRPr="00E3331A">
              <w:rPr>
                <w:rFonts w:ascii="Cambria Math" w:hAnsi="Cambria Math" w:cs="Cambria Math"/>
                <w:sz w:val="21"/>
                <w:szCs w:val="21"/>
              </w:rPr>
              <w:t>⨁⨁⨁</w:t>
            </w:r>
            <w:r w:rsidRPr="00E3331A">
              <w:rPr>
                <w:rFonts w:ascii="MS Gothic" w:eastAsia="MS Gothic" w:hAnsi="MS Gothic" w:cs="MS Gothic" w:hint="eastAsia"/>
                <w:sz w:val="21"/>
                <w:szCs w:val="21"/>
              </w:rPr>
              <w:t>◯</w:t>
            </w:r>
            <w:r w:rsidRPr="00E3331A">
              <w:br/>
              <w:t xml:space="preserve">MODERATE </w:t>
            </w:r>
            <w:r w:rsidRPr="00E3331A">
              <w:rPr>
                <w:vertAlign w:val="superscript"/>
              </w:rPr>
              <w:t>a</w:t>
            </w:r>
          </w:p>
        </w:tc>
        <w:tc>
          <w:tcPr>
            <w:tcW w:w="1037" w:type="pct"/>
            <w:tcBorders>
              <w:top w:val="single" w:sz="4" w:space="0" w:color="auto"/>
              <w:left w:val="single" w:sz="4" w:space="0" w:color="auto"/>
              <w:bottom w:val="single" w:sz="4" w:space="0" w:color="auto"/>
              <w:right w:val="single" w:sz="4" w:space="0" w:color="auto"/>
            </w:tcBorders>
            <w:vAlign w:val="center"/>
          </w:tcPr>
          <w:p w:rsidR="00303FA4" w:rsidRPr="00E3331A" w:rsidRDefault="00303FA4" w:rsidP="0048316C">
            <w:pPr>
              <w:pStyle w:val="Tabletext1"/>
            </w:pPr>
            <w:r w:rsidRPr="00E3331A">
              <w:t>The mean</w:t>
            </w:r>
            <w:r w:rsidR="0048316C" w:rsidRPr="00E3331A">
              <w:t xml:space="preserve"> change in</w:t>
            </w:r>
            <w:r w:rsidRPr="00E3331A">
              <w:t xml:space="preserve"> INCAT was -0.3 </w:t>
            </w:r>
          </w:p>
        </w:tc>
        <w:tc>
          <w:tcPr>
            <w:tcW w:w="1089" w:type="pct"/>
            <w:tcBorders>
              <w:top w:val="single" w:sz="4" w:space="0" w:color="auto"/>
              <w:left w:val="single" w:sz="4" w:space="0" w:color="auto"/>
              <w:bottom w:val="single" w:sz="4" w:space="0" w:color="auto"/>
              <w:right w:val="single" w:sz="4" w:space="0" w:color="auto"/>
            </w:tcBorders>
            <w:vAlign w:val="center"/>
          </w:tcPr>
          <w:p w:rsidR="00303FA4" w:rsidRPr="00E3331A" w:rsidRDefault="00303FA4" w:rsidP="0048316C">
            <w:pPr>
              <w:pStyle w:val="Tabletext1"/>
            </w:pPr>
            <w:r w:rsidRPr="00E3331A">
              <w:t xml:space="preserve">mean </w:t>
            </w:r>
            <w:r w:rsidR="0048316C" w:rsidRPr="00E3331A">
              <w:t xml:space="preserve">change </w:t>
            </w:r>
            <w:r w:rsidRPr="00E3331A">
              <w:t>0.7 lower</w:t>
            </w:r>
            <w:r w:rsidRPr="00E3331A">
              <w:br/>
              <w:t xml:space="preserve">(1.3 lower to 0.2 lower) </w:t>
            </w:r>
          </w:p>
        </w:tc>
      </w:tr>
      <w:tr w:rsidR="009D4FA6" w:rsidRPr="00E3331A" w:rsidTr="009D4FA6">
        <w:tc>
          <w:tcPr>
            <w:tcW w:w="951" w:type="pct"/>
            <w:tcBorders>
              <w:top w:val="single" w:sz="4" w:space="0" w:color="auto"/>
              <w:left w:val="single" w:sz="4" w:space="0" w:color="auto"/>
              <w:bottom w:val="single" w:sz="4" w:space="0" w:color="auto"/>
              <w:right w:val="single" w:sz="4" w:space="0" w:color="auto"/>
            </w:tcBorders>
            <w:vAlign w:val="center"/>
          </w:tcPr>
          <w:p w:rsidR="009D4FA6" w:rsidRPr="00E3331A" w:rsidRDefault="009D4FA6" w:rsidP="0048316C">
            <w:pPr>
              <w:pStyle w:val="Tabletext1"/>
            </w:pPr>
            <w:r w:rsidRPr="00E3331A">
              <w:t>MRC</w:t>
            </w:r>
            <w:r w:rsidRPr="00E3331A">
              <w:br/>
              <w:t>follow</w:t>
            </w:r>
            <w:r w:rsidR="000C0E99">
              <w:t>-</w:t>
            </w:r>
            <w:r w:rsidRPr="00E3331A">
              <w:t xml:space="preserve">up: range 3 weeks to 24 weeks </w:t>
            </w:r>
          </w:p>
        </w:tc>
        <w:tc>
          <w:tcPr>
            <w:tcW w:w="1031" w:type="pct"/>
            <w:tcBorders>
              <w:top w:val="single" w:sz="4" w:space="0" w:color="auto"/>
              <w:left w:val="single" w:sz="4" w:space="0" w:color="auto"/>
              <w:bottom w:val="single" w:sz="4" w:space="0" w:color="auto"/>
              <w:right w:val="single" w:sz="4" w:space="0" w:color="auto"/>
            </w:tcBorders>
            <w:vAlign w:val="center"/>
          </w:tcPr>
          <w:p w:rsidR="009D4FA6" w:rsidRPr="00E3331A" w:rsidRDefault="009D4FA6" w:rsidP="0048316C">
            <w:pPr>
              <w:pStyle w:val="Tabletext1"/>
            </w:pPr>
            <w:r w:rsidRPr="00E3331A">
              <w:t>145</w:t>
            </w:r>
            <w:r w:rsidRPr="00E3331A">
              <w:br/>
              <w:t xml:space="preserve">(2 RCTs) </w:t>
            </w:r>
          </w:p>
        </w:tc>
        <w:tc>
          <w:tcPr>
            <w:tcW w:w="892" w:type="pct"/>
            <w:tcBorders>
              <w:top w:val="single" w:sz="4" w:space="0" w:color="auto"/>
              <w:left w:val="single" w:sz="4" w:space="0" w:color="auto"/>
              <w:bottom w:val="single" w:sz="4" w:space="0" w:color="auto"/>
              <w:right w:val="single" w:sz="4" w:space="0" w:color="auto"/>
            </w:tcBorders>
            <w:vAlign w:val="center"/>
          </w:tcPr>
          <w:p w:rsidR="009D4FA6" w:rsidRPr="00E3331A" w:rsidRDefault="009D4FA6" w:rsidP="0048316C">
            <w:pPr>
              <w:pStyle w:val="Tabletext1"/>
            </w:pPr>
            <w:r w:rsidRPr="00E3331A">
              <w:rPr>
                <w:rFonts w:ascii="Cambria Math" w:hAnsi="Cambria Math" w:cs="Cambria Math"/>
                <w:sz w:val="21"/>
                <w:szCs w:val="21"/>
              </w:rPr>
              <w:t>⨁⨁⨁</w:t>
            </w:r>
            <w:r w:rsidRPr="00E3331A">
              <w:rPr>
                <w:rFonts w:ascii="MS Gothic" w:eastAsia="MS Gothic" w:hAnsi="MS Gothic" w:cs="MS Gothic" w:hint="eastAsia"/>
                <w:sz w:val="21"/>
                <w:szCs w:val="21"/>
              </w:rPr>
              <w:t>◯</w:t>
            </w:r>
            <w:r w:rsidRPr="00E3331A">
              <w:br/>
              <w:t xml:space="preserve">MODERATE </w:t>
            </w:r>
            <w:r w:rsidRPr="00E3331A">
              <w:rPr>
                <w:vertAlign w:val="superscript"/>
              </w:rPr>
              <w:t>b</w:t>
            </w:r>
          </w:p>
        </w:tc>
        <w:tc>
          <w:tcPr>
            <w:tcW w:w="2126" w:type="pct"/>
            <w:gridSpan w:val="2"/>
            <w:tcBorders>
              <w:top w:val="single" w:sz="4" w:space="0" w:color="auto"/>
              <w:left w:val="single" w:sz="4" w:space="0" w:color="auto"/>
              <w:bottom w:val="single" w:sz="4" w:space="0" w:color="auto"/>
              <w:right w:val="single" w:sz="4" w:space="0" w:color="auto"/>
            </w:tcBorders>
            <w:vAlign w:val="center"/>
          </w:tcPr>
          <w:p w:rsidR="009D4FA6" w:rsidRPr="00E3331A" w:rsidRDefault="004E2AFD" w:rsidP="0048316C">
            <w:pPr>
              <w:pStyle w:val="Tabletext1"/>
            </w:pPr>
            <w:r>
              <w:t>Change</w:t>
            </w:r>
            <w:r w:rsidR="009D4FA6">
              <w:t xml:space="preserve"> in MRC</w:t>
            </w:r>
            <w:r>
              <w:t xml:space="preserve"> favoured</w:t>
            </w:r>
            <w:r w:rsidR="0000682A">
              <w:t xml:space="preserve"> Ig</w:t>
            </w:r>
            <w:r w:rsidR="009D4FA6">
              <w:t xml:space="preserve"> </w:t>
            </w:r>
            <w:r w:rsidR="0000682A">
              <w:t>i</w:t>
            </w:r>
            <w:r w:rsidR="009D4FA6">
              <w:t xml:space="preserve">n </w:t>
            </w:r>
            <w:r>
              <w:t>both</w:t>
            </w:r>
            <w:r w:rsidR="009D4FA6">
              <w:t xml:space="preserve"> RCT</w:t>
            </w:r>
            <w:r>
              <w:t xml:space="preserve">s with different magnitude </w:t>
            </w:r>
            <w:r w:rsidR="0000682A">
              <w:t>(</w:t>
            </w:r>
            <w:r>
              <w:t xml:space="preserve">study 1: </w:t>
            </w:r>
            <w:r w:rsidR="0000682A">
              <w:t>n = 117,</w:t>
            </w:r>
            <w:r>
              <w:t xml:space="preserve"> mean change 3.1,</w:t>
            </w:r>
            <w:r w:rsidR="0000682A">
              <w:t xml:space="preserve"> p = </w:t>
            </w:r>
            <w:r>
              <w:t>0.001 and study 2: n = 18, mean change = 0.29, p = NR)</w:t>
            </w:r>
            <w:r w:rsidR="009D4FA6" w:rsidRPr="00E3331A">
              <w:t xml:space="preserve"> </w:t>
            </w:r>
          </w:p>
        </w:tc>
      </w:tr>
      <w:tr w:rsidR="004E2AFD" w:rsidRPr="00E3331A" w:rsidTr="004E2AFD">
        <w:tc>
          <w:tcPr>
            <w:tcW w:w="951" w:type="pct"/>
            <w:tcBorders>
              <w:top w:val="single" w:sz="4" w:space="0" w:color="auto"/>
              <w:left w:val="single" w:sz="4" w:space="0" w:color="auto"/>
              <w:bottom w:val="single" w:sz="4" w:space="0" w:color="auto"/>
              <w:right w:val="single" w:sz="4" w:space="0" w:color="auto"/>
            </w:tcBorders>
            <w:vAlign w:val="center"/>
          </w:tcPr>
          <w:p w:rsidR="004E2AFD" w:rsidRPr="00E3331A" w:rsidRDefault="004E2AFD" w:rsidP="0048316C">
            <w:pPr>
              <w:pStyle w:val="Tabletext1"/>
            </w:pPr>
            <w:r w:rsidRPr="00E3331A">
              <w:t>Clinically meaningful response</w:t>
            </w:r>
            <w:r w:rsidRPr="00E3331A">
              <w:br/>
              <w:t>follow</w:t>
            </w:r>
            <w:r w:rsidR="000C0E99">
              <w:t>-</w:t>
            </w:r>
            <w:r w:rsidRPr="00E3331A">
              <w:t xml:space="preserve">up: range 3 weeks to 24 weeks </w:t>
            </w:r>
          </w:p>
        </w:tc>
        <w:tc>
          <w:tcPr>
            <w:tcW w:w="1031" w:type="pct"/>
            <w:tcBorders>
              <w:top w:val="single" w:sz="4" w:space="0" w:color="auto"/>
              <w:left w:val="single" w:sz="4" w:space="0" w:color="auto"/>
              <w:bottom w:val="single" w:sz="4" w:space="0" w:color="auto"/>
              <w:right w:val="single" w:sz="4" w:space="0" w:color="auto"/>
            </w:tcBorders>
            <w:vAlign w:val="center"/>
          </w:tcPr>
          <w:p w:rsidR="004E2AFD" w:rsidRPr="00E3331A" w:rsidRDefault="004E2AFD" w:rsidP="0048316C">
            <w:pPr>
              <w:pStyle w:val="Tabletext1"/>
            </w:pPr>
            <w:r w:rsidRPr="00E3331A">
              <w:t>255</w:t>
            </w:r>
            <w:r w:rsidRPr="00E3331A">
              <w:br/>
              <w:t xml:space="preserve">(4 RCTs) </w:t>
            </w:r>
          </w:p>
        </w:tc>
        <w:tc>
          <w:tcPr>
            <w:tcW w:w="892" w:type="pct"/>
            <w:tcBorders>
              <w:top w:val="single" w:sz="4" w:space="0" w:color="auto"/>
              <w:left w:val="single" w:sz="4" w:space="0" w:color="auto"/>
              <w:bottom w:val="single" w:sz="4" w:space="0" w:color="auto"/>
              <w:right w:val="single" w:sz="4" w:space="0" w:color="auto"/>
            </w:tcBorders>
            <w:vAlign w:val="center"/>
          </w:tcPr>
          <w:p w:rsidR="004E2AFD" w:rsidRPr="00E3331A" w:rsidRDefault="004E2AFD" w:rsidP="0048316C">
            <w:pPr>
              <w:pStyle w:val="Tabletext1"/>
            </w:pPr>
            <w:r w:rsidRPr="00E3331A">
              <w:rPr>
                <w:rFonts w:ascii="Cambria Math" w:hAnsi="Cambria Math" w:cs="Cambria Math"/>
                <w:sz w:val="21"/>
                <w:szCs w:val="21"/>
              </w:rPr>
              <w:t>⨁⨁⨁</w:t>
            </w:r>
            <w:r w:rsidRPr="00E3331A">
              <w:rPr>
                <w:rFonts w:ascii="MS Gothic" w:eastAsia="MS Gothic" w:hAnsi="MS Gothic" w:cs="MS Gothic" w:hint="eastAsia"/>
                <w:sz w:val="21"/>
                <w:szCs w:val="21"/>
              </w:rPr>
              <w:t>◯</w:t>
            </w:r>
            <w:r w:rsidRPr="00E3331A">
              <w:br/>
              <w:t xml:space="preserve">MODERATE </w:t>
            </w:r>
            <w:r w:rsidRPr="00E3331A">
              <w:rPr>
                <w:vertAlign w:val="superscript"/>
              </w:rPr>
              <w:t>a</w:t>
            </w:r>
          </w:p>
        </w:tc>
        <w:tc>
          <w:tcPr>
            <w:tcW w:w="2126" w:type="pct"/>
            <w:gridSpan w:val="2"/>
            <w:tcBorders>
              <w:top w:val="single" w:sz="4" w:space="0" w:color="auto"/>
              <w:left w:val="single" w:sz="4" w:space="0" w:color="auto"/>
              <w:bottom w:val="single" w:sz="4" w:space="0" w:color="auto"/>
              <w:right w:val="single" w:sz="4" w:space="0" w:color="auto"/>
            </w:tcBorders>
            <w:vAlign w:val="center"/>
          </w:tcPr>
          <w:p w:rsidR="004E2AFD" w:rsidRPr="00E3331A" w:rsidRDefault="004E2AFD" w:rsidP="0048316C">
            <w:pPr>
              <w:pStyle w:val="Tabletext1"/>
            </w:pPr>
            <w:r>
              <w:t xml:space="preserve">Clinically meaningful response </w:t>
            </w:r>
            <w:r w:rsidR="001279F9">
              <w:t>w</w:t>
            </w:r>
            <w:r>
              <w:t xml:space="preserve">as higher in the Ig group in ¾ studies. Rates of response ranged from 13% to 63% in the Ig group and 10% to 23% in the no treatment group </w:t>
            </w:r>
          </w:p>
        </w:tc>
      </w:tr>
      <w:tr w:rsidR="001279F9" w:rsidRPr="00E3331A" w:rsidTr="001279F9">
        <w:tc>
          <w:tcPr>
            <w:tcW w:w="5000" w:type="pct"/>
            <w:gridSpan w:val="5"/>
            <w:tcBorders>
              <w:top w:val="single" w:sz="4" w:space="0" w:color="auto"/>
              <w:left w:val="single" w:sz="4" w:space="0" w:color="auto"/>
              <w:bottom w:val="single" w:sz="4" w:space="0" w:color="auto"/>
              <w:right w:val="single" w:sz="4" w:space="0" w:color="auto"/>
            </w:tcBorders>
            <w:vAlign w:val="center"/>
          </w:tcPr>
          <w:p w:rsidR="001279F9" w:rsidRPr="00E3331A" w:rsidRDefault="001279F9" w:rsidP="0048316C">
            <w:pPr>
              <w:pStyle w:val="Tabletext1"/>
            </w:pPr>
            <w:r w:rsidRPr="001279F9">
              <w:rPr>
                <w:b/>
              </w:rPr>
              <w:t>Relative to steroids</w:t>
            </w:r>
          </w:p>
        </w:tc>
      </w:tr>
      <w:tr w:rsidR="0048316C" w:rsidRPr="00E3331A" w:rsidTr="0048316C">
        <w:tc>
          <w:tcPr>
            <w:tcW w:w="951" w:type="pct"/>
            <w:tcBorders>
              <w:top w:val="single" w:sz="4" w:space="0" w:color="auto"/>
              <w:left w:val="single" w:sz="4" w:space="0" w:color="auto"/>
              <w:bottom w:val="single" w:sz="4" w:space="0" w:color="auto"/>
              <w:right w:val="single" w:sz="4" w:space="0" w:color="auto"/>
            </w:tcBorders>
            <w:vAlign w:val="center"/>
          </w:tcPr>
          <w:p w:rsidR="0048316C" w:rsidRPr="00E3331A" w:rsidRDefault="0048316C" w:rsidP="0048316C">
            <w:pPr>
              <w:pStyle w:val="Tabletext1"/>
            </w:pPr>
            <w:r w:rsidRPr="00E3331A">
              <w:t>INCAT</w:t>
            </w:r>
          </w:p>
          <w:p w:rsidR="0048316C" w:rsidRPr="00E3331A" w:rsidRDefault="0048316C" w:rsidP="0048316C">
            <w:pPr>
              <w:pStyle w:val="Tabletext1"/>
            </w:pPr>
            <w:r w:rsidRPr="00E3331A">
              <w:t>follow</w:t>
            </w:r>
            <w:r w:rsidR="000C0E99">
              <w:t>-</w:t>
            </w:r>
            <w:r w:rsidRPr="00E3331A">
              <w:t>up: 6 weeks</w:t>
            </w:r>
          </w:p>
        </w:tc>
        <w:tc>
          <w:tcPr>
            <w:tcW w:w="1031" w:type="pct"/>
            <w:tcBorders>
              <w:top w:val="single" w:sz="4" w:space="0" w:color="auto"/>
              <w:left w:val="single" w:sz="4" w:space="0" w:color="auto"/>
              <w:bottom w:val="single" w:sz="4" w:space="0" w:color="auto"/>
              <w:right w:val="single" w:sz="4" w:space="0" w:color="auto"/>
            </w:tcBorders>
            <w:vAlign w:val="center"/>
          </w:tcPr>
          <w:p w:rsidR="0048316C" w:rsidRDefault="004E2AFD" w:rsidP="0048316C">
            <w:pPr>
              <w:pStyle w:val="Tabletext1"/>
            </w:pPr>
            <w:r>
              <w:t>42</w:t>
            </w:r>
          </w:p>
          <w:p w:rsidR="004E2AFD" w:rsidRPr="00E3331A" w:rsidRDefault="004E2AFD" w:rsidP="0048316C">
            <w:pPr>
              <w:pStyle w:val="Tabletext1"/>
            </w:pPr>
            <w:r>
              <w:t>(1 RCT)</w:t>
            </w:r>
          </w:p>
        </w:tc>
        <w:tc>
          <w:tcPr>
            <w:tcW w:w="892" w:type="pct"/>
            <w:tcBorders>
              <w:top w:val="single" w:sz="4" w:space="0" w:color="auto"/>
              <w:left w:val="single" w:sz="4" w:space="0" w:color="auto"/>
              <w:bottom w:val="single" w:sz="4" w:space="0" w:color="auto"/>
              <w:right w:val="single" w:sz="4" w:space="0" w:color="auto"/>
            </w:tcBorders>
            <w:vAlign w:val="center"/>
          </w:tcPr>
          <w:p w:rsidR="0048316C" w:rsidRPr="00E3331A" w:rsidRDefault="0048316C" w:rsidP="0048316C">
            <w:pPr>
              <w:pStyle w:val="Tabletext1"/>
              <w:rPr>
                <w:rFonts w:ascii="Cambria Math" w:hAnsi="Cambria Math" w:cs="Cambria Math"/>
                <w:sz w:val="21"/>
                <w:szCs w:val="21"/>
              </w:rPr>
            </w:pPr>
            <w:r w:rsidRPr="00E3331A">
              <w:rPr>
                <w:rFonts w:ascii="Cambria Math" w:hAnsi="Cambria Math" w:cs="Cambria Math"/>
                <w:sz w:val="21"/>
                <w:szCs w:val="21"/>
              </w:rPr>
              <w:t>⨁⨁⨁</w:t>
            </w:r>
            <w:r w:rsidRPr="00E3331A">
              <w:rPr>
                <w:rFonts w:ascii="MS Gothic" w:eastAsia="MS Gothic" w:hAnsi="MS Gothic" w:cs="MS Gothic" w:hint="eastAsia"/>
                <w:sz w:val="21"/>
                <w:szCs w:val="21"/>
              </w:rPr>
              <w:t>◯</w:t>
            </w:r>
            <w:r w:rsidRPr="00E3331A">
              <w:br/>
              <w:t xml:space="preserve">MODERATE </w:t>
            </w:r>
            <w:r w:rsidRPr="00E3331A">
              <w:rPr>
                <w:vertAlign w:val="superscript"/>
              </w:rPr>
              <w:t>a</w:t>
            </w:r>
          </w:p>
        </w:tc>
        <w:tc>
          <w:tcPr>
            <w:tcW w:w="1037" w:type="pct"/>
            <w:tcBorders>
              <w:top w:val="single" w:sz="4" w:space="0" w:color="auto"/>
              <w:left w:val="single" w:sz="4" w:space="0" w:color="auto"/>
              <w:bottom w:val="single" w:sz="4" w:space="0" w:color="auto"/>
              <w:right w:val="single" w:sz="4" w:space="0" w:color="auto"/>
            </w:tcBorders>
            <w:vAlign w:val="center"/>
          </w:tcPr>
          <w:p w:rsidR="0048316C" w:rsidRPr="00E3331A" w:rsidRDefault="0048316C" w:rsidP="0048316C">
            <w:pPr>
              <w:pStyle w:val="Tabletext1"/>
            </w:pPr>
            <w:r w:rsidRPr="00E3331A">
              <w:rPr>
                <w:rStyle w:val="cell-value"/>
              </w:rPr>
              <w:t xml:space="preserve">The mean INCAT was </w:t>
            </w:r>
            <w:r w:rsidRPr="00E3331A">
              <w:rPr>
                <w:rStyle w:val="cell-value"/>
                <w:b/>
                <w:bCs/>
              </w:rPr>
              <w:t>0</w:t>
            </w:r>
          </w:p>
        </w:tc>
        <w:tc>
          <w:tcPr>
            <w:tcW w:w="1089" w:type="pct"/>
            <w:tcBorders>
              <w:top w:val="single" w:sz="4" w:space="0" w:color="auto"/>
              <w:left w:val="single" w:sz="4" w:space="0" w:color="auto"/>
              <w:bottom w:val="single" w:sz="4" w:space="0" w:color="auto"/>
              <w:right w:val="single" w:sz="4" w:space="0" w:color="auto"/>
            </w:tcBorders>
            <w:vAlign w:val="center"/>
          </w:tcPr>
          <w:p w:rsidR="0048316C" w:rsidRPr="00E3331A" w:rsidRDefault="0048316C" w:rsidP="0048316C">
            <w:pPr>
              <w:pStyle w:val="Tabletext1"/>
            </w:pPr>
            <w:r w:rsidRPr="00E3331A">
              <w:rPr>
                <w:rStyle w:val="cell-value"/>
              </w:rPr>
              <w:t xml:space="preserve">MD </w:t>
            </w:r>
            <w:r w:rsidRPr="00E3331A">
              <w:rPr>
                <w:rStyle w:val="cell-value"/>
                <w:b/>
                <w:bCs/>
              </w:rPr>
              <w:t>0.22 lower</w:t>
            </w:r>
            <w:r w:rsidRPr="00E3331A">
              <w:br/>
            </w:r>
            <w:r w:rsidRPr="00E3331A">
              <w:rPr>
                <w:rStyle w:val="cell-value"/>
              </w:rPr>
              <w:t>(0.62 lower to 1.06 higher)</w:t>
            </w:r>
          </w:p>
        </w:tc>
      </w:tr>
      <w:tr w:rsidR="00BC60A8" w:rsidRPr="00E3331A" w:rsidTr="0048316C">
        <w:tc>
          <w:tcPr>
            <w:tcW w:w="951" w:type="pct"/>
            <w:tcBorders>
              <w:top w:val="single" w:sz="4" w:space="0" w:color="auto"/>
              <w:left w:val="single" w:sz="4" w:space="0" w:color="auto"/>
              <w:bottom w:val="single" w:sz="4" w:space="0" w:color="auto"/>
              <w:right w:val="single" w:sz="4" w:space="0" w:color="auto"/>
            </w:tcBorders>
            <w:vAlign w:val="center"/>
          </w:tcPr>
          <w:p w:rsidR="001279F9" w:rsidRDefault="00036C65" w:rsidP="00BC60A8">
            <w:pPr>
              <w:pStyle w:val="Tabletext1"/>
            </w:pPr>
            <w:r>
              <w:lastRenderedPageBreak/>
              <w:t>Discontinue treatment</w:t>
            </w:r>
          </w:p>
          <w:p w:rsidR="00BC60A8" w:rsidRPr="00E3331A" w:rsidRDefault="00BC60A8" w:rsidP="00BC60A8">
            <w:pPr>
              <w:pStyle w:val="Tabletext1"/>
            </w:pPr>
            <w:r w:rsidRPr="00E3331A">
              <w:t>follow</w:t>
            </w:r>
            <w:r w:rsidR="000C0E99">
              <w:t>-up</w:t>
            </w:r>
            <w:r w:rsidRPr="00E3331A">
              <w:t>: 6 months</w:t>
            </w:r>
          </w:p>
        </w:tc>
        <w:tc>
          <w:tcPr>
            <w:tcW w:w="1031" w:type="pct"/>
            <w:tcBorders>
              <w:top w:val="single" w:sz="4" w:space="0" w:color="auto"/>
              <w:left w:val="single" w:sz="4" w:space="0" w:color="auto"/>
              <w:bottom w:val="single" w:sz="4" w:space="0" w:color="auto"/>
              <w:right w:val="single" w:sz="4" w:space="0" w:color="auto"/>
            </w:tcBorders>
            <w:vAlign w:val="center"/>
          </w:tcPr>
          <w:p w:rsidR="00BC60A8" w:rsidRPr="00E3331A" w:rsidRDefault="00BC60A8" w:rsidP="00BC60A8">
            <w:pPr>
              <w:pStyle w:val="Tabletext1"/>
            </w:pPr>
            <w:r w:rsidRPr="00E3331A">
              <w:t>45</w:t>
            </w:r>
          </w:p>
          <w:p w:rsidR="00BC60A8" w:rsidRPr="00E3331A" w:rsidRDefault="00BC60A8" w:rsidP="00BC60A8">
            <w:pPr>
              <w:pStyle w:val="Tabletext1"/>
            </w:pPr>
            <w:r w:rsidRPr="00E3331A">
              <w:t>(1 RCT)</w:t>
            </w:r>
          </w:p>
        </w:tc>
        <w:tc>
          <w:tcPr>
            <w:tcW w:w="892" w:type="pct"/>
            <w:tcBorders>
              <w:top w:val="single" w:sz="4" w:space="0" w:color="auto"/>
              <w:left w:val="single" w:sz="4" w:space="0" w:color="auto"/>
              <w:bottom w:val="single" w:sz="4" w:space="0" w:color="auto"/>
              <w:right w:val="single" w:sz="4" w:space="0" w:color="auto"/>
            </w:tcBorders>
            <w:vAlign w:val="center"/>
          </w:tcPr>
          <w:p w:rsidR="00BC60A8" w:rsidRPr="00E3331A" w:rsidRDefault="00BC60A8" w:rsidP="00BC60A8">
            <w:pPr>
              <w:pStyle w:val="Tabletext1"/>
              <w:rPr>
                <w:rFonts w:ascii="Cambria Math" w:hAnsi="Cambria Math" w:cs="Cambria Math"/>
                <w:sz w:val="21"/>
                <w:szCs w:val="21"/>
              </w:rPr>
            </w:pPr>
            <w:r w:rsidRPr="00E3331A">
              <w:rPr>
                <w:rFonts w:ascii="Cambria Math" w:hAnsi="Cambria Math" w:cs="Cambria Math"/>
                <w:sz w:val="21"/>
                <w:szCs w:val="21"/>
              </w:rPr>
              <w:t>⨁⨁⨁</w:t>
            </w:r>
            <w:r w:rsidRPr="00E3331A">
              <w:rPr>
                <w:rFonts w:ascii="MS Gothic" w:eastAsia="MS Gothic" w:hAnsi="MS Gothic" w:cs="MS Gothic" w:hint="eastAsia"/>
                <w:sz w:val="21"/>
                <w:szCs w:val="21"/>
              </w:rPr>
              <w:t>◯</w:t>
            </w:r>
            <w:r w:rsidRPr="00E3331A">
              <w:br/>
              <w:t xml:space="preserve">MODERATE </w:t>
            </w:r>
            <w:r w:rsidRPr="00E3331A">
              <w:rPr>
                <w:vertAlign w:val="superscript"/>
              </w:rPr>
              <w:t>a</w:t>
            </w:r>
          </w:p>
        </w:tc>
        <w:tc>
          <w:tcPr>
            <w:tcW w:w="1037" w:type="pct"/>
            <w:tcBorders>
              <w:top w:val="single" w:sz="4" w:space="0" w:color="auto"/>
              <w:left w:val="single" w:sz="4" w:space="0" w:color="auto"/>
              <w:bottom w:val="single" w:sz="4" w:space="0" w:color="auto"/>
              <w:right w:val="single" w:sz="4" w:space="0" w:color="auto"/>
            </w:tcBorders>
            <w:vAlign w:val="center"/>
          </w:tcPr>
          <w:p w:rsidR="00BC60A8" w:rsidRPr="00E3331A" w:rsidRDefault="00036C65" w:rsidP="00BC60A8">
            <w:pPr>
              <w:pStyle w:val="Tabletext1"/>
            </w:pPr>
            <w:r>
              <w:t>524 per 1,000</w:t>
            </w:r>
          </w:p>
        </w:tc>
        <w:tc>
          <w:tcPr>
            <w:tcW w:w="1089" w:type="pct"/>
            <w:tcBorders>
              <w:top w:val="single" w:sz="4" w:space="0" w:color="auto"/>
              <w:left w:val="single" w:sz="4" w:space="0" w:color="auto"/>
              <w:bottom w:val="single" w:sz="4" w:space="0" w:color="auto"/>
              <w:right w:val="single" w:sz="4" w:space="0" w:color="auto"/>
            </w:tcBorders>
            <w:vAlign w:val="center"/>
          </w:tcPr>
          <w:p w:rsidR="00BC60A8" w:rsidRPr="00E3331A" w:rsidRDefault="00036C65" w:rsidP="00BC60A8">
            <w:pPr>
              <w:pStyle w:val="Tabletext1"/>
            </w:pPr>
            <w:r>
              <w:t>241 fewer per 1,000 (from 346 to 68 fewer, RR = 0.54</w:t>
            </w:r>
            <w:r w:rsidR="00021C0A">
              <w:t>)</w:t>
            </w:r>
          </w:p>
        </w:tc>
      </w:tr>
      <w:tr w:rsidR="00BC60A8" w:rsidRPr="00E3331A" w:rsidTr="0048316C">
        <w:tc>
          <w:tcPr>
            <w:tcW w:w="951" w:type="pct"/>
            <w:tcBorders>
              <w:top w:val="single" w:sz="4" w:space="0" w:color="auto"/>
              <w:left w:val="single" w:sz="4" w:space="0" w:color="auto"/>
              <w:bottom w:val="single" w:sz="4" w:space="0" w:color="auto"/>
              <w:right w:val="single" w:sz="4" w:space="0" w:color="auto"/>
            </w:tcBorders>
            <w:vAlign w:val="center"/>
          </w:tcPr>
          <w:p w:rsidR="00BC60A8" w:rsidRPr="00E3331A" w:rsidRDefault="00BC60A8" w:rsidP="00BC60A8">
            <w:pPr>
              <w:pStyle w:val="Tabletext1"/>
            </w:pPr>
            <w:r w:rsidRPr="00E3331A">
              <w:t>MRC</w:t>
            </w:r>
          </w:p>
          <w:p w:rsidR="00BC60A8" w:rsidRPr="00E3331A" w:rsidRDefault="00BC60A8" w:rsidP="00BC60A8">
            <w:pPr>
              <w:pStyle w:val="Tabletext1"/>
            </w:pPr>
            <w:r w:rsidRPr="00E3331A">
              <w:t>follow up: 6 months</w:t>
            </w:r>
          </w:p>
        </w:tc>
        <w:tc>
          <w:tcPr>
            <w:tcW w:w="1031" w:type="pct"/>
            <w:tcBorders>
              <w:top w:val="single" w:sz="4" w:space="0" w:color="auto"/>
              <w:left w:val="single" w:sz="4" w:space="0" w:color="auto"/>
              <w:bottom w:val="single" w:sz="4" w:space="0" w:color="auto"/>
              <w:right w:val="single" w:sz="4" w:space="0" w:color="auto"/>
            </w:tcBorders>
            <w:vAlign w:val="center"/>
          </w:tcPr>
          <w:p w:rsidR="00BC60A8" w:rsidRPr="00E3331A" w:rsidRDefault="00BC60A8" w:rsidP="00BC60A8">
            <w:pPr>
              <w:pStyle w:val="Tabletext1"/>
            </w:pPr>
            <w:r w:rsidRPr="00E3331A">
              <w:t>45</w:t>
            </w:r>
          </w:p>
          <w:p w:rsidR="00BC60A8" w:rsidRPr="00E3331A" w:rsidRDefault="00BC60A8" w:rsidP="00BC60A8">
            <w:pPr>
              <w:pStyle w:val="Tabletext1"/>
            </w:pPr>
            <w:r w:rsidRPr="00E3331A">
              <w:t>(1 RCT)</w:t>
            </w:r>
          </w:p>
        </w:tc>
        <w:tc>
          <w:tcPr>
            <w:tcW w:w="892" w:type="pct"/>
            <w:tcBorders>
              <w:top w:val="single" w:sz="4" w:space="0" w:color="auto"/>
              <w:left w:val="single" w:sz="4" w:space="0" w:color="auto"/>
              <w:bottom w:val="single" w:sz="4" w:space="0" w:color="auto"/>
              <w:right w:val="single" w:sz="4" w:space="0" w:color="auto"/>
            </w:tcBorders>
            <w:vAlign w:val="center"/>
          </w:tcPr>
          <w:p w:rsidR="00BC60A8" w:rsidRPr="00E3331A" w:rsidRDefault="00BC60A8" w:rsidP="00BC60A8">
            <w:pPr>
              <w:pStyle w:val="Tabletext1"/>
              <w:rPr>
                <w:rFonts w:ascii="Cambria Math" w:hAnsi="Cambria Math" w:cs="Cambria Math"/>
                <w:sz w:val="21"/>
                <w:szCs w:val="21"/>
              </w:rPr>
            </w:pPr>
            <w:r w:rsidRPr="00E3331A">
              <w:rPr>
                <w:rFonts w:ascii="Cambria Math" w:hAnsi="Cambria Math" w:cs="Cambria Math"/>
                <w:sz w:val="21"/>
                <w:szCs w:val="21"/>
              </w:rPr>
              <w:t>⨁⨁⨁</w:t>
            </w:r>
            <w:r w:rsidRPr="00E3331A">
              <w:rPr>
                <w:rFonts w:ascii="MS Gothic" w:eastAsia="MS Gothic" w:hAnsi="MS Gothic" w:cs="MS Gothic" w:hint="eastAsia"/>
                <w:sz w:val="21"/>
                <w:szCs w:val="21"/>
              </w:rPr>
              <w:t>◯</w:t>
            </w:r>
            <w:r w:rsidRPr="00E3331A">
              <w:br/>
              <w:t xml:space="preserve">MODERATE </w:t>
            </w:r>
            <w:r w:rsidRPr="00E3331A">
              <w:rPr>
                <w:vertAlign w:val="superscript"/>
              </w:rPr>
              <w:t>a</w:t>
            </w:r>
          </w:p>
        </w:tc>
        <w:tc>
          <w:tcPr>
            <w:tcW w:w="1037" w:type="pct"/>
            <w:tcBorders>
              <w:top w:val="single" w:sz="4" w:space="0" w:color="auto"/>
              <w:left w:val="single" w:sz="4" w:space="0" w:color="auto"/>
              <w:bottom w:val="single" w:sz="4" w:space="0" w:color="auto"/>
              <w:right w:val="single" w:sz="4" w:space="0" w:color="auto"/>
            </w:tcBorders>
            <w:vAlign w:val="center"/>
          </w:tcPr>
          <w:p w:rsidR="00BC60A8" w:rsidRPr="00E3331A" w:rsidRDefault="004E2AFD" w:rsidP="00BC60A8">
            <w:pPr>
              <w:pStyle w:val="Tabletext1"/>
            </w:pPr>
            <w:r>
              <w:t>Mean change in MRC was 1.8</w:t>
            </w:r>
            <w:r w:rsidR="00BC60A8" w:rsidRPr="00E3331A">
              <w:t xml:space="preserve"> </w:t>
            </w:r>
            <w:r w:rsidRPr="00304276">
              <w:t>± 11.64</w:t>
            </w:r>
          </w:p>
        </w:tc>
        <w:tc>
          <w:tcPr>
            <w:tcW w:w="1089" w:type="pct"/>
            <w:tcBorders>
              <w:top w:val="single" w:sz="4" w:space="0" w:color="auto"/>
              <w:left w:val="single" w:sz="4" w:space="0" w:color="auto"/>
              <w:bottom w:val="single" w:sz="4" w:space="0" w:color="auto"/>
              <w:right w:val="single" w:sz="4" w:space="0" w:color="auto"/>
            </w:tcBorders>
            <w:vAlign w:val="center"/>
          </w:tcPr>
          <w:p w:rsidR="00BC60A8" w:rsidRPr="00E3331A" w:rsidRDefault="004E2AFD" w:rsidP="00BC60A8">
            <w:pPr>
              <w:pStyle w:val="Tabletext1"/>
            </w:pPr>
            <w:r>
              <w:t>Mean change in MRC was</w:t>
            </w:r>
            <w:r w:rsidR="00BC60A8" w:rsidRPr="00E3331A">
              <w:t xml:space="preserve"> </w:t>
            </w:r>
            <w:r>
              <w:t xml:space="preserve">4.7 </w:t>
            </w:r>
            <w:r w:rsidRPr="00304276">
              <w:t>± 7.69</w:t>
            </w:r>
            <w:r>
              <w:t xml:space="preserve"> (p = 0.0929)</w:t>
            </w:r>
          </w:p>
        </w:tc>
      </w:tr>
    </w:tbl>
    <w:p w:rsidR="008340E9" w:rsidRPr="00E3331A" w:rsidRDefault="006F4B55" w:rsidP="00CF199F">
      <w:pPr>
        <w:pStyle w:val="Tablenotes0"/>
      </w:pPr>
      <w:r w:rsidRPr="00E3331A">
        <w:t xml:space="preserve">Source: </w:t>
      </w:r>
      <w:r w:rsidR="008340E9" w:rsidRPr="00E3331A">
        <w:t>GRADE Working Group grades of evidence (Guyatt et al., 2013)</w:t>
      </w:r>
      <w:r w:rsidR="008340E9" w:rsidRPr="00E3331A">
        <w:br/>
      </w:r>
      <w:r w:rsidR="008340E9" w:rsidRPr="00E3331A">
        <w:rPr>
          <w:rFonts w:ascii="Cambria Math" w:hAnsi="Cambria Math"/>
          <w:color w:val="00B050"/>
        </w:rPr>
        <w:t xml:space="preserve">⨁⨁⨁⨁ </w:t>
      </w:r>
      <w:r w:rsidR="008340E9" w:rsidRPr="00E3331A">
        <w:rPr>
          <w:b/>
          <w:bCs/>
        </w:rPr>
        <w:t>High quality:</w:t>
      </w:r>
      <w:r w:rsidR="008340E9" w:rsidRPr="00E3331A">
        <w:t xml:space="preserve"> We are very confident that the true effect lies close to that of the estimate of effect. </w:t>
      </w:r>
      <w:r w:rsidR="008340E9" w:rsidRPr="00E3331A">
        <w:br/>
      </w:r>
      <w:r w:rsidR="008340E9" w:rsidRPr="00E3331A">
        <w:rPr>
          <w:rFonts w:ascii="Cambria Math" w:hAnsi="Cambria Math"/>
          <w:color w:val="00B050"/>
        </w:rPr>
        <w:t>⨁⨁⨁</w:t>
      </w:r>
      <w:r w:rsidR="008340E9" w:rsidRPr="00E3331A">
        <w:rPr>
          <w:rFonts w:ascii="Cambria Math" w:hAnsi="Cambria Math" w:cs="Cambria Math"/>
          <w:color w:val="C00000"/>
        </w:rPr>
        <w:t xml:space="preserve">⨀ </w:t>
      </w:r>
      <w:r w:rsidR="008340E9" w:rsidRPr="00E3331A">
        <w:rPr>
          <w:b/>
          <w:bCs/>
        </w:rPr>
        <w:t>Moderate quality:</w:t>
      </w:r>
      <w:r w:rsidR="008340E9" w:rsidRPr="00E3331A">
        <w:t xml:space="preserve"> We are moderately confident in the effect estimate: The true effect is likely to be close to the estimate of the effect, but there is a possibility that it is substantially different. </w:t>
      </w:r>
      <w:r w:rsidR="008340E9" w:rsidRPr="00E3331A">
        <w:br/>
      </w:r>
      <w:r w:rsidR="008340E9" w:rsidRPr="00E3331A">
        <w:rPr>
          <w:rFonts w:ascii="Cambria Math" w:hAnsi="Cambria Math"/>
          <w:color w:val="00B050"/>
        </w:rPr>
        <w:t>⨁⨁</w:t>
      </w:r>
      <w:r w:rsidR="008340E9" w:rsidRPr="00E3331A">
        <w:rPr>
          <w:rFonts w:ascii="Cambria Math" w:hAnsi="Cambria Math" w:cs="Cambria Math"/>
          <w:color w:val="C00000"/>
        </w:rPr>
        <w:t xml:space="preserve">⨀⨀ </w:t>
      </w:r>
      <w:r w:rsidR="008340E9" w:rsidRPr="00E3331A">
        <w:rPr>
          <w:b/>
          <w:bCs/>
        </w:rPr>
        <w:t>Low quality:</w:t>
      </w:r>
      <w:r w:rsidR="008340E9" w:rsidRPr="00E3331A">
        <w:t xml:space="preserve"> Our confidence in the effect estimate is limited: The true effect may be substantially different from the estimate of the effect.</w:t>
      </w:r>
      <w:r w:rsidR="008340E9" w:rsidRPr="00E3331A">
        <w:br/>
      </w:r>
      <w:r w:rsidR="008340E9" w:rsidRPr="00E3331A">
        <w:rPr>
          <w:rFonts w:ascii="Cambria Math" w:hAnsi="Cambria Math"/>
          <w:color w:val="00B050"/>
        </w:rPr>
        <w:t>⨁</w:t>
      </w:r>
      <w:r w:rsidR="008340E9" w:rsidRPr="00E3331A">
        <w:rPr>
          <w:rFonts w:ascii="Cambria Math" w:hAnsi="Cambria Math" w:cs="Cambria Math"/>
          <w:color w:val="C00000"/>
        </w:rPr>
        <w:t xml:space="preserve">⨀⨀⨀ </w:t>
      </w:r>
      <w:r w:rsidR="008340E9" w:rsidRPr="00E3331A">
        <w:rPr>
          <w:b/>
          <w:bCs/>
        </w:rPr>
        <w:t>Very low quality:</w:t>
      </w:r>
      <w:r w:rsidR="008340E9" w:rsidRPr="00E3331A">
        <w:t xml:space="preserve"> We have very little confidence in the effect estimate: The true effect is likely to be substantially different from the estimate of effect.</w:t>
      </w:r>
    </w:p>
    <w:p w:rsidR="00CF199F" w:rsidRPr="00E3331A" w:rsidRDefault="00CF199F" w:rsidP="00CF199F">
      <w:pPr>
        <w:pStyle w:val="Tablenotes0"/>
        <w:rPr>
          <w:snapToGrid w:val="0"/>
        </w:rPr>
      </w:pPr>
      <w:r w:rsidRPr="00E3331A">
        <w:rPr>
          <w:snapToGrid w:val="0"/>
        </w:rPr>
        <w:t xml:space="preserve">INCAT = </w:t>
      </w:r>
      <w:r w:rsidRPr="00E3331A">
        <w:t>Inflammatory Neuropathy Cause and Treatment</w:t>
      </w:r>
      <w:r w:rsidRPr="00E3331A">
        <w:rPr>
          <w:snapToGrid w:val="0"/>
        </w:rPr>
        <w:t xml:space="preserve">; MD = mean difference; MRC = </w:t>
      </w:r>
      <w:r w:rsidRPr="00E3331A">
        <w:t>Medical Research Council Sum Score</w:t>
      </w:r>
      <w:r w:rsidRPr="00E3331A">
        <w:rPr>
          <w:snapToGrid w:val="0"/>
        </w:rPr>
        <w:t>; RCT = randomised controlled trial.</w:t>
      </w:r>
    </w:p>
    <w:p w:rsidR="0048316C" w:rsidRPr="00E3331A" w:rsidRDefault="0048316C" w:rsidP="00CF199F">
      <w:pPr>
        <w:pStyle w:val="Tablenotes0"/>
        <w:rPr>
          <w:lang w:val="en"/>
        </w:rPr>
      </w:pPr>
      <w:r w:rsidRPr="00E3331A">
        <w:rPr>
          <w:lang w:val="en"/>
        </w:rPr>
        <w:t xml:space="preserve">a. Assessed using the Cochran Risk of Bias tool, b. Inconsistent findings in the two trials </w:t>
      </w:r>
    </w:p>
    <w:p w:rsidR="00D125D2" w:rsidRPr="00E3331A" w:rsidRDefault="00D125D2" w:rsidP="00D125D2">
      <w:pPr>
        <w:jc w:val="both"/>
      </w:pPr>
      <w:r w:rsidRPr="00E3331A">
        <w:t xml:space="preserve">On the basis of the benefits and harms reported in the evidence base (summarised </w:t>
      </w:r>
      <w:r w:rsidR="002B5684" w:rsidRPr="00E3331A">
        <w:t>in T</w:t>
      </w:r>
      <w:r w:rsidR="00A409BE" w:rsidRPr="00E3331A">
        <w:t>able 2</w:t>
      </w:r>
      <w:r w:rsidRPr="00E3331A">
        <w:t>), it is suggested that; relative to:</w:t>
      </w:r>
    </w:p>
    <w:p w:rsidR="00D125D2" w:rsidRPr="00E3331A" w:rsidRDefault="00680FF2" w:rsidP="00D125D2">
      <w:pPr>
        <w:pStyle w:val="ColorfulList-Accent11"/>
        <w:numPr>
          <w:ilvl w:val="0"/>
          <w:numId w:val="45"/>
        </w:numPr>
        <w:jc w:val="both"/>
      </w:pPr>
      <w:r w:rsidRPr="00E3331A">
        <w:t>N</w:t>
      </w:r>
      <w:r w:rsidR="00D125D2" w:rsidRPr="00E3331A">
        <w:t>o treatment, Ig has inferior safety and superior effectiveness</w:t>
      </w:r>
      <w:r w:rsidR="00DF56C0" w:rsidRPr="00E3331A">
        <w:t>; noting that Ig is rarely associated with serious adverse events</w:t>
      </w:r>
      <w:r w:rsidRPr="00E3331A">
        <w:t>.</w:t>
      </w:r>
    </w:p>
    <w:p w:rsidR="007C5255" w:rsidRPr="00E3331A" w:rsidRDefault="00680FF2" w:rsidP="00A13BE9">
      <w:pPr>
        <w:pStyle w:val="ColorfulList-Accent11"/>
        <w:numPr>
          <w:ilvl w:val="0"/>
          <w:numId w:val="45"/>
        </w:numPr>
        <w:jc w:val="both"/>
      </w:pPr>
      <w:r w:rsidRPr="00E3331A">
        <w:t>S</w:t>
      </w:r>
      <w:r w:rsidR="00D125D2" w:rsidRPr="00E3331A">
        <w:t xml:space="preserve">teroids, Ig has superior safety and </w:t>
      </w:r>
      <w:r w:rsidR="00217B73" w:rsidRPr="00E3331A">
        <w:t xml:space="preserve">at least </w:t>
      </w:r>
      <w:r w:rsidR="00D125D2" w:rsidRPr="00E3331A">
        <w:t>non-inferior effectiveness</w:t>
      </w:r>
      <w:r w:rsidR="00217B73" w:rsidRPr="00E3331A">
        <w:t>.</w:t>
      </w:r>
      <w:r w:rsidR="00CF199F" w:rsidRPr="00E3331A">
        <w:t xml:space="preserve"> The Reference Group noted that the largest trial may support a finding of superior effectivenss based on non-significant improvements in various disability measures and a statistically significant difference in discontinuations favouring Ig. Discontinuations was a composite endpoint of discontinuations due to inefficacy and intolerance</w:t>
      </w:r>
      <w:r w:rsidR="000A1BD4">
        <w:t>.</w:t>
      </w:r>
    </w:p>
    <w:p w:rsidR="00D125D2" w:rsidRPr="00E3331A" w:rsidRDefault="00680FF2" w:rsidP="00A13BE9">
      <w:pPr>
        <w:pStyle w:val="ColorfulList-Accent11"/>
        <w:numPr>
          <w:ilvl w:val="0"/>
          <w:numId w:val="45"/>
        </w:numPr>
        <w:jc w:val="both"/>
      </w:pPr>
      <w:r w:rsidRPr="00E3331A">
        <w:t>P</w:t>
      </w:r>
      <w:r w:rsidR="00D125D2" w:rsidRPr="00E3331A">
        <w:t xml:space="preserve">lasma exchange, there </w:t>
      </w:r>
      <w:r w:rsidR="00217B73" w:rsidRPr="00E3331A">
        <w:t>is</w:t>
      </w:r>
      <w:r w:rsidR="00D125D2" w:rsidRPr="00E3331A">
        <w:t xml:space="preserve"> </w:t>
      </w:r>
      <w:r w:rsidR="00A409BE" w:rsidRPr="00E3331A">
        <w:t>in</w:t>
      </w:r>
      <w:r w:rsidR="00D125D2" w:rsidRPr="00E3331A">
        <w:t>sufficient evidence to comment on the relative safety and effectiveness of Ig</w:t>
      </w:r>
      <w:r w:rsidRPr="00E3331A">
        <w:t>.</w:t>
      </w:r>
    </w:p>
    <w:p w:rsidR="00D125D2" w:rsidRPr="00E3331A" w:rsidRDefault="00680FF2" w:rsidP="00D125D2">
      <w:pPr>
        <w:pStyle w:val="ColorfulList-Accent11"/>
        <w:numPr>
          <w:ilvl w:val="0"/>
          <w:numId w:val="45"/>
        </w:numPr>
        <w:jc w:val="both"/>
      </w:pPr>
      <w:r w:rsidRPr="00E3331A">
        <w:t>I</w:t>
      </w:r>
      <w:r w:rsidR="00D125D2" w:rsidRPr="00E3331A">
        <w:t>mmunosuppressants, there is insufficient evidence to comment on the relative safet</w:t>
      </w:r>
      <w:r w:rsidR="00F6123A" w:rsidRPr="00E3331A">
        <w:t>y</w:t>
      </w:r>
      <w:r w:rsidR="00D125D2" w:rsidRPr="00E3331A">
        <w:t xml:space="preserve"> and effectiveness of Ig</w:t>
      </w:r>
      <w:r w:rsidRPr="00E3331A">
        <w:t>.</w:t>
      </w:r>
    </w:p>
    <w:p w:rsidR="00D125D2" w:rsidRPr="00E3331A" w:rsidRDefault="00680FF2" w:rsidP="00D125D2">
      <w:pPr>
        <w:pStyle w:val="ColorfulList-Accent11"/>
        <w:numPr>
          <w:ilvl w:val="0"/>
          <w:numId w:val="45"/>
        </w:numPr>
        <w:jc w:val="both"/>
      </w:pPr>
      <w:r w:rsidRPr="00E3331A">
        <w:t>C</w:t>
      </w:r>
      <w:r w:rsidR="00D125D2" w:rsidRPr="00E3331A">
        <w:t>ombination therapy</w:t>
      </w:r>
      <w:r w:rsidR="00A409BE" w:rsidRPr="00E3331A">
        <w:t>,</w:t>
      </w:r>
      <w:r w:rsidR="00D125D2" w:rsidRPr="00E3331A">
        <w:t xml:space="preserve"> there is insufficient evidence to comment on the relative safet</w:t>
      </w:r>
      <w:r w:rsidR="00F6123A" w:rsidRPr="00E3331A">
        <w:t>y</w:t>
      </w:r>
      <w:r w:rsidR="00D125D2" w:rsidRPr="00E3331A">
        <w:t xml:space="preserve"> and effectiveness of Ig</w:t>
      </w:r>
      <w:r w:rsidR="00FE1AF1" w:rsidRPr="00E3331A">
        <w:t>.</w:t>
      </w:r>
    </w:p>
    <w:p w:rsidR="00BC60A8" w:rsidRPr="00E3331A" w:rsidRDefault="00BC60A8" w:rsidP="00CF199F">
      <w:pPr>
        <w:jc w:val="both"/>
      </w:pPr>
      <w:r w:rsidRPr="00E3331A">
        <w:t>Note the Reference Group agreed that it was not appropriate to perform a GRADE summary for safety outcomes due to the different safety profiles of the intervention and comparators.</w:t>
      </w:r>
    </w:p>
    <w:p w:rsidR="000323A3" w:rsidRPr="00E3331A" w:rsidRDefault="000323A3" w:rsidP="000323A3">
      <w:pPr>
        <w:pStyle w:val="Heading3"/>
        <w:jc w:val="both"/>
      </w:pPr>
      <w:bookmarkStart w:id="72" w:name="_Toc24103425"/>
      <w:bookmarkStart w:id="73" w:name="_Toc395200751"/>
      <w:bookmarkStart w:id="74" w:name="_Toc379118059"/>
      <w:bookmarkStart w:id="75" w:name="_Toc379118251"/>
      <w:bookmarkStart w:id="76" w:name="_Toc381796435"/>
      <w:r w:rsidRPr="00E3331A">
        <w:t>Translation Issues</w:t>
      </w:r>
      <w:bookmarkEnd w:id="72"/>
    </w:p>
    <w:p w:rsidR="000323A3" w:rsidRPr="00E3331A" w:rsidRDefault="000323A3" w:rsidP="00345C95">
      <w:r w:rsidRPr="00E3331A">
        <w:t>Three key issues arise in translating the evidence provided in Section B to an economic model presented in Section D. The first relates to the applicability of the populations in the pivotal trials to clinical practice in Australia</w:t>
      </w:r>
      <w:r w:rsidR="000F589F" w:rsidRPr="00E3331A">
        <w:t>. The</w:t>
      </w:r>
      <w:r w:rsidRPr="00E3331A">
        <w:t xml:space="preserve"> second</w:t>
      </w:r>
      <w:r w:rsidR="000F589F" w:rsidRPr="00E3331A">
        <w:t xml:space="preserve"> relates to the </w:t>
      </w:r>
      <w:r w:rsidRPr="00E3331A">
        <w:t xml:space="preserve">selection of utilities, and </w:t>
      </w:r>
      <w:r w:rsidR="000F589F" w:rsidRPr="00E3331A">
        <w:t xml:space="preserve">the </w:t>
      </w:r>
      <w:r w:rsidRPr="00E3331A">
        <w:t>third</w:t>
      </w:r>
      <w:r w:rsidR="000F589F" w:rsidRPr="00E3331A">
        <w:t xml:space="preserve"> to</w:t>
      </w:r>
      <w:r w:rsidRPr="00E3331A">
        <w:t xml:space="preserve"> </w:t>
      </w:r>
      <w:r w:rsidR="000F589F" w:rsidRPr="00E3331A">
        <w:t xml:space="preserve">the </w:t>
      </w:r>
      <w:r w:rsidRPr="00E3331A">
        <w:t xml:space="preserve">extrapolation of trial evidence. The key trials presented in Section B </w:t>
      </w:r>
      <w:r w:rsidR="000F589F" w:rsidRPr="00E3331A">
        <w:t xml:space="preserve">align reasonably well with </w:t>
      </w:r>
      <w:r w:rsidRPr="00E3331A">
        <w:t>N</w:t>
      </w:r>
      <w:r w:rsidR="00B73E3D">
        <w:t>ew South Wales (NSW)</w:t>
      </w:r>
      <w:r w:rsidRPr="00E3331A">
        <w:t xml:space="preserve"> data</w:t>
      </w:r>
      <w:r w:rsidR="000F589F" w:rsidRPr="00E3331A">
        <w:t>, with</w:t>
      </w:r>
      <w:r w:rsidRPr="00E3331A">
        <w:t xml:space="preserve"> similar patient age of around 50</w:t>
      </w:r>
      <w:r w:rsidR="00357276" w:rsidRPr="00E3331A">
        <w:t>-60</w:t>
      </w:r>
      <w:r w:rsidRPr="00E3331A">
        <w:t xml:space="preserve"> years, gender, setting for Ig delivery</w:t>
      </w:r>
      <w:r w:rsidR="000F589F" w:rsidRPr="00E3331A">
        <w:t>,</w:t>
      </w:r>
      <w:r w:rsidRPr="00E3331A">
        <w:t xml:space="preserve"> and disability eligibility criteria. </w:t>
      </w:r>
    </w:p>
    <w:p w:rsidR="000323A3" w:rsidRPr="00E3331A" w:rsidRDefault="000323A3" w:rsidP="00345C95">
      <w:r w:rsidRPr="00E3331A">
        <w:lastRenderedPageBreak/>
        <w:t>Participating patients in key trials had varying degrees of steroid resistance</w:t>
      </w:r>
      <w:r w:rsidR="00345C95" w:rsidRPr="00E3331A">
        <w:t xml:space="preserve"> (defined as patients contraindicated to steroids and patients for whom steroids did not elicit a therapeutic response)</w:t>
      </w:r>
      <w:r w:rsidRPr="00E3331A">
        <w:t>. Optimal treatment varies for steroid</w:t>
      </w:r>
      <w:r w:rsidR="006A5EA9" w:rsidRPr="00E3331A">
        <w:t>-</w:t>
      </w:r>
      <w:r w:rsidRPr="00E3331A">
        <w:t xml:space="preserve">resistant and non-resistant sub-groups, whereas trial results have been typically presented for comparator groups as a whole. The types of CIDP evident in trial participants is varied and there is limited data about the characteristics of </w:t>
      </w:r>
      <w:r w:rsidR="00163C4A" w:rsidRPr="00E3331A">
        <w:t>patients being treated with Ig</w:t>
      </w:r>
      <w:r w:rsidRPr="00E3331A">
        <w:t xml:space="preserve"> in Australia. Key assumptions </w:t>
      </w:r>
      <w:r w:rsidR="00AB513D" w:rsidRPr="00E3331A">
        <w:t>were</w:t>
      </w:r>
      <w:r w:rsidRPr="00E3331A">
        <w:t xml:space="preserve"> varied in sensitivity analyses to gauge how model results vary according to the value of these assumptions</w:t>
      </w:r>
      <w:r w:rsidR="00376BF6" w:rsidRPr="00E3331A">
        <w:t xml:space="preserve">. </w:t>
      </w:r>
      <w:r w:rsidRPr="00E3331A">
        <w:t>The key parameters for extrapolation include longer</w:t>
      </w:r>
      <w:r w:rsidR="000F589F" w:rsidRPr="00E3331A">
        <w:t>-</w:t>
      </w:r>
      <w:r w:rsidRPr="00E3331A">
        <w:t>term corticosteroid adverse events, Ig relapse</w:t>
      </w:r>
      <w:r w:rsidR="00376BF6" w:rsidRPr="00E3331A">
        <w:t>, immunotherapy non-response, progression to disability in non-responsive patients</w:t>
      </w:r>
      <w:r w:rsidRPr="00E3331A">
        <w:t xml:space="preserve"> and mortality. Modelling results </w:t>
      </w:r>
      <w:r w:rsidR="00AB513D" w:rsidRPr="00E3331A">
        <w:t>were</w:t>
      </w:r>
      <w:r w:rsidRPr="00E3331A">
        <w:t xml:space="preserve"> separated into 6-month </w:t>
      </w:r>
      <w:r w:rsidR="00AB513D" w:rsidRPr="00E3331A">
        <w:t xml:space="preserve">(length of available </w:t>
      </w:r>
      <w:r w:rsidR="00357276" w:rsidRPr="00E3331A">
        <w:t xml:space="preserve">RCT </w:t>
      </w:r>
      <w:r w:rsidR="00AB513D" w:rsidRPr="00E3331A">
        <w:t>data</w:t>
      </w:r>
      <w:r w:rsidR="00357276" w:rsidRPr="00E3331A">
        <w:t xml:space="preserve"> for Ig vers</w:t>
      </w:r>
      <w:r w:rsidR="000F589F" w:rsidRPr="00E3331A">
        <w:t>us</w:t>
      </w:r>
      <w:r w:rsidR="00357276" w:rsidRPr="00E3331A">
        <w:t xml:space="preserve"> steroid comparison</w:t>
      </w:r>
      <w:r w:rsidR="00AB513D" w:rsidRPr="00E3331A">
        <w:t xml:space="preserve">) </w:t>
      </w:r>
      <w:r w:rsidRPr="00E3331A">
        <w:t xml:space="preserve">and </w:t>
      </w:r>
      <w:r w:rsidR="00376BF6" w:rsidRPr="00E3331A">
        <w:t>10</w:t>
      </w:r>
      <w:r w:rsidRPr="00E3331A">
        <w:t>-year analys</w:t>
      </w:r>
      <w:r w:rsidR="00AB513D" w:rsidRPr="00E3331A">
        <w:t>e</w:t>
      </w:r>
      <w:r w:rsidRPr="00E3331A">
        <w:t>s</w:t>
      </w:r>
      <w:r w:rsidR="000F589F" w:rsidRPr="00E3331A">
        <w:t>,</w:t>
      </w:r>
      <w:r w:rsidRPr="00E3331A">
        <w:t xml:space="preserve"> given the uncertainty surrounding longer term costs and outcomes. </w:t>
      </w:r>
    </w:p>
    <w:p w:rsidR="000323A3" w:rsidRPr="00E3331A" w:rsidRDefault="000323A3" w:rsidP="00345C95">
      <w:r w:rsidRPr="00E3331A">
        <w:t>Much of the health benefit estimated in the model is generated by the 0.12 utility gain assumed for patients</w:t>
      </w:r>
      <w:r w:rsidR="006A5EA9" w:rsidRPr="00E3331A">
        <w:t xml:space="preserve"> receiving Ig</w:t>
      </w:r>
      <w:r w:rsidRPr="00E3331A">
        <w:t xml:space="preserve"> over steroids. This assumption was used in the Canadian study by Blackhouse </w:t>
      </w:r>
      <w:r w:rsidR="00983BA7">
        <w:t xml:space="preserve">et al. </w:t>
      </w:r>
      <w:r w:rsidRPr="00E3331A">
        <w:t xml:space="preserve">(2010) and was derived from the small </w:t>
      </w:r>
      <w:r w:rsidR="00993A16" w:rsidRPr="00E3331A">
        <w:t>short-term</w:t>
      </w:r>
      <w:r w:rsidRPr="00E3331A">
        <w:t xml:space="preserve"> trial described by McCrone </w:t>
      </w:r>
      <w:r w:rsidR="00983BA7">
        <w:t xml:space="preserve">et al. </w:t>
      </w:r>
      <w:r w:rsidRPr="00E3331A">
        <w:t xml:space="preserve">(2003). </w:t>
      </w:r>
      <w:r w:rsidR="004C314D" w:rsidRPr="00E3331A">
        <w:t>The study combined 6-week physical disability scores and EQ-5D scores for 25 patients</w:t>
      </w:r>
      <w:r w:rsidR="0000157A" w:rsidRPr="00E3331A">
        <w:t xml:space="preserve"> (78%</w:t>
      </w:r>
      <w:r w:rsidR="00047ADA" w:rsidRPr="00E3331A">
        <w:t xml:space="preserve"> of participants</w:t>
      </w:r>
      <w:r w:rsidR="0000157A" w:rsidRPr="00E3331A">
        <w:t>)</w:t>
      </w:r>
      <w:r w:rsidR="004C314D" w:rsidRPr="00E3331A">
        <w:t>, along with 6-week treatment costs. The difference between Ig and steroid health utility is assumed to be stable over the extrapolated analysis, which is uncertain given the short</w:t>
      </w:r>
      <w:r w:rsidR="00945AC5" w:rsidRPr="00E3331A">
        <w:t>-</w:t>
      </w:r>
      <w:r w:rsidR="004C314D" w:rsidRPr="00E3331A">
        <w:t xml:space="preserve">term nature of the evidence. Ig patients are assumed to transition to steroids due to Ig non-response, therefore an averge patient does not capture the </w:t>
      </w:r>
      <w:r w:rsidR="00376BF6" w:rsidRPr="00E3331A">
        <w:t xml:space="preserve">0.12 utility </w:t>
      </w:r>
      <w:r w:rsidR="004C314D" w:rsidRPr="00E3331A">
        <w:t xml:space="preserve">gain for the entire projection. </w:t>
      </w:r>
      <w:r w:rsidR="00CF199F" w:rsidRPr="00E3331A">
        <w:t xml:space="preserve">The Reference Group noted that that in McCrone </w:t>
      </w:r>
      <w:r w:rsidR="00983BA7">
        <w:t xml:space="preserve">et al. </w:t>
      </w:r>
      <w:r w:rsidR="00CF199F" w:rsidRPr="00E3331A">
        <w:t>(2003) health-related quality of life (or the utility difference) was not significantly different for IVIg compared to steroids. The effect of the utility ga</w:t>
      </w:r>
      <w:r w:rsidR="00047ADA" w:rsidRPr="00E3331A">
        <w:t>i</w:t>
      </w:r>
      <w:r w:rsidR="00CF199F" w:rsidRPr="00E3331A">
        <w:t>n was tested in sensitivity analyses.</w:t>
      </w:r>
    </w:p>
    <w:p w:rsidR="000323A3" w:rsidRPr="00E3331A" w:rsidRDefault="000323A3" w:rsidP="000323A3">
      <w:pPr>
        <w:pStyle w:val="Heading3"/>
        <w:jc w:val="both"/>
      </w:pPr>
      <w:bookmarkStart w:id="77" w:name="_Toc24103426"/>
      <w:r w:rsidRPr="00E3331A">
        <w:t>Economic Evaluation</w:t>
      </w:r>
      <w:bookmarkEnd w:id="77"/>
    </w:p>
    <w:p w:rsidR="000323A3" w:rsidRPr="00E3331A" w:rsidRDefault="000323A3" w:rsidP="00BB6E4C">
      <w:pPr>
        <w:pStyle w:val="BodyTextSTD"/>
      </w:pPr>
      <w:r w:rsidRPr="00E3331A">
        <w:t>A cost-utility analysis was undertaken to determine the value of Ig against steroids.</w:t>
      </w:r>
      <w:r w:rsidR="00345C95" w:rsidRPr="00E3331A">
        <w:t xml:space="preserve"> </w:t>
      </w:r>
      <w:r w:rsidRPr="00E3331A">
        <w:t xml:space="preserve">A summary of the key characteristics of the economic evaluation </w:t>
      </w:r>
      <w:r w:rsidR="00B91939" w:rsidRPr="00E3331A">
        <w:t xml:space="preserve">is </w:t>
      </w:r>
      <w:r w:rsidRPr="00E3331A">
        <w:t>provided in</w:t>
      </w:r>
      <w:r w:rsidR="00451ECD" w:rsidRPr="00E3331A">
        <w:t xml:space="preserve"> </w:t>
      </w:r>
      <w:r w:rsidR="006F35B9" w:rsidRPr="00E3331A">
        <w:t xml:space="preserve">Table </w:t>
      </w:r>
      <w:r w:rsidR="006F35B9">
        <w:rPr>
          <w:noProof/>
        </w:rPr>
        <w:t>3</w:t>
      </w:r>
      <w:r w:rsidRPr="00E3331A">
        <w:t>.</w:t>
      </w:r>
    </w:p>
    <w:p w:rsidR="000323A3" w:rsidRPr="00E3331A" w:rsidRDefault="000323A3" w:rsidP="000323A3">
      <w:pPr>
        <w:pStyle w:val="Caption"/>
        <w:tabs>
          <w:tab w:val="left" w:pos="1134"/>
        </w:tabs>
        <w:ind w:left="1134" w:hanging="1134"/>
        <w:jc w:val="both"/>
      </w:pPr>
      <w:bookmarkStart w:id="78" w:name="_Ref10023525"/>
      <w:bookmarkStart w:id="79" w:name="_Ref492749410"/>
      <w:bookmarkStart w:id="80" w:name="_Toc493000467"/>
      <w:bookmarkStart w:id="81" w:name="_Toc24103309"/>
      <w:r w:rsidRPr="00E3331A">
        <w:t xml:space="preserve">Table </w:t>
      </w:r>
      <w:r w:rsidR="006F35B9">
        <w:rPr>
          <w:noProof/>
        </w:rPr>
        <w:t>3</w:t>
      </w:r>
      <w:bookmarkEnd w:id="78"/>
      <w:r w:rsidRPr="00E3331A">
        <w:tab/>
        <w:t>Summary of the economic evaluation</w:t>
      </w:r>
      <w:bookmarkEnd w:id="79"/>
      <w:bookmarkEnd w:id="80"/>
      <w:bookmarkEnd w:id="81"/>
      <w:r w:rsidRPr="00E3331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327"/>
      </w:tblGrid>
      <w:tr w:rsidR="00F21090" w:rsidRPr="00E3331A" w:rsidTr="00576726">
        <w:trPr>
          <w:trHeight w:val="20"/>
        </w:trPr>
        <w:tc>
          <w:tcPr>
            <w:tcW w:w="1491" w:type="pct"/>
            <w:shd w:val="clear" w:color="auto" w:fill="D9D9D9"/>
          </w:tcPr>
          <w:p w:rsidR="00F21090" w:rsidRPr="00E3331A" w:rsidRDefault="00F21090" w:rsidP="00576726">
            <w:pPr>
              <w:pStyle w:val="Tabletext1"/>
              <w:rPr>
                <w:b/>
              </w:rPr>
            </w:pPr>
            <w:r w:rsidRPr="00E3331A">
              <w:rPr>
                <w:b/>
              </w:rPr>
              <w:t>Perspective</w:t>
            </w:r>
          </w:p>
        </w:tc>
        <w:tc>
          <w:tcPr>
            <w:tcW w:w="3509" w:type="pct"/>
          </w:tcPr>
          <w:p w:rsidR="00F21090" w:rsidRPr="00E3331A" w:rsidRDefault="00F21090" w:rsidP="00576726">
            <w:pPr>
              <w:pStyle w:val="Tabletext1"/>
            </w:pPr>
            <w:r w:rsidRPr="00E3331A">
              <w:t>This economic evaluation was conducted from the perspective of the Australian health system. It includes resource use supported by government and patients.</w:t>
            </w:r>
          </w:p>
        </w:tc>
      </w:tr>
      <w:tr w:rsidR="00F21090" w:rsidRPr="00E3331A" w:rsidTr="00576726">
        <w:trPr>
          <w:trHeight w:val="20"/>
        </w:trPr>
        <w:tc>
          <w:tcPr>
            <w:tcW w:w="1491" w:type="pct"/>
            <w:shd w:val="clear" w:color="auto" w:fill="D9D9D9"/>
          </w:tcPr>
          <w:p w:rsidR="00F21090" w:rsidRPr="00E3331A" w:rsidRDefault="00F21090" w:rsidP="00576726">
            <w:pPr>
              <w:pStyle w:val="Tabletext1"/>
              <w:rPr>
                <w:b/>
              </w:rPr>
            </w:pPr>
            <w:r w:rsidRPr="00E3331A">
              <w:rPr>
                <w:b/>
              </w:rPr>
              <w:t>Intervention</w:t>
            </w:r>
          </w:p>
        </w:tc>
        <w:tc>
          <w:tcPr>
            <w:tcW w:w="3509" w:type="pct"/>
          </w:tcPr>
          <w:p w:rsidR="00F21090" w:rsidRPr="00E3331A" w:rsidRDefault="00F21090" w:rsidP="00F21090">
            <w:pPr>
              <w:pStyle w:val="Tablecontents"/>
              <w:numPr>
                <w:ilvl w:val="0"/>
                <w:numId w:val="37"/>
              </w:numPr>
            </w:pPr>
            <w:r w:rsidRPr="00E3331A">
              <w:rPr>
                <w:rFonts w:cs="Calibri"/>
              </w:rPr>
              <w:t>Intravenous Ig (IVIg)</w:t>
            </w:r>
          </w:p>
        </w:tc>
      </w:tr>
      <w:tr w:rsidR="00F21090" w:rsidRPr="00E3331A" w:rsidTr="00576726">
        <w:trPr>
          <w:trHeight w:val="20"/>
        </w:trPr>
        <w:tc>
          <w:tcPr>
            <w:tcW w:w="1491" w:type="pct"/>
            <w:shd w:val="clear" w:color="auto" w:fill="D9D9D9"/>
          </w:tcPr>
          <w:p w:rsidR="00F21090" w:rsidRPr="00E3331A" w:rsidRDefault="00F21090" w:rsidP="00576726">
            <w:pPr>
              <w:pStyle w:val="Tabletext1"/>
              <w:rPr>
                <w:b/>
              </w:rPr>
            </w:pPr>
            <w:r w:rsidRPr="00E3331A">
              <w:rPr>
                <w:b/>
              </w:rPr>
              <w:t>Comparator</w:t>
            </w:r>
          </w:p>
        </w:tc>
        <w:tc>
          <w:tcPr>
            <w:tcW w:w="3509" w:type="pct"/>
          </w:tcPr>
          <w:p w:rsidR="00F21090" w:rsidRPr="00E3331A" w:rsidRDefault="00F21090" w:rsidP="00F21090">
            <w:pPr>
              <w:pStyle w:val="Tablecontents"/>
              <w:numPr>
                <w:ilvl w:val="0"/>
                <w:numId w:val="38"/>
              </w:numPr>
              <w:rPr>
                <w:rFonts w:cs="Calibri"/>
              </w:rPr>
            </w:pPr>
            <w:r w:rsidRPr="00E3331A">
              <w:rPr>
                <w:rFonts w:cs="Calibri"/>
              </w:rPr>
              <w:t>Corticosteroids</w:t>
            </w:r>
          </w:p>
        </w:tc>
      </w:tr>
      <w:tr w:rsidR="00F21090" w:rsidRPr="00E3331A" w:rsidTr="00576726">
        <w:trPr>
          <w:trHeight w:val="20"/>
        </w:trPr>
        <w:tc>
          <w:tcPr>
            <w:tcW w:w="1491" w:type="pct"/>
            <w:shd w:val="clear" w:color="auto" w:fill="D9D9D9"/>
          </w:tcPr>
          <w:p w:rsidR="00F21090" w:rsidRPr="00E3331A" w:rsidRDefault="00F21090" w:rsidP="00576726">
            <w:pPr>
              <w:pStyle w:val="Tabletext1"/>
              <w:rPr>
                <w:b/>
              </w:rPr>
            </w:pPr>
            <w:r w:rsidRPr="00E3331A">
              <w:rPr>
                <w:b/>
              </w:rPr>
              <w:t>Type of economic evaluation</w:t>
            </w:r>
          </w:p>
        </w:tc>
        <w:tc>
          <w:tcPr>
            <w:tcW w:w="3509" w:type="pct"/>
          </w:tcPr>
          <w:p w:rsidR="00F21090" w:rsidRPr="00E3331A" w:rsidRDefault="00F21090" w:rsidP="00576726">
            <w:pPr>
              <w:pStyle w:val="Tabletext1"/>
            </w:pPr>
            <w:r w:rsidRPr="00E3331A">
              <w:t>Cost-utility analysis</w:t>
            </w:r>
          </w:p>
        </w:tc>
      </w:tr>
      <w:tr w:rsidR="00F21090" w:rsidRPr="00E3331A" w:rsidTr="00576726">
        <w:trPr>
          <w:trHeight w:val="20"/>
        </w:trPr>
        <w:tc>
          <w:tcPr>
            <w:tcW w:w="1491" w:type="pct"/>
            <w:shd w:val="clear" w:color="auto" w:fill="D9D9D9"/>
          </w:tcPr>
          <w:p w:rsidR="00F21090" w:rsidRPr="00E3331A" w:rsidRDefault="00F21090" w:rsidP="00576726">
            <w:pPr>
              <w:pStyle w:val="Tabletext1"/>
              <w:rPr>
                <w:b/>
              </w:rPr>
            </w:pPr>
            <w:r w:rsidRPr="00E3331A">
              <w:rPr>
                <w:b/>
              </w:rPr>
              <w:t>Sources of evidence</w:t>
            </w:r>
          </w:p>
        </w:tc>
        <w:tc>
          <w:tcPr>
            <w:tcW w:w="3509" w:type="pct"/>
          </w:tcPr>
          <w:p w:rsidR="00F21090" w:rsidRPr="00E3331A" w:rsidRDefault="00F21090" w:rsidP="00F21090">
            <w:pPr>
              <w:pStyle w:val="Tabletext1"/>
              <w:numPr>
                <w:ilvl w:val="0"/>
                <w:numId w:val="41"/>
              </w:numPr>
              <w:jc w:val="both"/>
            </w:pPr>
            <w:r w:rsidRPr="00E3331A">
              <w:t xml:space="preserve">Blackhouse </w:t>
            </w:r>
            <w:r w:rsidR="00983BA7">
              <w:t xml:space="preserve">et al. </w:t>
            </w:r>
            <w:r w:rsidRPr="00E3331A">
              <w:t xml:space="preserve">(2010) Cost-utility of Intravenous Immunoglobulin (IVIG) compared with corticosteroids for the treatment of CIDP in Canada. </w:t>
            </w:r>
          </w:p>
          <w:p w:rsidR="00F21090" w:rsidRPr="00E3331A" w:rsidRDefault="00F21090" w:rsidP="00F21090">
            <w:pPr>
              <w:pStyle w:val="Tabletext1"/>
              <w:numPr>
                <w:ilvl w:val="0"/>
                <w:numId w:val="40"/>
              </w:numPr>
              <w:jc w:val="both"/>
            </w:pPr>
            <w:r w:rsidRPr="00E3331A">
              <w:t>Trials outlined in Section B.</w:t>
            </w:r>
          </w:p>
          <w:p w:rsidR="00F21090" w:rsidRPr="00E3331A" w:rsidRDefault="00F21090" w:rsidP="00F21090">
            <w:pPr>
              <w:pStyle w:val="Tabletext1"/>
              <w:numPr>
                <w:ilvl w:val="0"/>
                <w:numId w:val="40"/>
              </w:numPr>
              <w:jc w:val="both"/>
            </w:pPr>
            <w:r w:rsidRPr="00E3331A">
              <w:t xml:space="preserve">Clinical feedback during preparation of </w:t>
            </w:r>
            <w:r w:rsidR="00BE54F2">
              <w:t>C</w:t>
            </w:r>
            <w:r w:rsidRPr="00E3331A">
              <w:t xml:space="preserve">ontracted </w:t>
            </w:r>
            <w:r w:rsidR="00BE54F2">
              <w:t>A</w:t>
            </w:r>
            <w:r w:rsidRPr="00E3331A">
              <w:t>ssessment</w:t>
            </w:r>
            <w:r w:rsidR="000A1BD4">
              <w:t>.</w:t>
            </w:r>
          </w:p>
        </w:tc>
      </w:tr>
      <w:tr w:rsidR="00F21090" w:rsidRPr="00E3331A" w:rsidTr="00576726">
        <w:trPr>
          <w:trHeight w:val="20"/>
        </w:trPr>
        <w:tc>
          <w:tcPr>
            <w:tcW w:w="1491" w:type="pct"/>
            <w:shd w:val="clear" w:color="auto" w:fill="D9D9D9"/>
            <w:hideMark/>
          </w:tcPr>
          <w:p w:rsidR="00F21090" w:rsidRPr="00E3331A" w:rsidRDefault="00F21090" w:rsidP="00576726">
            <w:pPr>
              <w:pStyle w:val="Tabletext1"/>
              <w:rPr>
                <w:b/>
              </w:rPr>
            </w:pPr>
            <w:r w:rsidRPr="00E3331A">
              <w:rPr>
                <w:b/>
              </w:rPr>
              <w:t>Time horizon</w:t>
            </w:r>
          </w:p>
        </w:tc>
        <w:tc>
          <w:tcPr>
            <w:tcW w:w="3509" w:type="pct"/>
            <w:hideMark/>
          </w:tcPr>
          <w:p w:rsidR="00F21090" w:rsidRPr="00E3331A" w:rsidRDefault="00F21090" w:rsidP="00576726">
            <w:pPr>
              <w:pStyle w:val="Tabletext1"/>
            </w:pPr>
            <w:r w:rsidRPr="00E3331A">
              <w:t>6-month trial and 10-year extrapolated time horizon</w:t>
            </w:r>
          </w:p>
          <w:p w:rsidR="00F21090" w:rsidRPr="00E3331A" w:rsidRDefault="00F21090" w:rsidP="00576726">
            <w:pPr>
              <w:pStyle w:val="Tabletext1"/>
            </w:pPr>
            <w:r w:rsidRPr="00E3331A">
              <w:t>Sensitivity analyses include a time horizon of 5 years</w:t>
            </w:r>
          </w:p>
        </w:tc>
      </w:tr>
      <w:tr w:rsidR="00F21090" w:rsidRPr="00E3331A" w:rsidTr="00576726">
        <w:trPr>
          <w:trHeight w:val="20"/>
        </w:trPr>
        <w:tc>
          <w:tcPr>
            <w:tcW w:w="1491" w:type="pct"/>
            <w:shd w:val="clear" w:color="auto" w:fill="D9D9D9"/>
            <w:hideMark/>
          </w:tcPr>
          <w:p w:rsidR="00F21090" w:rsidRPr="00E3331A" w:rsidRDefault="00F21090" w:rsidP="00576726">
            <w:pPr>
              <w:pStyle w:val="Tabletext1"/>
              <w:rPr>
                <w:b/>
              </w:rPr>
            </w:pPr>
            <w:r w:rsidRPr="00E3331A">
              <w:rPr>
                <w:b/>
              </w:rPr>
              <w:lastRenderedPageBreak/>
              <w:t>Outcomes</w:t>
            </w:r>
          </w:p>
        </w:tc>
        <w:tc>
          <w:tcPr>
            <w:tcW w:w="3509" w:type="pct"/>
          </w:tcPr>
          <w:p w:rsidR="00F21090" w:rsidRPr="00E3331A" w:rsidRDefault="00F21090" w:rsidP="00576726">
            <w:pPr>
              <w:pStyle w:val="Tabletext1"/>
            </w:pPr>
            <w:r w:rsidRPr="00E3331A">
              <w:t>Quality-adjusted life-years (QALY) / life-years (LY)</w:t>
            </w:r>
          </w:p>
        </w:tc>
      </w:tr>
      <w:tr w:rsidR="00F21090" w:rsidRPr="00E3331A" w:rsidTr="00576726">
        <w:trPr>
          <w:trHeight w:val="20"/>
        </w:trPr>
        <w:tc>
          <w:tcPr>
            <w:tcW w:w="1491" w:type="pct"/>
            <w:shd w:val="clear" w:color="auto" w:fill="D9D9D9"/>
            <w:hideMark/>
          </w:tcPr>
          <w:p w:rsidR="00F21090" w:rsidRPr="00E3331A" w:rsidRDefault="00F21090" w:rsidP="00576726">
            <w:pPr>
              <w:pStyle w:val="Tabletext1"/>
              <w:rPr>
                <w:b/>
              </w:rPr>
            </w:pPr>
            <w:r w:rsidRPr="00E3331A">
              <w:rPr>
                <w:b/>
              </w:rPr>
              <w:t>Methods used to generate results</w:t>
            </w:r>
          </w:p>
        </w:tc>
        <w:tc>
          <w:tcPr>
            <w:tcW w:w="3509" w:type="pct"/>
          </w:tcPr>
          <w:p w:rsidR="00F21090" w:rsidRPr="00E3331A" w:rsidRDefault="00F21090" w:rsidP="00576726">
            <w:pPr>
              <w:pStyle w:val="Tabletext1"/>
            </w:pPr>
            <w:r w:rsidRPr="00E3331A">
              <w:t>Cohort expected value analysis</w:t>
            </w:r>
          </w:p>
        </w:tc>
      </w:tr>
      <w:tr w:rsidR="00F21090" w:rsidRPr="00E3331A" w:rsidTr="00576726">
        <w:trPr>
          <w:trHeight w:val="20"/>
        </w:trPr>
        <w:tc>
          <w:tcPr>
            <w:tcW w:w="1491" w:type="pct"/>
            <w:shd w:val="clear" w:color="auto" w:fill="D9D9D9"/>
          </w:tcPr>
          <w:p w:rsidR="00F21090" w:rsidRPr="00E3331A" w:rsidRDefault="00F21090" w:rsidP="00576726">
            <w:pPr>
              <w:pStyle w:val="Tabletext1"/>
              <w:rPr>
                <w:b/>
              </w:rPr>
            </w:pPr>
            <w:r w:rsidRPr="00E3331A">
              <w:rPr>
                <w:b/>
              </w:rPr>
              <w:t>Health states</w:t>
            </w:r>
          </w:p>
        </w:tc>
        <w:tc>
          <w:tcPr>
            <w:tcW w:w="3509" w:type="pct"/>
          </w:tcPr>
          <w:p w:rsidR="00F21090" w:rsidRPr="00E3331A" w:rsidRDefault="00F21090" w:rsidP="00F21090">
            <w:pPr>
              <w:pStyle w:val="Tabletext1"/>
              <w:numPr>
                <w:ilvl w:val="0"/>
                <w:numId w:val="39"/>
              </w:numPr>
              <w:jc w:val="both"/>
            </w:pPr>
            <w:r w:rsidRPr="00E3331A">
              <w:t>Ig (Initial treatment and responder)</w:t>
            </w:r>
          </w:p>
          <w:p w:rsidR="00F21090" w:rsidRPr="00E3331A" w:rsidRDefault="00F21090" w:rsidP="00F21090">
            <w:pPr>
              <w:pStyle w:val="Tabletext1"/>
              <w:numPr>
                <w:ilvl w:val="0"/>
                <w:numId w:val="39"/>
              </w:numPr>
              <w:jc w:val="both"/>
            </w:pPr>
            <w:r w:rsidRPr="00E3331A">
              <w:t>Corticosteroids (no adverse events)</w:t>
            </w:r>
          </w:p>
          <w:p w:rsidR="00F21090" w:rsidRPr="00E3331A" w:rsidRDefault="00F21090" w:rsidP="00F21090">
            <w:pPr>
              <w:pStyle w:val="Tabletext1"/>
              <w:numPr>
                <w:ilvl w:val="0"/>
                <w:numId w:val="39"/>
              </w:numPr>
              <w:jc w:val="both"/>
            </w:pPr>
            <w:r w:rsidRPr="00E3331A">
              <w:t>Fracture</w:t>
            </w:r>
          </w:p>
          <w:p w:rsidR="00F21090" w:rsidRPr="00E3331A" w:rsidRDefault="00F21090" w:rsidP="00F21090">
            <w:pPr>
              <w:pStyle w:val="Tabletext1"/>
              <w:numPr>
                <w:ilvl w:val="0"/>
                <w:numId w:val="39"/>
              </w:numPr>
              <w:jc w:val="both"/>
            </w:pPr>
            <w:r w:rsidRPr="00E3331A">
              <w:t>Diabetes</w:t>
            </w:r>
          </w:p>
          <w:p w:rsidR="00F21090" w:rsidRPr="00E3331A" w:rsidRDefault="00F21090" w:rsidP="00F21090">
            <w:pPr>
              <w:pStyle w:val="Tabletext1"/>
              <w:numPr>
                <w:ilvl w:val="0"/>
                <w:numId w:val="39"/>
              </w:numPr>
              <w:jc w:val="both"/>
            </w:pPr>
            <w:r w:rsidRPr="00E3331A">
              <w:t>Glaucoma</w:t>
            </w:r>
          </w:p>
          <w:p w:rsidR="00F21090" w:rsidRPr="00E3331A" w:rsidRDefault="00F21090" w:rsidP="00F21090">
            <w:pPr>
              <w:pStyle w:val="Tabletext1"/>
              <w:numPr>
                <w:ilvl w:val="0"/>
                <w:numId w:val="39"/>
              </w:numPr>
              <w:jc w:val="both"/>
            </w:pPr>
            <w:r w:rsidRPr="00E3331A">
              <w:t>Cataract</w:t>
            </w:r>
          </w:p>
          <w:p w:rsidR="00F21090" w:rsidRPr="00DB2B55" w:rsidRDefault="00F21090" w:rsidP="00F21090">
            <w:pPr>
              <w:pStyle w:val="Tabletext1"/>
              <w:numPr>
                <w:ilvl w:val="0"/>
                <w:numId w:val="39"/>
              </w:numPr>
              <w:jc w:val="both"/>
            </w:pPr>
            <w:r w:rsidRPr="00DB2B55">
              <w:t>Infection</w:t>
            </w:r>
          </w:p>
          <w:p w:rsidR="00DB2B55" w:rsidRPr="00304276" w:rsidRDefault="00DB2B55" w:rsidP="00D314A9">
            <w:pPr>
              <w:pStyle w:val="Tabletext1"/>
              <w:numPr>
                <w:ilvl w:val="0"/>
                <w:numId w:val="39"/>
              </w:numPr>
              <w:jc w:val="both"/>
            </w:pPr>
            <w:r w:rsidRPr="00DB2B55">
              <w:t>Corticosteroids non-responder + azathioprine</w:t>
            </w:r>
          </w:p>
          <w:p w:rsidR="005F42AD" w:rsidRDefault="00DB2B55" w:rsidP="00F21090">
            <w:pPr>
              <w:pStyle w:val="Tabletext1"/>
              <w:numPr>
                <w:ilvl w:val="0"/>
                <w:numId w:val="39"/>
              </w:numPr>
              <w:jc w:val="both"/>
            </w:pPr>
            <w:r w:rsidRPr="00DB2B55">
              <w:t>Azathioprine non-responder</w:t>
            </w:r>
          </w:p>
          <w:p w:rsidR="00F21090" w:rsidRPr="00E3331A" w:rsidRDefault="00F21090" w:rsidP="00F21090">
            <w:pPr>
              <w:pStyle w:val="Tabletext1"/>
              <w:numPr>
                <w:ilvl w:val="0"/>
                <w:numId w:val="39"/>
              </w:numPr>
              <w:jc w:val="both"/>
            </w:pPr>
            <w:r w:rsidRPr="00DB2B55">
              <w:t>Disabled</w:t>
            </w:r>
          </w:p>
          <w:p w:rsidR="00F21090" w:rsidRPr="00E3331A" w:rsidRDefault="00F21090" w:rsidP="00F21090">
            <w:pPr>
              <w:pStyle w:val="Tabletext1"/>
              <w:numPr>
                <w:ilvl w:val="0"/>
                <w:numId w:val="39"/>
              </w:numPr>
              <w:jc w:val="both"/>
            </w:pPr>
            <w:r w:rsidRPr="00E3331A">
              <w:t>Death</w:t>
            </w:r>
          </w:p>
        </w:tc>
      </w:tr>
      <w:tr w:rsidR="00F21090" w:rsidRPr="00E3331A" w:rsidTr="00576726">
        <w:trPr>
          <w:trHeight w:val="20"/>
        </w:trPr>
        <w:tc>
          <w:tcPr>
            <w:tcW w:w="1491" w:type="pct"/>
            <w:shd w:val="clear" w:color="auto" w:fill="D9D9D9"/>
            <w:hideMark/>
          </w:tcPr>
          <w:p w:rsidR="00F21090" w:rsidRPr="00E3331A" w:rsidRDefault="00F21090" w:rsidP="00576726">
            <w:pPr>
              <w:pStyle w:val="Tabletext1"/>
              <w:rPr>
                <w:b/>
              </w:rPr>
            </w:pPr>
            <w:r w:rsidRPr="00E3331A">
              <w:rPr>
                <w:b/>
              </w:rPr>
              <w:t>Cycle length</w:t>
            </w:r>
          </w:p>
        </w:tc>
        <w:tc>
          <w:tcPr>
            <w:tcW w:w="3509" w:type="pct"/>
          </w:tcPr>
          <w:p w:rsidR="00F21090" w:rsidRPr="00E3331A" w:rsidRDefault="00F21090" w:rsidP="00576726">
            <w:pPr>
              <w:pStyle w:val="Tabletext1"/>
            </w:pPr>
            <w:r w:rsidRPr="00E3331A">
              <w:t>1 week</w:t>
            </w:r>
          </w:p>
        </w:tc>
      </w:tr>
      <w:tr w:rsidR="00F21090" w:rsidRPr="00E3331A" w:rsidTr="00576726">
        <w:trPr>
          <w:trHeight w:val="20"/>
        </w:trPr>
        <w:tc>
          <w:tcPr>
            <w:tcW w:w="1491" w:type="pct"/>
            <w:shd w:val="clear" w:color="auto" w:fill="D9D9D9"/>
            <w:hideMark/>
          </w:tcPr>
          <w:p w:rsidR="00F21090" w:rsidRPr="00E3331A" w:rsidRDefault="00F21090" w:rsidP="00576726">
            <w:pPr>
              <w:pStyle w:val="Tabletext1"/>
              <w:rPr>
                <w:b/>
              </w:rPr>
            </w:pPr>
            <w:r w:rsidRPr="00E3331A">
              <w:rPr>
                <w:b/>
              </w:rPr>
              <w:t>Discount rate</w:t>
            </w:r>
          </w:p>
        </w:tc>
        <w:tc>
          <w:tcPr>
            <w:tcW w:w="3509" w:type="pct"/>
          </w:tcPr>
          <w:p w:rsidR="00F21090" w:rsidRPr="00E3331A" w:rsidRDefault="00F21090" w:rsidP="00576726">
            <w:pPr>
              <w:pStyle w:val="Tabletext1"/>
            </w:pPr>
            <w:r w:rsidRPr="00E3331A">
              <w:t>5% used for base and 0% and 7% sensitivity analyses</w:t>
            </w:r>
          </w:p>
        </w:tc>
      </w:tr>
      <w:tr w:rsidR="00F21090" w:rsidRPr="00E3331A" w:rsidTr="00576726">
        <w:trPr>
          <w:trHeight w:val="20"/>
        </w:trPr>
        <w:tc>
          <w:tcPr>
            <w:tcW w:w="1491" w:type="pct"/>
            <w:shd w:val="clear" w:color="auto" w:fill="D9D9D9"/>
            <w:hideMark/>
          </w:tcPr>
          <w:p w:rsidR="00F21090" w:rsidRPr="00E3331A" w:rsidRDefault="00F21090" w:rsidP="00576726">
            <w:pPr>
              <w:pStyle w:val="Tabletext1"/>
              <w:rPr>
                <w:b/>
              </w:rPr>
            </w:pPr>
            <w:r w:rsidRPr="00E3331A">
              <w:rPr>
                <w:b/>
              </w:rPr>
              <w:t>Software packages used</w:t>
            </w:r>
          </w:p>
        </w:tc>
        <w:tc>
          <w:tcPr>
            <w:tcW w:w="3509" w:type="pct"/>
          </w:tcPr>
          <w:p w:rsidR="00F21090" w:rsidRPr="00E3331A" w:rsidRDefault="00F21090" w:rsidP="00576726">
            <w:pPr>
              <w:pStyle w:val="Tabletext1"/>
            </w:pPr>
            <w:r w:rsidRPr="00E3331A">
              <w:t>Microsoft Excel 2010</w:t>
            </w:r>
          </w:p>
        </w:tc>
      </w:tr>
    </w:tbl>
    <w:p w:rsidR="000323A3" w:rsidRPr="00E3331A" w:rsidRDefault="000323A3" w:rsidP="000323A3">
      <w:pPr>
        <w:rPr>
          <w:rFonts w:ascii="Arial Narrow" w:hAnsi="Arial Narrow"/>
          <w:sz w:val="18"/>
        </w:rPr>
      </w:pPr>
      <w:r w:rsidRPr="00E3331A">
        <w:rPr>
          <w:rFonts w:ascii="Arial Narrow" w:hAnsi="Arial Narrow"/>
          <w:sz w:val="18"/>
        </w:rPr>
        <w:t>Abbreviations: CIDP = Chronic Inflammatory Demyelinating Polyneuropathy, Ig = Immunoglobulin, MBS</w:t>
      </w:r>
      <w:r w:rsidR="0092354C" w:rsidRPr="00E3331A">
        <w:rPr>
          <w:rFonts w:ascii="Arial Narrow" w:hAnsi="Arial Narrow"/>
          <w:sz w:val="18"/>
        </w:rPr>
        <w:t xml:space="preserve"> = </w:t>
      </w:r>
      <w:r w:rsidRPr="00E3331A">
        <w:rPr>
          <w:rFonts w:ascii="Arial Narrow" w:hAnsi="Arial Narrow"/>
          <w:sz w:val="18"/>
        </w:rPr>
        <w:t>Medicare Benefits Schedule</w:t>
      </w:r>
      <w:r w:rsidR="0092354C" w:rsidRPr="00E3331A">
        <w:rPr>
          <w:rFonts w:ascii="Arial Narrow" w:hAnsi="Arial Narrow"/>
          <w:sz w:val="18"/>
        </w:rPr>
        <w:t>,</w:t>
      </w:r>
      <w:r w:rsidRPr="00E3331A">
        <w:rPr>
          <w:rFonts w:ascii="Arial Narrow" w:hAnsi="Arial Narrow"/>
          <w:sz w:val="18"/>
        </w:rPr>
        <w:t xml:space="preserve"> QALY</w:t>
      </w:r>
      <w:r w:rsidR="0092354C" w:rsidRPr="00E3331A">
        <w:rPr>
          <w:rFonts w:ascii="Arial Narrow" w:hAnsi="Arial Narrow"/>
          <w:sz w:val="18"/>
        </w:rPr>
        <w:t xml:space="preserve"> = </w:t>
      </w:r>
      <w:r w:rsidRPr="00E3331A">
        <w:rPr>
          <w:rFonts w:ascii="Arial Narrow" w:hAnsi="Arial Narrow"/>
          <w:sz w:val="18"/>
        </w:rPr>
        <w:t>quality</w:t>
      </w:r>
      <w:r w:rsidR="00D45BCF" w:rsidRPr="00E3331A">
        <w:rPr>
          <w:rFonts w:ascii="Arial Narrow" w:hAnsi="Arial Narrow"/>
          <w:sz w:val="18"/>
        </w:rPr>
        <w:t>-</w:t>
      </w:r>
      <w:r w:rsidRPr="00E3331A">
        <w:rPr>
          <w:rFonts w:ascii="Arial Narrow" w:hAnsi="Arial Narrow"/>
          <w:sz w:val="18"/>
        </w:rPr>
        <w:t>adjusted life year</w:t>
      </w:r>
      <w:r w:rsidR="0092354C" w:rsidRPr="00E3331A">
        <w:rPr>
          <w:rFonts w:ascii="Arial Narrow" w:hAnsi="Arial Narrow"/>
          <w:sz w:val="18"/>
        </w:rPr>
        <w:t>.</w:t>
      </w:r>
    </w:p>
    <w:p w:rsidR="00BD5568" w:rsidRPr="00E3331A" w:rsidRDefault="00BD5568" w:rsidP="00193E84">
      <w:pPr>
        <w:pStyle w:val="BodyTextSTD"/>
      </w:pPr>
      <w:r w:rsidRPr="00E3331A">
        <w:t xml:space="preserve">The incremental costs and the incremental effectiveness of IVIg versus corticosteroids </w:t>
      </w:r>
      <w:r w:rsidR="00A27B71" w:rsidRPr="00E3331A">
        <w:t xml:space="preserve">for an average patient </w:t>
      </w:r>
      <w:r w:rsidRPr="00E3331A">
        <w:t>are presented in</w:t>
      </w:r>
      <w:r w:rsidR="00145509" w:rsidRPr="00E3331A">
        <w:t xml:space="preserve"> </w:t>
      </w:r>
      <w:r w:rsidR="006F35B9" w:rsidRPr="00E3331A">
        <w:t xml:space="preserve">Table </w:t>
      </w:r>
      <w:r w:rsidR="006F35B9">
        <w:rPr>
          <w:noProof/>
        </w:rPr>
        <w:t>4</w:t>
      </w:r>
      <w:r w:rsidRPr="00E3331A">
        <w:t>.</w:t>
      </w:r>
      <w:r w:rsidR="00F21090" w:rsidRPr="00E3331A">
        <w:t xml:space="preserve"> The ICER is presented as the incremental cost of achieving an additional QALY</w:t>
      </w:r>
      <w:r w:rsidR="00047ADA" w:rsidRPr="00E3331A">
        <w:t xml:space="preserve"> (Quality-Adjusted Life Year)</w:t>
      </w:r>
      <w:r w:rsidR="00F21090" w:rsidRPr="00E3331A">
        <w:t>. The trial period ICER is $269,038 per QALY at average Australia</w:t>
      </w:r>
      <w:r w:rsidR="00143895" w:rsidRPr="00E3331A">
        <w:t>n</w:t>
      </w:r>
      <w:r w:rsidR="00F21090" w:rsidRPr="00E3331A">
        <w:t xml:space="preserve"> Ig use (497</w:t>
      </w:r>
      <w:r w:rsidR="00143895" w:rsidRPr="00E3331A">
        <w:t xml:space="preserve"> </w:t>
      </w:r>
      <w:r w:rsidR="00F21090" w:rsidRPr="00E3331A">
        <w:t>g) and $742,576 per QALY at Ig use of 1,430</w:t>
      </w:r>
      <w:r w:rsidR="00143895" w:rsidRPr="00E3331A">
        <w:t xml:space="preserve"> </w:t>
      </w:r>
      <w:r w:rsidR="00F21090" w:rsidRPr="00E3331A">
        <w:t>g per patient per year</w:t>
      </w:r>
      <w:r w:rsidR="00DE65BA" w:rsidRPr="00E3331A">
        <w:t xml:space="preserve"> based on an estimated </w:t>
      </w:r>
      <w:r w:rsidR="00047ADA" w:rsidRPr="00E3331A">
        <w:t>trial</w:t>
      </w:r>
      <w:r w:rsidR="00DE65BA" w:rsidRPr="00E3331A">
        <w:t xml:space="preserve"> maintenance dose</w:t>
      </w:r>
      <w:r w:rsidR="00F21090" w:rsidRPr="00E3331A">
        <w:t>. The 10-year ICER is $197,472 per QALY at average Australia</w:t>
      </w:r>
      <w:r w:rsidR="00143895" w:rsidRPr="00E3331A">
        <w:t>n</w:t>
      </w:r>
      <w:r w:rsidR="00923AD4" w:rsidRPr="00E3331A">
        <w:t xml:space="preserve"> </w:t>
      </w:r>
      <w:r w:rsidR="00F21090" w:rsidRPr="00E3331A">
        <w:t>Ig use (497</w:t>
      </w:r>
      <w:r w:rsidR="00143895" w:rsidRPr="00E3331A">
        <w:t xml:space="preserve"> </w:t>
      </w:r>
      <w:r w:rsidR="00F21090" w:rsidRPr="00E3331A">
        <w:t>g) and $549,897 per QALY at Ig use of 1,430</w:t>
      </w:r>
      <w:r w:rsidR="00DE65BA" w:rsidRPr="00E3331A">
        <w:t xml:space="preserve"> </w:t>
      </w:r>
      <w:r w:rsidR="00F21090" w:rsidRPr="00E3331A">
        <w:t>g per patient per year</w:t>
      </w:r>
      <w:r w:rsidR="00DE65BA" w:rsidRPr="00E3331A">
        <w:t xml:space="preserve"> based on an estimated t</w:t>
      </w:r>
      <w:r w:rsidR="00047ADA" w:rsidRPr="00E3331A">
        <w:t xml:space="preserve">rial </w:t>
      </w:r>
      <w:r w:rsidR="00DE65BA" w:rsidRPr="00E3331A">
        <w:t>maintenance dose</w:t>
      </w:r>
      <w:r w:rsidR="00923AD4" w:rsidRPr="00E3331A">
        <w:t xml:space="preserve"> using a base cost of $60.41 per gram of Ig. </w:t>
      </w:r>
      <w:r w:rsidR="00193E84" w:rsidRPr="00E3331A">
        <w:t>Sensitivity analyses are undertaken using high and low Ig costs of $140.18 and $44.94 per gram. The 10-year ICER varies between $445,370 and $149,397 using these Ig costs.</w:t>
      </w:r>
    </w:p>
    <w:p w:rsidR="00BD5568" w:rsidRPr="00E3331A" w:rsidRDefault="00BD5568" w:rsidP="00BD5568">
      <w:pPr>
        <w:pStyle w:val="Caption"/>
      </w:pPr>
      <w:bookmarkStart w:id="82" w:name="_Ref16512122"/>
      <w:bookmarkStart w:id="83" w:name="_Toc24103310"/>
      <w:r w:rsidRPr="00E3331A">
        <w:t xml:space="preserve">Table </w:t>
      </w:r>
      <w:r w:rsidR="006F35B9">
        <w:rPr>
          <w:noProof/>
        </w:rPr>
        <w:t>4</w:t>
      </w:r>
      <w:bookmarkEnd w:id="82"/>
      <w:r w:rsidR="00E8763E" w:rsidRPr="00E3331A">
        <w:tab/>
      </w:r>
      <w:r w:rsidR="00E8763E" w:rsidRPr="00E3331A">
        <w:tab/>
      </w:r>
      <w:r w:rsidRPr="00E3331A">
        <w:t xml:space="preserve">Incremental </w:t>
      </w:r>
      <w:r w:rsidR="00E8763E" w:rsidRPr="00E3331A">
        <w:t>c</w:t>
      </w:r>
      <w:r w:rsidRPr="00E3331A">
        <w:t>ost-</w:t>
      </w:r>
      <w:r w:rsidR="00E8763E" w:rsidRPr="00E3331A">
        <w:t>e</w:t>
      </w:r>
      <w:r w:rsidRPr="00E3331A">
        <w:t xml:space="preserve">ffectiveness </w:t>
      </w:r>
      <w:r w:rsidR="00E8763E" w:rsidRPr="00E3331A">
        <w:t>r</w:t>
      </w:r>
      <w:r w:rsidRPr="00E3331A">
        <w:t>atio of IVIg vers</w:t>
      </w:r>
      <w:r w:rsidR="00E8763E" w:rsidRPr="00E3331A">
        <w:t>us</w:t>
      </w:r>
      <w:r w:rsidRPr="00E3331A">
        <w:t xml:space="preserve"> </w:t>
      </w:r>
      <w:r w:rsidR="00E8763E" w:rsidRPr="00E3331A">
        <w:t>c</w:t>
      </w:r>
      <w:r w:rsidRPr="00E3331A">
        <w:t>orticosteroids (average-patient)</w:t>
      </w:r>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293"/>
        <w:gridCol w:w="1294"/>
        <w:gridCol w:w="1294"/>
        <w:gridCol w:w="1294"/>
        <w:gridCol w:w="1294"/>
      </w:tblGrid>
      <w:tr w:rsidR="00BD5568" w:rsidRPr="00E3331A" w:rsidTr="003F2968">
        <w:trPr>
          <w:trHeight w:val="600"/>
        </w:trPr>
        <w:tc>
          <w:tcPr>
            <w:tcW w:w="2547" w:type="dxa"/>
            <w:shd w:val="clear" w:color="auto" w:fill="auto"/>
            <w:vAlign w:val="center"/>
            <w:hideMark/>
          </w:tcPr>
          <w:p w:rsidR="00BD5568" w:rsidRPr="00E3331A" w:rsidRDefault="00BD5568" w:rsidP="003F2968">
            <w:pPr>
              <w:jc w:val="center"/>
              <w:rPr>
                <w:rFonts w:ascii="Arial Narrow" w:hAnsi="Arial Narrow" w:cs="Calibri"/>
                <w:b/>
                <w:sz w:val="20"/>
                <w:szCs w:val="20"/>
              </w:rPr>
            </w:pPr>
            <w:r w:rsidRPr="00E3331A">
              <w:rPr>
                <w:rFonts w:ascii="Arial Narrow" w:hAnsi="Arial Narrow" w:cs="Calibri"/>
                <w:b/>
                <w:sz w:val="20"/>
                <w:szCs w:val="20"/>
              </w:rPr>
              <w:t> </w:t>
            </w:r>
          </w:p>
        </w:tc>
        <w:tc>
          <w:tcPr>
            <w:tcW w:w="1293" w:type="dxa"/>
            <w:shd w:val="clear" w:color="auto" w:fill="auto"/>
            <w:vAlign w:val="center"/>
            <w:hideMark/>
          </w:tcPr>
          <w:p w:rsidR="00BD5568" w:rsidRPr="00E3331A" w:rsidRDefault="00BD5568" w:rsidP="003F2968">
            <w:pPr>
              <w:jc w:val="center"/>
              <w:rPr>
                <w:rFonts w:ascii="Arial Narrow" w:hAnsi="Arial Narrow" w:cs="Calibri"/>
                <w:b/>
                <w:sz w:val="20"/>
                <w:szCs w:val="20"/>
              </w:rPr>
            </w:pPr>
            <w:r w:rsidRPr="00E3331A">
              <w:rPr>
                <w:rFonts w:ascii="Arial Narrow" w:hAnsi="Arial Narrow" w:cs="Calibri"/>
                <w:b/>
                <w:sz w:val="20"/>
                <w:szCs w:val="20"/>
              </w:rPr>
              <w:t>Cost</w:t>
            </w:r>
            <w:r w:rsidR="00810386" w:rsidRPr="00E3331A">
              <w:rPr>
                <w:rFonts w:ascii="Arial Narrow" w:hAnsi="Arial Narrow" w:cs="Calibri"/>
                <w:b/>
                <w:sz w:val="20"/>
                <w:szCs w:val="20"/>
              </w:rPr>
              <w:t xml:space="preserve"> ($)</w:t>
            </w:r>
          </w:p>
        </w:tc>
        <w:tc>
          <w:tcPr>
            <w:tcW w:w="1294" w:type="dxa"/>
            <w:shd w:val="clear" w:color="auto" w:fill="auto"/>
            <w:vAlign w:val="center"/>
            <w:hideMark/>
          </w:tcPr>
          <w:p w:rsidR="00BD5568" w:rsidRPr="00E3331A" w:rsidRDefault="00BD5568" w:rsidP="003F2968">
            <w:pPr>
              <w:jc w:val="center"/>
              <w:rPr>
                <w:rFonts w:ascii="Arial Narrow" w:hAnsi="Arial Narrow" w:cs="Calibri"/>
                <w:b/>
                <w:sz w:val="20"/>
                <w:szCs w:val="20"/>
              </w:rPr>
            </w:pPr>
            <w:r w:rsidRPr="00E3331A">
              <w:rPr>
                <w:rFonts w:ascii="Arial Narrow" w:hAnsi="Arial Narrow" w:cs="Calibri"/>
                <w:b/>
                <w:sz w:val="20"/>
                <w:szCs w:val="20"/>
              </w:rPr>
              <w:t>Incremental cost</w:t>
            </w:r>
            <w:r w:rsidR="00810386" w:rsidRPr="00E3331A">
              <w:rPr>
                <w:rFonts w:ascii="Arial Narrow" w:hAnsi="Arial Narrow" w:cs="Calibri"/>
                <w:b/>
                <w:sz w:val="20"/>
                <w:szCs w:val="20"/>
              </w:rPr>
              <w:t xml:space="preserve"> ($)</w:t>
            </w:r>
          </w:p>
        </w:tc>
        <w:tc>
          <w:tcPr>
            <w:tcW w:w="1294" w:type="dxa"/>
            <w:shd w:val="clear" w:color="auto" w:fill="auto"/>
            <w:vAlign w:val="center"/>
            <w:hideMark/>
          </w:tcPr>
          <w:p w:rsidR="00BD5568" w:rsidRPr="00E3331A" w:rsidRDefault="00BD5568" w:rsidP="003F2968">
            <w:pPr>
              <w:jc w:val="center"/>
              <w:rPr>
                <w:rFonts w:ascii="Arial Narrow" w:hAnsi="Arial Narrow" w:cs="Calibri"/>
                <w:b/>
                <w:sz w:val="20"/>
                <w:szCs w:val="20"/>
              </w:rPr>
            </w:pPr>
            <w:r w:rsidRPr="00E3331A">
              <w:rPr>
                <w:rFonts w:ascii="Arial Narrow" w:hAnsi="Arial Narrow" w:cs="Calibri"/>
                <w:b/>
                <w:sz w:val="20"/>
                <w:szCs w:val="20"/>
              </w:rPr>
              <w:t>Effectiveness (QALYs)</w:t>
            </w:r>
          </w:p>
        </w:tc>
        <w:tc>
          <w:tcPr>
            <w:tcW w:w="1294" w:type="dxa"/>
            <w:shd w:val="clear" w:color="auto" w:fill="auto"/>
            <w:vAlign w:val="center"/>
            <w:hideMark/>
          </w:tcPr>
          <w:p w:rsidR="00BD5568" w:rsidRPr="00E3331A" w:rsidRDefault="00BD5568" w:rsidP="003F2968">
            <w:pPr>
              <w:jc w:val="center"/>
              <w:rPr>
                <w:rFonts w:ascii="Arial Narrow" w:hAnsi="Arial Narrow" w:cs="Calibri"/>
                <w:b/>
                <w:sz w:val="20"/>
                <w:szCs w:val="20"/>
              </w:rPr>
            </w:pPr>
            <w:r w:rsidRPr="00E3331A">
              <w:rPr>
                <w:rFonts w:ascii="Arial Narrow" w:hAnsi="Arial Narrow" w:cs="Calibri"/>
                <w:b/>
                <w:sz w:val="20"/>
                <w:szCs w:val="20"/>
              </w:rPr>
              <w:t>Incremental effectiveness</w:t>
            </w:r>
          </w:p>
        </w:tc>
        <w:tc>
          <w:tcPr>
            <w:tcW w:w="1294" w:type="dxa"/>
            <w:shd w:val="clear" w:color="auto" w:fill="auto"/>
            <w:vAlign w:val="center"/>
            <w:hideMark/>
          </w:tcPr>
          <w:p w:rsidR="00BD5568" w:rsidRPr="00E3331A" w:rsidRDefault="00BD5568" w:rsidP="003F2968">
            <w:pPr>
              <w:jc w:val="center"/>
              <w:rPr>
                <w:rFonts w:ascii="Arial Narrow" w:hAnsi="Arial Narrow" w:cs="Calibri"/>
                <w:b/>
                <w:sz w:val="20"/>
                <w:szCs w:val="20"/>
              </w:rPr>
            </w:pPr>
            <w:r w:rsidRPr="00E3331A">
              <w:rPr>
                <w:rFonts w:ascii="Arial Narrow" w:hAnsi="Arial Narrow" w:cs="Calibri"/>
                <w:b/>
                <w:sz w:val="20"/>
                <w:szCs w:val="20"/>
              </w:rPr>
              <w:t>ICER</w:t>
            </w:r>
            <w:r w:rsidR="00810386" w:rsidRPr="00E3331A">
              <w:rPr>
                <w:rFonts w:ascii="Arial Narrow" w:hAnsi="Arial Narrow" w:cs="Calibri"/>
                <w:b/>
                <w:sz w:val="20"/>
                <w:szCs w:val="20"/>
              </w:rPr>
              <w:t xml:space="preserve"> ($)</w:t>
            </w:r>
          </w:p>
        </w:tc>
      </w:tr>
      <w:tr w:rsidR="00BD5568" w:rsidRPr="00E3331A" w:rsidTr="0007007F">
        <w:trPr>
          <w:trHeight w:val="300"/>
        </w:trPr>
        <w:tc>
          <w:tcPr>
            <w:tcW w:w="2547" w:type="dxa"/>
            <w:shd w:val="clear" w:color="auto" w:fill="D9D9D9"/>
            <w:noWrap/>
            <w:vAlign w:val="bottom"/>
            <w:hideMark/>
          </w:tcPr>
          <w:p w:rsidR="00BD5568" w:rsidRPr="00E3331A" w:rsidRDefault="00BD5568" w:rsidP="003F2968">
            <w:pPr>
              <w:rPr>
                <w:rFonts w:ascii="Arial Narrow" w:hAnsi="Arial Narrow" w:cs="Calibri"/>
                <w:b/>
                <w:sz w:val="20"/>
                <w:szCs w:val="20"/>
              </w:rPr>
            </w:pPr>
            <w:r w:rsidRPr="00E3331A">
              <w:rPr>
                <w:rFonts w:ascii="Arial Narrow" w:hAnsi="Arial Narrow" w:cs="Calibri"/>
                <w:b/>
                <w:sz w:val="20"/>
                <w:szCs w:val="20"/>
              </w:rPr>
              <w:t>Trial period</w:t>
            </w:r>
          </w:p>
        </w:tc>
        <w:tc>
          <w:tcPr>
            <w:tcW w:w="1293" w:type="dxa"/>
            <w:shd w:val="clear" w:color="auto" w:fill="D9D9D9"/>
            <w:noWrap/>
            <w:vAlign w:val="bottom"/>
            <w:hideMark/>
          </w:tcPr>
          <w:p w:rsidR="00BD5568" w:rsidRPr="00E3331A" w:rsidRDefault="00BD5568" w:rsidP="003F2968">
            <w:pPr>
              <w:jc w:val="center"/>
              <w:rPr>
                <w:rFonts w:ascii="Arial Narrow" w:hAnsi="Arial Narrow" w:cs="Calibri"/>
                <w:b/>
                <w:sz w:val="20"/>
                <w:szCs w:val="20"/>
              </w:rPr>
            </w:pPr>
            <w:r w:rsidRPr="00E3331A">
              <w:rPr>
                <w:rFonts w:ascii="Arial Narrow" w:hAnsi="Arial Narrow" w:cs="Calibri"/>
                <w:sz w:val="20"/>
                <w:szCs w:val="20"/>
              </w:rPr>
              <w:t> </w:t>
            </w:r>
          </w:p>
        </w:tc>
        <w:tc>
          <w:tcPr>
            <w:tcW w:w="1294" w:type="dxa"/>
            <w:shd w:val="clear" w:color="auto" w:fill="D9D9D9"/>
            <w:noWrap/>
            <w:vAlign w:val="bottom"/>
            <w:hideMark/>
          </w:tcPr>
          <w:p w:rsidR="00BD5568" w:rsidRPr="00E3331A" w:rsidRDefault="00BD5568" w:rsidP="003F2968">
            <w:pPr>
              <w:jc w:val="center"/>
              <w:rPr>
                <w:rFonts w:ascii="Arial Narrow" w:hAnsi="Arial Narrow" w:cs="Calibri"/>
                <w:b/>
                <w:sz w:val="20"/>
                <w:szCs w:val="20"/>
              </w:rPr>
            </w:pPr>
            <w:r w:rsidRPr="00E3331A">
              <w:rPr>
                <w:rFonts w:ascii="Arial Narrow" w:hAnsi="Arial Narrow" w:cs="Calibri"/>
                <w:sz w:val="20"/>
                <w:szCs w:val="20"/>
              </w:rPr>
              <w:t> </w:t>
            </w:r>
          </w:p>
        </w:tc>
        <w:tc>
          <w:tcPr>
            <w:tcW w:w="1294" w:type="dxa"/>
            <w:shd w:val="clear" w:color="auto" w:fill="D9D9D9"/>
            <w:noWrap/>
            <w:vAlign w:val="bottom"/>
            <w:hideMark/>
          </w:tcPr>
          <w:p w:rsidR="00BD5568" w:rsidRPr="00E3331A" w:rsidRDefault="00BD5568" w:rsidP="003F2968">
            <w:pPr>
              <w:jc w:val="center"/>
              <w:rPr>
                <w:rFonts w:ascii="Arial Narrow" w:hAnsi="Arial Narrow" w:cs="Calibri"/>
                <w:b/>
                <w:sz w:val="20"/>
                <w:szCs w:val="20"/>
              </w:rPr>
            </w:pPr>
            <w:r w:rsidRPr="00E3331A">
              <w:rPr>
                <w:rFonts w:ascii="Arial Narrow" w:hAnsi="Arial Narrow" w:cs="Calibri"/>
                <w:sz w:val="20"/>
                <w:szCs w:val="20"/>
              </w:rPr>
              <w:t> </w:t>
            </w:r>
          </w:p>
        </w:tc>
        <w:tc>
          <w:tcPr>
            <w:tcW w:w="1294" w:type="dxa"/>
            <w:shd w:val="clear" w:color="auto" w:fill="D9D9D9"/>
            <w:noWrap/>
            <w:vAlign w:val="center"/>
            <w:hideMark/>
          </w:tcPr>
          <w:p w:rsidR="00BD5568" w:rsidRPr="00E3331A" w:rsidRDefault="00BD5568" w:rsidP="003F2968">
            <w:pPr>
              <w:jc w:val="center"/>
              <w:rPr>
                <w:rFonts w:ascii="Arial Narrow" w:hAnsi="Arial Narrow" w:cs="Calibri"/>
                <w:b/>
                <w:sz w:val="20"/>
                <w:szCs w:val="20"/>
              </w:rPr>
            </w:pPr>
            <w:r w:rsidRPr="00E3331A">
              <w:rPr>
                <w:rFonts w:ascii="Arial Narrow" w:hAnsi="Arial Narrow" w:cs="Calibri"/>
                <w:sz w:val="20"/>
                <w:szCs w:val="20"/>
              </w:rPr>
              <w:t> </w:t>
            </w:r>
          </w:p>
        </w:tc>
        <w:tc>
          <w:tcPr>
            <w:tcW w:w="1294" w:type="dxa"/>
            <w:shd w:val="clear" w:color="auto" w:fill="D9D9D9"/>
            <w:noWrap/>
            <w:vAlign w:val="bottom"/>
            <w:hideMark/>
          </w:tcPr>
          <w:p w:rsidR="00BD5568" w:rsidRPr="00E3331A" w:rsidRDefault="00BD5568" w:rsidP="003F2968">
            <w:pPr>
              <w:jc w:val="center"/>
              <w:rPr>
                <w:rFonts w:ascii="Arial Narrow" w:hAnsi="Arial Narrow" w:cs="Calibri"/>
                <w:b/>
                <w:sz w:val="20"/>
                <w:szCs w:val="20"/>
              </w:rPr>
            </w:pPr>
            <w:r w:rsidRPr="00E3331A">
              <w:rPr>
                <w:rFonts w:ascii="Arial Narrow" w:hAnsi="Arial Narrow" w:cs="Calibri"/>
                <w:sz w:val="20"/>
                <w:szCs w:val="20"/>
              </w:rPr>
              <w:t> </w:t>
            </w:r>
          </w:p>
        </w:tc>
      </w:tr>
      <w:tr w:rsidR="00F21090" w:rsidRPr="00E3331A" w:rsidTr="003F2968">
        <w:trPr>
          <w:trHeight w:val="300"/>
        </w:trPr>
        <w:tc>
          <w:tcPr>
            <w:tcW w:w="2547" w:type="dxa"/>
            <w:shd w:val="clear" w:color="auto" w:fill="auto"/>
            <w:noWrap/>
            <w:vAlign w:val="bottom"/>
            <w:hideMark/>
          </w:tcPr>
          <w:p w:rsidR="00F21090" w:rsidRPr="00E3331A" w:rsidRDefault="00F21090" w:rsidP="00F21090">
            <w:pPr>
              <w:rPr>
                <w:rFonts w:ascii="Arial Narrow" w:hAnsi="Arial Narrow" w:cs="Calibri"/>
                <w:sz w:val="20"/>
                <w:szCs w:val="20"/>
              </w:rPr>
            </w:pPr>
            <w:r w:rsidRPr="00E3331A">
              <w:rPr>
                <w:rFonts w:ascii="Arial Narrow" w:hAnsi="Arial Narrow" w:cs="Calibri"/>
                <w:sz w:val="20"/>
                <w:szCs w:val="20"/>
              </w:rPr>
              <w:t>Ig, 497g per patient per year</w:t>
            </w:r>
          </w:p>
        </w:tc>
        <w:tc>
          <w:tcPr>
            <w:tcW w:w="1293" w:type="dxa"/>
            <w:shd w:val="clear" w:color="auto" w:fill="auto"/>
            <w:noWrap/>
            <w:vAlign w:val="bottom"/>
          </w:tcPr>
          <w:p w:rsidR="00F21090" w:rsidRPr="00E3331A" w:rsidRDefault="00F21090" w:rsidP="00F21090">
            <w:pPr>
              <w:jc w:val="center"/>
              <w:rPr>
                <w:rFonts w:ascii="Arial Narrow" w:hAnsi="Arial Narrow" w:cs="Calibri"/>
                <w:sz w:val="20"/>
                <w:szCs w:val="20"/>
              </w:rPr>
            </w:pPr>
            <w:r w:rsidRPr="00E3331A">
              <w:rPr>
                <w:rFonts w:ascii="Arial Narrow" w:hAnsi="Arial Narrow" w:cs="Calibri"/>
                <w:color w:val="000000"/>
                <w:sz w:val="20"/>
                <w:szCs w:val="20"/>
              </w:rPr>
              <w:t>$16,808</w:t>
            </w:r>
          </w:p>
        </w:tc>
        <w:tc>
          <w:tcPr>
            <w:tcW w:w="1294" w:type="dxa"/>
            <w:shd w:val="clear" w:color="auto" w:fill="auto"/>
            <w:noWrap/>
            <w:vAlign w:val="bottom"/>
          </w:tcPr>
          <w:p w:rsidR="00F21090" w:rsidRPr="00E3331A" w:rsidRDefault="00F21090" w:rsidP="00F21090">
            <w:pPr>
              <w:jc w:val="center"/>
              <w:rPr>
                <w:rFonts w:ascii="Arial Narrow" w:hAnsi="Arial Narrow" w:cs="Calibri"/>
                <w:sz w:val="20"/>
                <w:szCs w:val="20"/>
              </w:rPr>
            </w:pPr>
            <w:r w:rsidRPr="00E3331A">
              <w:rPr>
                <w:rFonts w:ascii="Arial Narrow" w:hAnsi="Arial Narrow" w:cs="Calibri"/>
                <w:color w:val="000000"/>
                <w:sz w:val="20"/>
                <w:szCs w:val="20"/>
              </w:rPr>
              <w:t>$14,459</w:t>
            </w:r>
          </w:p>
        </w:tc>
        <w:tc>
          <w:tcPr>
            <w:tcW w:w="1294" w:type="dxa"/>
            <w:shd w:val="clear" w:color="auto" w:fill="auto"/>
            <w:noWrap/>
            <w:vAlign w:val="bottom"/>
          </w:tcPr>
          <w:p w:rsidR="00F21090" w:rsidRPr="00E3331A" w:rsidRDefault="00F21090" w:rsidP="00F21090">
            <w:pPr>
              <w:jc w:val="center"/>
              <w:rPr>
                <w:rFonts w:ascii="Arial Narrow" w:hAnsi="Arial Narrow" w:cs="Calibri"/>
                <w:sz w:val="20"/>
                <w:szCs w:val="20"/>
              </w:rPr>
            </w:pPr>
            <w:r w:rsidRPr="00E3331A">
              <w:rPr>
                <w:rFonts w:ascii="Arial Narrow" w:hAnsi="Arial Narrow" w:cs="Calibri"/>
                <w:color w:val="000000"/>
                <w:sz w:val="20"/>
                <w:szCs w:val="20"/>
              </w:rPr>
              <w:t>0.35</w:t>
            </w:r>
          </w:p>
        </w:tc>
        <w:tc>
          <w:tcPr>
            <w:tcW w:w="1294" w:type="dxa"/>
            <w:shd w:val="clear" w:color="auto" w:fill="auto"/>
            <w:noWrap/>
            <w:vAlign w:val="bottom"/>
          </w:tcPr>
          <w:p w:rsidR="00F21090" w:rsidRPr="00E3331A" w:rsidRDefault="00F21090" w:rsidP="00F21090">
            <w:pPr>
              <w:jc w:val="center"/>
              <w:rPr>
                <w:rFonts w:ascii="Arial Narrow" w:hAnsi="Arial Narrow" w:cs="Calibri"/>
                <w:sz w:val="20"/>
                <w:szCs w:val="20"/>
              </w:rPr>
            </w:pPr>
            <w:r w:rsidRPr="00E3331A">
              <w:rPr>
                <w:rFonts w:ascii="Arial Narrow" w:hAnsi="Arial Narrow" w:cs="Calibri"/>
                <w:color w:val="000000"/>
                <w:sz w:val="20"/>
                <w:szCs w:val="20"/>
              </w:rPr>
              <w:t>0.05</w:t>
            </w:r>
          </w:p>
        </w:tc>
        <w:tc>
          <w:tcPr>
            <w:tcW w:w="1294" w:type="dxa"/>
            <w:shd w:val="clear" w:color="auto" w:fill="auto"/>
            <w:noWrap/>
            <w:vAlign w:val="bottom"/>
          </w:tcPr>
          <w:p w:rsidR="00F21090" w:rsidRPr="00E3331A" w:rsidRDefault="00F21090" w:rsidP="00F21090">
            <w:pPr>
              <w:jc w:val="center"/>
              <w:rPr>
                <w:rFonts w:ascii="Arial Narrow" w:hAnsi="Arial Narrow" w:cs="Calibri"/>
                <w:sz w:val="20"/>
                <w:szCs w:val="20"/>
              </w:rPr>
            </w:pPr>
            <w:r w:rsidRPr="00E3331A">
              <w:rPr>
                <w:rFonts w:ascii="Arial Narrow" w:hAnsi="Arial Narrow" w:cs="Calibri"/>
                <w:color w:val="000000"/>
                <w:sz w:val="20"/>
                <w:szCs w:val="20"/>
              </w:rPr>
              <w:t>$269,038</w:t>
            </w:r>
          </w:p>
        </w:tc>
      </w:tr>
      <w:tr w:rsidR="00F21090" w:rsidRPr="00E3331A" w:rsidTr="003F2968">
        <w:trPr>
          <w:trHeight w:val="300"/>
        </w:trPr>
        <w:tc>
          <w:tcPr>
            <w:tcW w:w="2547" w:type="dxa"/>
            <w:shd w:val="clear" w:color="auto" w:fill="auto"/>
            <w:noWrap/>
            <w:vAlign w:val="bottom"/>
          </w:tcPr>
          <w:p w:rsidR="00F21090" w:rsidRPr="00E3331A" w:rsidRDefault="00F21090" w:rsidP="00F21090">
            <w:pPr>
              <w:rPr>
                <w:rFonts w:ascii="Arial Narrow" w:hAnsi="Arial Narrow" w:cs="Calibri"/>
                <w:sz w:val="20"/>
                <w:szCs w:val="20"/>
              </w:rPr>
            </w:pPr>
            <w:r w:rsidRPr="00E3331A">
              <w:rPr>
                <w:rFonts w:ascii="Arial Narrow" w:hAnsi="Arial Narrow" w:cs="Calibri"/>
                <w:sz w:val="20"/>
                <w:szCs w:val="20"/>
              </w:rPr>
              <w:t>Ig, 1,430 g per patient per year</w:t>
            </w:r>
          </w:p>
        </w:tc>
        <w:tc>
          <w:tcPr>
            <w:tcW w:w="1293" w:type="dxa"/>
            <w:shd w:val="clear" w:color="auto" w:fill="auto"/>
            <w:noWrap/>
            <w:vAlign w:val="bottom"/>
          </w:tcPr>
          <w:p w:rsidR="00F21090" w:rsidRPr="00E3331A" w:rsidRDefault="00F21090" w:rsidP="00F21090">
            <w:pPr>
              <w:jc w:val="center"/>
              <w:rPr>
                <w:rFonts w:ascii="Arial Narrow" w:hAnsi="Arial Narrow" w:cs="Calibri"/>
                <w:color w:val="000000"/>
                <w:sz w:val="20"/>
                <w:szCs w:val="20"/>
              </w:rPr>
            </w:pPr>
            <w:r w:rsidRPr="00E3331A">
              <w:rPr>
                <w:rFonts w:ascii="Arial Narrow" w:hAnsi="Arial Narrow" w:cs="Calibri"/>
                <w:color w:val="000000"/>
                <w:sz w:val="20"/>
                <w:szCs w:val="20"/>
              </w:rPr>
              <w:t>$42,257</w:t>
            </w:r>
          </w:p>
        </w:tc>
        <w:tc>
          <w:tcPr>
            <w:tcW w:w="1294" w:type="dxa"/>
            <w:shd w:val="clear" w:color="auto" w:fill="auto"/>
            <w:noWrap/>
            <w:vAlign w:val="bottom"/>
          </w:tcPr>
          <w:p w:rsidR="00F21090" w:rsidRPr="00E3331A" w:rsidRDefault="00F21090" w:rsidP="00F21090">
            <w:pPr>
              <w:jc w:val="center"/>
              <w:rPr>
                <w:rFonts w:ascii="Arial Narrow" w:hAnsi="Arial Narrow" w:cs="Calibri"/>
                <w:color w:val="000000"/>
                <w:sz w:val="20"/>
                <w:szCs w:val="20"/>
              </w:rPr>
            </w:pPr>
            <w:r w:rsidRPr="00E3331A">
              <w:rPr>
                <w:rFonts w:ascii="Arial Narrow" w:hAnsi="Arial Narrow" w:cs="Calibri"/>
                <w:color w:val="000000"/>
                <w:sz w:val="20"/>
                <w:szCs w:val="20"/>
              </w:rPr>
              <w:t>$39,907</w:t>
            </w:r>
          </w:p>
        </w:tc>
        <w:tc>
          <w:tcPr>
            <w:tcW w:w="1294" w:type="dxa"/>
            <w:shd w:val="clear" w:color="auto" w:fill="auto"/>
            <w:noWrap/>
            <w:vAlign w:val="bottom"/>
          </w:tcPr>
          <w:p w:rsidR="00F21090" w:rsidRPr="00E3331A" w:rsidRDefault="00F21090" w:rsidP="00F21090">
            <w:pPr>
              <w:jc w:val="center"/>
              <w:rPr>
                <w:rFonts w:ascii="Arial Narrow" w:hAnsi="Arial Narrow" w:cs="Calibri"/>
                <w:color w:val="000000"/>
                <w:sz w:val="20"/>
                <w:szCs w:val="20"/>
              </w:rPr>
            </w:pPr>
            <w:r w:rsidRPr="00E3331A">
              <w:rPr>
                <w:rFonts w:ascii="Arial Narrow" w:hAnsi="Arial Narrow" w:cs="Calibri"/>
                <w:color w:val="000000"/>
                <w:sz w:val="20"/>
                <w:szCs w:val="20"/>
              </w:rPr>
              <w:t>0.35</w:t>
            </w:r>
          </w:p>
        </w:tc>
        <w:tc>
          <w:tcPr>
            <w:tcW w:w="1294" w:type="dxa"/>
            <w:shd w:val="clear" w:color="auto" w:fill="auto"/>
            <w:noWrap/>
            <w:vAlign w:val="bottom"/>
          </w:tcPr>
          <w:p w:rsidR="00F21090" w:rsidRPr="00E3331A" w:rsidRDefault="00F21090" w:rsidP="00F21090">
            <w:pPr>
              <w:jc w:val="center"/>
              <w:rPr>
                <w:rFonts w:ascii="Arial Narrow" w:hAnsi="Arial Narrow" w:cs="Calibri"/>
                <w:color w:val="000000"/>
                <w:sz w:val="20"/>
                <w:szCs w:val="20"/>
              </w:rPr>
            </w:pPr>
            <w:r w:rsidRPr="00E3331A">
              <w:rPr>
                <w:rFonts w:ascii="Arial Narrow" w:hAnsi="Arial Narrow" w:cs="Calibri"/>
                <w:color w:val="000000"/>
                <w:sz w:val="20"/>
                <w:szCs w:val="20"/>
              </w:rPr>
              <w:t>0.05</w:t>
            </w:r>
          </w:p>
        </w:tc>
        <w:tc>
          <w:tcPr>
            <w:tcW w:w="1294" w:type="dxa"/>
            <w:shd w:val="clear" w:color="auto" w:fill="auto"/>
            <w:noWrap/>
            <w:vAlign w:val="bottom"/>
          </w:tcPr>
          <w:p w:rsidR="00F21090" w:rsidRPr="00E3331A" w:rsidRDefault="00F21090" w:rsidP="00F21090">
            <w:pPr>
              <w:jc w:val="center"/>
              <w:rPr>
                <w:rFonts w:ascii="Arial Narrow" w:hAnsi="Arial Narrow" w:cs="Calibri"/>
                <w:color w:val="000000"/>
                <w:sz w:val="20"/>
                <w:szCs w:val="20"/>
              </w:rPr>
            </w:pPr>
            <w:r w:rsidRPr="00E3331A">
              <w:rPr>
                <w:rFonts w:ascii="Arial Narrow" w:hAnsi="Arial Narrow" w:cs="Calibri"/>
                <w:color w:val="000000"/>
                <w:sz w:val="20"/>
                <w:szCs w:val="20"/>
              </w:rPr>
              <w:t>$742,576</w:t>
            </w:r>
          </w:p>
        </w:tc>
      </w:tr>
      <w:tr w:rsidR="00F21090" w:rsidRPr="00E3331A" w:rsidTr="003F2968">
        <w:trPr>
          <w:trHeight w:val="300"/>
        </w:trPr>
        <w:tc>
          <w:tcPr>
            <w:tcW w:w="2547" w:type="dxa"/>
            <w:shd w:val="clear" w:color="auto" w:fill="auto"/>
            <w:noWrap/>
            <w:vAlign w:val="bottom"/>
            <w:hideMark/>
          </w:tcPr>
          <w:p w:rsidR="00F21090" w:rsidRPr="00E3331A" w:rsidRDefault="00F21090" w:rsidP="00F21090">
            <w:pPr>
              <w:rPr>
                <w:rFonts w:ascii="Arial Narrow" w:hAnsi="Arial Narrow" w:cs="Calibri"/>
                <w:sz w:val="20"/>
                <w:szCs w:val="20"/>
              </w:rPr>
            </w:pPr>
            <w:r w:rsidRPr="00E3331A">
              <w:rPr>
                <w:rFonts w:ascii="Arial Narrow" w:hAnsi="Arial Narrow" w:cs="Calibri"/>
                <w:sz w:val="20"/>
                <w:szCs w:val="20"/>
              </w:rPr>
              <w:t>Corticosteroids</w:t>
            </w:r>
          </w:p>
        </w:tc>
        <w:tc>
          <w:tcPr>
            <w:tcW w:w="1293" w:type="dxa"/>
            <w:shd w:val="clear" w:color="auto" w:fill="auto"/>
            <w:noWrap/>
            <w:vAlign w:val="bottom"/>
          </w:tcPr>
          <w:p w:rsidR="00F21090" w:rsidRPr="00E3331A" w:rsidRDefault="00F21090" w:rsidP="00F21090">
            <w:pPr>
              <w:jc w:val="center"/>
              <w:rPr>
                <w:rFonts w:ascii="Arial Narrow" w:hAnsi="Arial Narrow" w:cs="Calibri"/>
                <w:sz w:val="20"/>
                <w:szCs w:val="20"/>
              </w:rPr>
            </w:pPr>
            <w:r w:rsidRPr="00E3331A">
              <w:rPr>
                <w:rFonts w:ascii="Arial Narrow" w:hAnsi="Arial Narrow" w:cs="Calibri"/>
                <w:color w:val="000000"/>
                <w:sz w:val="20"/>
                <w:szCs w:val="20"/>
              </w:rPr>
              <w:t>$2,349</w:t>
            </w:r>
          </w:p>
        </w:tc>
        <w:tc>
          <w:tcPr>
            <w:tcW w:w="1294" w:type="dxa"/>
            <w:shd w:val="clear" w:color="auto" w:fill="auto"/>
            <w:noWrap/>
            <w:vAlign w:val="bottom"/>
          </w:tcPr>
          <w:p w:rsidR="00F21090" w:rsidRPr="00E3331A" w:rsidRDefault="00F21090" w:rsidP="00F21090">
            <w:pPr>
              <w:jc w:val="center"/>
              <w:rPr>
                <w:rFonts w:ascii="Arial Narrow" w:hAnsi="Arial Narrow" w:cs="Calibri"/>
                <w:sz w:val="20"/>
                <w:szCs w:val="20"/>
              </w:rPr>
            </w:pPr>
            <w:r w:rsidRPr="00E3331A">
              <w:rPr>
                <w:rFonts w:ascii="Arial Narrow" w:hAnsi="Arial Narrow" w:cs="Calibri"/>
                <w:color w:val="000000"/>
                <w:sz w:val="20"/>
                <w:szCs w:val="20"/>
              </w:rPr>
              <w:t> </w:t>
            </w:r>
          </w:p>
        </w:tc>
        <w:tc>
          <w:tcPr>
            <w:tcW w:w="1294" w:type="dxa"/>
            <w:shd w:val="clear" w:color="auto" w:fill="auto"/>
            <w:noWrap/>
            <w:vAlign w:val="bottom"/>
          </w:tcPr>
          <w:p w:rsidR="00F21090" w:rsidRPr="00E3331A" w:rsidRDefault="00F21090" w:rsidP="00F21090">
            <w:pPr>
              <w:jc w:val="center"/>
              <w:rPr>
                <w:rFonts w:ascii="Arial Narrow" w:hAnsi="Arial Narrow" w:cs="Calibri"/>
                <w:sz w:val="20"/>
                <w:szCs w:val="20"/>
              </w:rPr>
            </w:pPr>
            <w:r w:rsidRPr="00E3331A">
              <w:rPr>
                <w:rFonts w:ascii="Arial Narrow" w:hAnsi="Arial Narrow" w:cs="Calibri"/>
                <w:color w:val="000000"/>
                <w:sz w:val="20"/>
                <w:szCs w:val="20"/>
              </w:rPr>
              <w:t>0.30</w:t>
            </w:r>
          </w:p>
        </w:tc>
        <w:tc>
          <w:tcPr>
            <w:tcW w:w="1294" w:type="dxa"/>
            <w:shd w:val="clear" w:color="auto" w:fill="auto"/>
            <w:noWrap/>
            <w:vAlign w:val="bottom"/>
          </w:tcPr>
          <w:p w:rsidR="00F21090" w:rsidRPr="00E3331A" w:rsidRDefault="00F21090" w:rsidP="00F21090">
            <w:pPr>
              <w:jc w:val="center"/>
              <w:rPr>
                <w:rFonts w:ascii="Arial Narrow" w:hAnsi="Arial Narrow" w:cs="Calibri"/>
                <w:sz w:val="20"/>
                <w:szCs w:val="20"/>
              </w:rPr>
            </w:pPr>
          </w:p>
        </w:tc>
        <w:tc>
          <w:tcPr>
            <w:tcW w:w="1294" w:type="dxa"/>
            <w:shd w:val="clear" w:color="auto" w:fill="auto"/>
            <w:noWrap/>
            <w:vAlign w:val="bottom"/>
          </w:tcPr>
          <w:p w:rsidR="00F21090" w:rsidRPr="00E3331A" w:rsidRDefault="00F21090" w:rsidP="00F21090">
            <w:pPr>
              <w:jc w:val="center"/>
              <w:rPr>
                <w:rFonts w:ascii="Arial Narrow" w:hAnsi="Arial Narrow" w:cs="Calibri"/>
                <w:sz w:val="20"/>
                <w:szCs w:val="20"/>
              </w:rPr>
            </w:pPr>
          </w:p>
        </w:tc>
      </w:tr>
      <w:tr w:rsidR="00F21090" w:rsidRPr="00E3331A" w:rsidTr="0007007F">
        <w:trPr>
          <w:trHeight w:val="300"/>
        </w:trPr>
        <w:tc>
          <w:tcPr>
            <w:tcW w:w="2547" w:type="dxa"/>
            <w:shd w:val="clear" w:color="auto" w:fill="D9D9D9"/>
            <w:noWrap/>
            <w:vAlign w:val="bottom"/>
            <w:hideMark/>
          </w:tcPr>
          <w:p w:rsidR="00F21090" w:rsidRPr="00E3331A" w:rsidRDefault="00EC4AAF" w:rsidP="00F21090">
            <w:pPr>
              <w:rPr>
                <w:rFonts w:ascii="Arial Narrow" w:hAnsi="Arial Narrow" w:cs="Calibri"/>
                <w:b/>
                <w:sz w:val="20"/>
                <w:szCs w:val="20"/>
              </w:rPr>
            </w:pPr>
            <w:r w:rsidRPr="00E3331A">
              <w:rPr>
                <w:rFonts w:ascii="Arial Narrow" w:hAnsi="Arial Narrow" w:cs="Calibri"/>
                <w:b/>
                <w:sz w:val="20"/>
                <w:szCs w:val="20"/>
              </w:rPr>
              <w:t>10</w:t>
            </w:r>
            <w:r w:rsidR="00F21090" w:rsidRPr="00E3331A">
              <w:rPr>
                <w:rFonts w:ascii="Arial Narrow" w:hAnsi="Arial Narrow" w:cs="Calibri"/>
                <w:b/>
                <w:sz w:val="20"/>
                <w:szCs w:val="20"/>
              </w:rPr>
              <w:t>-year</w:t>
            </w:r>
          </w:p>
        </w:tc>
        <w:tc>
          <w:tcPr>
            <w:tcW w:w="1293" w:type="dxa"/>
            <w:shd w:val="clear" w:color="auto" w:fill="D9D9D9"/>
            <w:noWrap/>
            <w:vAlign w:val="bottom"/>
          </w:tcPr>
          <w:p w:rsidR="00F21090" w:rsidRPr="00E3331A" w:rsidRDefault="00F21090" w:rsidP="00F21090">
            <w:pPr>
              <w:jc w:val="center"/>
              <w:rPr>
                <w:rFonts w:ascii="Arial Narrow" w:hAnsi="Arial Narrow" w:cs="Calibri"/>
                <w:b/>
                <w:sz w:val="20"/>
                <w:szCs w:val="20"/>
              </w:rPr>
            </w:pPr>
            <w:r w:rsidRPr="00E3331A">
              <w:rPr>
                <w:rFonts w:ascii="Arial Narrow" w:hAnsi="Arial Narrow" w:cs="Calibri"/>
                <w:color w:val="FFFFFF"/>
                <w:sz w:val="20"/>
                <w:szCs w:val="20"/>
              </w:rPr>
              <w:t> </w:t>
            </w:r>
          </w:p>
        </w:tc>
        <w:tc>
          <w:tcPr>
            <w:tcW w:w="1294" w:type="dxa"/>
            <w:shd w:val="clear" w:color="auto" w:fill="D9D9D9"/>
            <w:noWrap/>
            <w:vAlign w:val="bottom"/>
          </w:tcPr>
          <w:p w:rsidR="00F21090" w:rsidRPr="00E3331A" w:rsidRDefault="00F21090" w:rsidP="00F21090">
            <w:pPr>
              <w:jc w:val="center"/>
              <w:rPr>
                <w:rFonts w:ascii="Arial Narrow" w:hAnsi="Arial Narrow" w:cs="Calibri"/>
                <w:b/>
                <w:sz w:val="20"/>
                <w:szCs w:val="20"/>
              </w:rPr>
            </w:pPr>
            <w:r w:rsidRPr="00E3331A">
              <w:rPr>
                <w:rFonts w:ascii="Arial Narrow" w:hAnsi="Arial Narrow" w:cs="Calibri"/>
                <w:color w:val="FFFFFF"/>
                <w:sz w:val="20"/>
                <w:szCs w:val="20"/>
              </w:rPr>
              <w:t> </w:t>
            </w:r>
          </w:p>
        </w:tc>
        <w:tc>
          <w:tcPr>
            <w:tcW w:w="1294" w:type="dxa"/>
            <w:shd w:val="clear" w:color="auto" w:fill="D9D9D9"/>
            <w:noWrap/>
            <w:vAlign w:val="bottom"/>
          </w:tcPr>
          <w:p w:rsidR="00F21090" w:rsidRPr="00E3331A" w:rsidRDefault="00F21090" w:rsidP="00F21090">
            <w:pPr>
              <w:jc w:val="center"/>
              <w:rPr>
                <w:rFonts w:ascii="Arial Narrow" w:hAnsi="Arial Narrow" w:cs="Calibri"/>
                <w:b/>
                <w:sz w:val="20"/>
                <w:szCs w:val="20"/>
              </w:rPr>
            </w:pPr>
            <w:r w:rsidRPr="00E3331A">
              <w:rPr>
                <w:rFonts w:ascii="Arial Narrow" w:hAnsi="Arial Narrow" w:cs="Calibri"/>
                <w:color w:val="FFFFFF"/>
                <w:sz w:val="20"/>
                <w:szCs w:val="20"/>
              </w:rPr>
              <w:t> </w:t>
            </w:r>
          </w:p>
        </w:tc>
        <w:tc>
          <w:tcPr>
            <w:tcW w:w="1294" w:type="dxa"/>
            <w:shd w:val="clear" w:color="auto" w:fill="D9D9D9"/>
            <w:noWrap/>
            <w:vAlign w:val="bottom"/>
          </w:tcPr>
          <w:p w:rsidR="00F21090" w:rsidRPr="00E3331A" w:rsidRDefault="00F21090" w:rsidP="00F21090">
            <w:pPr>
              <w:jc w:val="center"/>
              <w:rPr>
                <w:rFonts w:ascii="Arial Narrow" w:hAnsi="Arial Narrow" w:cs="Calibri"/>
                <w:b/>
                <w:sz w:val="20"/>
                <w:szCs w:val="20"/>
              </w:rPr>
            </w:pPr>
            <w:r w:rsidRPr="00E3331A">
              <w:rPr>
                <w:rFonts w:ascii="Arial Narrow" w:hAnsi="Arial Narrow" w:cs="Calibri"/>
                <w:color w:val="FFFFFF"/>
                <w:sz w:val="20"/>
                <w:szCs w:val="20"/>
              </w:rPr>
              <w:t> </w:t>
            </w:r>
          </w:p>
        </w:tc>
        <w:tc>
          <w:tcPr>
            <w:tcW w:w="1294" w:type="dxa"/>
            <w:shd w:val="clear" w:color="auto" w:fill="D9D9D9"/>
            <w:noWrap/>
            <w:vAlign w:val="bottom"/>
          </w:tcPr>
          <w:p w:rsidR="00F21090" w:rsidRPr="00E3331A" w:rsidRDefault="00F21090" w:rsidP="00F21090">
            <w:pPr>
              <w:jc w:val="center"/>
              <w:rPr>
                <w:rFonts w:ascii="Arial Narrow" w:hAnsi="Arial Narrow" w:cs="Calibri"/>
                <w:b/>
                <w:sz w:val="20"/>
                <w:szCs w:val="20"/>
              </w:rPr>
            </w:pPr>
            <w:r w:rsidRPr="00E3331A">
              <w:rPr>
                <w:rFonts w:ascii="Arial Narrow" w:hAnsi="Arial Narrow" w:cs="Calibri"/>
                <w:color w:val="FFFFFF"/>
                <w:sz w:val="20"/>
                <w:szCs w:val="20"/>
              </w:rPr>
              <w:t> </w:t>
            </w:r>
          </w:p>
        </w:tc>
      </w:tr>
      <w:tr w:rsidR="00F21090" w:rsidRPr="00E3331A" w:rsidTr="003F2968">
        <w:trPr>
          <w:trHeight w:val="300"/>
        </w:trPr>
        <w:tc>
          <w:tcPr>
            <w:tcW w:w="2547" w:type="dxa"/>
            <w:shd w:val="clear" w:color="auto" w:fill="auto"/>
            <w:noWrap/>
            <w:vAlign w:val="bottom"/>
            <w:hideMark/>
          </w:tcPr>
          <w:p w:rsidR="00F21090" w:rsidRPr="00E3331A" w:rsidRDefault="00F21090" w:rsidP="00F21090">
            <w:pPr>
              <w:rPr>
                <w:rFonts w:ascii="Arial Narrow" w:hAnsi="Arial Narrow" w:cs="Calibri"/>
                <w:sz w:val="20"/>
                <w:szCs w:val="20"/>
              </w:rPr>
            </w:pPr>
            <w:r w:rsidRPr="00E3331A">
              <w:rPr>
                <w:rFonts w:ascii="Arial Narrow" w:hAnsi="Arial Narrow" w:cs="Calibri"/>
                <w:sz w:val="20"/>
                <w:szCs w:val="20"/>
              </w:rPr>
              <w:t>Ig, 497g per patient per year</w:t>
            </w:r>
          </w:p>
        </w:tc>
        <w:tc>
          <w:tcPr>
            <w:tcW w:w="1293" w:type="dxa"/>
            <w:shd w:val="clear" w:color="auto" w:fill="auto"/>
            <w:noWrap/>
            <w:vAlign w:val="bottom"/>
          </w:tcPr>
          <w:p w:rsidR="00F21090" w:rsidRPr="00E3331A" w:rsidRDefault="00F21090" w:rsidP="00F21090">
            <w:pPr>
              <w:jc w:val="center"/>
              <w:rPr>
                <w:rFonts w:ascii="Arial Narrow" w:hAnsi="Arial Narrow" w:cs="Calibri"/>
                <w:sz w:val="20"/>
                <w:szCs w:val="20"/>
              </w:rPr>
            </w:pPr>
            <w:r w:rsidRPr="00E3331A">
              <w:rPr>
                <w:rFonts w:ascii="Arial Narrow" w:hAnsi="Arial Narrow" w:cs="Calibri"/>
                <w:color w:val="000000"/>
                <w:sz w:val="20"/>
                <w:szCs w:val="20"/>
              </w:rPr>
              <w:t>$174,469</w:t>
            </w:r>
          </w:p>
        </w:tc>
        <w:tc>
          <w:tcPr>
            <w:tcW w:w="1294" w:type="dxa"/>
            <w:shd w:val="clear" w:color="auto" w:fill="auto"/>
            <w:noWrap/>
            <w:vAlign w:val="bottom"/>
          </w:tcPr>
          <w:p w:rsidR="00F21090" w:rsidRPr="00E3331A" w:rsidRDefault="00F21090" w:rsidP="00F21090">
            <w:pPr>
              <w:jc w:val="center"/>
              <w:rPr>
                <w:rFonts w:ascii="Arial Narrow" w:hAnsi="Arial Narrow" w:cs="Calibri"/>
                <w:sz w:val="20"/>
                <w:szCs w:val="20"/>
              </w:rPr>
            </w:pPr>
            <w:r w:rsidRPr="00E3331A">
              <w:rPr>
                <w:rFonts w:ascii="Arial Narrow" w:hAnsi="Arial Narrow" w:cs="Calibri"/>
                <w:color w:val="000000"/>
                <w:sz w:val="20"/>
                <w:szCs w:val="20"/>
              </w:rPr>
              <w:t>$130,714</w:t>
            </w:r>
          </w:p>
        </w:tc>
        <w:tc>
          <w:tcPr>
            <w:tcW w:w="1294" w:type="dxa"/>
            <w:shd w:val="clear" w:color="auto" w:fill="auto"/>
            <w:noWrap/>
            <w:vAlign w:val="bottom"/>
          </w:tcPr>
          <w:p w:rsidR="00F21090" w:rsidRPr="00E3331A" w:rsidRDefault="00F21090" w:rsidP="00F21090">
            <w:pPr>
              <w:jc w:val="center"/>
              <w:rPr>
                <w:rFonts w:ascii="Arial Narrow" w:hAnsi="Arial Narrow" w:cs="Calibri"/>
                <w:sz w:val="20"/>
                <w:szCs w:val="20"/>
              </w:rPr>
            </w:pPr>
            <w:r w:rsidRPr="00E3331A">
              <w:rPr>
                <w:rFonts w:ascii="Arial Narrow" w:hAnsi="Arial Narrow" w:cs="Calibri"/>
                <w:color w:val="000000"/>
                <w:sz w:val="20"/>
                <w:szCs w:val="20"/>
              </w:rPr>
              <w:t>5.10</w:t>
            </w:r>
          </w:p>
        </w:tc>
        <w:tc>
          <w:tcPr>
            <w:tcW w:w="1294" w:type="dxa"/>
            <w:shd w:val="clear" w:color="auto" w:fill="auto"/>
            <w:noWrap/>
            <w:vAlign w:val="bottom"/>
          </w:tcPr>
          <w:p w:rsidR="00F21090" w:rsidRPr="00E3331A" w:rsidRDefault="00F21090" w:rsidP="00F21090">
            <w:pPr>
              <w:jc w:val="center"/>
              <w:rPr>
                <w:rFonts w:ascii="Arial Narrow" w:hAnsi="Arial Narrow" w:cs="Calibri"/>
                <w:sz w:val="20"/>
                <w:szCs w:val="20"/>
              </w:rPr>
            </w:pPr>
            <w:r w:rsidRPr="00E3331A">
              <w:rPr>
                <w:rFonts w:ascii="Arial Narrow" w:hAnsi="Arial Narrow" w:cs="Calibri"/>
                <w:color w:val="000000"/>
                <w:sz w:val="20"/>
                <w:szCs w:val="20"/>
              </w:rPr>
              <w:t>0.66</w:t>
            </w:r>
          </w:p>
        </w:tc>
        <w:tc>
          <w:tcPr>
            <w:tcW w:w="1294" w:type="dxa"/>
            <w:shd w:val="clear" w:color="auto" w:fill="auto"/>
            <w:noWrap/>
            <w:vAlign w:val="bottom"/>
          </w:tcPr>
          <w:p w:rsidR="00F21090" w:rsidRPr="00E3331A" w:rsidRDefault="00F21090" w:rsidP="00F21090">
            <w:pPr>
              <w:jc w:val="center"/>
              <w:rPr>
                <w:rFonts w:ascii="Arial Narrow" w:hAnsi="Arial Narrow" w:cs="Calibri"/>
                <w:sz w:val="20"/>
                <w:szCs w:val="20"/>
              </w:rPr>
            </w:pPr>
            <w:r w:rsidRPr="00E3331A">
              <w:rPr>
                <w:rFonts w:ascii="Arial Narrow" w:hAnsi="Arial Narrow" w:cs="Calibri"/>
                <w:color w:val="000000"/>
                <w:sz w:val="20"/>
                <w:szCs w:val="20"/>
              </w:rPr>
              <w:t>$197,472</w:t>
            </w:r>
          </w:p>
        </w:tc>
      </w:tr>
      <w:tr w:rsidR="00F21090" w:rsidRPr="00E3331A" w:rsidTr="003F2968">
        <w:trPr>
          <w:trHeight w:val="300"/>
        </w:trPr>
        <w:tc>
          <w:tcPr>
            <w:tcW w:w="2547" w:type="dxa"/>
            <w:shd w:val="clear" w:color="auto" w:fill="auto"/>
            <w:noWrap/>
            <w:vAlign w:val="bottom"/>
          </w:tcPr>
          <w:p w:rsidR="00F21090" w:rsidRPr="00E3331A" w:rsidRDefault="00F21090" w:rsidP="00F21090">
            <w:pPr>
              <w:rPr>
                <w:rFonts w:ascii="Arial Narrow" w:hAnsi="Arial Narrow" w:cs="Calibri"/>
                <w:sz w:val="20"/>
                <w:szCs w:val="20"/>
              </w:rPr>
            </w:pPr>
            <w:r w:rsidRPr="00E3331A">
              <w:rPr>
                <w:rFonts w:ascii="Arial Narrow" w:hAnsi="Arial Narrow" w:cs="Calibri"/>
                <w:sz w:val="20"/>
                <w:szCs w:val="20"/>
              </w:rPr>
              <w:lastRenderedPageBreak/>
              <w:t>Ig, 1,430 g per patient per year</w:t>
            </w:r>
          </w:p>
        </w:tc>
        <w:tc>
          <w:tcPr>
            <w:tcW w:w="1293" w:type="dxa"/>
            <w:shd w:val="clear" w:color="auto" w:fill="auto"/>
            <w:noWrap/>
            <w:vAlign w:val="bottom"/>
          </w:tcPr>
          <w:p w:rsidR="00F21090" w:rsidRPr="00E3331A" w:rsidRDefault="00F21090" w:rsidP="00F21090">
            <w:pPr>
              <w:jc w:val="center"/>
              <w:rPr>
                <w:rFonts w:ascii="Arial Narrow" w:hAnsi="Arial Narrow" w:cs="Calibri"/>
                <w:color w:val="000000"/>
                <w:sz w:val="20"/>
                <w:szCs w:val="20"/>
              </w:rPr>
            </w:pPr>
            <w:r w:rsidRPr="00E3331A">
              <w:rPr>
                <w:rFonts w:ascii="Arial Narrow" w:hAnsi="Arial Narrow" w:cs="Calibri"/>
                <w:color w:val="000000"/>
                <w:sz w:val="20"/>
                <w:szCs w:val="20"/>
              </w:rPr>
              <w:t>$407,752</w:t>
            </w:r>
          </w:p>
        </w:tc>
        <w:tc>
          <w:tcPr>
            <w:tcW w:w="1294" w:type="dxa"/>
            <w:shd w:val="clear" w:color="auto" w:fill="auto"/>
            <w:noWrap/>
            <w:vAlign w:val="bottom"/>
          </w:tcPr>
          <w:p w:rsidR="00F21090" w:rsidRPr="00E3331A" w:rsidRDefault="00F21090" w:rsidP="00F21090">
            <w:pPr>
              <w:jc w:val="center"/>
              <w:rPr>
                <w:rFonts w:ascii="Arial Narrow" w:hAnsi="Arial Narrow" w:cs="Calibri"/>
                <w:color w:val="000000"/>
                <w:sz w:val="20"/>
                <w:szCs w:val="20"/>
              </w:rPr>
            </w:pPr>
            <w:r w:rsidRPr="00E3331A">
              <w:rPr>
                <w:rFonts w:ascii="Arial Narrow" w:hAnsi="Arial Narrow" w:cs="Calibri"/>
                <w:color w:val="000000"/>
                <w:sz w:val="20"/>
                <w:szCs w:val="20"/>
              </w:rPr>
              <w:t>$363,997</w:t>
            </w:r>
          </w:p>
        </w:tc>
        <w:tc>
          <w:tcPr>
            <w:tcW w:w="1294" w:type="dxa"/>
            <w:shd w:val="clear" w:color="auto" w:fill="auto"/>
            <w:noWrap/>
            <w:vAlign w:val="bottom"/>
          </w:tcPr>
          <w:p w:rsidR="00F21090" w:rsidRPr="00E3331A" w:rsidRDefault="00F21090" w:rsidP="00F21090">
            <w:pPr>
              <w:jc w:val="center"/>
              <w:rPr>
                <w:rFonts w:ascii="Arial Narrow" w:hAnsi="Arial Narrow" w:cs="Calibri"/>
                <w:color w:val="000000"/>
                <w:sz w:val="20"/>
                <w:szCs w:val="20"/>
              </w:rPr>
            </w:pPr>
            <w:r w:rsidRPr="00E3331A">
              <w:rPr>
                <w:rFonts w:ascii="Arial Narrow" w:hAnsi="Arial Narrow" w:cs="Calibri"/>
                <w:color w:val="000000"/>
                <w:sz w:val="20"/>
                <w:szCs w:val="20"/>
              </w:rPr>
              <w:t>5.10</w:t>
            </w:r>
          </w:p>
        </w:tc>
        <w:tc>
          <w:tcPr>
            <w:tcW w:w="1294" w:type="dxa"/>
            <w:shd w:val="clear" w:color="auto" w:fill="auto"/>
            <w:noWrap/>
            <w:vAlign w:val="bottom"/>
          </w:tcPr>
          <w:p w:rsidR="00F21090" w:rsidRPr="00E3331A" w:rsidRDefault="00F21090" w:rsidP="00F21090">
            <w:pPr>
              <w:jc w:val="center"/>
              <w:rPr>
                <w:rFonts w:ascii="Arial Narrow" w:hAnsi="Arial Narrow" w:cs="Calibri"/>
                <w:color w:val="000000"/>
                <w:sz w:val="20"/>
                <w:szCs w:val="20"/>
              </w:rPr>
            </w:pPr>
            <w:r w:rsidRPr="00E3331A">
              <w:rPr>
                <w:rFonts w:ascii="Arial Narrow" w:hAnsi="Arial Narrow" w:cs="Calibri"/>
                <w:color w:val="000000"/>
                <w:sz w:val="20"/>
                <w:szCs w:val="20"/>
              </w:rPr>
              <w:t>0.66</w:t>
            </w:r>
          </w:p>
        </w:tc>
        <w:tc>
          <w:tcPr>
            <w:tcW w:w="1294" w:type="dxa"/>
            <w:shd w:val="clear" w:color="auto" w:fill="auto"/>
            <w:noWrap/>
            <w:vAlign w:val="bottom"/>
          </w:tcPr>
          <w:p w:rsidR="00F21090" w:rsidRPr="00E3331A" w:rsidRDefault="00F21090" w:rsidP="00F21090">
            <w:pPr>
              <w:jc w:val="center"/>
              <w:rPr>
                <w:rFonts w:ascii="Arial Narrow" w:hAnsi="Arial Narrow" w:cs="Calibri"/>
                <w:color w:val="000000"/>
                <w:sz w:val="20"/>
                <w:szCs w:val="20"/>
              </w:rPr>
            </w:pPr>
            <w:r w:rsidRPr="00E3331A">
              <w:rPr>
                <w:rFonts w:ascii="Arial Narrow" w:hAnsi="Arial Narrow" w:cs="Calibri"/>
                <w:color w:val="000000"/>
                <w:sz w:val="20"/>
                <w:szCs w:val="20"/>
              </w:rPr>
              <w:t>$549,897</w:t>
            </w:r>
          </w:p>
        </w:tc>
      </w:tr>
      <w:tr w:rsidR="00F21090" w:rsidRPr="00E3331A" w:rsidTr="003F2968">
        <w:trPr>
          <w:trHeight w:val="300"/>
        </w:trPr>
        <w:tc>
          <w:tcPr>
            <w:tcW w:w="2547" w:type="dxa"/>
            <w:shd w:val="clear" w:color="auto" w:fill="auto"/>
            <w:noWrap/>
            <w:vAlign w:val="bottom"/>
            <w:hideMark/>
          </w:tcPr>
          <w:p w:rsidR="00F21090" w:rsidRPr="00E3331A" w:rsidRDefault="00F21090" w:rsidP="00F21090">
            <w:pPr>
              <w:rPr>
                <w:rFonts w:ascii="Arial Narrow" w:hAnsi="Arial Narrow" w:cs="Calibri"/>
                <w:sz w:val="20"/>
                <w:szCs w:val="20"/>
              </w:rPr>
            </w:pPr>
            <w:r w:rsidRPr="00E3331A">
              <w:rPr>
                <w:rFonts w:ascii="Arial Narrow" w:hAnsi="Arial Narrow" w:cs="Calibri"/>
                <w:sz w:val="20"/>
                <w:szCs w:val="20"/>
              </w:rPr>
              <w:t>Corticosteroids</w:t>
            </w:r>
          </w:p>
        </w:tc>
        <w:tc>
          <w:tcPr>
            <w:tcW w:w="1293" w:type="dxa"/>
            <w:shd w:val="clear" w:color="auto" w:fill="auto"/>
            <w:noWrap/>
            <w:vAlign w:val="bottom"/>
          </w:tcPr>
          <w:p w:rsidR="00F21090" w:rsidRPr="00E3331A" w:rsidRDefault="00F21090" w:rsidP="00F21090">
            <w:pPr>
              <w:jc w:val="center"/>
              <w:rPr>
                <w:rFonts w:ascii="Arial Narrow" w:hAnsi="Arial Narrow" w:cs="Calibri"/>
                <w:sz w:val="20"/>
                <w:szCs w:val="20"/>
              </w:rPr>
            </w:pPr>
            <w:r w:rsidRPr="00E3331A">
              <w:rPr>
                <w:rFonts w:ascii="Arial Narrow" w:hAnsi="Arial Narrow" w:cs="Calibri"/>
                <w:color w:val="000000"/>
                <w:sz w:val="20"/>
                <w:szCs w:val="20"/>
              </w:rPr>
              <w:t>$43,755</w:t>
            </w:r>
          </w:p>
        </w:tc>
        <w:tc>
          <w:tcPr>
            <w:tcW w:w="1294" w:type="dxa"/>
            <w:shd w:val="clear" w:color="auto" w:fill="auto"/>
            <w:noWrap/>
            <w:vAlign w:val="bottom"/>
          </w:tcPr>
          <w:p w:rsidR="00F21090" w:rsidRPr="00E3331A" w:rsidRDefault="00F21090" w:rsidP="00F21090">
            <w:pPr>
              <w:jc w:val="center"/>
              <w:rPr>
                <w:rFonts w:ascii="Arial Narrow" w:hAnsi="Arial Narrow" w:cs="Calibri"/>
                <w:sz w:val="20"/>
                <w:szCs w:val="20"/>
              </w:rPr>
            </w:pPr>
            <w:r w:rsidRPr="00E3331A">
              <w:rPr>
                <w:rFonts w:ascii="Arial Narrow" w:hAnsi="Arial Narrow" w:cs="Calibri"/>
                <w:color w:val="000000"/>
                <w:sz w:val="20"/>
                <w:szCs w:val="20"/>
              </w:rPr>
              <w:t> </w:t>
            </w:r>
          </w:p>
        </w:tc>
        <w:tc>
          <w:tcPr>
            <w:tcW w:w="1294" w:type="dxa"/>
            <w:shd w:val="clear" w:color="auto" w:fill="auto"/>
            <w:noWrap/>
            <w:vAlign w:val="bottom"/>
          </w:tcPr>
          <w:p w:rsidR="00F21090" w:rsidRPr="00E3331A" w:rsidRDefault="00F21090" w:rsidP="00F21090">
            <w:pPr>
              <w:jc w:val="center"/>
              <w:rPr>
                <w:rFonts w:ascii="Arial Narrow" w:hAnsi="Arial Narrow" w:cs="Calibri"/>
                <w:sz w:val="20"/>
                <w:szCs w:val="20"/>
              </w:rPr>
            </w:pPr>
            <w:r w:rsidRPr="00E3331A">
              <w:rPr>
                <w:rFonts w:ascii="Arial Narrow" w:hAnsi="Arial Narrow" w:cs="Calibri"/>
                <w:color w:val="000000"/>
                <w:sz w:val="20"/>
                <w:szCs w:val="20"/>
              </w:rPr>
              <w:t>4.44</w:t>
            </w:r>
          </w:p>
        </w:tc>
        <w:tc>
          <w:tcPr>
            <w:tcW w:w="1294" w:type="dxa"/>
            <w:shd w:val="clear" w:color="auto" w:fill="auto"/>
            <w:noWrap/>
            <w:vAlign w:val="bottom"/>
          </w:tcPr>
          <w:p w:rsidR="00F21090" w:rsidRPr="00E3331A" w:rsidRDefault="00F21090" w:rsidP="00F21090">
            <w:pPr>
              <w:jc w:val="center"/>
              <w:rPr>
                <w:rFonts w:ascii="Arial Narrow" w:hAnsi="Arial Narrow" w:cs="Calibri"/>
                <w:sz w:val="20"/>
                <w:szCs w:val="20"/>
              </w:rPr>
            </w:pPr>
          </w:p>
        </w:tc>
        <w:tc>
          <w:tcPr>
            <w:tcW w:w="1294" w:type="dxa"/>
            <w:shd w:val="clear" w:color="auto" w:fill="auto"/>
            <w:noWrap/>
            <w:vAlign w:val="bottom"/>
          </w:tcPr>
          <w:p w:rsidR="00F21090" w:rsidRPr="00E3331A" w:rsidRDefault="00F21090" w:rsidP="00F21090">
            <w:pPr>
              <w:jc w:val="center"/>
              <w:rPr>
                <w:rFonts w:ascii="Arial Narrow" w:hAnsi="Arial Narrow" w:cs="Calibri"/>
                <w:sz w:val="20"/>
                <w:szCs w:val="20"/>
              </w:rPr>
            </w:pPr>
          </w:p>
        </w:tc>
      </w:tr>
    </w:tbl>
    <w:p w:rsidR="00BD5568" w:rsidRPr="00E3331A" w:rsidRDefault="00BD5568" w:rsidP="0037150F">
      <w:pPr>
        <w:pStyle w:val="Tablenotes1"/>
      </w:pPr>
      <w:r w:rsidRPr="00E3331A">
        <w:t>ICER = Incremental Cost-Effectiveness Ratio</w:t>
      </w:r>
      <w:r w:rsidR="00047ADA" w:rsidRPr="00E3331A">
        <w:t>, QALY = quality-adjusted life year</w:t>
      </w:r>
    </w:p>
    <w:p w:rsidR="000323A3" w:rsidRPr="00E3331A" w:rsidRDefault="00E967DD" w:rsidP="0080073B">
      <w:r w:rsidRPr="00E3331A">
        <w:t>A</w:t>
      </w:r>
      <w:r w:rsidR="000323A3" w:rsidRPr="00E3331A">
        <w:t>ssumption</w:t>
      </w:r>
      <w:r w:rsidRPr="00E3331A">
        <w:t>s</w:t>
      </w:r>
      <w:r w:rsidR="000323A3" w:rsidRPr="00E3331A">
        <w:t xml:space="preserve"> about price paid for Ig product and assumed dosing are key drivers of </w:t>
      </w:r>
      <w:r w:rsidR="006A5EA9" w:rsidRPr="00E3331A">
        <w:t xml:space="preserve">the </w:t>
      </w:r>
      <w:r w:rsidR="000323A3" w:rsidRPr="00E3331A">
        <w:t>model results</w:t>
      </w:r>
      <w:r w:rsidR="006A5EA9" w:rsidRPr="00E3331A">
        <w:t xml:space="preserve">, which </w:t>
      </w:r>
      <w:r w:rsidR="000323A3" w:rsidRPr="00E3331A">
        <w:t xml:space="preserve">are summarised in </w:t>
      </w:r>
      <w:r w:rsidR="006F35B9" w:rsidRPr="00E3331A">
        <w:t xml:space="preserve">Table </w:t>
      </w:r>
      <w:r w:rsidR="006F35B9">
        <w:rPr>
          <w:noProof/>
        </w:rPr>
        <w:t>5</w:t>
      </w:r>
      <w:r w:rsidR="000323A3" w:rsidRPr="00E3331A">
        <w:t>.</w:t>
      </w:r>
    </w:p>
    <w:p w:rsidR="000323A3" w:rsidRPr="00E3331A" w:rsidRDefault="000323A3" w:rsidP="0080073B">
      <w:pPr>
        <w:pStyle w:val="Caption"/>
        <w:tabs>
          <w:tab w:val="left" w:pos="1134"/>
        </w:tabs>
        <w:ind w:left="1134" w:hanging="1134"/>
        <w:rPr>
          <w:rFonts w:cs="Arial"/>
          <w:snapToGrid w:val="0"/>
          <w:szCs w:val="16"/>
          <w:lang w:eastAsia="en-US"/>
        </w:rPr>
      </w:pPr>
      <w:bookmarkStart w:id="84" w:name="_Ref9774041"/>
      <w:bookmarkStart w:id="85" w:name="_Toc493000480"/>
      <w:bookmarkStart w:id="86" w:name="_Toc24103311"/>
      <w:r w:rsidRPr="00E3331A">
        <w:t xml:space="preserve">Table </w:t>
      </w:r>
      <w:r w:rsidR="006F35B9">
        <w:rPr>
          <w:noProof/>
        </w:rPr>
        <w:t>5</w:t>
      </w:r>
      <w:bookmarkEnd w:id="84"/>
      <w:r w:rsidR="00FA3B5A" w:rsidRPr="00E3331A">
        <w:tab/>
      </w:r>
      <w:r w:rsidRPr="00E3331A">
        <w:rPr>
          <w:rFonts w:cs="Arial"/>
          <w:snapToGrid w:val="0"/>
          <w:szCs w:val="16"/>
          <w:lang w:eastAsia="en-US"/>
        </w:rPr>
        <w:t>Drivers of the economic model</w:t>
      </w:r>
      <w:bookmarkEnd w:id="85"/>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2"/>
        <w:gridCol w:w="3118"/>
        <w:gridCol w:w="3776"/>
      </w:tblGrid>
      <w:tr w:rsidR="000323A3" w:rsidRPr="00E3331A" w:rsidTr="00193E84">
        <w:trPr>
          <w:tblHeader/>
        </w:trPr>
        <w:tc>
          <w:tcPr>
            <w:tcW w:w="1177" w:type="pct"/>
            <w:shd w:val="clear" w:color="auto" w:fill="D9D9D9"/>
            <w:vAlign w:val="center"/>
          </w:tcPr>
          <w:p w:rsidR="000323A3" w:rsidRPr="00E3331A" w:rsidRDefault="000323A3" w:rsidP="000323A3">
            <w:pPr>
              <w:pStyle w:val="TableHeading"/>
              <w:rPr>
                <w:snapToGrid w:val="0"/>
                <w:lang w:eastAsia="en-US"/>
              </w:rPr>
            </w:pPr>
            <w:r w:rsidRPr="00E3331A">
              <w:rPr>
                <w:snapToGrid w:val="0"/>
                <w:lang w:eastAsia="en-US"/>
              </w:rPr>
              <w:t>Description</w:t>
            </w:r>
          </w:p>
        </w:tc>
        <w:tc>
          <w:tcPr>
            <w:tcW w:w="1729" w:type="pct"/>
            <w:shd w:val="clear" w:color="auto" w:fill="D9D9D9"/>
            <w:vAlign w:val="center"/>
          </w:tcPr>
          <w:p w:rsidR="000323A3" w:rsidRPr="00E3331A" w:rsidRDefault="000323A3" w:rsidP="000323A3">
            <w:pPr>
              <w:pStyle w:val="TableHeading"/>
              <w:rPr>
                <w:snapToGrid w:val="0"/>
                <w:lang w:eastAsia="en-US"/>
              </w:rPr>
            </w:pPr>
            <w:r w:rsidRPr="00E3331A">
              <w:rPr>
                <w:snapToGrid w:val="0"/>
                <w:lang w:eastAsia="en-US"/>
              </w:rPr>
              <w:t>Method/Value</w:t>
            </w:r>
          </w:p>
        </w:tc>
        <w:tc>
          <w:tcPr>
            <w:tcW w:w="2094" w:type="pct"/>
            <w:shd w:val="clear" w:color="auto" w:fill="D9D9D9"/>
            <w:vAlign w:val="center"/>
          </w:tcPr>
          <w:p w:rsidR="000323A3" w:rsidRPr="00E3331A" w:rsidRDefault="000323A3" w:rsidP="000323A3">
            <w:pPr>
              <w:pStyle w:val="TableHeading"/>
              <w:rPr>
                <w:snapToGrid w:val="0"/>
                <w:lang w:eastAsia="en-US"/>
              </w:rPr>
            </w:pPr>
            <w:r w:rsidRPr="00E3331A">
              <w:rPr>
                <w:snapToGrid w:val="0"/>
                <w:lang w:eastAsia="en-US"/>
              </w:rPr>
              <w:t>Impact</w:t>
            </w:r>
          </w:p>
        </w:tc>
      </w:tr>
      <w:tr w:rsidR="00F21090" w:rsidRPr="00E3331A" w:rsidTr="00193E84">
        <w:tc>
          <w:tcPr>
            <w:tcW w:w="1177" w:type="pct"/>
            <w:shd w:val="clear" w:color="auto" w:fill="auto"/>
            <w:vAlign w:val="center"/>
          </w:tcPr>
          <w:p w:rsidR="00F21090" w:rsidRPr="00E3331A" w:rsidRDefault="00F21090" w:rsidP="00F21090">
            <w:pPr>
              <w:pStyle w:val="Tabletext1"/>
              <w:rPr>
                <w:snapToGrid w:val="0"/>
                <w:lang w:eastAsia="en-US"/>
              </w:rPr>
            </w:pPr>
            <w:r w:rsidRPr="00E3331A">
              <w:rPr>
                <w:snapToGrid w:val="0"/>
                <w:lang w:eastAsia="en-US"/>
              </w:rPr>
              <w:t>Utilities for Ig responders and steroids</w:t>
            </w:r>
          </w:p>
        </w:tc>
        <w:tc>
          <w:tcPr>
            <w:tcW w:w="1729" w:type="pct"/>
            <w:shd w:val="clear" w:color="auto" w:fill="auto"/>
            <w:vAlign w:val="center"/>
          </w:tcPr>
          <w:p w:rsidR="00F21090" w:rsidRPr="00E3331A" w:rsidRDefault="00F21090" w:rsidP="00F21090">
            <w:pPr>
              <w:pStyle w:val="Tabletext1"/>
              <w:rPr>
                <w:snapToGrid w:val="0"/>
                <w:lang w:eastAsia="en-US"/>
              </w:rPr>
            </w:pPr>
            <w:r w:rsidRPr="00E3331A">
              <w:rPr>
                <w:snapToGrid w:val="0"/>
                <w:lang w:eastAsia="en-US"/>
              </w:rPr>
              <w:t xml:space="preserve">The utility gain of 0.12 employed in Blackhouse </w:t>
            </w:r>
            <w:r w:rsidR="00983BA7">
              <w:rPr>
                <w:snapToGrid w:val="0"/>
                <w:lang w:eastAsia="en-US"/>
              </w:rPr>
              <w:t xml:space="preserve">et al. </w:t>
            </w:r>
            <w:r w:rsidRPr="00E3331A">
              <w:rPr>
                <w:snapToGrid w:val="0"/>
                <w:lang w:eastAsia="en-US"/>
              </w:rPr>
              <w:t xml:space="preserve">(2010) was used to estimate the difference between Ig and steroids. It was based on the small study </w:t>
            </w:r>
            <w:r w:rsidR="00E135A4" w:rsidRPr="00E3331A">
              <w:rPr>
                <w:snapToGrid w:val="0"/>
                <w:lang w:eastAsia="en-US"/>
              </w:rPr>
              <w:t>by</w:t>
            </w:r>
            <w:r w:rsidRPr="00E3331A">
              <w:rPr>
                <w:snapToGrid w:val="0"/>
                <w:lang w:eastAsia="en-US"/>
              </w:rPr>
              <w:t xml:space="preserve"> McCrone </w:t>
            </w:r>
            <w:r w:rsidR="00983BA7">
              <w:rPr>
                <w:snapToGrid w:val="0"/>
                <w:lang w:eastAsia="en-US"/>
              </w:rPr>
              <w:t xml:space="preserve">et al. </w:t>
            </w:r>
            <w:r w:rsidRPr="00E3331A">
              <w:rPr>
                <w:snapToGrid w:val="0"/>
                <w:lang w:eastAsia="en-US"/>
              </w:rPr>
              <w:t xml:space="preserve">(2003). A more recent study by Nobile-Orazio found no utility gain, however there were high drop-outs in study arms, which confound generalisability of results. </w:t>
            </w:r>
          </w:p>
        </w:tc>
        <w:tc>
          <w:tcPr>
            <w:tcW w:w="2094" w:type="pct"/>
            <w:shd w:val="clear" w:color="auto" w:fill="auto"/>
            <w:vAlign w:val="center"/>
          </w:tcPr>
          <w:p w:rsidR="00F21090" w:rsidRPr="00E3331A" w:rsidRDefault="00F21090" w:rsidP="00F21090">
            <w:pPr>
              <w:pStyle w:val="Tabletext1"/>
              <w:rPr>
                <w:snapToGrid w:val="0"/>
                <w:lang w:eastAsia="en-US"/>
              </w:rPr>
            </w:pPr>
            <w:r w:rsidRPr="00E3331A">
              <w:rPr>
                <w:snapToGrid w:val="0"/>
                <w:lang w:eastAsia="en-US"/>
              </w:rPr>
              <w:t xml:space="preserve">Large. Decreasing this value has a </w:t>
            </w:r>
            <w:r w:rsidR="00923AD4" w:rsidRPr="00E3331A">
              <w:rPr>
                <w:snapToGrid w:val="0"/>
                <w:lang w:eastAsia="en-US"/>
              </w:rPr>
              <w:t>large impact on estimated ICER.</w:t>
            </w:r>
            <w:r w:rsidR="00193E84" w:rsidRPr="00E3331A">
              <w:rPr>
                <w:snapToGrid w:val="0"/>
                <w:lang w:eastAsia="en-US"/>
              </w:rPr>
              <w:t xml:space="preserve"> The Reference Group noted that that in McCrone </w:t>
            </w:r>
            <w:r w:rsidR="00983BA7">
              <w:rPr>
                <w:snapToGrid w:val="0"/>
                <w:lang w:eastAsia="en-US"/>
              </w:rPr>
              <w:t xml:space="preserve">et al. </w:t>
            </w:r>
            <w:r w:rsidR="00193E84" w:rsidRPr="00E3331A">
              <w:rPr>
                <w:snapToGrid w:val="0"/>
                <w:lang w:eastAsia="en-US"/>
              </w:rPr>
              <w:t>(2003) health-related quality of life (or the utility difference) was not significantly different for IVIg compared to steroids</w:t>
            </w:r>
            <w:r w:rsidR="00193E84" w:rsidRPr="00E3331A">
              <w:rPr>
                <w:rStyle w:val="CommentReference"/>
                <w:snapToGrid w:val="0"/>
                <w:sz w:val="20"/>
                <w:lang w:eastAsia="en-US"/>
              </w:rPr>
              <w:t xml:space="preserve"> </w:t>
            </w:r>
          </w:p>
        </w:tc>
      </w:tr>
      <w:tr w:rsidR="00F21090" w:rsidRPr="00E3331A" w:rsidTr="00193E84">
        <w:tc>
          <w:tcPr>
            <w:tcW w:w="1177" w:type="pct"/>
            <w:shd w:val="clear" w:color="auto" w:fill="auto"/>
            <w:vAlign w:val="center"/>
          </w:tcPr>
          <w:p w:rsidR="00F21090" w:rsidRPr="00E3331A" w:rsidRDefault="00F21090" w:rsidP="00F21090">
            <w:pPr>
              <w:pStyle w:val="Tabletext1"/>
              <w:rPr>
                <w:snapToGrid w:val="0"/>
                <w:lang w:eastAsia="en-US"/>
              </w:rPr>
            </w:pPr>
            <w:r w:rsidRPr="00E3331A">
              <w:rPr>
                <w:snapToGrid w:val="0"/>
                <w:lang w:eastAsia="en-US"/>
              </w:rPr>
              <w:t>Cost of Ig</w:t>
            </w:r>
          </w:p>
        </w:tc>
        <w:tc>
          <w:tcPr>
            <w:tcW w:w="1729" w:type="pct"/>
            <w:shd w:val="clear" w:color="auto" w:fill="auto"/>
            <w:vAlign w:val="center"/>
          </w:tcPr>
          <w:p w:rsidR="00F21090" w:rsidRPr="00E3331A" w:rsidRDefault="00F21090" w:rsidP="00F21090">
            <w:pPr>
              <w:pStyle w:val="Tabletext1"/>
              <w:rPr>
                <w:snapToGrid w:val="0"/>
                <w:lang w:eastAsia="en-US"/>
              </w:rPr>
            </w:pPr>
            <w:r w:rsidRPr="00E3331A">
              <w:rPr>
                <w:snapToGrid w:val="0"/>
                <w:lang w:eastAsia="en-US"/>
              </w:rPr>
              <w:t xml:space="preserve">The cost of Ig accounts for more than 80% of intervention costs. Correspondingly, variation in this cost has a large impact on the estimated ICER. </w:t>
            </w:r>
          </w:p>
        </w:tc>
        <w:tc>
          <w:tcPr>
            <w:tcW w:w="2094" w:type="pct"/>
            <w:shd w:val="clear" w:color="auto" w:fill="auto"/>
            <w:vAlign w:val="center"/>
          </w:tcPr>
          <w:p w:rsidR="00F21090" w:rsidRPr="00E3331A" w:rsidRDefault="00F21090" w:rsidP="00B42499">
            <w:pPr>
              <w:pStyle w:val="Tabletext1"/>
              <w:rPr>
                <w:snapToGrid w:val="0"/>
                <w:lang w:eastAsia="en-US"/>
              </w:rPr>
            </w:pPr>
            <w:r w:rsidRPr="00E3331A">
              <w:rPr>
                <w:snapToGrid w:val="0"/>
                <w:lang w:eastAsia="en-US"/>
              </w:rPr>
              <w:t xml:space="preserve">Large. Lower Ig price </w:t>
            </w:r>
            <w:r w:rsidR="00193E84" w:rsidRPr="00E3331A">
              <w:rPr>
                <w:snapToGrid w:val="0"/>
                <w:lang w:eastAsia="en-US"/>
              </w:rPr>
              <w:t>reduces the ICER. Sensitivity analyses are undertaken using high and low Ig costs of $140.18 and $44.94 per gram. The 10-year ICER varies between $445,370 and $149,397</w:t>
            </w:r>
          </w:p>
        </w:tc>
      </w:tr>
      <w:tr w:rsidR="00F21090" w:rsidRPr="00E3331A" w:rsidTr="00193E84">
        <w:tc>
          <w:tcPr>
            <w:tcW w:w="1177" w:type="pct"/>
            <w:shd w:val="clear" w:color="auto" w:fill="auto"/>
            <w:vAlign w:val="center"/>
          </w:tcPr>
          <w:p w:rsidR="00F21090" w:rsidRPr="00E3331A" w:rsidRDefault="00F21090" w:rsidP="00F21090">
            <w:pPr>
              <w:pStyle w:val="Tabletext1"/>
              <w:rPr>
                <w:snapToGrid w:val="0"/>
                <w:lang w:eastAsia="en-US"/>
              </w:rPr>
            </w:pPr>
            <w:r w:rsidRPr="00E3331A">
              <w:rPr>
                <w:snapToGrid w:val="0"/>
                <w:lang w:eastAsia="en-US"/>
              </w:rPr>
              <w:t>Ig dosing</w:t>
            </w:r>
          </w:p>
        </w:tc>
        <w:tc>
          <w:tcPr>
            <w:tcW w:w="1729" w:type="pct"/>
            <w:shd w:val="clear" w:color="auto" w:fill="auto"/>
            <w:vAlign w:val="center"/>
          </w:tcPr>
          <w:p w:rsidR="00F21090" w:rsidRPr="00E3331A" w:rsidRDefault="00F21090" w:rsidP="00F21090">
            <w:pPr>
              <w:pStyle w:val="Tabletext1"/>
              <w:rPr>
                <w:snapToGrid w:val="0"/>
                <w:lang w:eastAsia="en-US"/>
              </w:rPr>
            </w:pPr>
            <w:r w:rsidRPr="00E3331A">
              <w:rPr>
                <w:snapToGrid w:val="0"/>
                <w:lang w:eastAsia="en-US"/>
              </w:rPr>
              <w:t xml:space="preserve">Induction and maintenance dosing frequencies and grams per dose have a large impact on the estimated ICER. The grams of Ig included in this study </w:t>
            </w:r>
            <w:r w:rsidR="00E135A4" w:rsidRPr="00E3331A">
              <w:rPr>
                <w:snapToGrid w:val="0"/>
                <w:lang w:eastAsia="en-US"/>
              </w:rPr>
              <w:t>of 497 g</w:t>
            </w:r>
            <w:r w:rsidRPr="00E3331A">
              <w:rPr>
                <w:snapToGrid w:val="0"/>
                <w:lang w:eastAsia="en-US"/>
              </w:rPr>
              <w:t xml:space="preserve"> are less than that of Blackhouse </w:t>
            </w:r>
            <w:r w:rsidR="00983BA7">
              <w:rPr>
                <w:snapToGrid w:val="0"/>
                <w:lang w:eastAsia="en-US"/>
              </w:rPr>
              <w:t xml:space="preserve">et al. </w:t>
            </w:r>
            <w:r w:rsidRPr="00E3331A">
              <w:rPr>
                <w:snapToGrid w:val="0"/>
                <w:lang w:eastAsia="en-US"/>
              </w:rPr>
              <w:t xml:space="preserve">(2010). </w:t>
            </w:r>
          </w:p>
        </w:tc>
        <w:tc>
          <w:tcPr>
            <w:tcW w:w="2094" w:type="pct"/>
            <w:shd w:val="clear" w:color="auto" w:fill="auto"/>
            <w:vAlign w:val="center"/>
          </w:tcPr>
          <w:p w:rsidR="00F21090" w:rsidRPr="00E3331A" w:rsidRDefault="00F21090" w:rsidP="00D045CF">
            <w:pPr>
              <w:pStyle w:val="Tabletext1"/>
              <w:rPr>
                <w:snapToGrid w:val="0"/>
                <w:lang w:eastAsia="en-US"/>
              </w:rPr>
            </w:pPr>
            <w:r w:rsidRPr="00E3331A">
              <w:rPr>
                <w:snapToGrid w:val="0"/>
                <w:lang w:eastAsia="en-US"/>
              </w:rPr>
              <w:t xml:space="preserve">Large. The estimated ICER of </w:t>
            </w:r>
            <w:r w:rsidR="00923AD4" w:rsidRPr="00E3331A">
              <w:rPr>
                <w:snapToGrid w:val="0"/>
                <w:lang w:eastAsia="en-US"/>
              </w:rPr>
              <w:t xml:space="preserve">$197,472 </w:t>
            </w:r>
            <w:r w:rsidRPr="00E3331A">
              <w:rPr>
                <w:snapToGrid w:val="0"/>
                <w:lang w:eastAsia="en-US"/>
              </w:rPr>
              <w:t xml:space="preserve">per QALY in this analysis is far less than Blackhouse </w:t>
            </w:r>
            <w:r w:rsidR="00983BA7">
              <w:rPr>
                <w:snapToGrid w:val="0"/>
                <w:lang w:eastAsia="en-US"/>
              </w:rPr>
              <w:t xml:space="preserve">et al. </w:t>
            </w:r>
            <w:r w:rsidR="00E135A4" w:rsidRPr="00E3331A">
              <w:rPr>
                <w:snapToGrid w:val="0"/>
                <w:lang w:eastAsia="en-US"/>
              </w:rPr>
              <w:t>(</w:t>
            </w:r>
            <w:r w:rsidRPr="00E3331A">
              <w:rPr>
                <w:snapToGrid w:val="0"/>
                <w:lang w:eastAsia="en-US"/>
              </w:rPr>
              <w:t>2010</w:t>
            </w:r>
            <w:r w:rsidR="00E135A4" w:rsidRPr="00E3331A">
              <w:rPr>
                <w:snapToGrid w:val="0"/>
                <w:lang w:eastAsia="en-US"/>
              </w:rPr>
              <w:t xml:space="preserve">) </w:t>
            </w:r>
            <w:r w:rsidRPr="00E3331A">
              <w:rPr>
                <w:snapToGrid w:val="0"/>
                <w:lang w:eastAsia="en-US"/>
              </w:rPr>
              <w:t>of</w:t>
            </w:r>
            <w:r w:rsidR="00E135A4" w:rsidRPr="00E3331A">
              <w:rPr>
                <w:snapToGrid w:val="0"/>
                <w:lang w:eastAsia="en-US"/>
              </w:rPr>
              <w:t>$</w:t>
            </w:r>
            <w:r w:rsidR="00923AD4" w:rsidRPr="00E3331A">
              <w:rPr>
                <w:snapToGrid w:val="0"/>
                <w:lang w:eastAsia="en-US"/>
              </w:rPr>
              <w:t xml:space="preserve">Canadian </w:t>
            </w:r>
            <w:r w:rsidR="00E135A4" w:rsidRPr="00E3331A">
              <w:rPr>
                <w:snapToGrid w:val="0"/>
                <w:lang w:eastAsia="en-US"/>
              </w:rPr>
              <w:t>670,396</w:t>
            </w:r>
            <w:r w:rsidR="00E135A4" w:rsidRPr="00E3331A" w:rsidDel="00D62760">
              <w:rPr>
                <w:snapToGrid w:val="0"/>
                <w:lang w:eastAsia="en-US"/>
              </w:rPr>
              <w:t xml:space="preserve"> </w:t>
            </w:r>
            <w:r w:rsidRPr="00E3331A">
              <w:rPr>
                <w:snapToGrid w:val="0"/>
                <w:lang w:eastAsia="en-US"/>
              </w:rPr>
              <w:t xml:space="preserve">per QALY </w:t>
            </w:r>
            <w:r w:rsidR="00193E84" w:rsidRPr="00E3331A">
              <w:rPr>
                <w:snapToGrid w:val="0"/>
                <w:lang w:eastAsia="en-US"/>
              </w:rPr>
              <w:t xml:space="preserve">($Australian 732,344 at current exchange rate of 1.09) </w:t>
            </w:r>
            <w:r w:rsidRPr="00E3331A">
              <w:rPr>
                <w:snapToGrid w:val="0"/>
                <w:lang w:eastAsia="en-US"/>
              </w:rPr>
              <w:t>gained</w:t>
            </w:r>
            <w:r w:rsidR="00E135A4" w:rsidRPr="00E3331A">
              <w:rPr>
                <w:snapToGrid w:val="0"/>
                <w:lang w:eastAsia="en-US"/>
              </w:rPr>
              <w:t xml:space="preserve"> due to lower</w:t>
            </w:r>
            <w:r w:rsidR="00923AD4" w:rsidRPr="00E3331A">
              <w:rPr>
                <w:snapToGrid w:val="0"/>
                <w:lang w:eastAsia="en-US"/>
              </w:rPr>
              <w:t xml:space="preserve"> Ig use</w:t>
            </w:r>
            <w:r w:rsidRPr="00E3331A">
              <w:rPr>
                <w:snapToGrid w:val="0"/>
                <w:lang w:eastAsia="en-US"/>
              </w:rPr>
              <w:t xml:space="preserve">. </w:t>
            </w:r>
            <w:r w:rsidR="00923AD4" w:rsidRPr="00E3331A">
              <w:rPr>
                <w:snapToGrid w:val="0"/>
                <w:lang w:eastAsia="en-US"/>
              </w:rPr>
              <w:t xml:space="preserve">Australian </w:t>
            </w:r>
            <w:r w:rsidRPr="00E3331A">
              <w:rPr>
                <w:snapToGrid w:val="0"/>
                <w:lang w:eastAsia="en-US"/>
              </w:rPr>
              <w:t>average Ig use</w:t>
            </w:r>
            <w:r w:rsidR="00923AD4" w:rsidRPr="00E3331A">
              <w:rPr>
                <w:snapToGrid w:val="0"/>
                <w:lang w:eastAsia="en-US"/>
              </w:rPr>
              <w:t xml:space="preserve"> of 497g per patient per year </w:t>
            </w:r>
            <w:r w:rsidR="00D045CF" w:rsidRPr="00E3331A">
              <w:rPr>
                <w:snapToGrid w:val="0"/>
                <w:lang w:eastAsia="en-US"/>
              </w:rPr>
              <w:t xml:space="preserve">versus </w:t>
            </w:r>
            <w:r w:rsidR="00193E84" w:rsidRPr="00E3331A">
              <w:rPr>
                <w:snapToGrid w:val="0"/>
                <w:lang w:eastAsia="en-US"/>
              </w:rPr>
              <w:t>initial treatment provided as two 1g/kg doses and maintenance treatment as a single 1g/kg dose every three weeks in the Canadian study</w:t>
            </w:r>
            <w:r w:rsidR="00EF7D52" w:rsidRPr="00E3331A">
              <w:rPr>
                <w:snapToGrid w:val="0"/>
                <w:lang w:eastAsia="en-US"/>
              </w:rPr>
              <w:t xml:space="preserve"> (around 1,447 g in the first year</w:t>
            </w:r>
            <w:r w:rsidR="000A1BD4">
              <w:rPr>
                <w:snapToGrid w:val="0"/>
                <w:lang w:eastAsia="en-US"/>
              </w:rPr>
              <w:t>)</w:t>
            </w:r>
          </w:p>
        </w:tc>
      </w:tr>
      <w:tr w:rsidR="00F21090" w:rsidRPr="00E3331A" w:rsidTr="00193E84">
        <w:tc>
          <w:tcPr>
            <w:tcW w:w="1177" w:type="pct"/>
            <w:shd w:val="clear" w:color="auto" w:fill="auto"/>
            <w:vAlign w:val="center"/>
          </w:tcPr>
          <w:p w:rsidR="00F21090" w:rsidRPr="00E3331A" w:rsidRDefault="00F21090" w:rsidP="00F21090">
            <w:pPr>
              <w:pStyle w:val="Tabletext1"/>
              <w:rPr>
                <w:snapToGrid w:val="0"/>
                <w:lang w:eastAsia="en-US"/>
              </w:rPr>
            </w:pPr>
            <w:r w:rsidRPr="00E3331A">
              <w:rPr>
                <w:snapToGrid w:val="0"/>
                <w:lang w:eastAsia="en-US"/>
              </w:rPr>
              <w:t>Steroid non-response probability</w:t>
            </w:r>
          </w:p>
        </w:tc>
        <w:tc>
          <w:tcPr>
            <w:tcW w:w="1729" w:type="pct"/>
            <w:shd w:val="clear" w:color="auto" w:fill="auto"/>
            <w:vAlign w:val="center"/>
          </w:tcPr>
          <w:p w:rsidR="00F21090" w:rsidRPr="00E3331A" w:rsidRDefault="00F21090" w:rsidP="00F21090">
            <w:pPr>
              <w:pStyle w:val="Tabletext1"/>
              <w:rPr>
                <w:snapToGrid w:val="0"/>
                <w:lang w:eastAsia="en-US"/>
              </w:rPr>
            </w:pPr>
            <w:r w:rsidRPr="00E3331A">
              <w:rPr>
                <w:snapToGrid w:val="0"/>
                <w:lang w:eastAsia="en-US"/>
              </w:rPr>
              <w:t xml:space="preserve">The model is based on assumptions from trials with steroid-resistant and -responsive patients. The Thai economic study </w:t>
            </w:r>
            <w:r w:rsidR="00923AD4" w:rsidRPr="00E3331A">
              <w:rPr>
                <w:snapToGrid w:val="0"/>
                <w:lang w:eastAsia="en-US"/>
              </w:rPr>
              <w:t xml:space="preserve">(Bamrungsawad </w:t>
            </w:r>
            <w:r w:rsidR="00983BA7">
              <w:rPr>
                <w:snapToGrid w:val="0"/>
                <w:lang w:eastAsia="en-US"/>
              </w:rPr>
              <w:t xml:space="preserve">et al. </w:t>
            </w:r>
            <w:r w:rsidR="00923AD4" w:rsidRPr="00E3331A">
              <w:rPr>
                <w:snapToGrid w:val="0"/>
                <w:lang w:eastAsia="en-US"/>
              </w:rPr>
              <w:t xml:space="preserve">2016) </w:t>
            </w:r>
            <w:r w:rsidRPr="00E3331A">
              <w:rPr>
                <w:snapToGrid w:val="0"/>
                <w:lang w:eastAsia="en-US"/>
              </w:rPr>
              <w:t xml:space="preserve">demonstrated that Ig is cost-effective </w:t>
            </w:r>
            <w:r w:rsidR="00923AD4" w:rsidRPr="00E3331A">
              <w:rPr>
                <w:snapToGrid w:val="0"/>
                <w:lang w:eastAsia="en-US"/>
              </w:rPr>
              <w:t>in steroid</w:t>
            </w:r>
            <w:r w:rsidR="00417823">
              <w:rPr>
                <w:snapToGrid w:val="0"/>
                <w:lang w:eastAsia="en-US"/>
              </w:rPr>
              <w:t>-</w:t>
            </w:r>
            <w:r w:rsidRPr="00E3331A">
              <w:rPr>
                <w:snapToGrid w:val="0"/>
                <w:lang w:eastAsia="en-US"/>
              </w:rPr>
              <w:t>resistant populations as patients transition to disability and costs of treatment are higher than steroids alone.</w:t>
            </w:r>
          </w:p>
        </w:tc>
        <w:tc>
          <w:tcPr>
            <w:tcW w:w="2094" w:type="pct"/>
            <w:shd w:val="clear" w:color="auto" w:fill="auto"/>
            <w:vAlign w:val="center"/>
          </w:tcPr>
          <w:p w:rsidR="00F21090" w:rsidRPr="00E3331A" w:rsidRDefault="00F21090" w:rsidP="00B8759E">
            <w:pPr>
              <w:pStyle w:val="Tabletext1"/>
              <w:rPr>
                <w:snapToGrid w:val="0"/>
                <w:lang w:eastAsia="en-US"/>
              </w:rPr>
            </w:pPr>
            <w:r w:rsidRPr="00E3331A">
              <w:rPr>
                <w:snapToGrid w:val="0"/>
                <w:lang w:eastAsia="en-US"/>
              </w:rPr>
              <w:t>Possibly Large. The ICER for Ig is less in steroid</w:t>
            </w:r>
            <w:r w:rsidR="004C05C2" w:rsidRPr="00E3331A">
              <w:rPr>
                <w:snapToGrid w:val="0"/>
                <w:lang w:eastAsia="en-US"/>
              </w:rPr>
              <w:t>-</w:t>
            </w:r>
            <w:r w:rsidRPr="00E3331A">
              <w:rPr>
                <w:snapToGrid w:val="0"/>
                <w:lang w:eastAsia="en-US"/>
              </w:rPr>
              <w:t>resistant patients, as disability has a large disutility.</w:t>
            </w:r>
            <w:r w:rsidRPr="00E3331A">
              <w:t xml:space="preserve"> </w:t>
            </w:r>
            <w:r w:rsidRPr="00E3331A">
              <w:rPr>
                <w:snapToGrid w:val="0"/>
                <w:lang w:eastAsia="en-US"/>
              </w:rPr>
              <w:t>For steroid</w:t>
            </w:r>
            <w:r w:rsidR="004C05C2" w:rsidRPr="00E3331A">
              <w:rPr>
                <w:snapToGrid w:val="0"/>
                <w:lang w:eastAsia="en-US"/>
              </w:rPr>
              <w:t>-</w:t>
            </w:r>
            <w:r w:rsidRPr="00E3331A">
              <w:rPr>
                <w:snapToGrid w:val="0"/>
                <w:lang w:eastAsia="en-US"/>
              </w:rPr>
              <w:t>resistant patients alone, an</w:t>
            </w:r>
            <w:r w:rsidR="00D045CF" w:rsidRPr="00E3331A">
              <w:rPr>
                <w:snapToGrid w:val="0"/>
                <w:lang w:eastAsia="en-US"/>
              </w:rPr>
              <w:t xml:space="preserve"> </w:t>
            </w:r>
            <w:r w:rsidRPr="00E3331A">
              <w:rPr>
                <w:snapToGrid w:val="0"/>
                <w:lang w:eastAsia="en-US"/>
              </w:rPr>
              <w:t>ICER of $125,260</w:t>
            </w:r>
            <w:r w:rsidR="00B8759E">
              <w:rPr>
                <w:rStyle w:val="FootnoteReference"/>
                <w:snapToGrid w:val="0"/>
                <w:lang w:eastAsia="en-US"/>
              </w:rPr>
              <w:footnoteReference w:id="4"/>
            </w:r>
            <w:r w:rsidRPr="00E3331A">
              <w:rPr>
                <w:snapToGrid w:val="0"/>
                <w:lang w:eastAsia="en-US"/>
              </w:rPr>
              <w:t xml:space="preserve"> per QALY gained is estimated</w:t>
            </w:r>
          </w:p>
        </w:tc>
      </w:tr>
    </w:tbl>
    <w:p w:rsidR="000323A3" w:rsidRPr="00E3331A" w:rsidRDefault="002D3966" w:rsidP="0037150F">
      <w:pPr>
        <w:pStyle w:val="Tablenotes1"/>
      </w:pPr>
      <w:r w:rsidRPr="00E3331A">
        <w:t>AE = adverse event</w:t>
      </w:r>
    </w:p>
    <w:p w:rsidR="000323A3" w:rsidRPr="00E3331A" w:rsidRDefault="000323A3" w:rsidP="000323A3">
      <w:pPr>
        <w:pStyle w:val="Heading3"/>
      </w:pPr>
      <w:bookmarkStart w:id="87" w:name="_Toc24103427"/>
      <w:r w:rsidRPr="00E3331A">
        <w:t>Estimated Extent of Use and Financial Implications</w:t>
      </w:r>
      <w:bookmarkEnd w:id="87"/>
    </w:p>
    <w:p w:rsidR="000323A3" w:rsidRPr="00E3331A" w:rsidRDefault="000323A3" w:rsidP="00DD42A1">
      <w:r w:rsidRPr="00E3331A">
        <w:t>Prevalence estimates for CIDP</w:t>
      </w:r>
      <w:r w:rsidR="00D5680E" w:rsidRPr="00E3331A">
        <w:t xml:space="preserve"> using the EFNS</w:t>
      </w:r>
      <w:r w:rsidR="007F0577" w:rsidRPr="00E3331A">
        <w:t>/PNS</w:t>
      </w:r>
      <w:r w:rsidR="00D5680E" w:rsidRPr="00E3331A">
        <w:t xml:space="preserve"> criteria for diagnosis</w:t>
      </w:r>
      <w:r w:rsidRPr="00E3331A">
        <w:t xml:space="preserve"> vary considerably</w:t>
      </w:r>
      <w:r w:rsidR="007F0577" w:rsidRPr="00E3331A">
        <w:t>,</w:t>
      </w:r>
      <w:r w:rsidR="00EC41D1" w:rsidRPr="00E3331A">
        <w:t xml:space="preserve"> ranging from 1.</w:t>
      </w:r>
      <w:r w:rsidR="00A72647" w:rsidRPr="00E3331A">
        <w:t>19</w:t>
      </w:r>
      <w:r w:rsidR="00EC41D1" w:rsidRPr="00E3331A">
        <w:t xml:space="preserve"> per 100,000 to </w:t>
      </w:r>
      <w:r w:rsidR="00D5680E" w:rsidRPr="00E3331A">
        <w:t>6.37</w:t>
      </w:r>
      <w:r w:rsidR="00EC41D1" w:rsidRPr="00E3331A">
        <w:t xml:space="preserve"> per 100,000 (discussed in Section C.2)</w:t>
      </w:r>
      <w:r w:rsidRPr="00E3331A">
        <w:t xml:space="preserve">. </w:t>
      </w:r>
      <w:r w:rsidR="007F0577" w:rsidRPr="00E3331A">
        <w:t xml:space="preserve">Based on these rates, </w:t>
      </w:r>
      <w:r w:rsidR="007F0577" w:rsidRPr="00E3331A">
        <w:lastRenderedPageBreak/>
        <w:t>e</w:t>
      </w:r>
      <w:r w:rsidRPr="00E3331A">
        <w:t xml:space="preserve">stimated CIDP patient numbers in Australia </w:t>
      </w:r>
      <w:r w:rsidR="007F0577" w:rsidRPr="00E3331A">
        <w:t xml:space="preserve">in 2018 </w:t>
      </w:r>
      <w:r w:rsidRPr="00E3331A">
        <w:t>vary from</w:t>
      </w:r>
      <w:r w:rsidR="00D5680E" w:rsidRPr="00E3331A">
        <w:t xml:space="preserve"> 493 to 1,593</w:t>
      </w:r>
      <w:r w:rsidR="007F0577" w:rsidRPr="00E3331A">
        <w:t>.</w:t>
      </w:r>
      <w:r w:rsidR="00D5680E" w:rsidRPr="00E3331A">
        <w:t xml:space="preserve"> </w:t>
      </w:r>
      <w:r w:rsidR="007F0577" w:rsidRPr="00E3331A">
        <w:t>This</w:t>
      </w:r>
      <w:r w:rsidRPr="00E3331A">
        <w:t xml:space="preserve"> is </w:t>
      </w:r>
      <w:r w:rsidR="007F0577" w:rsidRPr="00E3331A">
        <w:t xml:space="preserve">fewer </w:t>
      </w:r>
      <w:r w:rsidR="00D5680E" w:rsidRPr="00E3331A">
        <w:t>than</w:t>
      </w:r>
      <w:r w:rsidRPr="00E3331A">
        <w:t xml:space="preserve"> the </w:t>
      </w:r>
      <w:r w:rsidR="007F0577" w:rsidRPr="00E3331A">
        <w:t xml:space="preserve">total of </w:t>
      </w:r>
      <w:r w:rsidRPr="00E3331A">
        <w:t>2,</w:t>
      </w:r>
      <w:r w:rsidR="00D5680E" w:rsidRPr="00E3331A">
        <w:t>595</w:t>
      </w:r>
      <w:r w:rsidRPr="00E3331A">
        <w:t xml:space="preserve"> CIDP patients </w:t>
      </w:r>
      <w:r w:rsidR="00163C4A" w:rsidRPr="00E3331A">
        <w:t>treated with</w:t>
      </w:r>
      <w:r w:rsidRPr="00E3331A">
        <w:t xml:space="preserve"> Ig </w:t>
      </w:r>
      <w:r w:rsidR="007F0577" w:rsidRPr="00E3331A">
        <w:t xml:space="preserve">as </w:t>
      </w:r>
      <w:r w:rsidRPr="00E3331A">
        <w:t xml:space="preserve">reported by the NBA in </w:t>
      </w:r>
      <w:r w:rsidR="00EC41D1" w:rsidRPr="00E3331A">
        <w:t>201</w:t>
      </w:r>
      <w:r w:rsidR="00D5680E" w:rsidRPr="00E3331A">
        <w:t>7</w:t>
      </w:r>
      <w:r w:rsidR="004C05C2" w:rsidRPr="00E3331A">
        <w:t>/</w:t>
      </w:r>
      <w:r w:rsidR="00D5680E" w:rsidRPr="00E3331A">
        <w:t>18</w:t>
      </w:r>
      <w:r w:rsidRPr="00E3331A">
        <w:t>. NBA data indicate</w:t>
      </w:r>
      <w:r w:rsidR="007F0577" w:rsidRPr="00E3331A">
        <w:t>s that</w:t>
      </w:r>
      <w:r w:rsidRPr="00E3331A">
        <w:t xml:space="preserve"> the number of </w:t>
      </w:r>
      <w:r w:rsidR="00D5680E" w:rsidRPr="00E3331A">
        <w:t xml:space="preserve">patients receiving </w:t>
      </w:r>
      <w:r w:rsidR="00562110" w:rsidRPr="00E3331A">
        <w:t>treatments</w:t>
      </w:r>
      <w:r w:rsidRPr="00E3331A">
        <w:t xml:space="preserve"> has increased by </w:t>
      </w:r>
      <w:r w:rsidR="00D5680E" w:rsidRPr="00E3331A">
        <w:t>67</w:t>
      </w:r>
      <w:r w:rsidR="007F0577" w:rsidRPr="00E3331A">
        <w:t>%</w:t>
      </w:r>
      <w:r w:rsidR="00D5680E" w:rsidRPr="00E3331A">
        <w:t xml:space="preserve"> </w:t>
      </w:r>
      <w:r w:rsidR="007F0577" w:rsidRPr="00E3331A">
        <w:t>from</w:t>
      </w:r>
      <w:r w:rsidRPr="00E3331A">
        <w:t xml:space="preserve"> 201</w:t>
      </w:r>
      <w:r w:rsidR="00D5680E" w:rsidRPr="00E3331A">
        <w:t>1/1</w:t>
      </w:r>
      <w:r w:rsidRPr="00E3331A">
        <w:t xml:space="preserve">2 </w:t>
      </w:r>
      <w:r w:rsidR="007F0577" w:rsidRPr="00E3331A">
        <w:t xml:space="preserve">to </w:t>
      </w:r>
      <w:r w:rsidRPr="00E3331A">
        <w:t>201</w:t>
      </w:r>
      <w:r w:rsidR="00D5680E" w:rsidRPr="00E3331A">
        <w:t>7/18</w:t>
      </w:r>
      <w:r w:rsidRPr="00E3331A">
        <w:t xml:space="preserve">. The </w:t>
      </w:r>
      <w:r w:rsidR="007F0577" w:rsidRPr="00E3331A">
        <w:t xml:space="preserve">reason </w:t>
      </w:r>
      <w:r w:rsidRPr="00E3331A">
        <w:t>for this increase is unclear</w:t>
      </w:r>
      <w:r w:rsidR="007F0577" w:rsidRPr="00E3331A">
        <w:t>.</w:t>
      </w:r>
      <w:r w:rsidR="00D5680E" w:rsidRPr="00E3331A">
        <w:t xml:space="preserve"> </w:t>
      </w:r>
      <w:r w:rsidR="007F0577" w:rsidRPr="00E3331A">
        <w:t>T</w:t>
      </w:r>
      <w:r w:rsidR="00D5680E" w:rsidRPr="00E3331A">
        <w:t>he Australian population increased by approximately 10</w:t>
      </w:r>
      <w:r w:rsidR="007F0577" w:rsidRPr="00E3331A">
        <w:t>%</w:t>
      </w:r>
      <w:r w:rsidR="00D5680E" w:rsidRPr="00E3331A">
        <w:t xml:space="preserve"> over the </w:t>
      </w:r>
      <w:r w:rsidR="00DA5D57" w:rsidRPr="00E3331A">
        <w:t xml:space="preserve">same time </w:t>
      </w:r>
      <w:r w:rsidR="00D5680E" w:rsidRPr="00E3331A">
        <w:t xml:space="preserve">period </w:t>
      </w:r>
      <w:r w:rsidR="00B85C75">
        <w:rPr>
          <w:noProof/>
        </w:rPr>
        <w:t>(ABS 2019)</w:t>
      </w:r>
      <w:r w:rsidR="00D5680E" w:rsidRPr="00E3331A">
        <w:t xml:space="preserve">. </w:t>
      </w:r>
      <w:r w:rsidR="00DE65BA" w:rsidRPr="00E3331A">
        <w:t xml:space="preserve">Further, the Ig use in grams increased by 91% over the 11/12 to 17/18 period, this continued increase in number of g per patient was not modelled; however, if continued would further increase the </w:t>
      </w:r>
      <w:r w:rsidR="00E80AC5" w:rsidRPr="00E3331A">
        <w:t xml:space="preserve">ICER and financial </w:t>
      </w:r>
      <w:r w:rsidR="00DE65BA" w:rsidRPr="00E3331A">
        <w:t xml:space="preserve">costs associated with Ig use. </w:t>
      </w:r>
    </w:p>
    <w:p w:rsidR="00EE6D88" w:rsidRPr="00E3331A" w:rsidRDefault="000323A3">
      <w:r w:rsidRPr="00E3331A">
        <w:t xml:space="preserve">The EFNS/PNS guidelines recommend either steroids or IVIg as </w:t>
      </w:r>
      <w:r w:rsidRPr="00E3331A">
        <w:rPr>
          <w:noProof/>
        </w:rPr>
        <w:t>the first</w:t>
      </w:r>
      <w:r w:rsidRPr="00E3331A">
        <w:t xml:space="preserve"> option for patients with moderate </w:t>
      </w:r>
      <w:r w:rsidR="00F21090" w:rsidRPr="00E3331A">
        <w:t>to</w:t>
      </w:r>
      <w:r w:rsidRPr="00E3331A">
        <w:t xml:space="preserve"> severe CIDP. The PICO noted, however, that</w:t>
      </w:r>
      <w:r w:rsidR="00040570" w:rsidRPr="00E3331A">
        <w:t xml:space="preserve"> in Australia</w:t>
      </w:r>
      <w:r w:rsidRPr="00E3331A">
        <w:t xml:space="preserve"> IVIg is often a </w:t>
      </w:r>
      <w:r w:rsidR="00562110" w:rsidRPr="00E3331A">
        <w:t>first-choice</w:t>
      </w:r>
      <w:r w:rsidRPr="00E3331A">
        <w:t xml:space="preserve"> treatment option for patients with moderate to severe CIDP. The degree to which Ig is being used as a first option is difficult to quantify. The budget impact examines </w:t>
      </w:r>
      <w:r w:rsidR="00576726" w:rsidRPr="00E3331A">
        <w:t xml:space="preserve">financial </w:t>
      </w:r>
      <w:r w:rsidR="00D045CF" w:rsidRPr="00E3331A">
        <w:t>costs</w:t>
      </w:r>
      <w:r w:rsidR="00040570" w:rsidRPr="00E3331A">
        <w:t xml:space="preserve"> to </w:t>
      </w:r>
      <w:r w:rsidRPr="00E3331A">
        <w:t xml:space="preserve">the </w:t>
      </w:r>
      <w:r w:rsidR="00576726" w:rsidRPr="00E3331A">
        <w:t>Commonwealth and State governments</w:t>
      </w:r>
      <w:r w:rsidRPr="00E3331A">
        <w:t xml:space="preserve"> </w:t>
      </w:r>
      <w:r w:rsidR="0078239C" w:rsidRPr="00E3331A">
        <w:t>over the forward esti</w:t>
      </w:r>
      <w:r w:rsidR="00D045CF" w:rsidRPr="00E3331A">
        <w:t>m</w:t>
      </w:r>
      <w:r w:rsidR="0078239C" w:rsidRPr="00E3331A">
        <w:t>a</w:t>
      </w:r>
      <w:r w:rsidR="00D045CF" w:rsidRPr="00E3331A">
        <w:t xml:space="preserve">tes (2020 – 2024) </w:t>
      </w:r>
      <w:r w:rsidR="000A39BE" w:rsidRPr="00E3331A">
        <w:t>assuming a linear rate</w:t>
      </w:r>
      <w:r w:rsidR="000119E5" w:rsidRPr="00E3331A">
        <w:t xml:space="preserve"> of</w:t>
      </w:r>
      <w:r w:rsidR="000A39BE" w:rsidRPr="00E3331A">
        <w:t xml:space="preserve"> increase in </w:t>
      </w:r>
      <w:r w:rsidRPr="00E3331A">
        <w:t>CIDP patient</w:t>
      </w:r>
      <w:r w:rsidR="00040570" w:rsidRPr="00E3331A">
        <w:t>s</w:t>
      </w:r>
      <w:r w:rsidR="00F21090" w:rsidRPr="00E3331A">
        <w:t xml:space="preserve"> </w:t>
      </w:r>
      <w:r w:rsidR="000A39BE" w:rsidRPr="00E3331A">
        <w:t>using Ig</w:t>
      </w:r>
      <w:r w:rsidR="000119E5" w:rsidRPr="00E3331A">
        <w:t xml:space="preserve"> of </w:t>
      </w:r>
      <w:r w:rsidR="00422F5A" w:rsidRPr="00E3331A">
        <w:t>around 5</w:t>
      </w:r>
      <w:r w:rsidR="000119E5" w:rsidRPr="00E3331A">
        <w:t>% per annum</w:t>
      </w:r>
      <w:r w:rsidR="000A39BE" w:rsidRPr="00E3331A">
        <w:t>,</w:t>
      </w:r>
      <w:r w:rsidR="00F21090" w:rsidRPr="00E3331A">
        <w:t xml:space="preserve"> </w:t>
      </w:r>
      <w:r w:rsidR="00D045CF" w:rsidRPr="00E3331A">
        <w:t xml:space="preserve">based on </w:t>
      </w:r>
      <w:r w:rsidR="000A39BE" w:rsidRPr="00E3331A">
        <w:t xml:space="preserve">the </w:t>
      </w:r>
      <w:r w:rsidR="00422F5A" w:rsidRPr="00E3331A">
        <w:t xml:space="preserve">trend </w:t>
      </w:r>
      <w:r w:rsidR="00F21090" w:rsidRPr="00E3331A">
        <w:t xml:space="preserve">of increase </w:t>
      </w:r>
      <w:r w:rsidR="00D045CF" w:rsidRPr="00E3331A">
        <w:t xml:space="preserve">in </w:t>
      </w:r>
      <w:r w:rsidR="000A39BE" w:rsidRPr="00E3331A">
        <w:t>patients</w:t>
      </w:r>
      <w:r w:rsidR="000119E5" w:rsidRPr="00E3331A">
        <w:t xml:space="preserve"> using Ig</w:t>
      </w:r>
      <w:r w:rsidR="00F21090" w:rsidRPr="00E3331A">
        <w:t xml:space="preserve"> between 2012-2018.</w:t>
      </w:r>
      <w:r w:rsidR="00921756" w:rsidRPr="00E3331A">
        <w:t xml:space="preserve"> </w:t>
      </w:r>
      <w:r w:rsidR="00796C3C" w:rsidRPr="00E3331A">
        <w:t>Results are</w:t>
      </w:r>
      <w:r w:rsidRPr="00E3331A">
        <w:t xml:space="preserve"> summarised in</w:t>
      </w:r>
      <w:r w:rsidR="00DD42A1" w:rsidRPr="00E3331A">
        <w:t xml:space="preserve"> </w:t>
      </w:r>
      <w:r w:rsidR="006F35B9" w:rsidRPr="00E3331A">
        <w:t xml:space="preserve">Table </w:t>
      </w:r>
      <w:r w:rsidR="006F35B9">
        <w:rPr>
          <w:noProof/>
        </w:rPr>
        <w:t>6</w:t>
      </w:r>
      <w:r w:rsidR="002B4B9C" w:rsidRPr="00E3331A">
        <w:t>.</w:t>
      </w:r>
      <w:r w:rsidRPr="00E3331A">
        <w:t xml:space="preserve"> </w:t>
      </w:r>
      <w:r w:rsidR="00921756" w:rsidRPr="00E3331A">
        <w:t xml:space="preserve">Ig costs increase from $88.1 </w:t>
      </w:r>
      <w:r w:rsidR="00796C3C" w:rsidRPr="00E3331A">
        <w:t xml:space="preserve">($55.5 million Commonwealth and $32.6 million </w:t>
      </w:r>
      <w:r w:rsidR="00AD557D" w:rsidRPr="00E3331A">
        <w:t>s</w:t>
      </w:r>
      <w:r w:rsidR="00796C3C" w:rsidRPr="00E3331A">
        <w:t>tate</w:t>
      </w:r>
      <w:r w:rsidR="00AD557D" w:rsidRPr="00E3331A">
        <w:t>/territory</w:t>
      </w:r>
      <w:r w:rsidR="00796C3C" w:rsidRPr="00E3331A">
        <w:t xml:space="preserve">State government) </w:t>
      </w:r>
      <w:r w:rsidR="00921756" w:rsidRPr="00E3331A">
        <w:t xml:space="preserve">to </w:t>
      </w:r>
      <w:r w:rsidR="00796C3C" w:rsidRPr="00E3331A">
        <w:t>$</w:t>
      </w:r>
      <w:r w:rsidR="00921756" w:rsidRPr="00E3331A">
        <w:t xml:space="preserve">108.8 million per year between 2020 and 2024. When PBS, MBS and state hospital costs are considered, Ig use and its delivery are projected to generate net </w:t>
      </w:r>
      <w:r w:rsidR="000A39BE" w:rsidRPr="00E3331A">
        <w:t>costs to</w:t>
      </w:r>
      <w:r w:rsidR="00921756" w:rsidRPr="00E3331A">
        <w:t xml:space="preserve"> government of $103.6 million in 2020, increasing to $127.9 million by 2024</w:t>
      </w:r>
      <w:r w:rsidR="00DD42A1" w:rsidRPr="00E3331A">
        <w:t>.</w:t>
      </w:r>
      <w:r w:rsidR="00EE6D88" w:rsidRPr="00E3331A">
        <w:t xml:space="preserve"> </w:t>
      </w:r>
    </w:p>
    <w:p w:rsidR="000323A3" w:rsidRPr="00E3331A" w:rsidRDefault="000323A3" w:rsidP="000323A3">
      <w:pPr>
        <w:pStyle w:val="Caption"/>
        <w:tabs>
          <w:tab w:val="left" w:pos="1134"/>
        </w:tabs>
        <w:ind w:left="1134" w:hanging="1134"/>
      </w:pPr>
      <w:bookmarkStart w:id="88" w:name="_Ref10098520"/>
      <w:bookmarkStart w:id="89" w:name="_Toc492753470"/>
      <w:bookmarkStart w:id="90" w:name="_Toc24103312"/>
      <w:r w:rsidRPr="00E3331A">
        <w:t xml:space="preserve">Table </w:t>
      </w:r>
      <w:r w:rsidR="006F35B9">
        <w:rPr>
          <w:noProof/>
        </w:rPr>
        <w:t>6</w:t>
      </w:r>
      <w:bookmarkEnd w:id="88"/>
      <w:r w:rsidR="00537E50" w:rsidRPr="00E3331A">
        <w:rPr>
          <w:noProof/>
        </w:rPr>
        <w:tab/>
      </w:r>
      <w:r w:rsidR="00576726" w:rsidRPr="00E3331A">
        <w:t>Net government costs</w:t>
      </w:r>
      <w:r w:rsidRPr="00E3331A">
        <w:t xml:space="preserve"> associated with </w:t>
      </w:r>
      <w:bookmarkEnd w:id="89"/>
      <w:r w:rsidRPr="00E3331A">
        <w:t xml:space="preserve">Ig </w:t>
      </w:r>
      <w:r w:rsidR="00576726" w:rsidRPr="00E3331A">
        <w:t>for CIDP patients, 2020-2024</w:t>
      </w:r>
      <w:bookmarkEnd w:id="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567"/>
        <w:gridCol w:w="1180"/>
        <w:gridCol w:w="1180"/>
        <w:gridCol w:w="1181"/>
        <w:gridCol w:w="1180"/>
        <w:gridCol w:w="1181"/>
      </w:tblGrid>
      <w:tr w:rsidR="00576726" w:rsidRPr="00E3331A" w:rsidTr="00576726">
        <w:trPr>
          <w:trHeight w:val="255"/>
        </w:trPr>
        <w:tc>
          <w:tcPr>
            <w:tcW w:w="2547"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Total net government costs</w:t>
            </w:r>
          </w:p>
        </w:tc>
        <w:tc>
          <w:tcPr>
            <w:tcW w:w="567"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Unit</w:t>
            </w:r>
          </w:p>
        </w:tc>
        <w:tc>
          <w:tcPr>
            <w:tcW w:w="1180"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2020</w:t>
            </w:r>
          </w:p>
        </w:tc>
        <w:tc>
          <w:tcPr>
            <w:tcW w:w="1180"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2021</w:t>
            </w:r>
          </w:p>
        </w:tc>
        <w:tc>
          <w:tcPr>
            <w:tcW w:w="1181"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2022</w:t>
            </w:r>
          </w:p>
        </w:tc>
        <w:tc>
          <w:tcPr>
            <w:tcW w:w="1180"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2023</w:t>
            </w:r>
          </w:p>
        </w:tc>
        <w:tc>
          <w:tcPr>
            <w:tcW w:w="1181"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2024</w:t>
            </w:r>
          </w:p>
        </w:tc>
      </w:tr>
      <w:tr w:rsidR="00576726" w:rsidRPr="00E3331A" w:rsidTr="00576726">
        <w:trPr>
          <w:trHeight w:val="255"/>
        </w:trPr>
        <w:tc>
          <w:tcPr>
            <w:tcW w:w="2547"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Projected Ig patients</w:t>
            </w:r>
          </w:p>
        </w:tc>
        <w:tc>
          <w:tcPr>
            <w:tcW w:w="567"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No.</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2,936</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3,108</w:t>
            </w:r>
          </w:p>
        </w:tc>
        <w:tc>
          <w:tcPr>
            <w:tcW w:w="1181"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3,280</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3,452</w:t>
            </w:r>
          </w:p>
        </w:tc>
        <w:tc>
          <w:tcPr>
            <w:tcW w:w="1181"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3,624</w:t>
            </w:r>
          </w:p>
        </w:tc>
      </w:tr>
      <w:tr w:rsidR="00576726" w:rsidRPr="00E3331A" w:rsidTr="00576726">
        <w:trPr>
          <w:trHeight w:val="255"/>
        </w:trPr>
        <w:tc>
          <w:tcPr>
            <w:tcW w:w="2547"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 xml:space="preserve">Ig costs for </w:t>
            </w:r>
            <w:r w:rsidR="00AB7B11">
              <w:rPr>
                <w:rFonts w:ascii="Arial Narrow" w:hAnsi="Arial Narrow" w:cs="Calibri"/>
                <w:b/>
                <w:bCs/>
                <w:color w:val="000000"/>
                <w:sz w:val="20"/>
                <w:szCs w:val="20"/>
              </w:rPr>
              <w:t>CIDP</w:t>
            </w:r>
          </w:p>
        </w:tc>
        <w:tc>
          <w:tcPr>
            <w:tcW w:w="567"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w:t>
            </w:r>
          </w:p>
        </w:tc>
        <w:tc>
          <w:tcPr>
            <w:tcW w:w="1180"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 </w:t>
            </w:r>
          </w:p>
        </w:tc>
        <w:tc>
          <w:tcPr>
            <w:tcW w:w="1180"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 </w:t>
            </w:r>
          </w:p>
        </w:tc>
        <w:tc>
          <w:tcPr>
            <w:tcW w:w="1181"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 </w:t>
            </w:r>
          </w:p>
        </w:tc>
        <w:tc>
          <w:tcPr>
            <w:tcW w:w="1180"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 </w:t>
            </w:r>
          </w:p>
        </w:tc>
        <w:tc>
          <w:tcPr>
            <w:tcW w:w="1181"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 </w:t>
            </w:r>
          </w:p>
        </w:tc>
      </w:tr>
      <w:tr w:rsidR="00576726" w:rsidRPr="00E3331A" w:rsidTr="00576726">
        <w:trPr>
          <w:trHeight w:val="255"/>
        </w:trPr>
        <w:tc>
          <w:tcPr>
            <w:tcW w:w="2547"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Commonwealth Ig costs</w:t>
            </w:r>
          </w:p>
        </w:tc>
        <w:tc>
          <w:tcPr>
            <w:tcW w:w="567"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55,531,665</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58,786,392</w:t>
            </w:r>
          </w:p>
        </w:tc>
        <w:tc>
          <w:tcPr>
            <w:tcW w:w="1181"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62,041,118</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65,295,845</w:t>
            </w:r>
          </w:p>
        </w:tc>
        <w:tc>
          <w:tcPr>
            <w:tcW w:w="1181"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68,550,572</w:t>
            </w:r>
          </w:p>
        </w:tc>
      </w:tr>
      <w:tr w:rsidR="00576726" w:rsidRPr="00E3331A" w:rsidTr="00576726">
        <w:trPr>
          <w:trHeight w:val="255"/>
        </w:trPr>
        <w:tc>
          <w:tcPr>
            <w:tcW w:w="2547"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State Ig costs</w:t>
            </w:r>
          </w:p>
        </w:tc>
        <w:tc>
          <w:tcPr>
            <w:tcW w:w="567"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32,613,835</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34,525,341</w:t>
            </w:r>
          </w:p>
        </w:tc>
        <w:tc>
          <w:tcPr>
            <w:tcW w:w="1181"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36,436,847</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38,348,353</w:t>
            </w:r>
          </w:p>
        </w:tc>
        <w:tc>
          <w:tcPr>
            <w:tcW w:w="1181"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40,259,860</w:t>
            </w:r>
          </w:p>
        </w:tc>
      </w:tr>
      <w:tr w:rsidR="00576726" w:rsidRPr="00E3331A" w:rsidTr="00576726">
        <w:trPr>
          <w:trHeight w:val="255"/>
        </w:trPr>
        <w:tc>
          <w:tcPr>
            <w:tcW w:w="2547"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Commonwealth MBS and PBS Costs</w:t>
            </w:r>
          </w:p>
        </w:tc>
        <w:tc>
          <w:tcPr>
            <w:tcW w:w="567"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w:t>
            </w:r>
          </w:p>
        </w:tc>
        <w:tc>
          <w:tcPr>
            <w:tcW w:w="1180"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 </w:t>
            </w:r>
          </w:p>
        </w:tc>
        <w:tc>
          <w:tcPr>
            <w:tcW w:w="1180"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 </w:t>
            </w:r>
          </w:p>
        </w:tc>
        <w:tc>
          <w:tcPr>
            <w:tcW w:w="1181"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 </w:t>
            </w:r>
          </w:p>
        </w:tc>
        <w:tc>
          <w:tcPr>
            <w:tcW w:w="1180"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 </w:t>
            </w:r>
          </w:p>
        </w:tc>
        <w:tc>
          <w:tcPr>
            <w:tcW w:w="1181"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 </w:t>
            </w:r>
          </w:p>
        </w:tc>
      </w:tr>
      <w:tr w:rsidR="00576726" w:rsidRPr="00E3331A" w:rsidTr="00576726">
        <w:trPr>
          <w:trHeight w:val="255"/>
        </w:trPr>
        <w:tc>
          <w:tcPr>
            <w:tcW w:w="2547"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MBS-supported service delivery</w:t>
            </w:r>
          </w:p>
        </w:tc>
        <w:tc>
          <w:tcPr>
            <w:tcW w:w="567"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-1,274,602</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-1,349,307</w:t>
            </w:r>
          </w:p>
        </w:tc>
        <w:tc>
          <w:tcPr>
            <w:tcW w:w="1181"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-1,424,012</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-1,498,717</w:t>
            </w:r>
          </w:p>
        </w:tc>
        <w:tc>
          <w:tcPr>
            <w:tcW w:w="1181"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-1,573,422</w:t>
            </w:r>
          </w:p>
        </w:tc>
      </w:tr>
      <w:tr w:rsidR="00576726" w:rsidRPr="00E3331A" w:rsidTr="00576726">
        <w:trPr>
          <w:trHeight w:val="255"/>
        </w:trPr>
        <w:tc>
          <w:tcPr>
            <w:tcW w:w="2547"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PBS costs</w:t>
            </w:r>
          </w:p>
        </w:tc>
        <w:tc>
          <w:tcPr>
            <w:tcW w:w="567"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-1,441,924</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-1,526,435</w:t>
            </w:r>
          </w:p>
        </w:tc>
        <w:tc>
          <w:tcPr>
            <w:tcW w:w="1181"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-1,610,947</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-1,695,458</w:t>
            </w:r>
          </w:p>
        </w:tc>
        <w:tc>
          <w:tcPr>
            <w:tcW w:w="1181"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-1,779,970</w:t>
            </w:r>
          </w:p>
        </w:tc>
      </w:tr>
      <w:tr w:rsidR="00576726" w:rsidRPr="00E3331A" w:rsidTr="00576726">
        <w:trPr>
          <w:trHeight w:val="255"/>
        </w:trPr>
        <w:tc>
          <w:tcPr>
            <w:tcW w:w="2547"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State</w:t>
            </w:r>
            <w:r w:rsidR="00AD557D" w:rsidRPr="00E3331A">
              <w:rPr>
                <w:rFonts w:ascii="Arial Narrow" w:hAnsi="Arial Narrow" w:cs="Calibri"/>
                <w:b/>
                <w:bCs/>
                <w:color w:val="000000"/>
                <w:sz w:val="20"/>
                <w:szCs w:val="20"/>
              </w:rPr>
              <w:t>/Territory</w:t>
            </w:r>
            <w:r w:rsidRPr="00E3331A">
              <w:rPr>
                <w:rFonts w:ascii="Arial Narrow" w:hAnsi="Arial Narrow" w:cs="Calibri"/>
                <w:b/>
                <w:bCs/>
                <w:color w:val="000000"/>
                <w:sz w:val="20"/>
                <w:szCs w:val="20"/>
              </w:rPr>
              <w:t xml:space="preserve"> Hospital Costs</w:t>
            </w:r>
          </w:p>
        </w:tc>
        <w:tc>
          <w:tcPr>
            <w:tcW w:w="567"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w:t>
            </w:r>
          </w:p>
        </w:tc>
        <w:tc>
          <w:tcPr>
            <w:tcW w:w="1180"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 </w:t>
            </w:r>
          </w:p>
        </w:tc>
        <w:tc>
          <w:tcPr>
            <w:tcW w:w="1180"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 </w:t>
            </w:r>
          </w:p>
        </w:tc>
        <w:tc>
          <w:tcPr>
            <w:tcW w:w="1181"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 </w:t>
            </w:r>
          </w:p>
        </w:tc>
        <w:tc>
          <w:tcPr>
            <w:tcW w:w="1180"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 </w:t>
            </w:r>
          </w:p>
        </w:tc>
        <w:tc>
          <w:tcPr>
            <w:tcW w:w="1181"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 </w:t>
            </w:r>
          </w:p>
        </w:tc>
      </w:tr>
      <w:tr w:rsidR="00576726" w:rsidRPr="00E3331A" w:rsidTr="00576726">
        <w:trPr>
          <w:trHeight w:val="255"/>
        </w:trPr>
        <w:tc>
          <w:tcPr>
            <w:tcW w:w="2547"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Ig delivery, nurse and adverse events</w:t>
            </w:r>
          </w:p>
        </w:tc>
        <w:tc>
          <w:tcPr>
            <w:tcW w:w="567"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18,205,039</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19,272,041</w:t>
            </w:r>
          </w:p>
        </w:tc>
        <w:tc>
          <w:tcPr>
            <w:tcW w:w="1181"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20,339,044</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21,406,046</w:t>
            </w:r>
          </w:p>
        </w:tc>
        <w:tc>
          <w:tcPr>
            <w:tcW w:w="1181"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22,473,049</w:t>
            </w:r>
          </w:p>
        </w:tc>
      </w:tr>
      <w:tr w:rsidR="00576726" w:rsidRPr="00E3331A" w:rsidTr="00576726">
        <w:trPr>
          <w:trHeight w:val="255"/>
        </w:trPr>
        <w:tc>
          <w:tcPr>
            <w:tcW w:w="2547"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Net Government Costs</w:t>
            </w:r>
          </w:p>
        </w:tc>
        <w:tc>
          <w:tcPr>
            <w:tcW w:w="567"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w:t>
            </w:r>
          </w:p>
        </w:tc>
        <w:tc>
          <w:tcPr>
            <w:tcW w:w="1180"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 </w:t>
            </w:r>
          </w:p>
        </w:tc>
        <w:tc>
          <w:tcPr>
            <w:tcW w:w="1180"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 </w:t>
            </w:r>
          </w:p>
        </w:tc>
        <w:tc>
          <w:tcPr>
            <w:tcW w:w="1181"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 </w:t>
            </w:r>
          </w:p>
        </w:tc>
        <w:tc>
          <w:tcPr>
            <w:tcW w:w="1180"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 </w:t>
            </w:r>
          </w:p>
        </w:tc>
        <w:tc>
          <w:tcPr>
            <w:tcW w:w="1181" w:type="dxa"/>
            <w:shd w:val="clear" w:color="auto" w:fill="D9D9D9" w:themeFill="background1" w:themeFillShade="D9"/>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 </w:t>
            </w:r>
          </w:p>
        </w:tc>
      </w:tr>
      <w:tr w:rsidR="00576726" w:rsidRPr="00E3331A" w:rsidTr="00576726">
        <w:trPr>
          <w:trHeight w:val="255"/>
        </w:trPr>
        <w:tc>
          <w:tcPr>
            <w:tcW w:w="2547"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Commonwealth costs</w:t>
            </w:r>
          </w:p>
        </w:tc>
        <w:tc>
          <w:tcPr>
            <w:tcW w:w="567"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52,815,139</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55,910,649</w:t>
            </w:r>
          </w:p>
        </w:tc>
        <w:tc>
          <w:tcPr>
            <w:tcW w:w="1181"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59,006,160</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62,101,670</w:t>
            </w:r>
          </w:p>
        </w:tc>
        <w:tc>
          <w:tcPr>
            <w:tcW w:w="1181"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65,197,180</w:t>
            </w:r>
          </w:p>
        </w:tc>
      </w:tr>
      <w:tr w:rsidR="00576726" w:rsidRPr="00E3331A" w:rsidTr="00576726">
        <w:trPr>
          <w:trHeight w:val="255"/>
        </w:trPr>
        <w:tc>
          <w:tcPr>
            <w:tcW w:w="2547"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State</w:t>
            </w:r>
            <w:r w:rsidR="00AD557D" w:rsidRPr="00E3331A">
              <w:rPr>
                <w:rFonts w:ascii="Arial Narrow" w:hAnsi="Arial Narrow" w:cs="Calibri"/>
                <w:bCs/>
                <w:color w:val="000000"/>
                <w:sz w:val="20"/>
                <w:szCs w:val="20"/>
              </w:rPr>
              <w:t>/territory</w:t>
            </w:r>
            <w:r w:rsidRPr="00E3331A">
              <w:rPr>
                <w:rFonts w:ascii="Arial Narrow" w:hAnsi="Arial Narrow" w:cs="Calibri"/>
                <w:bCs/>
                <w:color w:val="000000"/>
                <w:sz w:val="20"/>
                <w:szCs w:val="20"/>
              </w:rPr>
              <w:t xml:space="preserve"> costs</w:t>
            </w:r>
          </w:p>
        </w:tc>
        <w:tc>
          <w:tcPr>
            <w:tcW w:w="567"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50,818,874</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53,797,382</w:t>
            </w:r>
          </w:p>
        </w:tc>
        <w:tc>
          <w:tcPr>
            <w:tcW w:w="1181"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56,775,891</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59,754,400</w:t>
            </w:r>
          </w:p>
        </w:tc>
        <w:tc>
          <w:tcPr>
            <w:tcW w:w="1181"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62,732,909</w:t>
            </w:r>
          </w:p>
        </w:tc>
      </w:tr>
      <w:tr w:rsidR="00576726" w:rsidRPr="00E3331A" w:rsidTr="00576726">
        <w:trPr>
          <w:trHeight w:val="255"/>
        </w:trPr>
        <w:tc>
          <w:tcPr>
            <w:tcW w:w="2547"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Total costs to government</w:t>
            </w:r>
          </w:p>
        </w:tc>
        <w:tc>
          <w:tcPr>
            <w:tcW w:w="567"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103,634,012</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109,708,032</w:t>
            </w:r>
          </w:p>
        </w:tc>
        <w:tc>
          <w:tcPr>
            <w:tcW w:w="1181"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115,782,051</w:t>
            </w:r>
          </w:p>
        </w:tc>
        <w:tc>
          <w:tcPr>
            <w:tcW w:w="1180"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121,856,070</w:t>
            </w:r>
          </w:p>
        </w:tc>
        <w:tc>
          <w:tcPr>
            <w:tcW w:w="1181" w:type="dxa"/>
            <w:shd w:val="clear" w:color="auto" w:fill="FFFFFF" w:themeFill="background1"/>
            <w:noWrap/>
            <w:vAlign w:val="center"/>
            <w:hideMark/>
          </w:tcPr>
          <w:p w:rsidR="00576726" w:rsidRPr="00E3331A" w:rsidRDefault="00576726"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127,930,089</w:t>
            </w:r>
          </w:p>
        </w:tc>
      </w:tr>
    </w:tbl>
    <w:p w:rsidR="00576726" w:rsidRPr="00E3331A" w:rsidRDefault="00576726" w:rsidP="00DE65BA">
      <w:r w:rsidRPr="00E3331A">
        <w:rPr>
          <w:rFonts w:ascii="Arial Narrow" w:hAnsi="Arial Narrow"/>
          <w:sz w:val="18"/>
        </w:rPr>
        <w:t>CIDP= Chronic Inflammatory Demyelinating Polyneuropathy. MBS = Medicare Benefits Schedule, PBS= Pharmaceutical Benefits Scheme</w:t>
      </w:r>
    </w:p>
    <w:p w:rsidR="00A60DF4" w:rsidRPr="00E3331A" w:rsidRDefault="00A60DF4" w:rsidP="00A60DF4">
      <w:pPr>
        <w:pStyle w:val="Heading3"/>
      </w:pPr>
      <w:bookmarkStart w:id="91" w:name="_Toc426968112"/>
      <w:bookmarkStart w:id="92" w:name="_Toc24103428"/>
      <w:bookmarkStart w:id="93" w:name="_Toc395200754"/>
      <w:bookmarkStart w:id="94" w:name="_Toc379118060"/>
      <w:bookmarkStart w:id="95" w:name="_Toc379118252"/>
      <w:bookmarkEnd w:id="73"/>
      <w:bookmarkEnd w:id="74"/>
      <w:bookmarkEnd w:id="75"/>
      <w:bookmarkEnd w:id="76"/>
      <w:r w:rsidRPr="00E3331A">
        <w:t>Consumer impact summary</w:t>
      </w:r>
      <w:bookmarkEnd w:id="91"/>
      <w:bookmarkEnd w:id="92"/>
    </w:p>
    <w:p w:rsidR="00BC1714" w:rsidRPr="00E3331A" w:rsidRDefault="00BC1714" w:rsidP="00BC1714">
      <w:r w:rsidRPr="00E3331A">
        <w:t xml:space="preserve">All feedback </w:t>
      </w:r>
      <w:r w:rsidR="005D560F" w:rsidRPr="00E3331A">
        <w:t xml:space="preserve">was broadly supportive of Ig use for CIDP. </w:t>
      </w:r>
      <w:r w:rsidR="00537E50" w:rsidRPr="00E3331A">
        <w:t>N</w:t>
      </w:r>
      <w:r w:rsidRPr="00E3331A">
        <w:t>oted advantages associated with Ig</w:t>
      </w:r>
      <w:r w:rsidR="005D560F" w:rsidRPr="00E3331A">
        <w:t xml:space="preserve"> </w:t>
      </w:r>
      <w:r w:rsidR="00537E50" w:rsidRPr="00E3331A">
        <w:t xml:space="preserve">use </w:t>
      </w:r>
      <w:r w:rsidR="005D560F" w:rsidRPr="00E3331A">
        <w:t>were</w:t>
      </w:r>
      <w:r w:rsidRPr="00E3331A">
        <w:t xml:space="preserve"> high response rates to treatment and generally high tolerability </w:t>
      </w:r>
      <w:r w:rsidR="00537E50" w:rsidRPr="00E3331A">
        <w:t>to</w:t>
      </w:r>
      <w:r w:rsidRPr="00E3331A">
        <w:t xml:space="preserve"> tre</w:t>
      </w:r>
      <w:r w:rsidR="00537E50" w:rsidRPr="00E3331A">
        <w:t>at</w:t>
      </w:r>
      <w:r w:rsidRPr="00E3331A">
        <w:t>ment.</w:t>
      </w:r>
    </w:p>
    <w:p w:rsidR="00BC1714" w:rsidRPr="00E3331A" w:rsidRDefault="009E293F" w:rsidP="00BC1714">
      <w:r w:rsidRPr="00E3331A">
        <w:t>Noted d</w:t>
      </w:r>
      <w:r w:rsidR="00BC1714" w:rsidRPr="00E3331A">
        <w:t xml:space="preserve">isadvantages of Ig </w:t>
      </w:r>
      <w:r w:rsidR="00537E50" w:rsidRPr="00E3331A">
        <w:t xml:space="preserve">use </w:t>
      </w:r>
      <w:r w:rsidR="00BC1714" w:rsidRPr="00E3331A">
        <w:t>included adverse events associated with treatment, requirement for in-hospital treatment</w:t>
      </w:r>
      <w:r w:rsidR="00537E50" w:rsidRPr="00E3331A">
        <w:t>,</w:t>
      </w:r>
      <w:r w:rsidR="00BC1714" w:rsidRPr="00E3331A">
        <w:t xml:space="preserve"> and </w:t>
      </w:r>
      <w:r w:rsidR="00537E50" w:rsidRPr="00E3331A">
        <w:t xml:space="preserve">acess-to-treatment </w:t>
      </w:r>
      <w:r w:rsidR="00BC1714" w:rsidRPr="00E3331A">
        <w:t xml:space="preserve">issues </w:t>
      </w:r>
      <w:r w:rsidR="00537E50" w:rsidRPr="00E3331A">
        <w:t>arising from</w:t>
      </w:r>
      <w:r w:rsidR="00BC1714" w:rsidRPr="00E3331A">
        <w:t xml:space="preserve"> increasing demand for Ig. </w:t>
      </w:r>
    </w:p>
    <w:bookmarkEnd w:id="93"/>
    <w:p w:rsidR="008F59A8" w:rsidRPr="00E3331A" w:rsidRDefault="00744A65" w:rsidP="00DE65BA">
      <w:pPr>
        <w:sectPr w:rsidR="008F59A8" w:rsidRPr="00E3331A" w:rsidSect="008B3C83">
          <w:headerReference w:type="even" r:id="rId15"/>
          <w:headerReference w:type="default" r:id="rId16"/>
          <w:headerReference w:type="first" r:id="rId17"/>
          <w:type w:val="oddPage"/>
          <w:pgSz w:w="11906" w:h="16838"/>
          <w:pgMar w:top="1440" w:right="1440" w:bottom="1440" w:left="1440" w:header="720" w:footer="720" w:gutter="0"/>
          <w:paperSrc w:first="2" w:other="2"/>
          <w:cols w:space="720"/>
        </w:sectPr>
      </w:pPr>
      <w:r w:rsidRPr="00E3331A">
        <w:lastRenderedPageBreak/>
        <w:t xml:space="preserve">Sponsor companies were also invited to provide submissions to the development of this contracted assessments and four responded with comments that have been considered in this report. </w:t>
      </w:r>
      <w:r w:rsidR="00F94CA0" w:rsidRPr="00E3331A">
        <w:t>Sponsor feedback is summarised in Section A.10 of this report.</w:t>
      </w:r>
      <w:bookmarkEnd w:id="94"/>
      <w:bookmarkEnd w:id="95"/>
    </w:p>
    <w:p w:rsidR="00553518" w:rsidRPr="00E3331A" w:rsidRDefault="002106B9" w:rsidP="00DF343F">
      <w:pPr>
        <w:pStyle w:val="Heading1"/>
        <w:jc w:val="both"/>
      </w:pPr>
      <w:bookmarkStart w:id="96" w:name="_Toc355274699"/>
      <w:bookmarkStart w:id="97" w:name="_Ref363826811"/>
      <w:bookmarkStart w:id="98" w:name="_Toc379118061"/>
      <w:bookmarkStart w:id="99" w:name="_Toc381796437"/>
      <w:bookmarkStart w:id="100" w:name="_Toc24103429"/>
      <w:bookmarkStart w:id="101" w:name="_Toc451749499"/>
      <w:r w:rsidRPr="00E3331A">
        <w:lastRenderedPageBreak/>
        <w:t xml:space="preserve">Acronyms </w:t>
      </w:r>
      <w:r w:rsidR="003346E0" w:rsidRPr="00E3331A">
        <w:t>and A</w:t>
      </w:r>
      <w:r w:rsidR="00553518" w:rsidRPr="00E3331A">
        <w:t>bbreviations</w:t>
      </w:r>
      <w:bookmarkEnd w:id="96"/>
      <w:bookmarkEnd w:id="97"/>
      <w:bookmarkEnd w:id="98"/>
      <w:bookmarkEnd w:id="99"/>
      <w:bookmarkEnd w:id="100"/>
      <w:r w:rsidR="00553518" w:rsidRPr="00E3331A">
        <w:t xml:space="preserve"> </w:t>
      </w:r>
    </w:p>
    <w:p w:rsidR="009F4782" w:rsidRPr="004F686C" w:rsidRDefault="009F4782" w:rsidP="0062264E">
      <w:pPr>
        <w:tabs>
          <w:tab w:val="left" w:pos="1418"/>
        </w:tabs>
        <w:spacing w:line="240" w:lineRule="auto"/>
        <w:jc w:val="both"/>
        <w:rPr>
          <w:b/>
        </w:rPr>
      </w:pPr>
      <w:r w:rsidRPr="004F686C">
        <w:rPr>
          <w:b/>
        </w:rPr>
        <w:t>Acronym/abbreviation</w:t>
      </w:r>
      <w:r w:rsidRPr="004F686C">
        <w:rPr>
          <w:b/>
          <w:color w:val="000000"/>
        </w:rPr>
        <w:tab/>
        <w:t>Meaning</w:t>
      </w:r>
    </w:p>
    <w:p w:rsidR="0062264E" w:rsidRDefault="0062264E" w:rsidP="0062264E">
      <w:pPr>
        <w:tabs>
          <w:tab w:val="left" w:pos="1418"/>
        </w:tabs>
        <w:spacing w:line="240" w:lineRule="auto"/>
        <w:jc w:val="both"/>
      </w:pPr>
      <w:r>
        <w:t>AAN</w:t>
      </w:r>
      <w:r>
        <w:tab/>
      </w:r>
      <w:r>
        <w:tab/>
      </w:r>
      <w:r w:rsidR="009F4782">
        <w:tab/>
      </w:r>
      <w:r>
        <w:t>American Academy of Neurology</w:t>
      </w:r>
    </w:p>
    <w:p w:rsidR="0062264E" w:rsidRDefault="0062264E" w:rsidP="0062264E">
      <w:pPr>
        <w:tabs>
          <w:tab w:val="left" w:pos="1418"/>
        </w:tabs>
        <w:spacing w:line="240" w:lineRule="auto"/>
        <w:jc w:val="both"/>
      </w:pPr>
      <w:r>
        <w:t>ACD</w:t>
      </w:r>
      <w:r>
        <w:tab/>
      </w:r>
      <w:r>
        <w:tab/>
      </w:r>
      <w:r w:rsidR="009F4782">
        <w:tab/>
      </w:r>
      <w:r>
        <w:t>Anticoagulant citrate dextrose</w:t>
      </w:r>
    </w:p>
    <w:p w:rsidR="0062264E" w:rsidRDefault="0062264E" w:rsidP="0062264E">
      <w:pPr>
        <w:tabs>
          <w:tab w:val="left" w:pos="1418"/>
        </w:tabs>
        <w:spacing w:line="240" w:lineRule="auto"/>
        <w:jc w:val="both"/>
      </w:pPr>
      <w:r>
        <w:t>AE</w:t>
      </w:r>
      <w:r>
        <w:tab/>
      </w:r>
      <w:r w:rsidR="009F4782">
        <w:tab/>
      </w:r>
      <w:r>
        <w:tab/>
        <w:t>Adverse event</w:t>
      </w:r>
    </w:p>
    <w:p w:rsidR="0062264E" w:rsidRDefault="0062264E" w:rsidP="0062264E">
      <w:pPr>
        <w:tabs>
          <w:tab w:val="left" w:pos="1418"/>
        </w:tabs>
        <w:spacing w:line="240" w:lineRule="auto"/>
        <w:jc w:val="both"/>
      </w:pPr>
      <w:r>
        <w:t>AHPRA</w:t>
      </w:r>
      <w:r>
        <w:tab/>
      </w:r>
      <w:r>
        <w:tab/>
      </w:r>
      <w:r w:rsidR="009F4782">
        <w:tab/>
      </w:r>
      <w:r>
        <w:t>Australian Health Practitioner Regulation Agency</w:t>
      </w:r>
    </w:p>
    <w:p w:rsidR="0062264E" w:rsidRDefault="0062264E" w:rsidP="0062264E">
      <w:pPr>
        <w:tabs>
          <w:tab w:val="left" w:pos="1418"/>
        </w:tabs>
        <w:spacing w:line="240" w:lineRule="auto"/>
        <w:jc w:val="both"/>
      </w:pPr>
      <w:r>
        <w:t>AIHW</w:t>
      </w:r>
      <w:r>
        <w:tab/>
      </w:r>
      <w:r w:rsidR="009F4782">
        <w:tab/>
      </w:r>
      <w:r>
        <w:tab/>
      </w:r>
      <w:r w:rsidRPr="0062264E">
        <w:t>Australian Institute of Health and Welfare</w:t>
      </w:r>
    </w:p>
    <w:p w:rsidR="0062264E" w:rsidRDefault="0062264E" w:rsidP="0062264E">
      <w:pPr>
        <w:tabs>
          <w:tab w:val="left" w:pos="1418"/>
        </w:tabs>
        <w:spacing w:line="240" w:lineRule="auto"/>
        <w:jc w:val="both"/>
      </w:pPr>
      <w:r>
        <w:t>ARTG</w:t>
      </w:r>
      <w:r>
        <w:tab/>
      </w:r>
      <w:r w:rsidR="009F4782">
        <w:tab/>
      </w:r>
      <w:r>
        <w:tab/>
      </w:r>
      <w:r w:rsidRPr="00E3331A">
        <w:rPr>
          <w:color w:val="000000"/>
          <w:szCs w:val="24"/>
        </w:rPr>
        <w:t>Australian Register of Therapeutic Goods</w:t>
      </w:r>
    </w:p>
    <w:p w:rsidR="0062264E" w:rsidRDefault="0062264E" w:rsidP="0062264E">
      <w:pPr>
        <w:tabs>
          <w:tab w:val="left" w:pos="1418"/>
        </w:tabs>
        <w:spacing w:line="240" w:lineRule="auto"/>
        <w:jc w:val="both"/>
      </w:pPr>
      <w:r>
        <w:t>CADTH</w:t>
      </w:r>
      <w:r>
        <w:tab/>
      </w:r>
      <w:r w:rsidR="009F4782">
        <w:tab/>
      </w:r>
      <w:r>
        <w:tab/>
        <w:t>Canadian Agency for Drugs and Technologies in Health</w:t>
      </w:r>
    </w:p>
    <w:p w:rsidR="0062264E" w:rsidRDefault="0062264E" w:rsidP="0062264E">
      <w:pPr>
        <w:tabs>
          <w:tab w:val="left" w:pos="1418"/>
        </w:tabs>
        <w:spacing w:line="240" w:lineRule="auto"/>
        <w:jc w:val="both"/>
      </w:pPr>
      <w:r>
        <w:t>CERA</w:t>
      </w:r>
      <w:r>
        <w:tab/>
      </w:r>
      <w:r w:rsidR="009F4782">
        <w:tab/>
      </w:r>
      <w:r>
        <w:tab/>
        <w:t>Centre for Eye Research Australia</w:t>
      </w:r>
    </w:p>
    <w:p w:rsidR="0062264E" w:rsidRDefault="0062264E" w:rsidP="0062264E">
      <w:pPr>
        <w:tabs>
          <w:tab w:val="left" w:pos="1418"/>
        </w:tabs>
        <w:spacing w:line="240" w:lineRule="auto"/>
        <w:jc w:val="both"/>
      </w:pPr>
      <w:r>
        <w:t>CI</w:t>
      </w:r>
      <w:r>
        <w:tab/>
      </w:r>
      <w:r w:rsidR="009F4782">
        <w:tab/>
      </w:r>
      <w:r>
        <w:tab/>
        <w:t>C</w:t>
      </w:r>
      <w:r w:rsidRPr="00E3331A">
        <w:rPr>
          <w:color w:val="000000"/>
          <w:szCs w:val="24"/>
        </w:rPr>
        <w:t>onfidence interval</w:t>
      </w:r>
    </w:p>
    <w:p w:rsidR="0062264E" w:rsidRDefault="0062264E" w:rsidP="0062264E">
      <w:pPr>
        <w:tabs>
          <w:tab w:val="left" w:pos="1418"/>
        </w:tabs>
        <w:spacing w:line="240" w:lineRule="auto"/>
        <w:jc w:val="both"/>
      </w:pPr>
      <w:r>
        <w:t>CIDP</w:t>
      </w:r>
      <w:r>
        <w:tab/>
      </w:r>
      <w:r w:rsidR="009F4782">
        <w:tab/>
      </w:r>
      <w:r>
        <w:tab/>
        <w:t>Chronic Inflammatory Demyelinating Polyneuropathy</w:t>
      </w:r>
    </w:p>
    <w:p w:rsidR="0062264E" w:rsidRDefault="0062264E" w:rsidP="0062264E">
      <w:pPr>
        <w:tabs>
          <w:tab w:val="left" w:pos="1418"/>
        </w:tabs>
        <w:spacing w:line="240" w:lineRule="auto"/>
        <w:jc w:val="both"/>
      </w:pPr>
      <w:r>
        <w:t>CTCAE</w:t>
      </w:r>
      <w:r>
        <w:tab/>
      </w:r>
      <w:r w:rsidR="009F4782">
        <w:tab/>
      </w:r>
      <w:r>
        <w:tab/>
        <w:t>Common Terminology Criteria for Adverse Events</w:t>
      </w:r>
    </w:p>
    <w:p w:rsidR="0062264E" w:rsidRDefault="0062264E" w:rsidP="0062264E">
      <w:pPr>
        <w:tabs>
          <w:tab w:val="left" w:pos="1418"/>
        </w:tabs>
        <w:spacing w:line="240" w:lineRule="auto"/>
        <w:jc w:val="both"/>
      </w:pPr>
      <w:r>
        <w:t>EDSS</w:t>
      </w:r>
      <w:r>
        <w:tab/>
      </w:r>
      <w:r w:rsidR="009F4782">
        <w:tab/>
      </w:r>
      <w:r>
        <w:tab/>
        <w:t>Expanded Disability Status Scale</w:t>
      </w:r>
    </w:p>
    <w:p w:rsidR="0062264E" w:rsidRDefault="0062264E" w:rsidP="0062264E">
      <w:pPr>
        <w:tabs>
          <w:tab w:val="left" w:pos="1418"/>
        </w:tabs>
        <w:spacing w:line="240" w:lineRule="auto"/>
        <w:jc w:val="both"/>
      </w:pPr>
      <w:r>
        <w:t>ENMC</w:t>
      </w:r>
      <w:r>
        <w:tab/>
      </w:r>
      <w:r w:rsidR="009F4782">
        <w:tab/>
      </w:r>
      <w:r>
        <w:tab/>
        <w:t>European Neuromuscular Centre</w:t>
      </w:r>
    </w:p>
    <w:p w:rsidR="0062264E" w:rsidRDefault="0062264E" w:rsidP="0062264E">
      <w:pPr>
        <w:tabs>
          <w:tab w:val="left" w:pos="1418"/>
        </w:tabs>
        <w:spacing w:line="240" w:lineRule="auto"/>
        <w:jc w:val="both"/>
      </w:pPr>
      <w:r>
        <w:t>HAD</w:t>
      </w:r>
      <w:r>
        <w:tab/>
      </w:r>
      <w:r w:rsidR="009F4782">
        <w:tab/>
      </w:r>
      <w:r>
        <w:tab/>
        <w:t>Hospital Anxiety and Depression</w:t>
      </w:r>
    </w:p>
    <w:p w:rsidR="0062264E" w:rsidRDefault="0062264E" w:rsidP="0062264E">
      <w:pPr>
        <w:tabs>
          <w:tab w:val="left" w:pos="1418"/>
        </w:tabs>
        <w:spacing w:line="240" w:lineRule="auto"/>
        <w:jc w:val="both"/>
        <w:rPr>
          <w:color w:val="000000"/>
          <w:szCs w:val="24"/>
        </w:rPr>
      </w:pPr>
      <w:r>
        <w:t>HRQoL</w:t>
      </w:r>
      <w:r>
        <w:tab/>
      </w:r>
      <w:r w:rsidR="009F4782">
        <w:tab/>
      </w:r>
      <w:r>
        <w:tab/>
      </w:r>
      <w:r>
        <w:rPr>
          <w:color w:val="000000"/>
          <w:szCs w:val="24"/>
        </w:rPr>
        <w:t>H</w:t>
      </w:r>
      <w:r w:rsidRPr="00E3331A">
        <w:rPr>
          <w:color w:val="000000"/>
          <w:szCs w:val="24"/>
        </w:rPr>
        <w:t>ealth-related quality of life</w:t>
      </w:r>
    </w:p>
    <w:p w:rsidR="0062264E" w:rsidRDefault="0062264E" w:rsidP="0062264E">
      <w:pPr>
        <w:tabs>
          <w:tab w:val="left" w:pos="1418"/>
        </w:tabs>
        <w:spacing w:line="240" w:lineRule="auto"/>
        <w:jc w:val="both"/>
      </w:pPr>
      <w:r>
        <w:t>HSCT</w:t>
      </w:r>
      <w:r>
        <w:tab/>
      </w:r>
      <w:r w:rsidR="009F4782">
        <w:tab/>
      </w:r>
      <w:r>
        <w:tab/>
        <w:t>Haemopoeitic stem cell transplant</w:t>
      </w:r>
    </w:p>
    <w:p w:rsidR="0062264E" w:rsidRDefault="0062264E" w:rsidP="0062264E">
      <w:pPr>
        <w:tabs>
          <w:tab w:val="left" w:pos="1418"/>
        </w:tabs>
        <w:spacing w:line="240" w:lineRule="auto"/>
        <w:jc w:val="both"/>
      </w:pPr>
      <w:r>
        <w:t>HTA</w:t>
      </w:r>
      <w:r>
        <w:tab/>
      </w:r>
      <w:r w:rsidR="009F4782">
        <w:tab/>
      </w:r>
      <w:r>
        <w:tab/>
        <w:t>H</w:t>
      </w:r>
      <w:r w:rsidRPr="00E3331A">
        <w:t>ealth technology assessment</w:t>
      </w:r>
    </w:p>
    <w:p w:rsidR="0062264E" w:rsidRDefault="0062264E" w:rsidP="0062264E">
      <w:pPr>
        <w:tabs>
          <w:tab w:val="left" w:pos="1418"/>
        </w:tabs>
        <w:spacing w:line="240" w:lineRule="auto"/>
        <w:jc w:val="both"/>
      </w:pPr>
      <w:r>
        <w:t>ICER</w:t>
      </w:r>
      <w:r>
        <w:tab/>
      </w:r>
      <w:r w:rsidR="009F4782">
        <w:tab/>
      </w:r>
      <w:r>
        <w:tab/>
        <w:t>I</w:t>
      </w:r>
      <w:r w:rsidRPr="0062264E">
        <w:t>ncremental cost-effectiveness ratio</w:t>
      </w:r>
    </w:p>
    <w:p w:rsidR="0062264E" w:rsidRDefault="0062264E" w:rsidP="0062264E">
      <w:pPr>
        <w:tabs>
          <w:tab w:val="left" w:pos="1418"/>
        </w:tabs>
        <w:spacing w:line="240" w:lineRule="auto"/>
        <w:jc w:val="both"/>
      </w:pPr>
      <w:r>
        <w:t>INCAT</w:t>
      </w:r>
      <w:r>
        <w:tab/>
      </w:r>
      <w:r w:rsidR="009F4782">
        <w:tab/>
      </w:r>
      <w:r>
        <w:tab/>
        <w:t>Inflammatory Neuropathy Cause and Treatment</w:t>
      </w:r>
    </w:p>
    <w:p w:rsidR="0062264E" w:rsidRDefault="0062264E" w:rsidP="0062264E">
      <w:pPr>
        <w:tabs>
          <w:tab w:val="left" w:pos="1418"/>
        </w:tabs>
        <w:spacing w:line="240" w:lineRule="auto"/>
        <w:jc w:val="both"/>
      </w:pPr>
      <w:r>
        <w:t>ITP</w:t>
      </w:r>
      <w:r>
        <w:tab/>
      </w:r>
      <w:r w:rsidR="009F4782">
        <w:tab/>
      </w:r>
      <w:r>
        <w:tab/>
        <w:t>Immune thrombocytopenic purpura</w:t>
      </w:r>
    </w:p>
    <w:p w:rsidR="0062264E" w:rsidRDefault="0062264E" w:rsidP="0062264E">
      <w:pPr>
        <w:tabs>
          <w:tab w:val="left" w:pos="1418"/>
        </w:tabs>
        <w:spacing w:line="240" w:lineRule="auto"/>
        <w:jc w:val="both"/>
      </w:pPr>
      <w:r>
        <w:t>IV</w:t>
      </w:r>
      <w:r>
        <w:tab/>
      </w:r>
      <w:r w:rsidR="009F4782">
        <w:tab/>
      </w:r>
      <w:r>
        <w:tab/>
        <w:t>Intravenous</w:t>
      </w:r>
    </w:p>
    <w:p w:rsidR="0062264E" w:rsidRDefault="0062264E" w:rsidP="0062264E">
      <w:pPr>
        <w:tabs>
          <w:tab w:val="left" w:pos="1418"/>
        </w:tabs>
        <w:spacing w:line="240" w:lineRule="auto"/>
        <w:jc w:val="both"/>
      </w:pPr>
      <w:r>
        <w:t>LFT</w:t>
      </w:r>
      <w:r>
        <w:tab/>
      </w:r>
      <w:r w:rsidR="009F4782">
        <w:tab/>
      </w:r>
      <w:r>
        <w:tab/>
        <w:t>Liver function test</w:t>
      </w:r>
    </w:p>
    <w:p w:rsidR="0062264E" w:rsidRDefault="0062264E" w:rsidP="0062264E">
      <w:pPr>
        <w:tabs>
          <w:tab w:val="left" w:pos="1418"/>
        </w:tabs>
        <w:spacing w:line="240" w:lineRule="auto"/>
        <w:jc w:val="both"/>
      </w:pPr>
      <w:r>
        <w:t>LY</w:t>
      </w:r>
      <w:r>
        <w:tab/>
      </w:r>
      <w:r w:rsidR="009F4782">
        <w:tab/>
      </w:r>
      <w:r>
        <w:tab/>
        <w:t>Life-years</w:t>
      </w:r>
    </w:p>
    <w:p w:rsidR="0062264E" w:rsidRDefault="0062264E" w:rsidP="0062264E">
      <w:pPr>
        <w:tabs>
          <w:tab w:val="left" w:pos="1418"/>
        </w:tabs>
        <w:spacing w:line="240" w:lineRule="auto"/>
        <w:jc w:val="both"/>
      </w:pPr>
      <w:r>
        <w:t>MBS</w:t>
      </w:r>
      <w:r>
        <w:tab/>
      </w:r>
      <w:r w:rsidR="009F4782">
        <w:tab/>
      </w:r>
      <w:r>
        <w:tab/>
      </w:r>
      <w:r w:rsidRPr="0062264E">
        <w:t>Medicare Benefits Schedule</w:t>
      </w:r>
    </w:p>
    <w:p w:rsidR="0062264E" w:rsidRDefault="0062264E" w:rsidP="0062264E">
      <w:pPr>
        <w:tabs>
          <w:tab w:val="left" w:pos="1418"/>
        </w:tabs>
        <w:spacing w:line="240" w:lineRule="auto"/>
        <w:jc w:val="both"/>
      </w:pPr>
      <w:r>
        <w:lastRenderedPageBreak/>
        <w:t>MD</w:t>
      </w:r>
      <w:r>
        <w:tab/>
      </w:r>
      <w:r w:rsidR="009F4782">
        <w:tab/>
      </w:r>
      <w:r>
        <w:tab/>
        <w:t>Mean difference</w:t>
      </w:r>
    </w:p>
    <w:p w:rsidR="0062264E" w:rsidRDefault="0062264E" w:rsidP="0062264E">
      <w:pPr>
        <w:tabs>
          <w:tab w:val="left" w:pos="1418"/>
        </w:tabs>
        <w:spacing w:line="240" w:lineRule="auto"/>
        <w:jc w:val="both"/>
      </w:pPr>
      <w:r>
        <w:t>MMP</w:t>
      </w:r>
      <w:r>
        <w:tab/>
      </w:r>
      <w:r w:rsidR="009F4782">
        <w:tab/>
      </w:r>
      <w:r>
        <w:tab/>
        <w:t>Mucous membrane pemphigoid</w:t>
      </w:r>
    </w:p>
    <w:p w:rsidR="0062264E" w:rsidRDefault="0062264E" w:rsidP="0062264E">
      <w:pPr>
        <w:tabs>
          <w:tab w:val="left" w:pos="1418"/>
        </w:tabs>
        <w:spacing w:line="240" w:lineRule="auto"/>
        <w:jc w:val="both"/>
      </w:pPr>
      <w:r>
        <w:t>MRC</w:t>
      </w:r>
      <w:r>
        <w:tab/>
      </w:r>
      <w:r w:rsidR="009F4782">
        <w:tab/>
      </w:r>
      <w:r>
        <w:tab/>
        <w:t>Medical Research Council</w:t>
      </w:r>
    </w:p>
    <w:p w:rsidR="0062264E" w:rsidRDefault="0062264E" w:rsidP="0062264E">
      <w:pPr>
        <w:tabs>
          <w:tab w:val="left" w:pos="1418"/>
        </w:tabs>
        <w:spacing w:line="240" w:lineRule="auto"/>
        <w:jc w:val="both"/>
      </w:pPr>
      <w:r>
        <w:t>MRS</w:t>
      </w:r>
      <w:r>
        <w:tab/>
      </w:r>
      <w:r w:rsidR="009F4782">
        <w:tab/>
      </w:r>
      <w:r>
        <w:tab/>
        <w:t>Modified Ranking Scale</w:t>
      </w:r>
    </w:p>
    <w:p w:rsidR="0062264E" w:rsidRDefault="0062264E" w:rsidP="0062264E">
      <w:pPr>
        <w:tabs>
          <w:tab w:val="left" w:pos="1418"/>
        </w:tabs>
        <w:spacing w:line="240" w:lineRule="auto"/>
        <w:jc w:val="both"/>
      </w:pPr>
      <w:r>
        <w:t>MSAC</w:t>
      </w:r>
      <w:r>
        <w:tab/>
      </w:r>
      <w:r w:rsidR="009F4782">
        <w:tab/>
      </w:r>
      <w:r>
        <w:tab/>
      </w:r>
      <w:r w:rsidRPr="00E3331A">
        <w:t>Medical Services Advisory Committee</w:t>
      </w:r>
    </w:p>
    <w:p w:rsidR="0062264E" w:rsidRDefault="0062264E" w:rsidP="0062264E">
      <w:pPr>
        <w:tabs>
          <w:tab w:val="left" w:pos="1418"/>
        </w:tabs>
        <w:spacing w:line="240" w:lineRule="auto"/>
        <w:jc w:val="both"/>
      </w:pPr>
      <w:r>
        <w:t>NBA</w:t>
      </w:r>
      <w:r>
        <w:tab/>
      </w:r>
      <w:r w:rsidR="009F4782">
        <w:tab/>
      </w:r>
      <w:r>
        <w:tab/>
        <w:t>National Blood Authority</w:t>
      </w:r>
    </w:p>
    <w:p w:rsidR="0062264E" w:rsidRDefault="0062264E" w:rsidP="0062264E">
      <w:pPr>
        <w:tabs>
          <w:tab w:val="left" w:pos="1418"/>
        </w:tabs>
        <w:spacing w:line="240" w:lineRule="auto"/>
        <w:jc w:val="both"/>
      </w:pPr>
      <w:r>
        <w:t>NHMRC</w:t>
      </w:r>
      <w:r>
        <w:tab/>
      </w:r>
      <w:r w:rsidR="009F4782">
        <w:tab/>
      </w:r>
      <w:r>
        <w:tab/>
      </w:r>
      <w:r w:rsidRPr="00E3331A">
        <w:rPr>
          <w:color w:val="000000"/>
          <w:szCs w:val="24"/>
        </w:rPr>
        <w:t>National Health and Medical Research Council</w:t>
      </w:r>
    </w:p>
    <w:p w:rsidR="0062264E" w:rsidRDefault="0062264E" w:rsidP="0062264E">
      <w:pPr>
        <w:tabs>
          <w:tab w:val="left" w:pos="1418"/>
        </w:tabs>
        <w:spacing w:line="240" w:lineRule="auto"/>
        <w:jc w:val="both"/>
      </w:pPr>
      <w:r>
        <w:t>NSW</w:t>
      </w:r>
      <w:r>
        <w:tab/>
      </w:r>
      <w:r w:rsidR="009F4782">
        <w:tab/>
      </w:r>
      <w:r>
        <w:tab/>
        <w:t>New South Wales</w:t>
      </w:r>
    </w:p>
    <w:p w:rsidR="0062264E" w:rsidRDefault="0062264E" w:rsidP="0062264E">
      <w:pPr>
        <w:tabs>
          <w:tab w:val="left" w:pos="1418"/>
        </w:tabs>
        <w:spacing w:line="240" w:lineRule="auto"/>
        <w:jc w:val="both"/>
      </w:pPr>
      <w:r>
        <w:t>ODSS</w:t>
      </w:r>
      <w:r>
        <w:tab/>
      </w:r>
      <w:r w:rsidR="009F4782">
        <w:tab/>
      </w:r>
      <w:r>
        <w:tab/>
        <w:t>Overall disability sum score</w:t>
      </w:r>
    </w:p>
    <w:p w:rsidR="0062264E" w:rsidRDefault="0062264E" w:rsidP="0062264E">
      <w:pPr>
        <w:tabs>
          <w:tab w:val="left" w:pos="1418"/>
        </w:tabs>
        <w:spacing w:line="240" w:lineRule="auto"/>
        <w:jc w:val="both"/>
      </w:pPr>
      <w:r>
        <w:t>ONLS</w:t>
      </w:r>
      <w:r>
        <w:tab/>
      </w:r>
      <w:r w:rsidR="009F4782">
        <w:tab/>
      </w:r>
      <w:r>
        <w:tab/>
        <w:t>Overall Neuropathy Limitations Scale</w:t>
      </w:r>
    </w:p>
    <w:p w:rsidR="0062264E" w:rsidRDefault="0062264E" w:rsidP="0062264E">
      <w:pPr>
        <w:tabs>
          <w:tab w:val="left" w:pos="1418"/>
        </w:tabs>
        <w:spacing w:line="240" w:lineRule="auto"/>
        <w:jc w:val="both"/>
      </w:pPr>
      <w:r>
        <w:t>OMA</w:t>
      </w:r>
      <w:r>
        <w:tab/>
      </w:r>
      <w:r w:rsidR="009F4782">
        <w:tab/>
      </w:r>
      <w:r>
        <w:tab/>
        <w:t>Opsoclonus-myoclonus ataxia</w:t>
      </w:r>
    </w:p>
    <w:p w:rsidR="0062264E" w:rsidRPr="00E3331A" w:rsidRDefault="0062264E" w:rsidP="0062264E">
      <w:pPr>
        <w:tabs>
          <w:tab w:val="left" w:pos="1418"/>
        </w:tabs>
        <w:spacing w:line="240" w:lineRule="auto"/>
        <w:jc w:val="both"/>
        <w:rPr>
          <w:color w:val="000000"/>
          <w:szCs w:val="24"/>
        </w:rPr>
      </w:pPr>
      <w:r>
        <w:t>PASC</w:t>
      </w:r>
      <w:r>
        <w:tab/>
      </w:r>
      <w:r w:rsidR="009F4782">
        <w:tab/>
      </w:r>
      <w:r>
        <w:tab/>
      </w:r>
      <w:r w:rsidRPr="00E3331A">
        <w:rPr>
          <w:color w:val="000000"/>
          <w:szCs w:val="24"/>
        </w:rPr>
        <w:t>PICO Confirmation Advisory Sub</w:t>
      </w:r>
      <w:r>
        <w:rPr>
          <w:color w:val="000000"/>
          <w:szCs w:val="24"/>
        </w:rPr>
        <w:t>-Committee</w:t>
      </w:r>
      <w:r w:rsidRPr="00E3331A">
        <w:rPr>
          <w:color w:val="000000"/>
          <w:szCs w:val="24"/>
        </w:rPr>
        <w:t xml:space="preserve"> of the MSAC</w:t>
      </w:r>
    </w:p>
    <w:p w:rsidR="0062264E" w:rsidRDefault="0062264E" w:rsidP="0062264E">
      <w:pPr>
        <w:tabs>
          <w:tab w:val="left" w:pos="1418"/>
        </w:tabs>
        <w:spacing w:line="240" w:lineRule="auto"/>
        <w:jc w:val="both"/>
      </w:pPr>
      <w:r>
        <w:t>PBS</w:t>
      </w:r>
      <w:r>
        <w:tab/>
      </w:r>
      <w:r w:rsidR="009F4782">
        <w:tab/>
      </w:r>
      <w:r>
        <w:tab/>
        <w:t>Pharmaceutical Benefits Schedule</w:t>
      </w:r>
    </w:p>
    <w:p w:rsidR="00903487" w:rsidRDefault="00903487" w:rsidP="00903487">
      <w:pPr>
        <w:tabs>
          <w:tab w:val="left" w:pos="1418"/>
        </w:tabs>
        <w:spacing w:line="240" w:lineRule="auto"/>
        <w:jc w:val="both"/>
      </w:pPr>
      <w:r>
        <w:t>PDN</w:t>
      </w:r>
      <w:r w:rsidR="009F4782">
        <w:tab/>
      </w:r>
      <w:r>
        <w:tab/>
      </w:r>
      <w:r>
        <w:tab/>
        <w:t>Paraproteinaemic demyelinating neuropathy</w:t>
      </w:r>
    </w:p>
    <w:p w:rsidR="0062264E" w:rsidRDefault="0062264E" w:rsidP="0062264E">
      <w:pPr>
        <w:tabs>
          <w:tab w:val="left" w:pos="1418"/>
        </w:tabs>
        <w:spacing w:line="240" w:lineRule="auto"/>
        <w:jc w:val="both"/>
      </w:pPr>
      <w:r>
        <w:t>PGIC</w:t>
      </w:r>
      <w:r w:rsidR="009F4782">
        <w:tab/>
      </w:r>
      <w:r>
        <w:tab/>
      </w:r>
      <w:r>
        <w:tab/>
        <w:t>Patient global impression of change</w:t>
      </w:r>
    </w:p>
    <w:p w:rsidR="00903487" w:rsidRDefault="00903487" w:rsidP="00903487">
      <w:pPr>
        <w:tabs>
          <w:tab w:val="left" w:pos="1418"/>
        </w:tabs>
        <w:spacing w:line="240" w:lineRule="auto"/>
        <w:jc w:val="both"/>
      </w:pPr>
      <w:r>
        <w:t>PICO</w:t>
      </w:r>
      <w:r>
        <w:tab/>
      </w:r>
      <w:r w:rsidR="009F4782">
        <w:tab/>
      </w:r>
      <w:r>
        <w:tab/>
        <w:t>Population, Intervention, Comparator and Outcomes</w:t>
      </w:r>
    </w:p>
    <w:p w:rsidR="0062264E" w:rsidRDefault="0062264E" w:rsidP="0062264E">
      <w:pPr>
        <w:tabs>
          <w:tab w:val="left" w:pos="1418"/>
        </w:tabs>
        <w:spacing w:line="240" w:lineRule="auto"/>
        <w:jc w:val="both"/>
      </w:pPr>
      <w:r>
        <w:t>PTP</w:t>
      </w:r>
      <w:r>
        <w:tab/>
      </w:r>
      <w:r w:rsidR="009F4782">
        <w:tab/>
      </w:r>
      <w:r>
        <w:tab/>
        <w:t>Post-transfusion purpura</w:t>
      </w:r>
    </w:p>
    <w:p w:rsidR="0062264E" w:rsidRDefault="0062264E" w:rsidP="0062264E">
      <w:pPr>
        <w:tabs>
          <w:tab w:val="left" w:pos="1418"/>
        </w:tabs>
        <w:spacing w:line="240" w:lineRule="auto"/>
        <w:jc w:val="both"/>
      </w:pPr>
      <w:r>
        <w:t>PV</w:t>
      </w:r>
      <w:r>
        <w:tab/>
      </w:r>
      <w:r w:rsidR="009F4782">
        <w:tab/>
      </w:r>
      <w:r>
        <w:tab/>
        <w:t>Pemphigus vulgaris</w:t>
      </w:r>
    </w:p>
    <w:p w:rsidR="0062264E" w:rsidRDefault="0062264E" w:rsidP="0062264E">
      <w:pPr>
        <w:tabs>
          <w:tab w:val="left" w:pos="1418"/>
        </w:tabs>
        <w:spacing w:line="240" w:lineRule="auto"/>
        <w:jc w:val="both"/>
      </w:pPr>
      <w:r>
        <w:t>QALY</w:t>
      </w:r>
      <w:r>
        <w:tab/>
      </w:r>
      <w:r w:rsidR="009F4782">
        <w:tab/>
      </w:r>
      <w:r>
        <w:tab/>
      </w:r>
      <w:r w:rsidRPr="00E3331A">
        <w:t>Quality-adjusted life year</w:t>
      </w:r>
      <w:r>
        <w:t xml:space="preserve"> </w:t>
      </w:r>
    </w:p>
    <w:p w:rsidR="0062264E" w:rsidRDefault="0062264E" w:rsidP="0062264E">
      <w:pPr>
        <w:tabs>
          <w:tab w:val="left" w:pos="1418"/>
        </w:tabs>
        <w:spacing w:line="240" w:lineRule="auto"/>
        <w:jc w:val="both"/>
      </w:pPr>
      <w:r>
        <w:t>QoL</w:t>
      </w:r>
      <w:r>
        <w:tab/>
      </w:r>
      <w:r w:rsidR="009F4782">
        <w:tab/>
      </w:r>
      <w:r>
        <w:tab/>
        <w:t>Quality of life</w:t>
      </w:r>
    </w:p>
    <w:p w:rsidR="0062264E" w:rsidRDefault="0062264E" w:rsidP="0062264E">
      <w:pPr>
        <w:tabs>
          <w:tab w:val="left" w:pos="1418"/>
        </w:tabs>
        <w:spacing w:line="240" w:lineRule="auto"/>
        <w:jc w:val="both"/>
      </w:pPr>
      <w:r>
        <w:t>RACS</w:t>
      </w:r>
      <w:r>
        <w:tab/>
      </w:r>
      <w:r w:rsidR="009F4782">
        <w:tab/>
      </w:r>
      <w:r>
        <w:tab/>
      </w:r>
      <w:r w:rsidR="009F4782">
        <w:t>Royal Australasian College of Surgeons</w:t>
      </w:r>
    </w:p>
    <w:p w:rsidR="0062264E" w:rsidRDefault="0062264E" w:rsidP="0062264E">
      <w:pPr>
        <w:tabs>
          <w:tab w:val="left" w:pos="1418"/>
        </w:tabs>
        <w:spacing w:line="240" w:lineRule="auto"/>
        <w:jc w:val="both"/>
      </w:pPr>
      <w:r>
        <w:t>RHS</w:t>
      </w:r>
      <w:r>
        <w:tab/>
      </w:r>
      <w:r w:rsidR="009F4782">
        <w:tab/>
      </w:r>
      <w:r>
        <w:tab/>
        <w:t>Rotterdam Handicap Scale</w:t>
      </w:r>
    </w:p>
    <w:p w:rsidR="0062264E" w:rsidRDefault="0062264E" w:rsidP="0062264E">
      <w:pPr>
        <w:tabs>
          <w:tab w:val="left" w:pos="1418"/>
        </w:tabs>
        <w:spacing w:line="240" w:lineRule="auto"/>
        <w:jc w:val="both"/>
      </w:pPr>
      <w:r>
        <w:t>RR</w:t>
      </w:r>
      <w:r>
        <w:tab/>
      </w:r>
      <w:r w:rsidR="009F4782">
        <w:tab/>
      </w:r>
      <w:r>
        <w:tab/>
        <w:t>Relative risk</w:t>
      </w:r>
    </w:p>
    <w:p w:rsidR="00903487" w:rsidRDefault="00903487" w:rsidP="00903487">
      <w:pPr>
        <w:tabs>
          <w:tab w:val="left" w:pos="1418"/>
        </w:tabs>
        <w:spacing w:line="240" w:lineRule="auto"/>
        <w:jc w:val="both"/>
      </w:pPr>
      <w:r>
        <w:t>SAE</w:t>
      </w:r>
      <w:r>
        <w:tab/>
      </w:r>
      <w:r w:rsidR="009F4782">
        <w:tab/>
      </w:r>
      <w:r>
        <w:tab/>
        <w:t>Serious adverse event</w:t>
      </w:r>
    </w:p>
    <w:p w:rsidR="00903487" w:rsidRDefault="00903487" w:rsidP="0062264E">
      <w:pPr>
        <w:tabs>
          <w:tab w:val="left" w:pos="1418"/>
        </w:tabs>
        <w:spacing w:line="240" w:lineRule="auto"/>
        <w:jc w:val="both"/>
      </w:pPr>
      <w:r>
        <w:t>SCIg</w:t>
      </w:r>
      <w:r>
        <w:tab/>
      </w:r>
      <w:r w:rsidR="009F4782">
        <w:tab/>
      </w:r>
      <w:r>
        <w:tab/>
        <w:t>Subcutaneous Immunoglobulin</w:t>
      </w:r>
    </w:p>
    <w:p w:rsidR="00903487" w:rsidRDefault="00903487" w:rsidP="0062264E">
      <w:pPr>
        <w:tabs>
          <w:tab w:val="left" w:pos="1418"/>
        </w:tabs>
        <w:spacing w:line="240" w:lineRule="auto"/>
        <w:jc w:val="both"/>
      </w:pPr>
      <w:r>
        <w:t>SD</w:t>
      </w:r>
      <w:r>
        <w:tab/>
      </w:r>
      <w:r w:rsidR="009F4782">
        <w:tab/>
      </w:r>
      <w:r>
        <w:tab/>
        <w:t>Standard deviation</w:t>
      </w:r>
    </w:p>
    <w:p w:rsidR="0062264E" w:rsidRDefault="0062264E" w:rsidP="0062264E">
      <w:pPr>
        <w:tabs>
          <w:tab w:val="left" w:pos="1418"/>
        </w:tabs>
        <w:spacing w:line="240" w:lineRule="auto"/>
        <w:jc w:val="both"/>
      </w:pPr>
      <w:r>
        <w:t>TGA</w:t>
      </w:r>
      <w:r>
        <w:tab/>
      </w:r>
      <w:r w:rsidR="009F4782">
        <w:tab/>
      </w:r>
      <w:r>
        <w:tab/>
      </w:r>
      <w:r w:rsidRPr="00E3331A">
        <w:t>Therapeutic Goods Administration</w:t>
      </w:r>
    </w:p>
    <w:p w:rsidR="008F59A8" w:rsidRPr="00E3331A" w:rsidRDefault="00913620" w:rsidP="00DF343F">
      <w:pPr>
        <w:pStyle w:val="Heading1"/>
        <w:jc w:val="both"/>
      </w:pPr>
      <w:bookmarkStart w:id="102" w:name="_Toc24103430"/>
      <w:bookmarkEnd w:id="101"/>
      <w:r w:rsidRPr="00E3331A">
        <w:lastRenderedPageBreak/>
        <w:t>Section A</w:t>
      </w:r>
      <w:r w:rsidRPr="00E3331A">
        <w:tab/>
        <w:t>Context</w:t>
      </w:r>
      <w:bookmarkEnd w:id="102"/>
    </w:p>
    <w:p w:rsidR="00E05186" w:rsidRPr="00E3331A" w:rsidRDefault="00E05186" w:rsidP="00DF343F">
      <w:pPr>
        <w:jc w:val="both"/>
      </w:pPr>
      <w:r w:rsidRPr="00E3331A">
        <w:t xml:space="preserve">This </w:t>
      </w:r>
      <w:r w:rsidR="00BE54F2">
        <w:t>C</w:t>
      </w:r>
      <w:r w:rsidR="00FD31FC" w:rsidRPr="00E3331A">
        <w:t xml:space="preserve">ontracted </w:t>
      </w:r>
      <w:r w:rsidR="005541CA" w:rsidRPr="00E3331A">
        <w:t>A</w:t>
      </w:r>
      <w:r w:rsidRPr="00E3331A">
        <w:t xml:space="preserve">ssessment </w:t>
      </w:r>
      <w:r w:rsidR="00FD31FC" w:rsidRPr="00E3331A">
        <w:t xml:space="preserve">of </w:t>
      </w:r>
      <w:r w:rsidR="00AB08DA" w:rsidRPr="00E3331A">
        <w:t>IVI</w:t>
      </w:r>
      <w:r w:rsidR="00A33243" w:rsidRPr="00E3331A">
        <w:t>g</w:t>
      </w:r>
      <w:r w:rsidR="00AB08DA" w:rsidRPr="00E3331A">
        <w:t xml:space="preserve"> and SCI</w:t>
      </w:r>
      <w:r w:rsidR="00A33243" w:rsidRPr="00E3331A">
        <w:t>g</w:t>
      </w:r>
      <w:r w:rsidRPr="00E3331A">
        <w:t xml:space="preserve"> </w:t>
      </w:r>
      <w:r w:rsidR="00FD31FC" w:rsidRPr="00E3331A">
        <w:t xml:space="preserve">for the </w:t>
      </w:r>
      <w:r w:rsidR="00AB08DA" w:rsidRPr="00E3331A">
        <w:t>management</w:t>
      </w:r>
      <w:r w:rsidR="00FD31FC" w:rsidRPr="00E3331A">
        <w:t xml:space="preserve"> of </w:t>
      </w:r>
      <w:r w:rsidR="00AB08DA" w:rsidRPr="00E3331A">
        <w:t>patients with CIDP</w:t>
      </w:r>
      <w:r w:rsidR="00FD31FC" w:rsidRPr="00E3331A">
        <w:t xml:space="preserve"> </w:t>
      </w:r>
      <w:r w:rsidRPr="00E3331A">
        <w:t xml:space="preserve">is intended for the Medical Services Advisory Committee (MSAC). MSAC evaluates new and existing health technologies and procedures for which funding is </w:t>
      </w:r>
      <w:r w:rsidR="00A33243" w:rsidRPr="00E3331A">
        <w:t xml:space="preserve">being </w:t>
      </w:r>
      <w:r w:rsidRPr="00E3331A">
        <w:t xml:space="preserve">sought under the Medicare Benefits Schedule (MBS) in terms of their safety, effectiveness and cost-effectiveness, while taking into account issues such as access and equity. MSAC adopts an evidence-based approach to its assessments, </w:t>
      </w:r>
      <w:r w:rsidR="0039098D" w:rsidRPr="00E3331A">
        <w:t>utilising</w:t>
      </w:r>
      <w:r w:rsidRPr="00E3331A">
        <w:t xml:space="preserve"> reviews of the scientific literature and other information sources, including clinical expertise.</w:t>
      </w:r>
    </w:p>
    <w:p w:rsidR="00EB4DCD" w:rsidRPr="00E3331A" w:rsidRDefault="00C240A5" w:rsidP="00C75600">
      <w:pPr>
        <w:jc w:val="both"/>
      </w:pPr>
      <w:r w:rsidRPr="00E3331A">
        <w:t>Research and Evaluation, incorporating ASERNIP-S of the Royal Australasian College of Surgeons</w:t>
      </w:r>
      <w:r w:rsidR="00AE36D1" w:rsidRPr="00E3331A">
        <w:t>,</w:t>
      </w:r>
      <w:r w:rsidRPr="00E3331A">
        <w:t xml:space="preserve"> has been </w:t>
      </w:r>
      <w:r w:rsidR="00EB4DCD" w:rsidRPr="00E3331A">
        <w:t xml:space="preserve">commissioned by the Australian Government Department of Health to conduct a systematic literature review and economic evaluation of </w:t>
      </w:r>
      <w:r w:rsidR="0061778A" w:rsidRPr="00E3331A">
        <w:t>Ig</w:t>
      </w:r>
      <w:r w:rsidRPr="00E3331A">
        <w:t xml:space="preserve"> for the management of patients with CIDP</w:t>
      </w:r>
      <w:r w:rsidR="00EB4DCD" w:rsidRPr="00E3331A">
        <w:t xml:space="preserve">. This </w:t>
      </w:r>
      <w:r w:rsidR="005541CA" w:rsidRPr="00E3331A">
        <w:t>A</w:t>
      </w:r>
      <w:r w:rsidR="00EB4DCD" w:rsidRPr="00E3331A">
        <w:t>ssessment has been undertaken</w:t>
      </w:r>
      <w:r w:rsidR="004B6403" w:rsidRPr="00E3331A">
        <w:t xml:space="preserve"> as part of the review of Ig use in Australia.</w:t>
      </w:r>
      <w:r w:rsidR="00EB4DCD" w:rsidRPr="00E3331A">
        <w:t xml:space="preserve"> </w:t>
      </w:r>
    </w:p>
    <w:p w:rsidR="0087555B" w:rsidRPr="00E3331A" w:rsidRDefault="0087555B" w:rsidP="0087555B">
      <w:pPr>
        <w:jc w:val="both"/>
      </w:pPr>
      <w:r w:rsidRPr="00E3331A">
        <w:t xml:space="preserve">The use of Ig in Australian clinical practice was outlined in a PICO Confirmation that </w:t>
      </w:r>
      <w:r w:rsidR="006A60A6">
        <w:t xml:space="preserve">was </w:t>
      </w:r>
      <w:r>
        <w:t>ratified by the Ig Review Reference Group</w:t>
      </w:r>
      <w:r w:rsidR="006A60A6">
        <w:t xml:space="preserve"> and is available on the relevant </w:t>
      </w:r>
      <w:r w:rsidR="006A60A6" w:rsidRPr="002A602E">
        <w:t>MSAC website</w:t>
      </w:r>
      <w:r w:rsidRPr="00E3331A">
        <w:t xml:space="preserve">. </w:t>
      </w:r>
    </w:p>
    <w:p w:rsidR="008B5C5B" w:rsidRPr="00E3331A" w:rsidRDefault="009D44E4" w:rsidP="00DF343F">
      <w:pPr>
        <w:jc w:val="both"/>
      </w:pPr>
      <w:r w:rsidRPr="00E3331A">
        <w:t xml:space="preserve">Appendix A provides a list of the people involved in the development of this </w:t>
      </w:r>
      <w:r w:rsidR="005541CA" w:rsidRPr="00E3331A">
        <w:t>A</w:t>
      </w:r>
      <w:r w:rsidRPr="00E3331A">
        <w:t>ssessment report</w:t>
      </w:r>
      <w:r w:rsidR="00945AC5" w:rsidRPr="00E3331A">
        <w:t>.</w:t>
      </w:r>
    </w:p>
    <w:p w:rsidR="003F169D" w:rsidRPr="00E3331A" w:rsidRDefault="009545FC" w:rsidP="003E4E1F">
      <w:pPr>
        <w:pStyle w:val="Heading2"/>
        <w:numPr>
          <w:ilvl w:val="0"/>
          <w:numId w:val="8"/>
        </w:numPr>
      </w:pPr>
      <w:bookmarkStart w:id="103" w:name="_Toc24103431"/>
      <w:r w:rsidRPr="00E3331A">
        <w:t xml:space="preserve">Items in the agreed </w:t>
      </w:r>
      <w:r w:rsidR="0088661A" w:rsidRPr="00E3331A">
        <w:t>PICO Confirmation</w:t>
      </w:r>
      <w:bookmarkEnd w:id="103"/>
    </w:p>
    <w:p w:rsidR="00B313E2" w:rsidRPr="00E3331A" w:rsidRDefault="0022247B" w:rsidP="004B6403">
      <w:r w:rsidRPr="00E3331A">
        <w:t xml:space="preserve">This </w:t>
      </w:r>
      <w:r w:rsidR="00BE54F2">
        <w:t>C</w:t>
      </w:r>
      <w:r w:rsidRPr="00E3331A">
        <w:t xml:space="preserve">ontracted </w:t>
      </w:r>
      <w:r w:rsidR="005541CA" w:rsidRPr="00E3331A">
        <w:t>A</w:t>
      </w:r>
      <w:r w:rsidRPr="00E3331A">
        <w:t xml:space="preserve">ssessment of </w:t>
      </w:r>
      <w:r w:rsidR="00E038B0" w:rsidRPr="00E3331A">
        <w:t>I</w:t>
      </w:r>
      <w:r w:rsidR="00185C33" w:rsidRPr="00E3331A">
        <w:t>g</w:t>
      </w:r>
      <w:r w:rsidRPr="00E3331A">
        <w:t xml:space="preserve"> addresses </w:t>
      </w:r>
      <w:r w:rsidR="004B6403" w:rsidRPr="00E3331A">
        <w:t>all</w:t>
      </w:r>
      <w:r w:rsidRPr="00E3331A">
        <w:t xml:space="preserve"> of the PICO elements pre-specified in the </w:t>
      </w:r>
      <w:r w:rsidR="0088661A" w:rsidRPr="00E3331A">
        <w:t>PICO Confirmation</w:t>
      </w:r>
      <w:r w:rsidR="004B6403" w:rsidRPr="00E3331A">
        <w:t>.</w:t>
      </w:r>
      <w:r w:rsidRPr="00E3331A">
        <w:t xml:space="preserve"> </w:t>
      </w:r>
    </w:p>
    <w:p w:rsidR="00B313E2" w:rsidRPr="00E3331A" w:rsidRDefault="007D2548" w:rsidP="003E4E1F">
      <w:pPr>
        <w:pStyle w:val="Heading2"/>
        <w:numPr>
          <w:ilvl w:val="0"/>
          <w:numId w:val="8"/>
        </w:numPr>
      </w:pPr>
      <w:bookmarkStart w:id="104" w:name="_Toc24103432"/>
      <w:bookmarkStart w:id="105" w:name="_Toc381796441"/>
      <w:r w:rsidRPr="00E3331A">
        <w:t>M</w:t>
      </w:r>
      <w:r w:rsidR="00835007" w:rsidRPr="00E3331A">
        <w:t xml:space="preserve">edical </w:t>
      </w:r>
      <w:r w:rsidRPr="00E3331A">
        <w:t>S</w:t>
      </w:r>
      <w:r w:rsidR="00835007" w:rsidRPr="00E3331A">
        <w:t>ervice</w:t>
      </w:r>
      <w:bookmarkEnd w:id="104"/>
    </w:p>
    <w:p w:rsidR="00325A3A" w:rsidRPr="00E3331A" w:rsidRDefault="000C6E6B" w:rsidP="00325A3A">
      <w:bookmarkStart w:id="106" w:name="_Toc379118262"/>
      <w:bookmarkEnd w:id="105"/>
      <w:r w:rsidRPr="00E3331A">
        <w:t xml:space="preserve">The intervention under review is Ig therapy </w:t>
      </w:r>
      <w:r w:rsidR="00C62A96" w:rsidRPr="00E3331A">
        <w:t>using</w:t>
      </w:r>
      <w:r w:rsidRPr="00E3331A">
        <w:t xml:space="preserve"> antibodies </w:t>
      </w:r>
      <w:r w:rsidR="007B0BFB" w:rsidRPr="00E3331A">
        <w:t xml:space="preserve">(Ig) </w:t>
      </w:r>
      <w:r w:rsidRPr="00E3331A">
        <w:t xml:space="preserve">that have been purified from the plasma of healthy blood donors. </w:t>
      </w:r>
      <w:r w:rsidR="00FB2A72" w:rsidRPr="00E3331A">
        <w:t>In Australia</w:t>
      </w:r>
      <w:r w:rsidR="004B6403" w:rsidRPr="00E3331A">
        <w:t>,</w:t>
      </w:r>
      <w:r w:rsidR="00FB2A72" w:rsidRPr="00E3331A">
        <w:t xml:space="preserve"> Ig </w:t>
      </w:r>
      <w:r w:rsidR="004B6403" w:rsidRPr="00E3331A">
        <w:t>is</w:t>
      </w:r>
      <w:r w:rsidR="00FB2A72" w:rsidRPr="00E3331A">
        <w:t xml:space="preserve"> provided by the </w:t>
      </w:r>
      <w:r w:rsidR="00AB513D" w:rsidRPr="00E3331A">
        <w:t>NBA</w:t>
      </w:r>
      <w:r w:rsidR="007B0BFB" w:rsidRPr="00E3331A">
        <w:t>,</w:t>
      </w:r>
      <w:r w:rsidR="00FB2A72" w:rsidRPr="00E3331A">
        <w:t xml:space="preserve"> sourced from plasma collected by the Australian Red Cross Blood Service</w:t>
      </w:r>
      <w:r w:rsidR="00985920" w:rsidRPr="00E3331A">
        <w:t>,</w:t>
      </w:r>
      <w:r w:rsidR="00FB2A72" w:rsidRPr="00E3331A">
        <w:t xml:space="preserve"> pl</w:t>
      </w:r>
      <w:r w:rsidR="00985920" w:rsidRPr="00E3331A">
        <w:t xml:space="preserve">asma fractionation by CSL Behring Pty Ltd and through imported supplies (Referral Form, page 4). </w:t>
      </w:r>
      <w:r w:rsidR="00325A3A" w:rsidRPr="00E3331A">
        <w:t xml:space="preserve">Ig can be administered intravenously (IVIg) or injected subcutaneously into the tissue under the skin (SCIg) or into the muscle </w:t>
      </w:r>
      <w:r w:rsidR="00B85C75">
        <w:rPr>
          <w:noProof/>
        </w:rPr>
        <w:t>(Davies 2009)</w:t>
      </w:r>
      <w:r w:rsidR="00325A3A" w:rsidRPr="00E3331A">
        <w:t xml:space="preserve">. </w:t>
      </w:r>
    </w:p>
    <w:p w:rsidR="00325A3A" w:rsidRDefault="00274924" w:rsidP="00310ADE">
      <w:r w:rsidRPr="00E3331A">
        <w:t>Ig is used for immunomodulating therapy for</w:t>
      </w:r>
      <w:r w:rsidR="000C6E6B" w:rsidRPr="00E3331A">
        <w:t xml:space="preserve"> CIDP, </w:t>
      </w:r>
      <w:r w:rsidR="002251C3" w:rsidRPr="00E3331A">
        <w:t>an autoimmune disorder where the body’s immune system attacks its own tissues</w:t>
      </w:r>
      <w:r w:rsidRPr="00E3331A">
        <w:t>.</w:t>
      </w:r>
      <w:r w:rsidR="002251C3" w:rsidRPr="00E3331A">
        <w:t xml:space="preserve"> </w:t>
      </w:r>
      <w:r w:rsidR="00982549" w:rsidRPr="00E3331A">
        <w:t xml:space="preserve">The </w:t>
      </w:r>
      <w:r w:rsidR="00506CCA" w:rsidRPr="00E3331A">
        <w:t xml:space="preserve">exact </w:t>
      </w:r>
      <w:r w:rsidR="00982549" w:rsidRPr="00E3331A">
        <w:t>mode of action of Ig in immunomodulation is not clear</w:t>
      </w:r>
      <w:r w:rsidR="00802780" w:rsidRPr="00E3331A">
        <w:t>,</w:t>
      </w:r>
      <w:r w:rsidR="00506CCA" w:rsidRPr="00E3331A">
        <w:t xml:space="preserve"> but it is thought that Ig contain</w:t>
      </w:r>
      <w:r w:rsidR="004B6403" w:rsidRPr="00E3331A">
        <w:t>s</w:t>
      </w:r>
      <w:r w:rsidR="00506CCA" w:rsidRPr="00E3331A">
        <w:t xml:space="preserve"> random sets of antibodies that neutralise immune fact</w:t>
      </w:r>
      <w:r w:rsidR="00942C2C" w:rsidRPr="00E3331A">
        <w:t>or</w:t>
      </w:r>
      <w:r w:rsidR="00506CCA" w:rsidRPr="00E3331A">
        <w:t>s causing damage to the peripheral nerves</w:t>
      </w:r>
      <w:r w:rsidR="00702375" w:rsidRPr="00E3331A">
        <w:t xml:space="preserve"> </w:t>
      </w:r>
      <w:r w:rsidR="00802780" w:rsidRPr="00E3331A">
        <w:t xml:space="preserve">in CIDP </w:t>
      </w:r>
      <w:r w:rsidR="00B85C75">
        <w:rPr>
          <w:noProof/>
        </w:rPr>
        <w:t>(Lewis 2018; Nagelkerke and Kuijpers 2014)</w:t>
      </w:r>
      <w:r w:rsidR="00702375" w:rsidRPr="00E3331A">
        <w:t>.</w:t>
      </w:r>
      <w:r w:rsidR="002251C3" w:rsidRPr="00E3331A">
        <w:t xml:space="preserve"> </w:t>
      </w:r>
      <w:r w:rsidR="00325A3A">
        <w:t>Advice from the</w:t>
      </w:r>
      <w:r w:rsidR="006A60A6">
        <w:t xml:space="preserve"> Ig Review</w:t>
      </w:r>
      <w:r w:rsidR="00325A3A">
        <w:t xml:space="preserve"> Reference Group is that Ig may:</w:t>
      </w:r>
    </w:p>
    <w:p w:rsidR="00325A3A" w:rsidRDefault="00325A3A" w:rsidP="00304276">
      <w:pPr>
        <w:pStyle w:val="ListParagraph"/>
        <w:numPr>
          <w:ilvl w:val="0"/>
          <w:numId w:val="50"/>
        </w:numPr>
      </w:pPr>
      <w:r>
        <w:t>contain anti-idiotype antibodies that neutralise immune factors that damage the peripheral nerves</w:t>
      </w:r>
    </w:p>
    <w:p w:rsidR="00325A3A" w:rsidRDefault="00325A3A" w:rsidP="00304276">
      <w:pPr>
        <w:pStyle w:val="ListParagraph"/>
        <w:numPr>
          <w:ilvl w:val="0"/>
          <w:numId w:val="50"/>
        </w:numPr>
      </w:pPr>
      <w:r>
        <w:lastRenderedPageBreak/>
        <w:t>interact with regulatory Ig receptors on antigen-present cells and adaptive immune repertoire</w:t>
      </w:r>
    </w:p>
    <w:p w:rsidR="00325A3A" w:rsidRDefault="00325A3A" w:rsidP="00304276">
      <w:pPr>
        <w:pStyle w:val="ListParagraph"/>
        <w:numPr>
          <w:ilvl w:val="0"/>
          <w:numId w:val="50"/>
        </w:numPr>
      </w:pPr>
      <w:r>
        <w:t>act by Ig complex on innate immune cytotoxic response</w:t>
      </w:r>
    </w:p>
    <w:p w:rsidR="00325A3A" w:rsidRDefault="00325A3A" w:rsidP="00304276">
      <w:pPr>
        <w:pStyle w:val="ListParagraph"/>
        <w:numPr>
          <w:ilvl w:val="0"/>
          <w:numId w:val="50"/>
        </w:numPr>
      </w:pPr>
      <w:r>
        <w:t>increase recycling of pathogenic antibodies</w:t>
      </w:r>
      <w:r w:rsidR="006A60A6">
        <w:t>.</w:t>
      </w:r>
    </w:p>
    <w:p w:rsidR="009A1B69" w:rsidRPr="00E3331A" w:rsidRDefault="00F2359A" w:rsidP="009A1B69">
      <w:r w:rsidRPr="00E3331A">
        <w:t>T</w:t>
      </w:r>
      <w:r w:rsidR="00310ADE" w:rsidRPr="00E3331A">
        <w:t xml:space="preserve">he use of IVIg for the </w:t>
      </w:r>
      <w:r w:rsidR="00A5660A" w:rsidRPr="00E3331A">
        <w:t>management</w:t>
      </w:r>
      <w:r w:rsidR="00310ADE" w:rsidRPr="00E3331A">
        <w:t xml:space="preserve"> of CIDP is</w:t>
      </w:r>
      <w:r w:rsidRPr="00E3331A">
        <w:t xml:space="preserve"> currently</w:t>
      </w:r>
      <w:r w:rsidR="00310ADE" w:rsidRPr="00E3331A">
        <w:t xml:space="preserve"> funded in Australia by the </w:t>
      </w:r>
      <w:r w:rsidR="00EE2429" w:rsidRPr="00E3331A">
        <w:t>NBA</w:t>
      </w:r>
      <w:r w:rsidR="00A5660A" w:rsidRPr="00E3331A">
        <w:t>.</w:t>
      </w:r>
      <w:r w:rsidR="009A1B69" w:rsidRPr="00E3331A">
        <w:t xml:space="preserve"> </w:t>
      </w:r>
      <w:r w:rsidR="00CC3D31" w:rsidRPr="00E3331A">
        <w:t>T</w:t>
      </w:r>
      <w:r w:rsidR="009A1B69" w:rsidRPr="00E3331A">
        <w:t xml:space="preserve">his current Assessment is not about whether </w:t>
      </w:r>
      <w:r w:rsidR="004506FA" w:rsidRPr="00E3331A">
        <w:t xml:space="preserve">Ig </w:t>
      </w:r>
      <w:r w:rsidR="009A1B69" w:rsidRPr="00E3331A">
        <w:t xml:space="preserve">treatment of CIDP should be funded, but </w:t>
      </w:r>
      <w:r w:rsidR="004506FA" w:rsidRPr="00E3331A">
        <w:t xml:space="preserve">is </w:t>
      </w:r>
      <w:r w:rsidR="009A1B69" w:rsidRPr="00E3331A">
        <w:t>a review of its clinical and cost-effectiveness compared to other treatment options</w:t>
      </w:r>
      <w:r w:rsidR="00702375" w:rsidRPr="00E3331A">
        <w:t xml:space="preserve"> </w:t>
      </w:r>
      <w:r w:rsidR="00B85C75">
        <w:rPr>
          <w:noProof/>
        </w:rPr>
        <w:t>(MSAC 2019)</w:t>
      </w:r>
      <w:r w:rsidR="009A1B69" w:rsidRPr="00E3331A">
        <w:t>.</w:t>
      </w:r>
    </w:p>
    <w:p w:rsidR="009A1B69" w:rsidRPr="00E3331A" w:rsidRDefault="009A1B69" w:rsidP="009A1B69">
      <w:r w:rsidRPr="00E3331A">
        <w:t>Although MSAC ha</w:t>
      </w:r>
      <w:r w:rsidR="007A54D8" w:rsidRPr="00E3331A">
        <w:t>s</w:t>
      </w:r>
      <w:r w:rsidRPr="00E3331A">
        <w:t xml:space="preserve"> not considered an application relating to the use of Ig for CIDP it has previously considered an application to add SCIg to the National Products Price List under the National Blood Agreement. This application (1334) was submitted by Octapharma Australia Pty Ltd (for Gammanorm®) and by CSL Ltd (for Evogam®). In the public summary document</w:t>
      </w:r>
      <w:r w:rsidR="00623FCB" w:rsidRPr="00E3331A">
        <w:t>,</w:t>
      </w:r>
      <w:r w:rsidRPr="00E3331A">
        <w:t xml:space="preserve"> MSAC noted that the </w:t>
      </w:r>
      <w:r w:rsidR="00EE2429" w:rsidRPr="00E3331A">
        <w:t>NBA</w:t>
      </w:r>
      <w:r w:rsidRPr="00E3331A">
        <w:t xml:space="preserve"> had prepared a Cycle 1 Assessment for the two applications and had sought comment from the Evaluation Sub-Committee of MSAC and </w:t>
      </w:r>
      <w:r w:rsidR="005875BA" w:rsidRPr="00E3331A">
        <w:t xml:space="preserve">from </w:t>
      </w:r>
      <w:r w:rsidRPr="00E3331A">
        <w:t>MSAC. MSAC</w:t>
      </w:r>
      <w:r w:rsidR="00C61D11" w:rsidRPr="00E3331A">
        <w:t>’</w:t>
      </w:r>
      <w:r w:rsidRPr="00E3331A">
        <w:t xml:space="preserve">s advice to the Minister, Commonwealth representative of the Jurisdictional Blood Committee and the </w:t>
      </w:r>
      <w:r w:rsidR="00EE2429" w:rsidRPr="00E3331A">
        <w:t>NBA</w:t>
      </w:r>
      <w:r w:rsidRPr="00E3331A">
        <w:t xml:space="preserve"> was as follows</w:t>
      </w:r>
      <w:r w:rsidR="00702375" w:rsidRPr="00E3331A">
        <w:t xml:space="preserve"> </w:t>
      </w:r>
      <w:r w:rsidR="00B85C75">
        <w:rPr>
          <w:noProof/>
        </w:rPr>
        <w:t>(MSAC 2016)</w:t>
      </w:r>
      <w:r w:rsidRPr="00E3331A">
        <w:t>:</w:t>
      </w:r>
    </w:p>
    <w:p w:rsidR="009A1B69" w:rsidRPr="00E3331A" w:rsidRDefault="009A1B69" w:rsidP="001F5B33">
      <w:pPr>
        <w:pStyle w:val="ColorfulList-Accent11"/>
        <w:numPr>
          <w:ilvl w:val="0"/>
          <w:numId w:val="14"/>
        </w:numPr>
      </w:pPr>
      <w:r w:rsidRPr="00E3331A">
        <w:t>Comparative health gain should be rated as “no impact”</w:t>
      </w:r>
    </w:p>
    <w:p w:rsidR="009A1B69" w:rsidRPr="00E3331A" w:rsidRDefault="009A1B69" w:rsidP="001F5B33">
      <w:pPr>
        <w:pStyle w:val="ColorfulList-Accent11"/>
        <w:numPr>
          <w:ilvl w:val="0"/>
          <w:numId w:val="14"/>
        </w:numPr>
      </w:pPr>
      <w:r w:rsidRPr="00E3331A">
        <w:t>Comparative safety gain should be rate</w:t>
      </w:r>
      <w:r w:rsidR="004851BE" w:rsidRPr="00E3331A">
        <w:t>d</w:t>
      </w:r>
      <w:r w:rsidRPr="00E3331A">
        <w:t xml:space="preserve"> as “no impact”</w:t>
      </w:r>
    </w:p>
    <w:p w:rsidR="009A1B69" w:rsidRPr="00E3331A" w:rsidRDefault="009A1B69" w:rsidP="001F5B33">
      <w:pPr>
        <w:pStyle w:val="ColorfulList-Accent11"/>
        <w:numPr>
          <w:ilvl w:val="0"/>
          <w:numId w:val="14"/>
        </w:numPr>
      </w:pPr>
      <w:r w:rsidRPr="00E3331A">
        <w:t>Comparative cost-effectiveness should be rated as “uncertain”</w:t>
      </w:r>
    </w:p>
    <w:p w:rsidR="009A1B69" w:rsidRPr="00E3331A" w:rsidRDefault="009A1B69" w:rsidP="001F5B33">
      <w:pPr>
        <w:pStyle w:val="ColorfulList-Accent11"/>
        <w:numPr>
          <w:ilvl w:val="0"/>
          <w:numId w:val="14"/>
        </w:numPr>
      </w:pPr>
      <w:r w:rsidRPr="00E3331A">
        <w:t>Financial implications for the national blood budget should be rated as “uncertain”</w:t>
      </w:r>
    </w:p>
    <w:p w:rsidR="009A1B69" w:rsidRPr="00E3331A" w:rsidRDefault="009A1B69" w:rsidP="001F5B33">
      <w:pPr>
        <w:pStyle w:val="ColorfulList-Accent11"/>
        <w:numPr>
          <w:ilvl w:val="0"/>
          <w:numId w:val="14"/>
        </w:numPr>
      </w:pPr>
      <w:r w:rsidRPr="00E3331A">
        <w:t xml:space="preserve">Financial implications for government health budgets should be rated as </w:t>
      </w:r>
      <w:r w:rsidR="00DB6399" w:rsidRPr="00E3331A">
        <w:t>‘</w:t>
      </w:r>
      <w:r w:rsidRPr="00E3331A">
        <w:t>uncertain’</w:t>
      </w:r>
    </w:p>
    <w:p w:rsidR="009A1B69" w:rsidRPr="00E3331A" w:rsidRDefault="009A1B69" w:rsidP="001F5B33">
      <w:pPr>
        <w:pStyle w:val="ColorfulList-Accent11"/>
        <w:numPr>
          <w:ilvl w:val="0"/>
          <w:numId w:val="14"/>
        </w:numPr>
      </w:pPr>
      <w:r w:rsidRPr="00E3331A">
        <w:t>Clinical need should be rated as “moderately positive”</w:t>
      </w:r>
    </w:p>
    <w:p w:rsidR="00A5660A" w:rsidRPr="00E3331A" w:rsidRDefault="00A5660A" w:rsidP="00310ADE">
      <w:r w:rsidRPr="00E3331A">
        <w:t xml:space="preserve">The specific </w:t>
      </w:r>
      <w:r w:rsidR="00374A5B" w:rsidRPr="00E3331A">
        <w:t>conditions</w:t>
      </w:r>
      <w:r w:rsidRPr="00E3331A">
        <w:t xml:space="preserve"> </w:t>
      </w:r>
      <w:r w:rsidR="00AF2002" w:rsidRPr="00E3331A">
        <w:t xml:space="preserve">relating to </w:t>
      </w:r>
      <w:r w:rsidR="009A1B69" w:rsidRPr="00E3331A">
        <w:t>Ig</w:t>
      </w:r>
      <w:r w:rsidR="00AF2002" w:rsidRPr="00E3331A">
        <w:t xml:space="preserve"> use, the</w:t>
      </w:r>
      <w:r w:rsidRPr="00E3331A">
        <w:t xml:space="preserve"> qualifying criteria</w:t>
      </w:r>
      <w:r w:rsidR="00374A5B" w:rsidRPr="00E3331A">
        <w:t>,</w:t>
      </w:r>
      <w:r w:rsidRPr="00E3331A">
        <w:t xml:space="preserve"> and </w:t>
      </w:r>
      <w:r w:rsidR="006C10D5" w:rsidRPr="00E3331A">
        <w:t>recommended</w:t>
      </w:r>
      <w:r w:rsidRPr="00E3331A">
        <w:t xml:space="preserve"> dosage</w:t>
      </w:r>
      <w:r w:rsidR="00AF2002" w:rsidRPr="00E3331A">
        <w:t xml:space="preserve">s </w:t>
      </w:r>
      <w:r w:rsidRPr="00E3331A">
        <w:t>are</w:t>
      </w:r>
      <w:r w:rsidR="00310ADE" w:rsidRPr="00E3331A">
        <w:t xml:space="preserve"> outlined in </w:t>
      </w:r>
      <w:r w:rsidR="009A1B69" w:rsidRPr="00E3331A">
        <w:t xml:space="preserve">Version 3 of </w:t>
      </w:r>
      <w:r w:rsidR="00310ADE" w:rsidRPr="00E3331A">
        <w:t xml:space="preserve">‘The </w:t>
      </w:r>
      <w:r w:rsidR="00310ADE" w:rsidRPr="00E3331A">
        <w:rPr>
          <w:i/>
        </w:rPr>
        <w:t>Criteria for the clinical use of Immunoglobulin in Australia (</w:t>
      </w:r>
      <w:r w:rsidR="00D250DB" w:rsidRPr="00E3331A">
        <w:rPr>
          <w:i/>
        </w:rPr>
        <w:t xml:space="preserve">the </w:t>
      </w:r>
      <w:r w:rsidR="00310ADE" w:rsidRPr="00E3331A">
        <w:rPr>
          <w:i/>
        </w:rPr>
        <w:t>Criteria)’</w:t>
      </w:r>
      <w:r w:rsidR="00071EAB" w:rsidRPr="00E3331A">
        <w:rPr>
          <w:i/>
        </w:rPr>
        <w:t xml:space="preserve"> </w:t>
      </w:r>
      <w:r w:rsidR="00071EAB" w:rsidRPr="00E3331A">
        <w:t xml:space="preserve">developed by the </w:t>
      </w:r>
      <w:r w:rsidR="00EE2429" w:rsidRPr="00E3331A">
        <w:t>NBA</w:t>
      </w:r>
      <w:r w:rsidR="00FB15F4">
        <w:rPr>
          <w:i/>
        </w:rPr>
        <w:t xml:space="preserve"> </w:t>
      </w:r>
      <w:r w:rsidR="00B85C75">
        <w:rPr>
          <w:i/>
          <w:noProof/>
        </w:rPr>
        <w:t>(NBA 2018)</w:t>
      </w:r>
      <w:r w:rsidR="006004D0" w:rsidRPr="00E3331A">
        <w:rPr>
          <w:i/>
        </w:rPr>
        <w:t>.</w:t>
      </w:r>
      <w:r w:rsidR="00310ADE" w:rsidRPr="00E3331A">
        <w:rPr>
          <w:i/>
        </w:rPr>
        <w:t xml:space="preserve"> </w:t>
      </w:r>
      <w:r w:rsidR="000E65EF" w:rsidRPr="00E3331A">
        <w:t>T</w:t>
      </w:r>
      <w:r w:rsidR="00C45455" w:rsidRPr="00E3331A">
        <w:t xml:space="preserve">he </w:t>
      </w:r>
      <w:r w:rsidR="00B00BA8" w:rsidRPr="00E3331A">
        <w:t>s</w:t>
      </w:r>
      <w:r w:rsidR="00C45455" w:rsidRPr="00E3331A">
        <w:t xml:space="preserve">ection </w:t>
      </w:r>
      <w:r w:rsidR="00A10A3D" w:rsidRPr="00E3331A">
        <w:t xml:space="preserve">specifically </w:t>
      </w:r>
      <w:r w:rsidR="00C45455" w:rsidRPr="00E3331A">
        <w:t xml:space="preserve">relating to CIDP </w:t>
      </w:r>
      <w:r w:rsidR="002710B9" w:rsidRPr="00E3331A">
        <w:t>defin</w:t>
      </w:r>
      <w:r w:rsidR="00C45455" w:rsidRPr="00E3331A">
        <w:t xml:space="preserve">es </w:t>
      </w:r>
      <w:r w:rsidR="002710B9" w:rsidRPr="00E3331A">
        <w:t>c</w:t>
      </w:r>
      <w:r w:rsidR="00C45455" w:rsidRPr="00E3331A">
        <w:t>ondition</w:t>
      </w:r>
      <w:r w:rsidR="002710B9" w:rsidRPr="00E3331A">
        <w:t>s</w:t>
      </w:r>
      <w:r w:rsidR="00C45455" w:rsidRPr="00E3331A">
        <w:t xml:space="preserve"> for which </w:t>
      </w:r>
      <w:r w:rsidR="00C45455" w:rsidRPr="006A60A6">
        <w:t xml:space="preserve">IVIg </w:t>
      </w:r>
      <w:r w:rsidR="00C45455" w:rsidRPr="00E3331A">
        <w:t>has an establis</w:t>
      </w:r>
      <w:r w:rsidR="00CC0011">
        <w:t>hed therapeutic role. T</w:t>
      </w:r>
      <w:r w:rsidR="006A7AF4" w:rsidRPr="00E3331A">
        <w:t xml:space="preserve">he use of </w:t>
      </w:r>
      <w:r w:rsidR="00C45455" w:rsidRPr="00E3331A">
        <w:t>IVIg</w:t>
      </w:r>
      <w:r w:rsidR="00CC0011">
        <w:t xml:space="preserve"> and SCIg</w:t>
      </w:r>
      <w:r w:rsidR="00C45455" w:rsidRPr="00E3331A">
        <w:t xml:space="preserve"> </w:t>
      </w:r>
      <w:r w:rsidR="00CC0011">
        <w:t>are</w:t>
      </w:r>
      <w:r w:rsidR="006A7AF4" w:rsidRPr="00E3331A">
        <w:t xml:space="preserve"> funded for management of</w:t>
      </w:r>
      <w:r w:rsidR="00C45455" w:rsidRPr="00E3331A">
        <w:t xml:space="preserve"> CIDP patients meet</w:t>
      </w:r>
      <w:r w:rsidR="00234D9B" w:rsidRPr="00E3331A">
        <w:t>ing</w:t>
      </w:r>
      <w:r w:rsidR="009A1B69" w:rsidRPr="00E3331A">
        <w:t xml:space="preserve"> Version 3 of</w:t>
      </w:r>
      <w:r w:rsidR="00C45455" w:rsidRPr="00E3331A">
        <w:t xml:space="preserve"> ‘</w:t>
      </w:r>
      <w:r w:rsidR="00C45455" w:rsidRPr="00E3331A">
        <w:rPr>
          <w:i/>
        </w:rPr>
        <w:t>the Criteria</w:t>
      </w:r>
      <w:r w:rsidR="001B576E">
        <w:rPr>
          <w:i/>
        </w:rPr>
        <w:t>’</w:t>
      </w:r>
      <w:r w:rsidR="00C45455" w:rsidRPr="00E3331A">
        <w:t>.</w:t>
      </w:r>
      <w:r w:rsidR="00CC0011">
        <w:t xml:space="preserve"> When this Assessment was commenced, SCIg was not funded for the management of CIDP</w:t>
      </w:r>
      <w:r w:rsidR="00412D84">
        <w:t>; funding commenced on 1 August 2019.</w:t>
      </w:r>
      <w:r w:rsidR="00CC0011">
        <w:t xml:space="preserve"> </w:t>
      </w:r>
      <w:r w:rsidR="00412D84">
        <w:t>T</w:t>
      </w:r>
      <w:r w:rsidR="009A1B69" w:rsidRPr="00E3331A">
        <w:t>he Reference Group</w:t>
      </w:r>
      <w:r w:rsidR="00CC0011">
        <w:t xml:space="preserve"> advised that funding for SCIg wa</w:t>
      </w:r>
      <w:r w:rsidR="009A1B69" w:rsidRPr="00E3331A">
        <w:t>s probable in the foreseeable future</w:t>
      </w:r>
      <w:r w:rsidR="00702375" w:rsidRPr="00E3331A">
        <w:t xml:space="preserve"> </w:t>
      </w:r>
      <w:r w:rsidR="00B85C75">
        <w:rPr>
          <w:noProof/>
        </w:rPr>
        <w:t>(DoH 2019a)</w:t>
      </w:r>
      <w:r w:rsidR="00CC0011">
        <w:t>. T</w:t>
      </w:r>
      <w:r w:rsidR="009A1B69" w:rsidRPr="00E3331A">
        <w:t>herefore</w:t>
      </w:r>
      <w:r w:rsidR="00702375" w:rsidRPr="00E3331A">
        <w:t>,</w:t>
      </w:r>
      <w:r w:rsidR="009A1B69" w:rsidRPr="00E3331A">
        <w:t xml:space="preserve"> this Assessment considered evidence on both IVIg and SCIg</w:t>
      </w:r>
      <w:r w:rsidR="00F0719B">
        <w:t>, but is written from the perspective that only IVIg is funded for CIDP management</w:t>
      </w:r>
      <w:r w:rsidR="009A1B69" w:rsidRPr="00E3331A">
        <w:t>.</w:t>
      </w:r>
    </w:p>
    <w:p w:rsidR="00D250DB" w:rsidRPr="00E3331A" w:rsidRDefault="00D250DB" w:rsidP="00310ADE">
      <w:r w:rsidRPr="00E3331A">
        <w:t>According to the Applicant (Referral Form, page 31)</w:t>
      </w:r>
      <w:r w:rsidR="00CC0011">
        <w:t>,</w:t>
      </w:r>
      <w:r w:rsidRPr="00E3331A">
        <w:t xml:space="preserve"> infusion of IVIg may occur in </w:t>
      </w:r>
      <w:r w:rsidR="004B522C" w:rsidRPr="00E3331A">
        <w:t>any of the</w:t>
      </w:r>
      <w:r w:rsidRPr="00E3331A">
        <w:t xml:space="preserve"> following settings:</w:t>
      </w:r>
    </w:p>
    <w:p w:rsidR="00D250DB" w:rsidRPr="00E3331A" w:rsidRDefault="00D250DB" w:rsidP="001F5B33">
      <w:pPr>
        <w:pStyle w:val="ColorfulList-Accent11"/>
        <w:numPr>
          <w:ilvl w:val="0"/>
          <w:numId w:val="15"/>
        </w:numPr>
      </w:pPr>
      <w:r w:rsidRPr="00E3331A">
        <w:t>Inpatient private hospital</w:t>
      </w:r>
    </w:p>
    <w:p w:rsidR="00D250DB" w:rsidRPr="00E3331A" w:rsidRDefault="00D250DB" w:rsidP="001F5B33">
      <w:pPr>
        <w:pStyle w:val="ColorfulList-Accent11"/>
        <w:numPr>
          <w:ilvl w:val="0"/>
          <w:numId w:val="15"/>
        </w:numPr>
      </w:pPr>
      <w:r w:rsidRPr="00E3331A">
        <w:t xml:space="preserve">Inpatient public hospital </w:t>
      </w:r>
      <w:r w:rsidR="004B522C" w:rsidRPr="00E3331A">
        <w:t>(as a private patient)</w:t>
      </w:r>
    </w:p>
    <w:p w:rsidR="004B522C" w:rsidRPr="00E3331A" w:rsidRDefault="004B522C" w:rsidP="001F5B33">
      <w:pPr>
        <w:pStyle w:val="ColorfulList-Accent11"/>
        <w:numPr>
          <w:ilvl w:val="0"/>
          <w:numId w:val="15"/>
        </w:numPr>
      </w:pPr>
      <w:r w:rsidRPr="00E3331A">
        <w:t>Inpatient public hospital (as a public patient)</w:t>
      </w:r>
    </w:p>
    <w:p w:rsidR="004B522C" w:rsidRPr="00E3331A" w:rsidRDefault="004B522C" w:rsidP="001F5B33">
      <w:pPr>
        <w:pStyle w:val="ColorfulList-Accent11"/>
        <w:numPr>
          <w:ilvl w:val="0"/>
          <w:numId w:val="15"/>
        </w:numPr>
      </w:pPr>
      <w:r w:rsidRPr="00E3331A">
        <w:lastRenderedPageBreak/>
        <w:t>Outpatient clinic</w:t>
      </w:r>
    </w:p>
    <w:p w:rsidR="004B522C" w:rsidRPr="00E3331A" w:rsidRDefault="004B522C" w:rsidP="001F5B33">
      <w:pPr>
        <w:pStyle w:val="ColorfulList-Accent11"/>
        <w:numPr>
          <w:ilvl w:val="0"/>
          <w:numId w:val="15"/>
        </w:numPr>
      </w:pPr>
      <w:r w:rsidRPr="00E3331A">
        <w:t>Private same-day infusion facilities unattached to a hospital</w:t>
      </w:r>
    </w:p>
    <w:p w:rsidR="004B522C" w:rsidRPr="00E3331A" w:rsidRDefault="00CD603F" w:rsidP="004B522C">
      <w:r w:rsidRPr="00E3331A">
        <w:t>T</w:t>
      </w:r>
      <w:r w:rsidR="004B522C" w:rsidRPr="00E3331A">
        <w:t xml:space="preserve">he Referral Form (page 31) </w:t>
      </w:r>
      <w:r w:rsidR="00A31DBE" w:rsidRPr="00E3331A">
        <w:t xml:space="preserve">notes </w:t>
      </w:r>
      <w:r w:rsidR="004B522C" w:rsidRPr="00E3331A">
        <w:t xml:space="preserve">that Clinical </w:t>
      </w:r>
      <w:r w:rsidR="000D4A40" w:rsidRPr="00E3331A">
        <w:t>A</w:t>
      </w:r>
      <w:r w:rsidR="004B522C" w:rsidRPr="00E3331A">
        <w:t>dvisors on the Review Group observed that IVIg is predominantly infused in the public outpatient setting. However, they commented that due to funding incentives, patients were often admitted on a ‘same</w:t>
      </w:r>
      <w:r w:rsidR="00D45BCF" w:rsidRPr="00E3331A">
        <w:t>-</w:t>
      </w:r>
      <w:r w:rsidR="004B522C" w:rsidRPr="00E3331A">
        <w:t>day care’ basis and counted as ‘inpatients’. They estimated that 75</w:t>
      </w:r>
      <w:r w:rsidR="00A31DBE" w:rsidRPr="00E3331A">
        <w:t>%</w:t>
      </w:r>
      <w:r w:rsidR="004B522C" w:rsidRPr="00E3331A">
        <w:t xml:space="preserve"> of infusions were given in this setting. </w:t>
      </w:r>
    </w:p>
    <w:p w:rsidR="007D2548" w:rsidRPr="00E3331A" w:rsidRDefault="007D2548" w:rsidP="007D2548">
      <w:pPr>
        <w:pStyle w:val="Heading3"/>
        <w:jc w:val="both"/>
      </w:pPr>
      <w:bookmarkStart w:id="107" w:name="_Toc381796448"/>
      <w:bookmarkStart w:id="108" w:name="_Toc395200760"/>
      <w:bookmarkStart w:id="109" w:name="_Toc24103433"/>
      <w:bookmarkStart w:id="110" w:name="_Toc381796445"/>
      <w:r w:rsidRPr="00E3331A">
        <w:t>Marketing status of device / technology</w:t>
      </w:r>
      <w:bookmarkEnd w:id="107"/>
      <w:bookmarkEnd w:id="108"/>
      <w:bookmarkEnd w:id="109"/>
    </w:p>
    <w:p w:rsidR="00E567E0" w:rsidRPr="00E3331A" w:rsidRDefault="007D2548" w:rsidP="007D2548">
      <w:pPr>
        <w:jc w:val="both"/>
      </w:pPr>
      <w:r w:rsidRPr="00E3331A">
        <w:t xml:space="preserve">All therapeutic products marketed in Australia require listing on the Australian Register of Therapeutic Goods (ARTG). MSAC will not consider a therapeutic product for reimbursement if the device is not listed on the ARTG. </w:t>
      </w:r>
      <w:r w:rsidR="00AB3CB2" w:rsidRPr="00E3331A">
        <w:t>I</w:t>
      </w:r>
      <w:r w:rsidRPr="00E3331A">
        <w:t xml:space="preserve">tems on the ARTG </w:t>
      </w:r>
      <w:r w:rsidR="00AB3CB2" w:rsidRPr="00E3331A">
        <w:t xml:space="preserve">relevant to this application </w:t>
      </w:r>
      <w:r w:rsidRPr="00E3331A">
        <w:t xml:space="preserve">are shown in </w:t>
      </w:r>
      <w:r w:rsidR="006F35B9" w:rsidRPr="00E3331A">
        <w:t xml:space="preserve">Table </w:t>
      </w:r>
      <w:r w:rsidR="006F35B9">
        <w:rPr>
          <w:noProof/>
        </w:rPr>
        <w:t>7</w:t>
      </w:r>
      <w:r w:rsidRPr="00E3331A">
        <w:t>.</w:t>
      </w:r>
      <w:r w:rsidR="00692C1C" w:rsidRPr="00E3331A">
        <w:t xml:space="preserve"> </w:t>
      </w:r>
      <w:r w:rsidR="0061778A" w:rsidRPr="00E3331A">
        <w:t xml:space="preserve">It should be noted that of the four Ig products listed on the ARTG </w:t>
      </w:r>
      <w:r w:rsidR="00E567E0" w:rsidRPr="00E3331A">
        <w:t xml:space="preserve">and </w:t>
      </w:r>
      <w:r w:rsidR="0061778A" w:rsidRPr="00E3331A">
        <w:t xml:space="preserve">indicated for CIDP (Intragram 10, Privigen, </w:t>
      </w:r>
      <w:r w:rsidR="008920A7" w:rsidRPr="00E3331A">
        <w:t>Hizentra</w:t>
      </w:r>
      <w:r w:rsidR="0061778A" w:rsidRPr="00E3331A">
        <w:t xml:space="preserve"> and Gamunex), only </w:t>
      </w:r>
      <w:r w:rsidR="008E7508" w:rsidRPr="00E3331A">
        <w:t xml:space="preserve">two of them, </w:t>
      </w:r>
      <w:r w:rsidR="0061778A" w:rsidRPr="00E3331A">
        <w:t>Intragam 10 and Privigen</w:t>
      </w:r>
      <w:r w:rsidR="008E7508" w:rsidRPr="00E3331A">
        <w:t>,</w:t>
      </w:r>
      <w:r w:rsidR="0061778A" w:rsidRPr="00E3331A">
        <w:t xml:space="preserve"> </w:t>
      </w:r>
      <w:r w:rsidR="008E7508" w:rsidRPr="00E3331A">
        <w:t>are</w:t>
      </w:r>
      <w:r w:rsidR="0061778A" w:rsidRPr="00E3331A">
        <w:t xml:space="preserve"> funded </w:t>
      </w:r>
      <w:r w:rsidR="008A5F46" w:rsidRPr="00E3331A">
        <w:t xml:space="preserve">by the NBA </w:t>
      </w:r>
      <w:r w:rsidR="00A77456" w:rsidRPr="00E3331A">
        <w:t xml:space="preserve">for </w:t>
      </w:r>
      <w:r w:rsidR="00315A4C" w:rsidRPr="00E3331A">
        <w:t xml:space="preserve">the management of </w:t>
      </w:r>
      <w:r w:rsidR="00A77456" w:rsidRPr="00E3331A">
        <w:t>CIDP</w:t>
      </w:r>
      <w:r w:rsidR="0061778A" w:rsidRPr="00E3331A">
        <w:t xml:space="preserve">. </w:t>
      </w:r>
      <w:r w:rsidR="008E7508" w:rsidRPr="00E3331A">
        <w:t>According to the Applicant</w:t>
      </w:r>
      <w:r w:rsidR="00F129D3" w:rsidRPr="00E3331A">
        <w:t>,</w:t>
      </w:r>
      <w:r w:rsidR="008E7508" w:rsidRPr="00E3331A">
        <w:t xml:space="preserve"> </w:t>
      </w:r>
      <w:r w:rsidR="0061778A" w:rsidRPr="00E3331A">
        <w:t>Hizentra is funded under the National Blood Arrangements</w:t>
      </w:r>
      <w:r w:rsidR="00A77456" w:rsidRPr="00E3331A">
        <w:t xml:space="preserve"> </w:t>
      </w:r>
      <w:r w:rsidR="0061778A" w:rsidRPr="00E3331A">
        <w:t xml:space="preserve">for </w:t>
      </w:r>
      <w:r w:rsidR="008E7508" w:rsidRPr="00E3331A">
        <w:t>several</w:t>
      </w:r>
      <w:r w:rsidR="0061778A" w:rsidRPr="00E3331A">
        <w:t xml:space="preserve"> indications</w:t>
      </w:r>
      <w:r w:rsidR="008B2CE3" w:rsidRPr="00E3331A">
        <w:t>,</w:t>
      </w:r>
      <w:r w:rsidR="0061778A" w:rsidRPr="00E3331A">
        <w:t xml:space="preserve"> but CIDP is not one of them</w:t>
      </w:r>
      <w:r w:rsidR="008B2CE3" w:rsidRPr="00E3331A">
        <w:t>.</w:t>
      </w:r>
      <w:r w:rsidR="008E7508" w:rsidRPr="00E3331A">
        <w:t xml:space="preserve"> Gamunex is not currently contracted and funded under the </w:t>
      </w:r>
      <w:r w:rsidR="000466DD" w:rsidRPr="00E3331A">
        <w:t>National Blood Arrangements</w:t>
      </w:r>
      <w:r w:rsidR="008E7508" w:rsidRPr="00E3331A">
        <w:t xml:space="preserve">. The </w:t>
      </w:r>
      <w:r w:rsidR="00697FCA" w:rsidRPr="00E3331A">
        <w:t>A</w:t>
      </w:r>
      <w:r w:rsidR="008E7508" w:rsidRPr="00E3331A">
        <w:t xml:space="preserve">pplicant also reported that in addition to </w:t>
      </w:r>
      <w:r w:rsidR="00697FCA" w:rsidRPr="00E3331A">
        <w:t xml:space="preserve">Intragam 10 and </w:t>
      </w:r>
      <w:r w:rsidR="008E7508" w:rsidRPr="00E3331A">
        <w:t xml:space="preserve">Privigen, the </w:t>
      </w:r>
      <w:r w:rsidR="00EE2429" w:rsidRPr="00E3331A">
        <w:t>NBA</w:t>
      </w:r>
      <w:r w:rsidR="008E7508" w:rsidRPr="00E3331A">
        <w:t xml:space="preserve"> funds another three Ig products for CIDP</w:t>
      </w:r>
      <w:r w:rsidR="00FC4D8A" w:rsidRPr="00E3331A">
        <w:t>:</w:t>
      </w:r>
      <w:r w:rsidR="008E7508" w:rsidRPr="00E3331A">
        <w:t xml:space="preserve"> Flebogamma 5%, Flebogamm</w:t>
      </w:r>
      <w:r w:rsidR="000B2871" w:rsidRPr="00E3331A">
        <w:t xml:space="preserve">a 10% and Intragam P. </w:t>
      </w:r>
      <w:r w:rsidR="00FC4D8A" w:rsidRPr="00E3331A">
        <w:t>These products</w:t>
      </w:r>
      <w:r w:rsidR="000B2871" w:rsidRPr="00E3331A">
        <w:t xml:space="preserve"> are listed on the ARTG</w:t>
      </w:r>
      <w:r w:rsidR="00A1198B" w:rsidRPr="00E3331A">
        <w:t xml:space="preserve"> </w:t>
      </w:r>
      <w:r w:rsidR="004261F7" w:rsidRPr="00E3331A">
        <w:t xml:space="preserve">but </w:t>
      </w:r>
      <w:r w:rsidR="000B2871" w:rsidRPr="00E3331A">
        <w:t xml:space="preserve">are not indicated for CIDP. The Applicant notes that Intragam P will be removed from the NBA product list once current stocks expire as it has been replaced by Intragam 10 </w:t>
      </w:r>
      <w:r w:rsidR="00B85C75">
        <w:rPr>
          <w:noProof/>
        </w:rPr>
        <w:t>(DoH 2019b)</w:t>
      </w:r>
      <w:r w:rsidR="00821534" w:rsidRPr="00E3331A">
        <w:t xml:space="preserve">. </w:t>
      </w:r>
      <w:r w:rsidR="00E567E0" w:rsidRPr="00E3331A">
        <w:t>In summary:</w:t>
      </w:r>
    </w:p>
    <w:p w:rsidR="007D2548" w:rsidRPr="00E3331A" w:rsidRDefault="004261F7" w:rsidP="001F5B33">
      <w:pPr>
        <w:pStyle w:val="ColorfulList-Accent11"/>
        <w:numPr>
          <w:ilvl w:val="0"/>
          <w:numId w:val="12"/>
        </w:numPr>
        <w:jc w:val="both"/>
      </w:pPr>
      <w:r w:rsidRPr="00E3331A">
        <w:t>O</w:t>
      </w:r>
      <w:r w:rsidR="00E567E0" w:rsidRPr="00E3331A">
        <w:t xml:space="preserve">nly two Ig products are listed on the ARTG with an indication for CIDP </w:t>
      </w:r>
      <w:r w:rsidRPr="00E3331A">
        <w:t xml:space="preserve">and </w:t>
      </w:r>
      <w:r w:rsidR="00E567E0" w:rsidRPr="00E3331A">
        <w:t xml:space="preserve">are funded by the </w:t>
      </w:r>
      <w:r w:rsidR="00EE2429" w:rsidRPr="00E3331A">
        <w:t>NBA</w:t>
      </w:r>
      <w:r w:rsidR="00E567E0" w:rsidRPr="00E3331A">
        <w:t xml:space="preserve"> for CIDP (Intragam 10 and Priv</w:t>
      </w:r>
      <w:r w:rsidR="00C700CE" w:rsidRPr="00E3331A">
        <w:t>igen)</w:t>
      </w:r>
    </w:p>
    <w:p w:rsidR="00C700CE" w:rsidRPr="00E3331A" w:rsidRDefault="00824411" w:rsidP="001F5B33">
      <w:pPr>
        <w:pStyle w:val="ColorfulList-Accent11"/>
        <w:numPr>
          <w:ilvl w:val="0"/>
          <w:numId w:val="12"/>
        </w:numPr>
        <w:jc w:val="both"/>
      </w:pPr>
      <w:r w:rsidRPr="00E3331A">
        <w:t>T</w:t>
      </w:r>
      <w:r w:rsidR="00C700CE" w:rsidRPr="00E3331A">
        <w:t xml:space="preserve">wo Ig products are listed on the ARTG with an indication for CIDP but are not funded by the </w:t>
      </w:r>
      <w:r w:rsidR="00EE2429" w:rsidRPr="00E3331A">
        <w:t>NBA</w:t>
      </w:r>
      <w:r w:rsidR="00C700CE" w:rsidRPr="00E3331A">
        <w:t xml:space="preserve"> for CIDP (Hizentra and Gamunex)</w:t>
      </w:r>
    </w:p>
    <w:p w:rsidR="00C700CE" w:rsidRPr="00E3331A" w:rsidRDefault="00C700CE" w:rsidP="001F5B33">
      <w:pPr>
        <w:pStyle w:val="ColorfulList-Accent11"/>
        <w:numPr>
          <w:ilvl w:val="0"/>
          <w:numId w:val="12"/>
        </w:numPr>
        <w:jc w:val="both"/>
      </w:pPr>
      <w:r w:rsidRPr="00E3331A">
        <w:t>Three Ig product</w:t>
      </w:r>
      <w:r w:rsidR="00646492" w:rsidRPr="00E3331A">
        <w:t>s</w:t>
      </w:r>
      <w:r w:rsidRPr="00E3331A">
        <w:t xml:space="preserve"> listed on the ARTG </w:t>
      </w:r>
      <w:r w:rsidR="00646492" w:rsidRPr="00E3331A">
        <w:t xml:space="preserve">are </w:t>
      </w:r>
      <w:r w:rsidRPr="00E3331A">
        <w:t xml:space="preserve">not indicated for CIDP </w:t>
      </w:r>
      <w:r w:rsidR="00B0048C" w:rsidRPr="00E3331A">
        <w:t xml:space="preserve">but </w:t>
      </w:r>
      <w:r w:rsidRPr="00E3331A">
        <w:t xml:space="preserve">are funded by the </w:t>
      </w:r>
      <w:r w:rsidR="00EE2429" w:rsidRPr="00E3331A">
        <w:t>NBA</w:t>
      </w:r>
      <w:r w:rsidRPr="00E3331A">
        <w:t xml:space="preserve"> for CIDP (Flebogamma 5%, Flebogamma 10% and Intragam P)</w:t>
      </w:r>
    </w:p>
    <w:p w:rsidR="00C700CE" w:rsidRPr="00E3331A" w:rsidRDefault="00C700CE" w:rsidP="001F5B33">
      <w:pPr>
        <w:pStyle w:val="ColorfulList-Accent11"/>
        <w:numPr>
          <w:ilvl w:val="0"/>
          <w:numId w:val="12"/>
        </w:numPr>
        <w:jc w:val="both"/>
      </w:pPr>
      <w:r w:rsidRPr="00E3331A">
        <w:t xml:space="preserve">All Igs funded by the </w:t>
      </w:r>
      <w:r w:rsidR="00EE2429" w:rsidRPr="00E3331A">
        <w:t>NBA</w:t>
      </w:r>
      <w:r w:rsidRPr="00E3331A">
        <w:t xml:space="preserve"> for CIDP are IVIg</w:t>
      </w:r>
      <w:r w:rsidR="00B0048C" w:rsidRPr="00E3331A">
        <w:t>s</w:t>
      </w:r>
      <w:r w:rsidR="00CC2B1D" w:rsidRPr="00E3331A">
        <w:t>.</w:t>
      </w:r>
      <w:r w:rsidRPr="00E3331A">
        <w:t xml:space="preserve"> </w:t>
      </w:r>
      <w:r w:rsidR="00CC2B1D" w:rsidRPr="00E3331A">
        <w:t>N</w:t>
      </w:r>
      <w:r w:rsidRPr="00E3331A">
        <w:t>o SCIg</w:t>
      </w:r>
      <w:r w:rsidR="00501966" w:rsidRPr="00E3331A">
        <w:t>s are currently</w:t>
      </w:r>
      <w:r w:rsidRPr="00E3331A">
        <w:t xml:space="preserve"> funded by the </w:t>
      </w:r>
      <w:r w:rsidR="00821534" w:rsidRPr="00E3331A">
        <w:t>NBA</w:t>
      </w:r>
      <w:r w:rsidRPr="00E3331A">
        <w:t xml:space="preserve"> for CIDP.</w:t>
      </w:r>
      <w:r w:rsidR="00494468" w:rsidRPr="00E3331A">
        <w:t xml:space="preserve"> </w:t>
      </w:r>
      <w:r w:rsidR="00BA10E1" w:rsidRPr="00E3331A">
        <w:t>T</w:t>
      </w:r>
      <w:r w:rsidR="00494468" w:rsidRPr="00E3331A">
        <w:t>wo Ig</w:t>
      </w:r>
      <w:r w:rsidR="001C1BF1" w:rsidRPr="00E3331A">
        <w:t>s</w:t>
      </w:r>
      <w:r w:rsidR="00494468" w:rsidRPr="00E3331A">
        <w:t xml:space="preserve"> </w:t>
      </w:r>
      <w:r w:rsidR="001C1BF1" w:rsidRPr="00E3331A">
        <w:t xml:space="preserve">that can be administered subcutaneously </w:t>
      </w:r>
      <w:r w:rsidR="00494468" w:rsidRPr="00E3331A">
        <w:t>are listed on the ARTG with an indication for CIDP</w:t>
      </w:r>
      <w:r w:rsidR="000466DD" w:rsidRPr="00E3331A">
        <w:t xml:space="preserve"> (</w:t>
      </w:r>
      <w:r w:rsidR="008920A7" w:rsidRPr="00E3331A">
        <w:t>Hizentra</w:t>
      </w:r>
      <w:r w:rsidR="000466DD" w:rsidRPr="00E3331A">
        <w:t xml:space="preserve"> and </w:t>
      </w:r>
      <w:r w:rsidR="008920A7" w:rsidRPr="00E3331A">
        <w:t>Gamunex</w:t>
      </w:r>
      <w:r w:rsidR="00805D90" w:rsidRPr="00E3331A">
        <w:t>)</w:t>
      </w:r>
      <w:r w:rsidR="008920A7" w:rsidRPr="00E3331A">
        <w:rPr>
          <w:rStyle w:val="FootnoteReference"/>
        </w:rPr>
        <w:footnoteReference w:id="5"/>
      </w:r>
      <w:r w:rsidR="00494468" w:rsidRPr="00E3331A">
        <w:t xml:space="preserve">. One of these </w:t>
      </w:r>
      <w:r w:rsidR="00A77456" w:rsidRPr="00E3331A">
        <w:t>(</w:t>
      </w:r>
      <w:r w:rsidR="008920A7" w:rsidRPr="00E3331A">
        <w:t>Hizentra</w:t>
      </w:r>
      <w:r w:rsidR="00A77456" w:rsidRPr="00E3331A">
        <w:t xml:space="preserve">) is funded under the National Blood Arrangement </w:t>
      </w:r>
      <w:r w:rsidR="008920A7" w:rsidRPr="00E3331A">
        <w:t>and is on the National Product List</w:t>
      </w:r>
      <w:r w:rsidR="00C54848" w:rsidRPr="00E3331A">
        <w:t xml:space="preserve"> </w:t>
      </w:r>
      <w:r w:rsidR="00B85C75">
        <w:rPr>
          <w:noProof/>
        </w:rPr>
        <w:t>(NBA 2019c)</w:t>
      </w:r>
      <w:r w:rsidR="008920A7" w:rsidRPr="00E3331A">
        <w:t xml:space="preserve"> </w:t>
      </w:r>
      <w:r w:rsidR="00A77456" w:rsidRPr="00E3331A">
        <w:t xml:space="preserve">but </w:t>
      </w:r>
      <w:r w:rsidR="000E41E8" w:rsidRPr="00E3331A">
        <w:t>according to the Applicant</w:t>
      </w:r>
      <w:r w:rsidR="00750DAC" w:rsidRPr="00E3331A">
        <w:t xml:space="preserve"> it is </w:t>
      </w:r>
      <w:r w:rsidR="00A77456" w:rsidRPr="00E3331A">
        <w:t>only for a limited number of indications</w:t>
      </w:r>
      <w:r w:rsidR="00883815" w:rsidRPr="00E3331A">
        <w:t>,</w:t>
      </w:r>
      <w:r w:rsidR="00A77456" w:rsidRPr="00E3331A">
        <w:t xml:space="preserve"> CIDP not </w:t>
      </w:r>
      <w:r w:rsidR="00883815" w:rsidRPr="00E3331A">
        <w:t xml:space="preserve">being </w:t>
      </w:r>
      <w:r w:rsidR="00A77456" w:rsidRPr="00E3331A">
        <w:t>one of them.</w:t>
      </w:r>
      <w:r w:rsidR="00345C95" w:rsidRPr="00E3331A">
        <w:t xml:space="preserve"> </w:t>
      </w:r>
    </w:p>
    <w:p w:rsidR="007D2548" w:rsidRPr="00E3331A" w:rsidRDefault="007D2548" w:rsidP="00BB381C">
      <w:pPr>
        <w:pStyle w:val="Caption"/>
        <w:tabs>
          <w:tab w:val="left" w:pos="1134"/>
        </w:tabs>
        <w:ind w:left="1134" w:hanging="1134"/>
        <w:jc w:val="both"/>
      </w:pPr>
      <w:bookmarkStart w:id="111" w:name="_Ref364240778"/>
      <w:bookmarkStart w:id="112" w:name="_Toc381969859"/>
      <w:bookmarkStart w:id="113" w:name="_Toc24103313"/>
      <w:r w:rsidRPr="00E3331A">
        <w:lastRenderedPageBreak/>
        <w:t xml:space="preserve">Table </w:t>
      </w:r>
      <w:r w:rsidR="006F35B9">
        <w:rPr>
          <w:noProof/>
        </w:rPr>
        <w:t>7</w:t>
      </w:r>
      <w:bookmarkEnd w:id="111"/>
      <w:r w:rsidRPr="00E3331A">
        <w:tab/>
      </w:r>
      <w:r w:rsidR="0061778A" w:rsidRPr="00E3331A">
        <w:t>Ig</w:t>
      </w:r>
      <w:r w:rsidR="00E4406C" w:rsidRPr="00E3331A">
        <w:t>s</w:t>
      </w:r>
      <w:r w:rsidRPr="00E3331A">
        <w:t xml:space="preserve"> listed on the ARTG</w:t>
      </w:r>
      <w:bookmarkEnd w:id="112"/>
      <w:r w:rsidR="00692C1C" w:rsidRPr="00E3331A">
        <w:t xml:space="preserve"> and indicated for CIDP</w:t>
      </w:r>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2489"/>
        <w:gridCol w:w="2491"/>
        <w:gridCol w:w="2413"/>
      </w:tblGrid>
      <w:tr w:rsidR="009A1B69" w:rsidRPr="00E3331A" w:rsidTr="00EE2429">
        <w:trPr>
          <w:tblHeader/>
        </w:trPr>
        <w:tc>
          <w:tcPr>
            <w:tcW w:w="901" w:type="pct"/>
          </w:tcPr>
          <w:p w:rsidR="009A1B69" w:rsidRPr="00E3331A" w:rsidRDefault="009A1B69" w:rsidP="00AB3CB2">
            <w:pPr>
              <w:pStyle w:val="TableHeading"/>
            </w:pPr>
            <w:r w:rsidRPr="00E3331A">
              <w:t>ARTG no.</w:t>
            </w:r>
          </w:p>
        </w:tc>
        <w:tc>
          <w:tcPr>
            <w:tcW w:w="1380" w:type="pct"/>
          </w:tcPr>
          <w:p w:rsidR="009A1B69" w:rsidRPr="00E3331A" w:rsidRDefault="009A1B69" w:rsidP="00AB3CB2">
            <w:pPr>
              <w:pStyle w:val="TableHeading"/>
            </w:pPr>
            <w:r w:rsidRPr="00E3331A">
              <w:t>Product description</w:t>
            </w:r>
          </w:p>
        </w:tc>
        <w:tc>
          <w:tcPr>
            <w:tcW w:w="1381" w:type="pct"/>
          </w:tcPr>
          <w:p w:rsidR="009A1B69" w:rsidRPr="00E3331A" w:rsidRDefault="009A1B69" w:rsidP="00AB3CB2">
            <w:pPr>
              <w:pStyle w:val="TableHeading"/>
            </w:pPr>
            <w:r w:rsidRPr="00E3331A">
              <w:t>Product category</w:t>
            </w:r>
          </w:p>
        </w:tc>
        <w:tc>
          <w:tcPr>
            <w:tcW w:w="1338" w:type="pct"/>
          </w:tcPr>
          <w:p w:rsidR="009A1B69" w:rsidRPr="00E3331A" w:rsidRDefault="009A1B69" w:rsidP="00AB3CB2">
            <w:pPr>
              <w:pStyle w:val="TableHeading"/>
            </w:pPr>
            <w:r w:rsidRPr="00E3331A">
              <w:t>Sponsor</w:t>
            </w:r>
          </w:p>
        </w:tc>
      </w:tr>
      <w:tr w:rsidR="009A1B69" w:rsidRPr="00E3331A" w:rsidTr="00EE2429">
        <w:tc>
          <w:tcPr>
            <w:tcW w:w="901" w:type="pct"/>
          </w:tcPr>
          <w:p w:rsidR="009A1B69" w:rsidRPr="00E3331A" w:rsidRDefault="009A1B69" w:rsidP="007A5DFB">
            <w:pPr>
              <w:pStyle w:val="Tabletext1"/>
            </w:pPr>
            <w:r w:rsidRPr="00E3331A">
              <w:t>207383</w:t>
            </w:r>
          </w:p>
        </w:tc>
        <w:tc>
          <w:tcPr>
            <w:tcW w:w="1380" w:type="pct"/>
          </w:tcPr>
          <w:p w:rsidR="009A1B69" w:rsidRPr="00E3331A" w:rsidRDefault="009A1B69" w:rsidP="00AB3CB2">
            <w:pPr>
              <w:pStyle w:val="Tabletext1"/>
            </w:pPr>
            <w:r w:rsidRPr="00E3331A">
              <w:t>Hizentra human normal Ig 20% solution for subcutaneous injection 20m</w:t>
            </w:r>
            <w:r w:rsidR="007236F0" w:rsidRPr="00E3331A">
              <w:t xml:space="preserve">l </w:t>
            </w:r>
            <w:r w:rsidRPr="00E3331A">
              <w:t>vial</w:t>
            </w:r>
          </w:p>
        </w:tc>
        <w:tc>
          <w:tcPr>
            <w:tcW w:w="1381" w:type="pct"/>
          </w:tcPr>
          <w:p w:rsidR="009A1B69" w:rsidRPr="00E3331A" w:rsidRDefault="009A1B69" w:rsidP="00AB3CB2">
            <w:pPr>
              <w:pStyle w:val="Tabletext1"/>
            </w:pPr>
            <w:r w:rsidRPr="00E3331A">
              <w:t>Medicine</w:t>
            </w:r>
          </w:p>
        </w:tc>
        <w:tc>
          <w:tcPr>
            <w:tcW w:w="1338" w:type="pct"/>
          </w:tcPr>
          <w:p w:rsidR="009A1B69" w:rsidRPr="00E3331A" w:rsidRDefault="009A1B69" w:rsidP="00AB3CB2">
            <w:pPr>
              <w:pStyle w:val="Tabletext1"/>
            </w:pPr>
            <w:r w:rsidRPr="00E3331A">
              <w:t>CSL Behring Australia, Pty Ltd</w:t>
            </w:r>
          </w:p>
        </w:tc>
      </w:tr>
      <w:tr w:rsidR="009A1B69" w:rsidRPr="00E3331A" w:rsidTr="00EE2429">
        <w:tc>
          <w:tcPr>
            <w:tcW w:w="901" w:type="pct"/>
          </w:tcPr>
          <w:p w:rsidR="009A1B69" w:rsidRPr="00E3331A" w:rsidRDefault="009A1B69" w:rsidP="006D643B">
            <w:pPr>
              <w:pStyle w:val="Tabletext1"/>
            </w:pPr>
            <w:r w:rsidRPr="00E3331A">
              <w:t>207384</w:t>
            </w:r>
          </w:p>
        </w:tc>
        <w:tc>
          <w:tcPr>
            <w:tcW w:w="1380" w:type="pct"/>
          </w:tcPr>
          <w:p w:rsidR="009A1B69" w:rsidRPr="00E3331A" w:rsidRDefault="009A1B69" w:rsidP="006D643B">
            <w:pPr>
              <w:pStyle w:val="Tabletext1"/>
            </w:pPr>
            <w:r w:rsidRPr="00E3331A">
              <w:t>Hizentra human normal Ig 20% solution for subcutaneous injection 50m</w:t>
            </w:r>
            <w:r w:rsidR="007236F0" w:rsidRPr="00E3331A">
              <w:t>l</w:t>
            </w:r>
            <w:r w:rsidRPr="00E3331A">
              <w:t xml:space="preserve"> vial</w:t>
            </w:r>
          </w:p>
        </w:tc>
        <w:tc>
          <w:tcPr>
            <w:tcW w:w="1381" w:type="pct"/>
          </w:tcPr>
          <w:p w:rsidR="009A1B69" w:rsidRPr="00E3331A" w:rsidRDefault="009A1B69" w:rsidP="006D643B">
            <w:pPr>
              <w:pStyle w:val="Tabletext1"/>
            </w:pPr>
            <w:r w:rsidRPr="00E3331A">
              <w:t>Medicine</w:t>
            </w:r>
          </w:p>
        </w:tc>
        <w:tc>
          <w:tcPr>
            <w:tcW w:w="1338" w:type="pct"/>
          </w:tcPr>
          <w:p w:rsidR="009A1B69" w:rsidRPr="00E3331A" w:rsidRDefault="009A1B69" w:rsidP="006D643B">
            <w:pPr>
              <w:pStyle w:val="Tabletext1"/>
            </w:pPr>
            <w:r w:rsidRPr="00E3331A">
              <w:t>CSL Behring Australia, Pty Ltd</w:t>
            </w:r>
          </w:p>
        </w:tc>
      </w:tr>
      <w:tr w:rsidR="009A1B69" w:rsidRPr="00E3331A" w:rsidTr="00EE2429">
        <w:tc>
          <w:tcPr>
            <w:tcW w:w="901" w:type="pct"/>
          </w:tcPr>
          <w:p w:rsidR="009A1B69" w:rsidRPr="00E3331A" w:rsidRDefault="009A1B69" w:rsidP="006D643B">
            <w:pPr>
              <w:pStyle w:val="Tabletext1"/>
            </w:pPr>
            <w:r w:rsidRPr="00E3331A">
              <w:t>207385</w:t>
            </w:r>
          </w:p>
        </w:tc>
        <w:tc>
          <w:tcPr>
            <w:tcW w:w="1380" w:type="pct"/>
          </w:tcPr>
          <w:p w:rsidR="009A1B69" w:rsidRPr="00E3331A" w:rsidRDefault="009A1B69" w:rsidP="006D643B">
            <w:pPr>
              <w:pStyle w:val="Tabletext1"/>
            </w:pPr>
            <w:r w:rsidRPr="00E3331A">
              <w:t>Hizentra human normal Ig 20% solution for subcutaneous injection 10</w:t>
            </w:r>
            <w:r w:rsidR="007236F0" w:rsidRPr="00E3331A">
              <w:t>l</w:t>
            </w:r>
            <w:r w:rsidRPr="00E3331A">
              <w:t>L vial</w:t>
            </w:r>
          </w:p>
        </w:tc>
        <w:tc>
          <w:tcPr>
            <w:tcW w:w="1381" w:type="pct"/>
          </w:tcPr>
          <w:p w:rsidR="009A1B69" w:rsidRPr="00E3331A" w:rsidRDefault="009A1B69" w:rsidP="006D643B">
            <w:pPr>
              <w:pStyle w:val="Tabletext1"/>
            </w:pPr>
            <w:r w:rsidRPr="00E3331A">
              <w:t>Medicine</w:t>
            </w:r>
          </w:p>
        </w:tc>
        <w:tc>
          <w:tcPr>
            <w:tcW w:w="1338" w:type="pct"/>
          </w:tcPr>
          <w:p w:rsidR="009A1B69" w:rsidRPr="00E3331A" w:rsidRDefault="009A1B69" w:rsidP="006D643B">
            <w:pPr>
              <w:pStyle w:val="Tabletext1"/>
            </w:pPr>
            <w:r w:rsidRPr="00E3331A">
              <w:t>CSL Behring Australia, Pty Ltd</w:t>
            </w:r>
          </w:p>
        </w:tc>
      </w:tr>
      <w:tr w:rsidR="009A1B69" w:rsidRPr="00E3331A" w:rsidTr="00EE2429">
        <w:tc>
          <w:tcPr>
            <w:tcW w:w="901" w:type="pct"/>
          </w:tcPr>
          <w:p w:rsidR="009A1B69" w:rsidRPr="00E3331A" w:rsidRDefault="009A1B69" w:rsidP="00DD1E37">
            <w:pPr>
              <w:pStyle w:val="Tabletext1"/>
            </w:pPr>
            <w:r w:rsidRPr="00E3331A">
              <w:t>207386</w:t>
            </w:r>
          </w:p>
        </w:tc>
        <w:tc>
          <w:tcPr>
            <w:tcW w:w="1380" w:type="pct"/>
          </w:tcPr>
          <w:p w:rsidR="009A1B69" w:rsidRPr="00E3331A" w:rsidRDefault="009A1B69" w:rsidP="00DD1E37">
            <w:pPr>
              <w:pStyle w:val="Tabletext1"/>
            </w:pPr>
            <w:r w:rsidRPr="00E3331A">
              <w:t>Hizentra human normal Ig 20% solution for subcutaneous injection 5m</w:t>
            </w:r>
            <w:r w:rsidR="007236F0" w:rsidRPr="00E3331A">
              <w:t>l</w:t>
            </w:r>
            <w:r w:rsidRPr="00E3331A">
              <w:t xml:space="preserve"> vial</w:t>
            </w:r>
          </w:p>
        </w:tc>
        <w:tc>
          <w:tcPr>
            <w:tcW w:w="1381" w:type="pct"/>
          </w:tcPr>
          <w:p w:rsidR="009A1B69" w:rsidRPr="00E3331A" w:rsidRDefault="009A1B69" w:rsidP="00DD1E37">
            <w:pPr>
              <w:pStyle w:val="Tabletext1"/>
            </w:pPr>
            <w:r w:rsidRPr="00E3331A">
              <w:t>Medicine</w:t>
            </w:r>
          </w:p>
        </w:tc>
        <w:tc>
          <w:tcPr>
            <w:tcW w:w="1338" w:type="pct"/>
          </w:tcPr>
          <w:p w:rsidR="009A1B69" w:rsidRPr="00E3331A" w:rsidRDefault="009A1B69" w:rsidP="00DD1E37">
            <w:pPr>
              <w:pStyle w:val="Tabletext1"/>
            </w:pPr>
            <w:r w:rsidRPr="00E3331A">
              <w:t>CSL Behring Australia, Pty Ltd</w:t>
            </w:r>
          </w:p>
        </w:tc>
      </w:tr>
      <w:tr w:rsidR="009A1B69" w:rsidRPr="00E3331A" w:rsidTr="00EE2429">
        <w:tc>
          <w:tcPr>
            <w:tcW w:w="901" w:type="pct"/>
          </w:tcPr>
          <w:p w:rsidR="009A1B69" w:rsidRPr="00E3331A" w:rsidRDefault="009A1B69" w:rsidP="00DD1E37">
            <w:pPr>
              <w:pStyle w:val="Tabletext1"/>
            </w:pPr>
            <w:r w:rsidRPr="00E3331A">
              <w:t>285344</w:t>
            </w:r>
          </w:p>
        </w:tc>
        <w:tc>
          <w:tcPr>
            <w:tcW w:w="1380" w:type="pct"/>
          </w:tcPr>
          <w:p w:rsidR="009A1B69" w:rsidRPr="00E3331A" w:rsidRDefault="009A1B69" w:rsidP="00DD1E37">
            <w:pPr>
              <w:pStyle w:val="Tabletext1"/>
            </w:pPr>
            <w:r w:rsidRPr="00E3331A">
              <w:t>Hizentra human normal Ig 20% solution for subcutaneous injection 5m</w:t>
            </w:r>
            <w:r w:rsidR="007236F0" w:rsidRPr="00E3331A">
              <w:t>l</w:t>
            </w:r>
            <w:r w:rsidRPr="00E3331A">
              <w:t xml:space="preserve"> pre-filled syringe</w:t>
            </w:r>
          </w:p>
        </w:tc>
        <w:tc>
          <w:tcPr>
            <w:tcW w:w="1381" w:type="pct"/>
          </w:tcPr>
          <w:p w:rsidR="009A1B69" w:rsidRPr="00E3331A" w:rsidRDefault="009A1B69" w:rsidP="00DD1E37">
            <w:pPr>
              <w:pStyle w:val="Tabletext1"/>
            </w:pPr>
            <w:r w:rsidRPr="00E3331A">
              <w:t>Medicine</w:t>
            </w:r>
          </w:p>
        </w:tc>
        <w:tc>
          <w:tcPr>
            <w:tcW w:w="1338" w:type="pct"/>
          </w:tcPr>
          <w:p w:rsidR="009A1B69" w:rsidRPr="00E3331A" w:rsidRDefault="009A1B69" w:rsidP="00DD1E37">
            <w:pPr>
              <w:pStyle w:val="Tabletext1"/>
            </w:pPr>
            <w:r w:rsidRPr="00E3331A">
              <w:t>CSL Behring Australia, Pty Ltd</w:t>
            </w:r>
          </w:p>
        </w:tc>
      </w:tr>
      <w:tr w:rsidR="009A1B69" w:rsidRPr="00E3331A" w:rsidTr="00EE2429">
        <w:tc>
          <w:tcPr>
            <w:tcW w:w="901" w:type="pct"/>
          </w:tcPr>
          <w:p w:rsidR="009A1B69" w:rsidRPr="00E3331A" w:rsidRDefault="009A1B69" w:rsidP="00DD1E37">
            <w:pPr>
              <w:pStyle w:val="Tabletext1"/>
            </w:pPr>
            <w:r w:rsidRPr="00E3331A">
              <w:t>285345</w:t>
            </w:r>
          </w:p>
        </w:tc>
        <w:tc>
          <w:tcPr>
            <w:tcW w:w="1380" w:type="pct"/>
          </w:tcPr>
          <w:p w:rsidR="009A1B69" w:rsidRPr="00E3331A" w:rsidRDefault="009A1B69" w:rsidP="00DD1E37">
            <w:pPr>
              <w:pStyle w:val="Tabletext1"/>
            </w:pPr>
            <w:r w:rsidRPr="00E3331A">
              <w:t>Hizentra human normal Ig 20% solution for subcutaneous injection 10m</w:t>
            </w:r>
            <w:r w:rsidR="007236F0" w:rsidRPr="00E3331A">
              <w:t>l</w:t>
            </w:r>
            <w:r w:rsidRPr="00E3331A">
              <w:t xml:space="preserve"> pre-filled syringe</w:t>
            </w:r>
          </w:p>
        </w:tc>
        <w:tc>
          <w:tcPr>
            <w:tcW w:w="1381" w:type="pct"/>
          </w:tcPr>
          <w:p w:rsidR="009A1B69" w:rsidRPr="00E3331A" w:rsidRDefault="009A1B69" w:rsidP="00DD1E37">
            <w:pPr>
              <w:pStyle w:val="Tabletext1"/>
            </w:pPr>
            <w:r w:rsidRPr="00E3331A">
              <w:t>Medicine</w:t>
            </w:r>
          </w:p>
        </w:tc>
        <w:tc>
          <w:tcPr>
            <w:tcW w:w="1338" w:type="pct"/>
          </w:tcPr>
          <w:p w:rsidR="009A1B69" w:rsidRPr="00E3331A" w:rsidRDefault="009A1B69" w:rsidP="00DD1E37">
            <w:pPr>
              <w:pStyle w:val="Tabletext1"/>
            </w:pPr>
            <w:r w:rsidRPr="00E3331A">
              <w:t>CSL Behring Australia, Pty Ltd</w:t>
            </w:r>
          </w:p>
        </w:tc>
      </w:tr>
      <w:tr w:rsidR="009A1B69" w:rsidRPr="00E3331A" w:rsidTr="00EE2429">
        <w:tc>
          <w:tcPr>
            <w:tcW w:w="901" w:type="pct"/>
          </w:tcPr>
          <w:p w:rsidR="009A1B69" w:rsidRPr="00E3331A" w:rsidRDefault="009A1B69" w:rsidP="00DD1E37">
            <w:pPr>
              <w:pStyle w:val="Tabletext1"/>
            </w:pPr>
            <w:r w:rsidRPr="00E3331A">
              <w:t>162486</w:t>
            </w:r>
          </w:p>
        </w:tc>
        <w:tc>
          <w:tcPr>
            <w:tcW w:w="1380" w:type="pct"/>
          </w:tcPr>
          <w:p w:rsidR="009A1B69" w:rsidRPr="00E3331A" w:rsidRDefault="009A1B69" w:rsidP="00DD1E37">
            <w:pPr>
              <w:pStyle w:val="Tabletext1"/>
            </w:pPr>
            <w:r w:rsidRPr="00E3331A">
              <w:t>INTRAGAM 10 normal Ig (human) 2.5g/25m</w:t>
            </w:r>
            <w:r w:rsidR="007236F0" w:rsidRPr="00E3331A">
              <w:t>l</w:t>
            </w:r>
            <w:r w:rsidRPr="00E3331A">
              <w:t xml:space="preserve"> solution for injection vial</w:t>
            </w:r>
          </w:p>
        </w:tc>
        <w:tc>
          <w:tcPr>
            <w:tcW w:w="1381" w:type="pct"/>
          </w:tcPr>
          <w:p w:rsidR="009A1B69" w:rsidRPr="00E3331A" w:rsidRDefault="009A1B69" w:rsidP="00DD1E37">
            <w:pPr>
              <w:pStyle w:val="Tabletext1"/>
            </w:pPr>
            <w:r w:rsidRPr="00E3331A">
              <w:t>Medicine</w:t>
            </w:r>
          </w:p>
        </w:tc>
        <w:tc>
          <w:tcPr>
            <w:tcW w:w="1338" w:type="pct"/>
          </w:tcPr>
          <w:p w:rsidR="009A1B69" w:rsidRPr="00E3331A" w:rsidRDefault="009A1B69" w:rsidP="00DD1E37">
            <w:pPr>
              <w:pStyle w:val="Tabletext1"/>
            </w:pPr>
            <w:r w:rsidRPr="00E3331A">
              <w:t>CSL Behring Australia, Pty Ltd</w:t>
            </w:r>
          </w:p>
        </w:tc>
      </w:tr>
      <w:tr w:rsidR="009A1B69" w:rsidRPr="00E3331A" w:rsidTr="00EE2429">
        <w:tc>
          <w:tcPr>
            <w:tcW w:w="901" w:type="pct"/>
          </w:tcPr>
          <w:p w:rsidR="009A1B69" w:rsidRPr="00E3331A" w:rsidRDefault="009A1B69" w:rsidP="005533BB">
            <w:pPr>
              <w:pStyle w:val="Tabletext1"/>
            </w:pPr>
            <w:r w:rsidRPr="00E3331A">
              <w:t>162487</w:t>
            </w:r>
          </w:p>
        </w:tc>
        <w:tc>
          <w:tcPr>
            <w:tcW w:w="1380" w:type="pct"/>
          </w:tcPr>
          <w:p w:rsidR="009A1B69" w:rsidRPr="00E3331A" w:rsidRDefault="009A1B69" w:rsidP="005533BB">
            <w:pPr>
              <w:pStyle w:val="Tabletext1"/>
            </w:pPr>
            <w:r w:rsidRPr="00E3331A">
              <w:t>INTRAGAM 10 normal Ig (human) 5g/50m</w:t>
            </w:r>
            <w:r w:rsidR="007236F0" w:rsidRPr="00E3331A">
              <w:t>l</w:t>
            </w:r>
            <w:r w:rsidRPr="00E3331A">
              <w:t xml:space="preserve"> solution for injection vial</w:t>
            </w:r>
          </w:p>
        </w:tc>
        <w:tc>
          <w:tcPr>
            <w:tcW w:w="1381" w:type="pct"/>
          </w:tcPr>
          <w:p w:rsidR="009A1B69" w:rsidRPr="00E3331A" w:rsidRDefault="009A1B69" w:rsidP="005533BB">
            <w:pPr>
              <w:pStyle w:val="Tabletext1"/>
            </w:pPr>
            <w:r w:rsidRPr="00E3331A">
              <w:t>Medicine</w:t>
            </w:r>
          </w:p>
        </w:tc>
        <w:tc>
          <w:tcPr>
            <w:tcW w:w="1338" w:type="pct"/>
          </w:tcPr>
          <w:p w:rsidR="009A1B69" w:rsidRPr="00E3331A" w:rsidRDefault="009A1B69" w:rsidP="005533BB">
            <w:pPr>
              <w:pStyle w:val="Tabletext1"/>
            </w:pPr>
            <w:r w:rsidRPr="00E3331A">
              <w:t>CSL Behring Australia, Pty Ltd</w:t>
            </w:r>
          </w:p>
        </w:tc>
      </w:tr>
      <w:tr w:rsidR="009A1B69" w:rsidRPr="00E3331A" w:rsidTr="00EE2429">
        <w:tc>
          <w:tcPr>
            <w:tcW w:w="901" w:type="pct"/>
          </w:tcPr>
          <w:p w:rsidR="009A1B69" w:rsidRPr="00E3331A" w:rsidRDefault="009A1B69" w:rsidP="005533BB">
            <w:pPr>
              <w:pStyle w:val="Tabletext1"/>
            </w:pPr>
            <w:r w:rsidRPr="00E3331A">
              <w:t>162488</w:t>
            </w:r>
          </w:p>
        </w:tc>
        <w:tc>
          <w:tcPr>
            <w:tcW w:w="1380" w:type="pct"/>
          </w:tcPr>
          <w:p w:rsidR="009A1B69" w:rsidRPr="00E3331A" w:rsidRDefault="009A1B69" w:rsidP="005533BB">
            <w:pPr>
              <w:pStyle w:val="Tabletext1"/>
            </w:pPr>
            <w:r w:rsidRPr="00E3331A">
              <w:t>INTRAGAM 10 normal Ig (human) 10g/100m</w:t>
            </w:r>
            <w:r w:rsidR="007236F0" w:rsidRPr="00E3331A">
              <w:t>l</w:t>
            </w:r>
            <w:r w:rsidRPr="00E3331A">
              <w:t xml:space="preserve"> solution for injection vial</w:t>
            </w:r>
          </w:p>
        </w:tc>
        <w:tc>
          <w:tcPr>
            <w:tcW w:w="1381" w:type="pct"/>
          </w:tcPr>
          <w:p w:rsidR="009A1B69" w:rsidRPr="00E3331A" w:rsidRDefault="009A1B69" w:rsidP="005533BB">
            <w:pPr>
              <w:pStyle w:val="Tabletext1"/>
            </w:pPr>
            <w:r w:rsidRPr="00E3331A">
              <w:t>Medicine</w:t>
            </w:r>
          </w:p>
        </w:tc>
        <w:tc>
          <w:tcPr>
            <w:tcW w:w="1338" w:type="pct"/>
          </w:tcPr>
          <w:p w:rsidR="009A1B69" w:rsidRPr="00E3331A" w:rsidRDefault="009A1B69" w:rsidP="005533BB">
            <w:pPr>
              <w:pStyle w:val="Tabletext1"/>
            </w:pPr>
            <w:r w:rsidRPr="00E3331A">
              <w:t>CSL Behring Australia, Pty Ltd</w:t>
            </w:r>
          </w:p>
        </w:tc>
      </w:tr>
      <w:tr w:rsidR="009A1B69" w:rsidRPr="00E3331A" w:rsidTr="00EE2429">
        <w:tc>
          <w:tcPr>
            <w:tcW w:w="901" w:type="pct"/>
          </w:tcPr>
          <w:p w:rsidR="009A1B69" w:rsidRPr="00E3331A" w:rsidRDefault="009A1B69" w:rsidP="005533BB">
            <w:pPr>
              <w:pStyle w:val="Tabletext1"/>
            </w:pPr>
            <w:r w:rsidRPr="00E3331A">
              <w:t>162489</w:t>
            </w:r>
          </w:p>
        </w:tc>
        <w:tc>
          <w:tcPr>
            <w:tcW w:w="1380" w:type="pct"/>
          </w:tcPr>
          <w:p w:rsidR="009A1B69" w:rsidRPr="00E3331A" w:rsidRDefault="009A1B69" w:rsidP="005533BB">
            <w:pPr>
              <w:pStyle w:val="Tabletext1"/>
            </w:pPr>
            <w:r w:rsidRPr="00E3331A">
              <w:t>INTRAGAM 10 normal Ig (human) 20g/200m</w:t>
            </w:r>
            <w:r w:rsidR="007236F0" w:rsidRPr="00E3331A">
              <w:t>l</w:t>
            </w:r>
            <w:r w:rsidRPr="00E3331A">
              <w:t xml:space="preserve"> solution for injection vial</w:t>
            </w:r>
          </w:p>
        </w:tc>
        <w:tc>
          <w:tcPr>
            <w:tcW w:w="1381" w:type="pct"/>
          </w:tcPr>
          <w:p w:rsidR="009A1B69" w:rsidRPr="00E3331A" w:rsidRDefault="009A1B69" w:rsidP="005533BB">
            <w:pPr>
              <w:pStyle w:val="Tabletext1"/>
            </w:pPr>
            <w:r w:rsidRPr="00E3331A">
              <w:t>Medicine</w:t>
            </w:r>
          </w:p>
        </w:tc>
        <w:tc>
          <w:tcPr>
            <w:tcW w:w="1338" w:type="pct"/>
          </w:tcPr>
          <w:p w:rsidR="009A1B69" w:rsidRPr="00E3331A" w:rsidRDefault="009A1B69" w:rsidP="005533BB">
            <w:pPr>
              <w:pStyle w:val="Tabletext1"/>
            </w:pPr>
            <w:r w:rsidRPr="00E3331A">
              <w:t>CSL Behring Australia, Pty Ltd</w:t>
            </w:r>
          </w:p>
        </w:tc>
      </w:tr>
      <w:tr w:rsidR="009A1B69" w:rsidRPr="00E3331A" w:rsidTr="00EE2429">
        <w:tc>
          <w:tcPr>
            <w:tcW w:w="901" w:type="pct"/>
          </w:tcPr>
          <w:p w:rsidR="009A1B69" w:rsidRPr="00E3331A" w:rsidRDefault="009A1B69" w:rsidP="005533BB">
            <w:pPr>
              <w:pStyle w:val="Tabletext1"/>
            </w:pPr>
            <w:r w:rsidRPr="00E3331A">
              <w:t>219160</w:t>
            </w:r>
          </w:p>
        </w:tc>
        <w:tc>
          <w:tcPr>
            <w:tcW w:w="1380" w:type="pct"/>
          </w:tcPr>
          <w:p w:rsidR="009A1B69" w:rsidRPr="00E3331A" w:rsidRDefault="009A1B69" w:rsidP="005533BB">
            <w:pPr>
              <w:pStyle w:val="Tabletext1"/>
            </w:pPr>
            <w:r w:rsidRPr="00E3331A">
              <w:t>Privigen normal Ig (human) 40g (100g/</w:t>
            </w:r>
            <w:r w:rsidR="007236F0" w:rsidRPr="00E3331A">
              <w:t>L</w:t>
            </w:r>
            <w:r w:rsidRPr="00E3331A">
              <w:t>, 10%) solution for intravenous infusion</w:t>
            </w:r>
          </w:p>
        </w:tc>
        <w:tc>
          <w:tcPr>
            <w:tcW w:w="1381" w:type="pct"/>
          </w:tcPr>
          <w:p w:rsidR="009A1B69" w:rsidRPr="00E3331A" w:rsidRDefault="009A1B69" w:rsidP="005533BB">
            <w:pPr>
              <w:pStyle w:val="Tabletext1"/>
            </w:pPr>
            <w:r w:rsidRPr="00E3331A">
              <w:t>Medicine</w:t>
            </w:r>
          </w:p>
        </w:tc>
        <w:tc>
          <w:tcPr>
            <w:tcW w:w="1338" w:type="pct"/>
          </w:tcPr>
          <w:p w:rsidR="009A1B69" w:rsidRPr="00E3331A" w:rsidRDefault="009A1B69" w:rsidP="005533BB">
            <w:pPr>
              <w:pStyle w:val="Tabletext1"/>
            </w:pPr>
            <w:r w:rsidRPr="00E3331A">
              <w:t>CSL Behring Australia, Pty Ltd</w:t>
            </w:r>
          </w:p>
        </w:tc>
      </w:tr>
      <w:tr w:rsidR="009A1B69" w:rsidRPr="00E3331A" w:rsidTr="00EE2429">
        <w:tc>
          <w:tcPr>
            <w:tcW w:w="901" w:type="pct"/>
          </w:tcPr>
          <w:p w:rsidR="009A1B69" w:rsidRPr="00E3331A" w:rsidRDefault="009A1B69" w:rsidP="005533BB">
            <w:pPr>
              <w:pStyle w:val="Tabletext1"/>
            </w:pPr>
            <w:r w:rsidRPr="00E3331A">
              <w:t>143368</w:t>
            </w:r>
          </w:p>
        </w:tc>
        <w:tc>
          <w:tcPr>
            <w:tcW w:w="1380" w:type="pct"/>
          </w:tcPr>
          <w:p w:rsidR="009A1B69" w:rsidRPr="00E3331A" w:rsidRDefault="009A1B69" w:rsidP="005533BB">
            <w:pPr>
              <w:pStyle w:val="Tabletext1"/>
            </w:pPr>
            <w:r w:rsidRPr="00E3331A">
              <w:t>Privigen normal Ig (human) 20g (100g/L, 10%) solution for intravenous infusion</w:t>
            </w:r>
          </w:p>
        </w:tc>
        <w:tc>
          <w:tcPr>
            <w:tcW w:w="1381" w:type="pct"/>
          </w:tcPr>
          <w:p w:rsidR="009A1B69" w:rsidRPr="00E3331A" w:rsidRDefault="009A1B69" w:rsidP="005533BB">
            <w:pPr>
              <w:pStyle w:val="Tabletext1"/>
            </w:pPr>
            <w:r w:rsidRPr="00E3331A">
              <w:t>Medicine</w:t>
            </w:r>
          </w:p>
        </w:tc>
        <w:tc>
          <w:tcPr>
            <w:tcW w:w="1338" w:type="pct"/>
          </w:tcPr>
          <w:p w:rsidR="009A1B69" w:rsidRPr="00E3331A" w:rsidRDefault="009A1B69" w:rsidP="005533BB">
            <w:pPr>
              <w:pStyle w:val="Tabletext1"/>
            </w:pPr>
            <w:r w:rsidRPr="00E3331A">
              <w:t>CSL Behring Australia, Pty Ltd</w:t>
            </w:r>
          </w:p>
        </w:tc>
      </w:tr>
      <w:tr w:rsidR="009A1B69" w:rsidRPr="00E3331A" w:rsidTr="00EE2429">
        <w:tc>
          <w:tcPr>
            <w:tcW w:w="901" w:type="pct"/>
          </w:tcPr>
          <w:p w:rsidR="009A1B69" w:rsidRPr="00E3331A" w:rsidRDefault="009A1B69" w:rsidP="005533BB">
            <w:pPr>
              <w:pStyle w:val="Tabletext1"/>
            </w:pPr>
            <w:r w:rsidRPr="00E3331A">
              <w:t>143337</w:t>
            </w:r>
          </w:p>
        </w:tc>
        <w:tc>
          <w:tcPr>
            <w:tcW w:w="1380" w:type="pct"/>
          </w:tcPr>
          <w:p w:rsidR="009A1B69" w:rsidRPr="00E3331A" w:rsidRDefault="009A1B69" w:rsidP="005533BB">
            <w:pPr>
              <w:pStyle w:val="Tabletext1"/>
            </w:pPr>
            <w:r w:rsidRPr="00E3331A">
              <w:t>Privigen normal Ig (human) 10g (100g/L, 10%) solution for intravenous infusion</w:t>
            </w:r>
          </w:p>
        </w:tc>
        <w:tc>
          <w:tcPr>
            <w:tcW w:w="1381" w:type="pct"/>
          </w:tcPr>
          <w:p w:rsidR="009A1B69" w:rsidRPr="00E3331A" w:rsidRDefault="009A1B69" w:rsidP="005533BB">
            <w:pPr>
              <w:pStyle w:val="Tabletext1"/>
            </w:pPr>
            <w:r w:rsidRPr="00E3331A">
              <w:t>Medicine</w:t>
            </w:r>
          </w:p>
        </w:tc>
        <w:tc>
          <w:tcPr>
            <w:tcW w:w="1338" w:type="pct"/>
          </w:tcPr>
          <w:p w:rsidR="009A1B69" w:rsidRPr="00E3331A" w:rsidRDefault="009A1B69" w:rsidP="005533BB">
            <w:pPr>
              <w:pStyle w:val="Tabletext1"/>
            </w:pPr>
            <w:r w:rsidRPr="00E3331A">
              <w:t>CSL Behring Australia, Pty Ltd</w:t>
            </w:r>
          </w:p>
        </w:tc>
      </w:tr>
      <w:tr w:rsidR="009A1B69" w:rsidRPr="00E3331A" w:rsidTr="00EE2429">
        <w:tc>
          <w:tcPr>
            <w:tcW w:w="901" w:type="pct"/>
          </w:tcPr>
          <w:p w:rsidR="009A1B69" w:rsidRPr="00E3331A" w:rsidRDefault="009A1B69" w:rsidP="005533BB">
            <w:pPr>
              <w:pStyle w:val="Tabletext1"/>
            </w:pPr>
            <w:r w:rsidRPr="00E3331A">
              <w:t>143273</w:t>
            </w:r>
          </w:p>
        </w:tc>
        <w:tc>
          <w:tcPr>
            <w:tcW w:w="1380" w:type="pct"/>
          </w:tcPr>
          <w:p w:rsidR="009A1B69" w:rsidRPr="00E3331A" w:rsidRDefault="009A1B69" w:rsidP="005533BB">
            <w:pPr>
              <w:pStyle w:val="Tabletext1"/>
            </w:pPr>
            <w:r w:rsidRPr="00E3331A">
              <w:t>Privigen normal Ig (human) 5g (100 g/L, 10%) solution for intravenous infusion</w:t>
            </w:r>
          </w:p>
        </w:tc>
        <w:tc>
          <w:tcPr>
            <w:tcW w:w="1381" w:type="pct"/>
          </w:tcPr>
          <w:p w:rsidR="009A1B69" w:rsidRPr="00E3331A" w:rsidRDefault="009A1B69" w:rsidP="005533BB">
            <w:pPr>
              <w:pStyle w:val="Tabletext1"/>
            </w:pPr>
            <w:r w:rsidRPr="00E3331A">
              <w:t>Medicine</w:t>
            </w:r>
          </w:p>
        </w:tc>
        <w:tc>
          <w:tcPr>
            <w:tcW w:w="1338" w:type="pct"/>
          </w:tcPr>
          <w:p w:rsidR="009A1B69" w:rsidRPr="00E3331A" w:rsidRDefault="009A1B69" w:rsidP="005533BB">
            <w:pPr>
              <w:pStyle w:val="Tabletext1"/>
            </w:pPr>
            <w:r w:rsidRPr="00E3331A">
              <w:t>CSL Behring Australia, Pty Ltd</w:t>
            </w:r>
          </w:p>
        </w:tc>
      </w:tr>
      <w:tr w:rsidR="009A1B69" w:rsidRPr="00E3331A" w:rsidTr="00EE2429">
        <w:tc>
          <w:tcPr>
            <w:tcW w:w="901" w:type="pct"/>
          </w:tcPr>
          <w:p w:rsidR="009A1B69" w:rsidRPr="00E3331A" w:rsidRDefault="009A1B69" w:rsidP="005533BB">
            <w:pPr>
              <w:pStyle w:val="Tabletext1"/>
            </w:pPr>
            <w:r w:rsidRPr="00E3331A">
              <w:t>306801</w:t>
            </w:r>
          </w:p>
        </w:tc>
        <w:tc>
          <w:tcPr>
            <w:tcW w:w="1380" w:type="pct"/>
          </w:tcPr>
          <w:p w:rsidR="009A1B69" w:rsidRPr="00E3331A" w:rsidRDefault="009A1B69" w:rsidP="005533BB">
            <w:pPr>
              <w:pStyle w:val="Tabletext1"/>
            </w:pPr>
            <w:r w:rsidRPr="00E3331A">
              <w:t>CSL EU Privigen normal Ig (human) 100g/L solution for intravenous infusion</w:t>
            </w:r>
          </w:p>
        </w:tc>
        <w:tc>
          <w:tcPr>
            <w:tcW w:w="1381" w:type="pct"/>
          </w:tcPr>
          <w:p w:rsidR="009A1B69" w:rsidRPr="00E3331A" w:rsidRDefault="009A1B69" w:rsidP="005533BB">
            <w:pPr>
              <w:pStyle w:val="Tabletext1"/>
            </w:pPr>
            <w:r w:rsidRPr="00E3331A">
              <w:t>Medicine</w:t>
            </w:r>
          </w:p>
        </w:tc>
        <w:tc>
          <w:tcPr>
            <w:tcW w:w="1338" w:type="pct"/>
          </w:tcPr>
          <w:p w:rsidR="009A1B69" w:rsidRPr="00E3331A" w:rsidRDefault="009A1B69" w:rsidP="005533BB">
            <w:pPr>
              <w:pStyle w:val="Tabletext1"/>
            </w:pPr>
            <w:r w:rsidRPr="00E3331A">
              <w:t>CSL Behring Australia, Pty Ltd</w:t>
            </w:r>
          </w:p>
        </w:tc>
      </w:tr>
      <w:tr w:rsidR="009A1B69" w:rsidRPr="00E3331A" w:rsidTr="00EE2429">
        <w:tc>
          <w:tcPr>
            <w:tcW w:w="901" w:type="pct"/>
          </w:tcPr>
          <w:p w:rsidR="009A1B69" w:rsidRPr="00E3331A" w:rsidRDefault="009A1B69" w:rsidP="005533BB">
            <w:pPr>
              <w:pStyle w:val="Tabletext1"/>
            </w:pPr>
            <w:r w:rsidRPr="00E3331A">
              <w:t>269691</w:t>
            </w:r>
          </w:p>
        </w:tc>
        <w:tc>
          <w:tcPr>
            <w:tcW w:w="1380" w:type="pct"/>
          </w:tcPr>
          <w:p w:rsidR="009A1B69" w:rsidRPr="00E3331A" w:rsidRDefault="009A1B69" w:rsidP="00A35AAD">
            <w:pPr>
              <w:pStyle w:val="Tabletext1"/>
            </w:pPr>
            <w:r w:rsidRPr="00E3331A">
              <w:t>CSL USA Privigen normal Ig (human) 40g (100g/L, 10%) solution for intravenous infusion</w:t>
            </w:r>
          </w:p>
        </w:tc>
        <w:tc>
          <w:tcPr>
            <w:tcW w:w="1381" w:type="pct"/>
          </w:tcPr>
          <w:p w:rsidR="009A1B69" w:rsidRPr="00E3331A" w:rsidRDefault="009A1B69" w:rsidP="005533BB">
            <w:pPr>
              <w:pStyle w:val="Tabletext1"/>
            </w:pPr>
            <w:r w:rsidRPr="00E3331A">
              <w:t>Medicine</w:t>
            </w:r>
          </w:p>
        </w:tc>
        <w:tc>
          <w:tcPr>
            <w:tcW w:w="1338" w:type="pct"/>
          </w:tcPr>
          <w:p w:rsidR="009A1B69" w:rsidRPr="00E3331A" w:rsidRDefault="009A1B69" w:rsidP="005533BB">
            <w:pPr>
              <w:pStyle w:val="Tabletext1"/>
            </w:pPr>
            <w:r w:rsidRPr="00E3331A">
              <w:t>CSL Behring Australia, Pty Ltd</w:t>
            </w:r>
          </w:p>
        </w:tc>
      </w:tr>
      <w:tr w:rsidR="009A1B69" w:rsidRPr="00E3331A" w:rsidTr="00EE2429">
        <w:tc>
          <w:tcPr>
            <w:tcW w:w="901" w:type="pct"/>
          </w:tcPr>
          <w:p w:rsidR="009A1B69" w:rsidRPr="00E3331A" w:rsidRDefault="009A1B69" w:rsidP="005533BB">
            <w:pPr>
              <w:pStyle w:val="Tabletext1"/>
            </w:pPr>
            <w:r w:rsidRPr="00E3331A">
              <w:t>269690</w:t>
            </w:r>
          </w:p>
        </w:tc>
        <w:tc>
          <w:tcPr>
            <w:tcW w:w="1380" w:type="pct"/>
          </w:tcPr>
          <w:p w:rsidR="009A1B69" w:rsidRPr="00E3331A" w:rsidRDefault="009A1B69" w:rsidP="005533BB">
            <w:pPr>
              <w:pStyle w:val="Tabletext1"/>
            </w:pPr>
            <w:r w:rsidRPr="00E3331A">
              <w:t xml:space="preserve">CSL </w:t>
            </w:r>
            <w:r w:rsidR="00FD3F34" w:rsidRPr="00E3331A">
              <w:t xml:space="preserve">USA </w:t>
            </w:r>
            <w:r w:rsidRPr="00E3331A">
              <w:t xml:space="preserve">Privigen normal Ig (human) 10g (100g/L, 10%) </w:t>
            </w:r>
            <w:r w:rsidRPr="00E3331A">
              <w:lastRenderedPageBreak/>
              <w:t>solution for intravenous infusion</w:t>
            </w:r>
          </w:p>
        </w:tc>
        <w:tc>
          <w:tcPr>
            <w:tcW w:w="1381" w:type="pct"/>
          </w:tcPr>
          <w:p w:rsidR="009A1B69" w:rsidRPr="00E3331A" w:rsidRDefault="009A1B69" w:rsidP="005533BB">
            <w:pPr>
              <w:pStyle w:val="Tabletext1"/>
            </w:pPr>
            <w:r w:rsidRPr="00E3331A">
              <w:lastRenderedPageBreak/>
              <w:t>Medicine</w:t>
            </w:r>
          </w:p>
        </w:tc>
        <w:tc>
          <w:tcPr>
            <w:tcW w:w="1338" w:type="pct"/>
          </w:tcPr>
          <w:p w:rsidR="009A1B69" w:rsidRPr="00E3331A" w:rsidRDefault="009A1B69" w:rsidP="005533BB">
            <w:pPr>
              <w:pStyle w:val="Tabletext1"/>
            </w:pPr>
            <w:r w:rsidRPr="00E3331A">
              <w:t>CSL Behring Australia, Pty Ltd</w:t>
            </w:r>
          </w:p>
        </w:tc>
      </w:tr>
      <w:tr w:rsidR="009A1B69" w:rsidRPr="00E3331A" w:rsidTr="00EE2429">
        <w:tc>
          <w:tcPr>
            <w:tcW w:w="901" w:type="pct"/>
          </w:tcPr>
          <w:p w:rsidR="009A1B69" w:rsidRPr="00E3331A" w:rsidRDefault="009A1B69" w:rsidP="005533BB">
            <w:pPr>
              <w:pStyle w:val="Tabletext1"/>
            </w:pPr>
            <w:r w:rsidRPr="00E3331A">
              <w:t>269689</w:t>
            </w:r>
          </w:p>
        </w:tc>
        <w:tc>
          <w:tcPr>
            <w:tcW w:w="1380" w:type="pct"/>
          </w:tcPr>
          <w:p w:rsidR="009A1B69" w:rsidRPr="00E3331A" w:rsidRDefault="009A1B69" w:rsidP="005533BB">
            <w:pPr>
              <w:pStyle w:val="Tabletext1"/>
            </w:pPr>
            <w:r w:rsidRPr="00E3331A">
              <w:t xml:space="preserve">CSL </w:t>
            </w:r>
            <w:r w:rsidR="00FD3F34" w:rsidRPr="00E3331A">
              <w:t xml:space="preserve">USA </w:t>
            </w:r>
            <w:r w:rsidRPr="00E3331A">
              <w:t>Privigen normal Ig (human) 5g (100g/L, 10%) solution for intravenous infusion</w:t>
            </w:r>
          </w:p>
        </w:tc>
        <w:tc>
          <w:tcPr>
            <w:tcW w:w="1381" w:type="pct"/>
          </w:tcPr>
          <w:p w:rsidR="009A1B69" w:rsidRPr="00E3331A" w:rsidRDefault="009A1B69" w:rsidP="005533BB">
            <w:pPr>
              <w:pStyle w:val="Tabletext1"/>
            </w:pPr>
            <w:r w:rsidRPr="00E3331A">
              <w:t>Medicine</w:t>
            </w:r>
          </w:p>
        </w:tc>
        <w:tc>
          <w:tcPr>
            <w:tcW w:w="1338" w:type="pct"/>
          </w:tcPr>
          <w:p w:rsidR="009A1B69" w:rsidRPr="00E3331A" w:rsidRDefault="009A1B69" w:rsidP="005533BB">
            <w:pPr>
              <w:pStyle w:val="Tabletext1"/>
            </w:pPr>
            <w:r w:rsidRPr="00E3331A">
              <w:t>CSL Behring Australia, Pty Ltd</w:t>
            </w:r>
          </w:p>
        </w:tc>
      </w:tr>
      <w:tr w:rsidR="009A1B69" w:rsidRPr="00E3331A" w:rsidTr="00EE2429">
        <w:tc>
          <w:tcPr>
            <w:tcW w:w="901" w:type="pct"/>
          </w:tcPr>
          <w:p w:rsidR="009A1B69" w:rsidRPr="00E3331A" w:rsidRDefault="009A1B69" w:rsidP="005533BB">
            <w:pPr>
              <w:pStyle w:val="Tabletext1"/>
            </w:pPr>
            <w:r w:rsidRPr="00E3331A">
              <w:t>265147</w:t>
            </w:r>
          </w:p>
        </w:tc>
        <w:tc>
          <w:tcPr>
            <w:tcW w:w="1380" w:type="pct"/>
          </w:tcPr>
          <w:p w:rsidR="009A1B69" w:rsidRPr="00E3331A" w:rsidRDefault="009A1B69" w:rsidP="005533BB">
            <w:pPr>
              <w:pStyle w:val="Tabletext1"/>
            </w:pPr>
            <w:r w:rsidRPr="00E3331A">
              <w:t xml:space="preserve">CSL </w:t>
            </w:r>
            <w:r w:rsidR="00120799" w:rsidRPr="00E3331A">
              <w:t>USA</w:t>
            </w:r>
            <w:r w:rsidR="00E50D7A" w:rsidRPr="00E3331A">
              <w:t xml:space="preserve"> </w:t>
            </w:r>
            <w:r w:rsidRPr="00E3331A">
              <w:t>Privigen normal Ig (human) 20g (100g/L, 10%) solution for intravenous infusion</w:t>
            </w:r>
          </w:p>
        </w:tc>
        <w:tc>
          <w:tcPr>
            <w:tcW w:w="1381" w:type="pct"/>
          </w:tcPr>
          <w:p w:rsidR="009A1B69" w:rsidRPr="00E3331A" w:rsidRDefault="009A1B69" w:rsidP="005533BB">
            <w:pPr>
              <w:pStyle w:val="Tabletext1"/>
            </w:pPr>
            <w:r w:rsidRPr="00E3331A">
              <w:t>Medicine</w:t>
            </w:r>
          </w:p>
        </w:tc>
        <w:tc>
          <w:tcPr>
            <w:tcW w:w="1338" w:type="pct"/>
          </w:tcPr>
          <w:p w:rsidR="009A1B69" w:rsidRPr="00E3331A" w:rsidRDefault="009A1B69" w:rsidP="005533BB">
            <w:pPr>
              <w:pStyle w:val="Tabletext1"/>
            </w:pPr>
            <w:r w:rsidRPr="00E3331A">
              <w:t>CSL Behring Australia, Pty Ltd</w:t>
            </w:r>
          </w:p>
        </w:tc>
      </w:tr>
      <w:tr w:rsidR="009A1B69" w:rsidRPr="00E3331A" w:rsidTr="00EE2429">
        <w:tc>
          <w:tcPr>
            <w:tcW w:w="901" w:type="pct"/>
          </w:tcPr>
          <w:p w:rsidR="009A1B69" w:rsidRPr="00E3331A" w:rsidRDefault="009A1B69" w:rsidP="005533BB">
            <w:pPr>
              <w:pStyle w:val="Tabletext1"/>
            </w:pPr>
            <w:r w:rsidRPr="00E3331A">
              <w:t>117240</w:t>
            </w:r>
          </w:p>
        </w:tc>
        <w:tc>
          <w:tcPr>
            <w:tcW w:w="1380" w:type="pct"/>
          </w:tcPr>
          <w:p w:rsidR="009A1B69" w:rsidRPr="00E3331A" w:rsidRDefault="009A1B69" w:rsidP="005533BB">
            <w:pPr>
              <w:pStyle w:val="Tabletext1"/>
            </w:pPr>
            <w:r w:rsidRPr="00E3331A">
              <w:t>GAMUNEX normal Ig (human) 20g/200m</w:t>
            </w:r>
            <w:r w:rsidR="007236F0" w:rsidRPr="00E3331A">
              <w:t>l</w:t>
            </w:r>
            <w:r w:rsidRPr="00E3331A">
              <w:t xml:space="preserve"> intravenous solution vial*</w:t>
            </w:r>
          </w:p>
        </w:tc>
        <w:tc>
          <w:tcPr>
            <w:tcW w:w="1381" w:type="pct"/>
          </w:tcPr>
          <w:p w:rsidR="009A1B69" w:rsidRPr="00E3331A" w:rsidRDefault="009A1B69" w:rsidP="005533BB">
            <w:pPr>
              <w:pStyle w:val="Tabletext1"/>
            </w:pPr>
            <w:r w:rsidRPr="00E3331A">
              <w:t>Medicine</w:t>
            </w:r>
          </w:p>
        </w:tc>
        <w:tc>
          <w:tcPr>
            <w:tcW w:w="1338" w:type="pct"/>
          </w:tcPr>
          <w:p w:rsidR="009A1B69" w:rsidRPr="00E3331A" w:rsidRDefault="009A1B69" w:rsidP="005533BB">
            <w:pPr>
              <w:pStyle w:val="Tabletext1"/>
            </w:pPr>
            <w:r w:rsidRPr="00E3331A">
              <w:t>Grifols Australia Pty Ltd</w:t>
            </w:r>
          </w:p>
        </w:tc>
      </w:tr>
      <w:tr w:rsidR="009A1B69" w:rsidRPr="00E3331A" w:rsidTr="00EE2429">
        <w:tc>
          <w:tcPr>
            <w:tcW w:w="901" w:type="pct"/>
          </w:tcPr>
          <w:p w:rsidR="009A1B69" w:rsidRPr="00E3331A" w:rsidRDefault="009A1B69" w:rsidP="005533BB">
            <w:pPr>
              <w:pStyle w:val="Tabletext1"/>
            </w:pPr>
            <w:r w:rsidRPr="00E3331A">
              <w:t>117239</w:t>
            </w:r>
          </w:p>
        </w:tc>
        <w:tc>
          <w:tcPr>
            <w:tcW w:w="1380" w:type="pct"/>
          </w:tcPr>
          <w:p w:rsidR="009A1B69" w:rsidRPr="00E3331A" w:rsidRDefault="009A1B69" w:rsidP="005533BB">
            <w:pPr>
              <w:pStyle w:val="Tabletext1"/>
            </w:pPr>
            <w:r w:rsidRPr="00E3331A">
              <w:t>GAMUNEX normal Ig (human) 10g/100m</w:t>
            </w:r>
            <w:r w:rsidR="007236F0" w:rsidRPr="00E3331A">
              <w:t>l</w:t>
            </w:r>
            <w:r w:rsidRPr="00E3331A">
              <w:t xml:space="preserve"> intravenous solution vial*</w:t>
            </w:r>
          </w:p>
        </w:tc>
        <w:tc>
          <w:tcPr>
            <w:tcW w:w="1381" w:type="pct"/>
          </w:tcPr>
          <w:p w:rsidR="009A1B69" w:rsidRPr="00E3331A" w:rsidRDefault="009A1B69" w:rsidP="005533BB">
            <w:pPr>
              <w:pStyle w:val="Tabletext1"/>
            </w:pPr>
            <w:r w:rsidRPr="00E3331A">
              <w:t>Medicine</w:t>
            </w:r>
          </w:p>
        </w:tc>
        <w:tc>
          <w:tcPr>
            <w:tcW w:w="1338" w:type="pct"/>
          </w:tcPr>
          <w:p w:rsidR="009A1B69" w:rsidRPr="00E3331A" w:rsidRDefault="009A1B69" w:rsidP="005533BB">
            <w:pPr>
              <w:pStyle w:val="Tabletext1"/>
            </w:pPr>
            <w:r w:rsidRPr="00E3331A">
              <w:t>Grifols Australia Pty Ltd</w:t>
            </w:r>
          </w:p>
        </w:tc>
      </w:tr>
      <w:tr w:rsidR="009A1B69" w:rsidRPr="00E3331A" w:rsidTr="00EE2429">
        <w:tc>
          <w:tcPr>
            <w:tcW w:w="901" w:type="pct"/>
          </w:tcPr>
          <w:p w:rsidR="009A1B69" w:rsidRPr="00E3331A" w:rsidRDefault="009A1B69" w:rsidP="005533BB">
            <w:pPr>
              <w:pStyle w:val="Tabletext1"/>
            </w:pPr>
            <w:r w:rsidRPr="00E3331A">
              <w:t>117238</w:t>
            </w:r>
          </w:p>
        </w:tc>
        <w:tc>
          <w:tcPr>
            <w:tcW w:w="1380" w:type="pct"/>
          </w:tcPr>
          <w:p w:rsidR="009A1B69" w:rsidRPr="00E3331A" w:rsidRDefault="009A1B69" w:rsidP="005533BB">
            <w:pPr>
              <w:pStyle w:val="Tabletext1"/>
            </w:pPr>
            <w:r w:rsidRPr="00E3331A">
              <w:t>GAMUNEX normal Ig (human) 5g/50m</w:t>
            </w:r>
            <w:r w:rsidR="007236F0" w:rsidRPr="00E3331A">
              <w:t>l</w:t>
            </w:r>
            <w:r w:rsidRPr="00E3331A">
              <w:t xml:space="preserve"> intravenous solution vial*</w:t>
            </w:r>
          </w:p>
        </w:tc>
        <w:tc>
          <w:tcPr>
            <w:tcW w:w="1381" w:type="pct"/>
          </w:tcPr>
          <w:p w:rsidR="009A1B69" w:rsidRPr="00E3331A" w:rsidRDefault="009A1B69" w:rsidP="005533BB">
            <w:pPr>
              <w:pStyle w:val="Tabletext1"/>
            </w:pPr>
            <w:r w:rsidRPr="00E3331A">
              <w:t>Medicine</w:t>
            </w:r>
          </w:p>
        </w:tc>
        <w:tc>
          <w:tcPr>
            <w:tcW w:w="1338" w:type="pct"/>
          </w:tcPr>
          <w:p w:rsidR="009A1B69" w:rsidRPr="00E3331A" w:rsidRDefault="009A1B69" w:rsidP="005533BB">
            <w:pPr>
              <w:pStyle w:val="Tabletext1"/>
            </w:pPr>
            <w:r w:rsidRPr="00E3331A">
              <w:t>Grifols Australia Pty Ltd</w:t>
            </w:r>
          </w:p>
        </w:tc>
      </w:tr>
      <w:tr w:rsidR="009A1B69" w:rsidRPr="00E3331A" w:rsidTr="00EE2429">
        <w:tc>
          <w:tcPr>
            <w:tcW w:w="901" w:type="pct"/>
          </w:tcPr>
          <w:p w:rsidR="009A1B69" w:rsidRPr="00E3331A" w:rsidRDefault="009A1B69" w:rsidP="005533BB">
            <w:pPr>
              <w:pStyle w:val="Tabletext1"/>
            </w:pPr>
            <w:r w:rsidRPr="00E3331A">
              <w:t>117237</w:t>
            </w:r>
          </w:p>
        </w:tc>
        <w:tc>
          <w:tcPr>
            <w:tcW w:w="1380" w:type="pct"/>
          </w:tcPr>
          <w:p w:rsidR="009A1B69" w:rsidRPr="00E3331A" w:rsidRDefault="009A1B69" w:rsidP="005533BB">
            <w:pPr>
              <w:pStyle w:val="Tabletext1"/>
            </w:pPr>
            <w:r w:rsidRPr="00E3331A">
              <w:t>GAMUNEX normal Ig (human) 2.5g/25m</w:t>
            </w:r>
            <w:r w:rsidR="007236F0" w:rsidRPr="00E3331A">
              <w:t>l</w:t>
            </w:r>
            <w:r w:rsidRPr="00E3331A">
              <w:t xml:space="preserve"> intravenous solution vial*</w:t>
            </w:r>
          </w:p>
        </w:tc>
        <w:tc>
          <w:tcPr>
            <w:tcW w:w="1381" w:type="pct"/>
          </w:tcPr>
          <w:p w:rsidR="009A1B69" w:rsidRPr="00E3331A" w:rsidRDefault="009A1B69" w:rsidP="005533BB">
            <w:pPr>
              <w:pStyle w:val="Tabletext1"/>
            </w:pPr>
            <w:r w:rsidRPr="00E3331A">
              <w:t>Medicine</w:t>
            </w:r>
          </w:p>
        </w:tc>
        <w:tc>
          <w:tcPr>
            <w:tcW w:w="1338" w:type="pct"/>
          </w:tcPr>
          <w:p w:rsidR="009A1B69" w:rsidRPr="00E3331A" w:rsidRDefault="009A1B69" w:rsidP="005533BB">
            <w:pPr>
              <w:pStyle w:val="Tabletext1"/>
            </w:pPr>
            <w:r w:rsidRPr="00E3331A">
              <w:t>Grifols Australia Pty Ltd</w:t>
            </w:r>
          </w:p>
        </w:tc>
      </w:tr>
      <w:tr w:rsidR="009A1B69" w:rsidRPr="00E3331A" w:rsidTr="00EE2429">
        <w:tc>
          <w:tcPr>
            <w:tcW w:w="901" w:type="pct"/>
          </w:tcPr>
          <w:p w:rsidR="009A1B69" w:rsidRPr="00E3331A" w:rsidRDefault="009A1B69" w:rsidP="005533BB">
            <w:pPr>
              <w:pStyle w:val="Tabletext1"/>
            </w:pPr>
            <w:r w:rsidRPr="00E3331A">
              <w:t>116689</w:t>
            </w:r>
          </w:p>
        </w:tc>
        <w:tc>
          <w:tcPr>
            <w:tcW w:w="1380" w:type="pct"/>
          </w:tcPr>
          <w:p w:rsidR="009A1B69" w:rsidRPr="00E3331A" w:rsidRDefault="009A1B69" w:rsidP="005533BB">
            <w:pPr>
              <w:pStyle w:val="Tabletext1"/>
            </w:pPr>
            <w:r w:rsidRPr="00E3331A">
              <w:t>GAMUNEX normal Ig (human) 1g/10m</w:t>
            </w:r>
            <w:r w:rsidR="007236F0" w:rsidRPr="00E3331A">
              <w:t>l</w:t>
            </w:r>
            <w:r w:rsidRPr="00E3331A">
              <w:t xml:space="preserve"> intravenous solution vial*</w:t>
            </w:r>
          </w:p>
        </w:tc>
        <w:tc>
          <w:tcPr>
            <w:tcW w:w="1381" w:type="pct"/>
          </w:tcPr>
          <w:p w:rsidR="009A1B69" w:rsidRPr="00E3331A" w:rsidRDefault="009A1B69" w:rsidP="005533BB">
            <w:pPr>
              <w:pStyle w:val="Tabletext1"/>
            </w:pPr>
            <w:r w:rsidRPr="00E3331A">
              <w:t>Medicine</w:t>
            </w:r>
          </w:p>
        </w:tc>
        <w:tc>
          <w:tcPr>
            <w:tcW w:w="1338" w:type="pct"/>
          </w:tcPr>
          <w:p w:rsidR="009A1B69" w:rsidRPr="00E3331A" w:rsidRDefault="009A1B69" w:rsidP="005533BB">
            <w:pPr>
              <w:pStyle w:val="Tabletext1"/>
            </w:pPr>
            <w:r w:rsidRPr="00E3331A">
              <w:t>Grifols Australia Pty Ltd</w:t>
            </w:r>
          </w:p>
        </w:tc>
      </w:tr>
    </w:tbl>
    <w:p w:rsidR="007D2548" w:rsidRPr="00E3331A" w:rsidRDefault="007D2548" w:rsidP="007A5DFB">
      <w:pPr>
        <w:spacing w:after="0"/>
        <w:jc w:val="both"/>
        <w:rPr>
          <w:rStyle w:val="Hyperlink"/>
          <w:rFonts w:ascii="Arial Narrow" w:hAnsi="Arial Narrow"/>
          <w:sz w:val="20"/>
          <w:szCs w:val="20"/>
        </w:rPr>
      </w:pPr>
      <w:r w:rsidRPr="00E3331A">
        <w:rPr>
          <w:rFonts w:ascii="Arial Narrow" w:hAnsi="Arial Narrow"/>
          <w:sz w:val="20"/>
          <w:szCs w:val="20"/>
        </w:rPr>
        <w:t xml:space="preserve">Source: </w:t>
      </w:r>
      <w:r w:rsidRPr="002A602E">
        <w:rPr>
          <w:rFonts w:ascii="Arial Narrow" w:hAnsi="Arial Narrow"/>
          <w:sz w:val="20"/>
          <w:szCs w:val="20"/>
        </w:rPr>
        <w:t>Therapeutic Goods Administration</w:t>
      </w:r>
      <w:r w:rsidRPr="00E3331A">
        <w:rPr>
          <w:rFonts w:ascii="Arial Narrow" w:hAnsi="Arial Narrow"/>
          <w:sz w:val="20"/>
          <w:szCs w:val="20"/>
        </w:rPr>
        <w:t xml:space="preserve">, accessed </w:t>
      </w:r>
      <w:r w:rsidR="007A5DFB" w:rsidRPr="00E3331A">
        <w:rPr>
          <w:rFonts w:ascii="Arial Narrow" w:hAnsi="Arial Narrow"/>
          <w:sz w:val="20"/>
          <w:szCs w:val="20"/>
        </w:rPr>
        <w:t>13</w:t>
      </w:r>
      <w:r w:rsidR="007A5DFB" w:rsidRPr="00E3331A">
        <w:rPr>
          <w:rFonts w:ascii="Arial Narrow" w:hAnsi="Arial Narrow"/>
          <w:sz w:val="20"/>
          <w:szCs w:val="20"/>
          <w:vertAlign w:val="superscript"/>
        </w:rPr>
        <w:t>th</w:t>
      </w:r>
      <w:r w:rsidR="007A5DFB" w:rsidRPr="00E3331A">
        <w:rPr>
          <w:rFonts w:ascii="Arial Narrow" w:hAnsi="Arial Narrow"/>
          <w:sz w:val="20"/>
          <w:szCs w:val="20"/>
        </w:rPr>
        <w:t xml:space="preserve"> February 2019</w:t>
      </w:r>
      <w:r w:rsidR="00AD557D" w:rsidRPr="00E3331A">
        <w:rPr>
          <w:rFonts w:ascii="Arial Narrow" w:hAnsi="Arial Narrow"/>
          <w:sz w:val="20"/>
          <w:szCs w:val="20"/>
        </w:rPr>
        <w:t>.</w:t>
      </w:r>
    </w:p>
    <w:p w:rsidR="007D2548" w:rsidRPr="00E3331A" w:rsidRDefault="00692C1C" w:rsidP="00381F36">
      <w:pPr>
        <w:spacing w:after="0"/>
        <w:jc w:val="both"/>
        <w:rPr>
          <w:rFonts w:ascii="Arial Narrow" w:hAnsi="Arial Narrow"/>
          <w:sz w:val="20"/>
          <w:szCs w:val="20"/>
        </w:rPr>
      </w:pPr>
      <w:r w:rsidRPr="00E3331A">
        <w:rPr>
          <w:rFonts w:ascii="Arial Narrow" w:hAnsi="Arial Narrow"/>
          <w:sz w:val="20"/>
          <w:szCs w:val="20"/>
        </w:rPr>
        <w:t>CIDP: chronic inflammatory demyelinating polyneuropathy</w:t>
      </w:r>
      <w:r w:rsidR="00E653F4" w:rsidRPr="00E3331A">
        <w:rPr>
          <w:rFonts w:ascii="Arial Narrow" w:hAnsi="Arial Narrow"/>
          <w:sz w:val="20"/>
          <w:szCs w:val="20"/>
        </w:rPr>
        <w:t>,</w:t>
      </w:r>
      <w:r w:rsidRPr="00E3331A">
        <w:rPr>
          <w:rFonts w:ascii="Arial Narrow" w:hAnsi="Arial Narrow"/>
          <w:sz w:val="20"/>
          <w:szCs w:val="20"/>
        </w:rPr>
        <w:t xml:space="preserve"> </w:t>
      </w:r>
      <w:r w:rsidR="007A5DFB" w:rsidRPr="00E3331A">
        <w:rPr>
          <w:rFonts w:ascii="Arial Narrow" w:hAnsi="Arial Narrow"/>
          <w:sz w:val="20"/>
          <w:szCs w:val="20"/>
        </w:rPr>
        <w:t>Ig: Immunoglobulin</w:t>
      </w:r>
      <w:r w:rsidR="00540056" w:rsidRPr="00E3331A">
        <w:rPr>
          <w:rFonts w:ascii="Arial Narrow" w:hAnsi="Arial Narrow"/>
          <w:sz w:val="20"/>
          <w:szCs w:val="20"/>
        </w:rPr>
        <w:t>, USA: United States of America</w:t>
      </w:r>
    </w:p>
    <w:p w:rsidR="00805D90" w:rsidRPr="00E3331A" w:rsidRDefault="00805D90" w:rsidP="00381F36">
      <w:pPr>
        <w:spacing w:after="0"/>
        <w:jc w:val="both"/>
        <w:rPr>
          <w:rFonts w:ascii="Arial Narrow" w:hAnsi="Arial Narrow"/>
          <w:sz w:val="20"/>
          <w:szCs w:val="20"/>
        </w:rPr>
      </w:pPr>
      <w:r w:rsidRPr="00E3331A">
        <w:rPr>
          <w:rFonts w:ascii="Arial Narrow" w:hAnsi="Arial Narrow"/>
          <w:sz w:val="20"/>
          <w:szCs w:val="20"/>
        </w:rPr>
        <w:t>*Note: whil</w:t>
      </w:r>
      <w:r w:rsidR="00591599" w:rsidRPr="00E3331A">
        <w:rPr>
          <w:rFonts w:ascii="Arial Narrow" w:hAnsi="Arial Narrow"/>
          <w:sz w:val="20"/>
          <w:szCs w:val="20"/>
        </w:rPr>
        <w:t>e</w:t>
      </w:r>
      <w:r w:rsidRPr="00E3331A">
        <w:rPr>
          <w:rFonts w:ascii="Arial Narrow" w:hAnsi="Arial Narrow"/>
          <w:sz w:val="20"/>
          <w:szCs w:val="20"/>
        </w:rPr>
        <w:t xml:space="preserve"> the </w:t>
      </w:r>
      <w:r w:rsidR="00662AB0" w:rsidRPr="00E3331A">
        <w:rPr>
          <w:rFonts w:ascii="Arial Narrow" w:hAnsi="Arial Narrow"/>
          <w:sz w:val="20"/>
          <w:szCs w:val="20"/>
        </w:rPr>
        <w:t xml:space="preserve">product </w:t>
      </w:r>
      <w:r w:rsidRPr="00E3331A">
        <w:rPr>
          <w:rFonts w:ascii="Arial Narrow" w:hAnsi="Arial Narrow"/>
          <w:sz w:val="20"/>
          <w:szCs w:val="20"/>
        </w:rPr>
        <w:t xml:space="preserve">summary for GAMUNEX states </w:t>
      </w:r>
      <w:r w:rsidR="00662AB0" w:rsidRPr="00E3331A">
        <w:rPr>
          <w:rFonts w:ascii="Arial Narrow" w:hAnsi="Arial Narrow"/>
          <w:sz w:val="20"/>
          <w:szCs w:val="20"/>
        </w:rPr>
        <w:t>“</w:t>
      </w:r>
      <w:r w:rsidRPr="00E3331A">
        <w:rPr>
          <w:rFonts w:ascii="Arial Narrow" w:hAnsi="Arial Narrow"/>
          <w:sz w:val="20"/>
          <w:szCs w:val="20"/>
        </w:rPr>
        <w:t>normal immunoglobin intravenous solution vial</w:t>
      </w:r>
      <w:r w:rsidR="00662AB0" w:rsidRPr="00E3331A">
        <w:rPr>
          <w:rFonts w:ascii="Arial Narrow" w:hAnsi="Arial Narrow"/>
          <w:sz w:val="20"/>
          <w:szCs w:val="20"/>
        </w:rPr>
        <w:t>”,</w:t>
      </w:r>
      <w:r w:rsidRPr="00E3331A">
        <w:rPr>
          <w:rFonts w:ascii="Arial Narrow" w:hAnsi="Arial Narrow"/>
          <w:sz w:val="20"/>
          <w:szCs w:val="20"/>
        </w:rPr>
        <w:t xml:space="preserve"> the route of administration states both intravenous and subcutaneous</w:t>
      </w:r>
    </w:p>
    <w:p w:rsidR="00483A86" w:rsidRPr="00E3331A" w:rsidRDefault="0005232D" w:rsidP="00DF343F">
      <w:pPr>
        <w:pStyle w:val="Heading3"/>
        <w:jc w:val="both"/>
      </w:pPr>
      <w:bookmarkStart w:id="114" w:name="_Toc395200761"/>
      <w:bookmarkStart w:id="115" w:name="_Toc24103434"/>
      <w:r w:rsidRPr="00E3331A">
        <w:t xml:space="preserve">Other </w:t>
      </w:r>
      <w:r w:rsidR="00483A86" w:rsidRPr="00E3331A">
        <w:t>Indications</w:t>
      </w:r>
      <w:bookmarkEnd w:id="106"/>
      <w:bookmarkEnd w:id="110"/>
      <w:bookmarkEnd w:id="114"/>
      <w:bookmarkEnd w:id="115"/>
    </w:p>
    <w:p w:rsidR="00692C1C" w:rsidRPr="00E3331A" w:rsidRDefault="00E653F4" w:rsidP="00341FF3">
      <w:pPr>
        <w:rPr>
          <w:rFonts w:cs="Arial"/>
          <w:color w:val="333333"/>
        </w:rPr>
      </w:pPr>
      <w:bookmarkStart w:id="116" w:name="_Toc379118071"/>
      <w:bookmarkStart w:id="117" w:name="_Toc381796449"/>
      <w:bookmarkStart w:id="118" w:name="_Toc395200762"/>
      <w:r w:rsidRPr="00E3331A">
        <w:t>Besides</w:t>
      </w:r>
      <w:r w:rsidR="00A1198B" w:rsidRPr="00E3331A">
        <w:t xml:space="preserve"> CIDP, </w:t>
      </w:r>
      <w:r w:rsidR="00071EAB" w:rsidRPr="00E3331A">
        <w:t>Ig</w:t>
      </w:r>
      <w:r w:rsidR="00692C1C" w:rsidRPr="00E3331A">
        <w:t xml:space="preserve"> are used for </w:t>
      </w:r>
      <w:r w:rsidR="00110DE9" w:rsidRPr="00E3331A">
        <w:t>numerous</w:t>
      </w:r>
      <w:r w:rsidR="00692C1C" w:rsidRPr="00E3331A">
        <w:t xml:space="preserve"> other </w:t>
      </w:r>
      <w:r w:rsidR="00071EAB" w:rsidRPr="00E3331A">
        <w:t xml:space="preserve">medical </w:t>
      </w:r>
      <w:r w:rsidR="00110DE9" w:rsidRPr="00E3331A">
        <w:t>indications</w:t>
      </w:r>
      <w:r w:rsidR="00692C1C" w:rsidRPr="00E3331A">
        <w:t xml:space="preserve"> in Australi</w:t>
      </w:r>
      <w:r w:rsidR="00833C42" w:rsidRPr="00E3331A">
        <w:t>a</w:t>
      </w:r>
      <w:r w:rsidR="005D79C4" w:rsidRPr="00E3331A">
        <w:rPr>
          <w:i/>
        </w:rPr>
        <w:t xml:space="preserve"> </w:t>
      </w:r>
      <w:r w:rsidR="00B85C75">
        <w:rPr>
          <w:noProof/>
        </w:rPr>
        <w:t>(NBA 2018)</w:t>
      </w:r>
      <w:r w:rsidR="005D79C4" w:rsidRPr="00E3331A">
        <w:t>.</w:t>
      </w:r>
      <w:r w:rsidR="00110DE9" w:rsidRPr="00E3331A">
        <w:rPr>
          <w:rFonts w:cs="Arial"/>
          <w:color w:val="333333"/>
        </w:rPr>
        <w:t xml:space="preserve"> A report by the </w:t>
      </w:r>
      <w:r w:rsidR="00EE2429" w:rsidRPr="00E3331A">
        <w:rPr>
          <w:rFonts w:cs="Arial"/>
          <w:color w:val="333333"/>
        </w:rPr>
        <w:t>NBA</w:t>
      </w:r>
      <w:r w:rsidR="00110DE9" w:rsidRPr="00E3331A">
        <w:rPr>
          <w:rFonts w:cs="Arial"/>
          <w:color w:val="333333"/>
        </w:rPr>
        <w:t xml:space="preserve"> </w:t>
      </w:r>
      <w:r w:rsidR="001A6C1A" w:rsidRPr="00E3331A">
        <w:rPr>
          <w:rFonts w:cs="Arial"/>
          <w:color w:val="333333"/>
        </w:rPr>
        <w:t>review</w:t>
      </w:r>
      <w:r w:rsidR="006140BF" w:rsidRPr="00E3331A">
        <w:rPr>
          <w:rFonts w:cs="Arial"/>
          <w:color w:val="333333"/>
        </w:rPr>
        <w:t>ing</w:t>
      </w:r>
      <w:r w:rsidR="00A1198B" w:rsidRPr="00E3331A">
        <w:rPr>
          <w:rFonts w:cs="Arial"/>
          <w:color w:val="333333"/>
        </w:rPr>
        <w:t xml:space="preserve"> the</w:t>
      </w:r>
      <w:r w:rsidR="001A6C1A" w:rsidRPr="00E3331A">
        <w:rPr>
          <w:rFonts w:cs="Arial"/>
          <w:color w:val="333333"/>
        </w:rPr>
        <w:t xml:space="preserve"> use of Ig </w:t>
      </w:r>
      <w:r w:rsidR="00481ABA" w:rsidRPr="00E3331A">
        <w:rPr>
          <w:rFonts w:cs="Arial"/>
          <w:color w:val="333333"/>
        </w:rPr>
        <w:t xml:space="preserve">from </w:t>
      </w:r>
      <w:r w:rsidR="001A6C1A" w:rsidRPr="00E3331A">
        <w:rPr>
          <w:rFonts w:cs="Arial"/>
          <w:color w:val="333333"/>
        </w:rPr>
        <w:t>2008</w:t>
      </w:r>
      <w:r w:rsidR="00481ABA" w:rsidRPr="00E3331A">
        <w:rPr>
          <w:rFonts w:cs="Arial"/>
          <w:color w:val="333333"/>
        </w:rPr>
        <w:t>/</w:t>
      </w:r>
      <w:r w:rsidR="001A6C1A" w:rsidRPr="00E3331A">
        <w:rPr>
          <w:rFonts w:cs="Arial"/>
          <w:color w:val="333333"/>
        </w:rPr>
        <w:t xml:space="preserve">2009 </w:t>
      </w:r>
      <w:r w:rsidR="00481ABA" w:rsidRPr="00E3331A">
        <w:rPr>
          <w:rFonts w:cs="Arial"/>
          <w:color w:val="333333"/>
        </w:rPr>
        <w:t xml:space="preserve">to </w:t>
      </w:r>
      <w:r w:rsidR="001A6C1A" w:rsidRPr="00E3331A">
        <w:rPr>
          <w:rFonts w:cs="Arial"/>
          <w:color w:val="333333"/>
        </w:rPr>
        <w:t>2015</w:t>
      </w:r>
      <w:r w:rsidR="00481ABA" w:rsidRPr="00E3331A">
        <w:rPr>
          <w:rFonts w:cs="Arial"/>
          <w:color w:val="333333"/>
        </w:rPr>
        <w:t>/</w:t>
      </w:r>
      <w:r w:rsidR="001A6C1A" w:rsidRPr="00E3331A">
        <w:rPr>
          <w:rFonts w:cs="Arial"/>
          <w:color w:val="333333"/>
        </w:rPr>
        <w:t xml:space="preserve">2016 </w:t>
      </w:r>
      <w:r w:rsidR="00110DE9" w:rsidRPr="00E3331A">
        <w:rPr>
          <w:rFonts w:cs="Arial"/>
          <w:color w:val="333333"/>
        </w:rPr>
        <w:t xml:space="preserve">noted that </w:t>
      </w:r>
      <w:r w:rsidR="00654D27" w:rsidRPr="00E3331A">
        <w:rPr>
          <w:rFonts w:cs="Arial"/>
          <w:color w:val="333333"/>
        </w:rPr>
        <w:t xml:space="preserve">the conditions </w:t>
      </w:r>
      <w:r w:rsidR="00071EAB" w:rsidRPr="00E3331A">
        <w:rPr>
          <w:rFonts w:cs="Arial"/>
          <w:color w:val="333333"/>
        </w:rPr>
        <w:t xml:space="preserve">listed in </w:t>
      </w:r>
      <w:r w:rsidR="006F35B9" w:rsidRPr="00E3331A">
        <w:t xml:space="preserve">Table </w:t>
      </w:r>
      <w:r w:rsidR="006F35B9">
        <w:rPr>
          <w:noProof/>
        </w:rPr>
        <w:t>8</w:t>
      </w:r>
      <w:r w:rsidR="00071EAB" w:rsidRPr="00E3331A">
        <w:rPr>
          <w:rFonts w:cs="Arial"/>
          <w:color w:val="333333"/>
        </w:rPr>
        <w:t xml:space="preserve"> </w:t>
      </w:r>
      <w:r w:rsidR="00654D27" w:rsidRPr="00E3331A">
        <w:rPr>
          <w:rFonts w:cs="Arial"/>
          <w:color w:val="333333"/>
        </w:rPr>
        <w:t>accounted for 88.9</w:t>
      </w:r>
      <w:r w:rsidR="000A3B29" w:rsidRPr="00E3331A">
        <w:rPr>
          <w:rFonts w:cs="Arial"/>
          <w:color w:val="333333"/>
        </w:rPr>
        <w:t>%</w:t>
      </w:r>
      <w:r w:rsidR="00654D27" w:rsidRPr="00E3331A">
        <w:rPr>
          <w:rFonts w:cs="Arial"/>
          <w:color w:val="333333"/>
        </w:rPr>
        <w:t xml:space="preserve"> of all Ig supplied</w:t>
      </w:r>
      <w:r w:rsidR="000A3B29" w:rsidRPr="00E3331A">
        <w:rPr>
          <w:rFonts w:cs="Arial"/>
          <w:color w:val="333333"/>
        </w:rPr>
        <w:t>.</w:t>
      </w:r>
      <w:r w:rsidR="00654D27" w:rsidRPr="00E3331A">
        <w:rPr>
          <w:rFonts w:cs="Arial"/>
          <w:color w:val="333333"/>
        </w:rPr>
        <w:t xml:space="preserve"> </w:t>
      </w:r>
      <w:r w:rsidR="000A3B29" w:rsidRPr="00E3331A">
        <w:rPr>
          <w:rFonts w:cs="Arial"/>
          <w:color w:val="333333"/>
        </w:rPr>
        <w:t>T</w:t>
      </w:r>
      <w:r w:rsidR="00654D27" w:rsidRPr="00E3331A">
        <w:rPr>
          <w:rFonts w:cs="Arial"/>
          <w:color w:val="333333"/>
        </w:rPr>
        <w:t>he top ten conditions account</w:t>
      </w:r>
      <w:r w:rsidR="00E938F3" w:rsidRPr="00E3331A">
        <w:rPr>
          <w:rFonts w:cs="Arial"/>
          <w:color w:val="333333"/>
        </w:rPr>
        <w:t>ed</w:t>
      </w:r>
      <w:r w:rsidR="00654D27" w:rsidRPr="00E3331A">
        <w:rPr>
          <w:rFonts w:cs="Arial"/>
          <w:color w:val="333333"/>
        </w:rPr>
        <w:t xml:space="preserve"> for 75.1</w:t>
      </w:r>
      <w:r w:rsidR="00E938F3" w:rsidRPr="00E3331A">
        <w:rPr>
          <w:rFonts w:cs="Arial"/>
          <w:color w:val="333333"/>
        </w:rPr>
        <w:t>% and</w:t>
      </w:r>
      <w:r w:rsidR="00665A39" w:rsidRPr="00E3331A">
        <w:rPr>
          <w:rFonts w:cs="Arial"/>
          <w:color w:val="333333"/>
        </w:rPr>
        <w:t xml:space="preserve"> </w:t>
      </w:r>
      <w:r w:rsidR="00341FF3" w:rsidRPr="00E3331A">
        <w:rPr>
          <w:rFonts w:cs="Arial"/>
          <w:color w:val="333333"/>
        </w:rPr>
        <w:t>CID</w:t>
      </w:r>
      <w:r w:rsidR="00185C33" w:rsidRPr="00E3331A">
        <w:rPr>
          <w:rFonts w:cs="Arial"/>
          <w:color w:val="333333"/>
        </w:rPr>
        <w:t>P</w:t>
      </w:r>
      <w:r w:rsidR="00341FF3" w:rsidRPr="00E3331A">
        <w:rPr>
          <w:rFonts w:cs="Arial"/>
          <w:color w:val="333333"/>
        </w:rPr>
        <w:t xml:space="preserve"> accounted for the greatest use of Ig</w:t>
      </w:r>
      <w:r w:rsidR="00E938F3" w:rsidRPr="00E3331A">
        <w:rPr>
          <w:rFonts w:cs="Arial"/>
          <w:color w:val="333333"/>
        </w:rPr>
        <w:t xml:space="preserve"> </w:t>
      </w:r>
      <w:r w:rsidR="00B85C75">
        <w:rPr>
          <w:rFonts w:cs="Arial"/>
          <w:noProof/>
          <w:color w:val="333333"/>
        </w:rPr>
        <w:t>(NBA 2019b)</w:t>
      </w:r>
      <w:r w:rsidR="00E938F3" w:rsidRPr="00E3331A">
        <w:rPr>
          <w:rFonts w:cs="Arial"/>
          <w:color w:val="333333"/>
        </w:rPr>
        <w:t>.</w:t>
      </w:r>
    </w:p>
    <w:p w:rsidR="00665A39" w:rsidRPr="00E3331A" w:rsidRDefault="00665A39" w:rsidP="00665A39">
      <w:pPr>
        <w:pStyle w:val="Caption"/>
        <w:ind w:left="1134" w:hanging="1134"/>
        <w:rPr>
          <w:rFonts w:ascii="Open Sans" w:hAnsi="Open Sans" w:cs="Arial"/>
          <w:color w:val="333333"/>
          <w:sz w:val="21"/>
          <w:szCs w:val="21"/>
        </w:rPr>
      </w:pPr>
      <w:bookmarkStart w:id="119" w:name="_Ref959778"/>
      <w:bookmarkStart w:id="120" w:name="_Toc24103314"/>
      <w:r w:rsidRPr="00E3331A">
        <w:t xml:space="preserve">Table </w:t>
      </w:r>
      <w:r w:rsidR="006F35B9">
        <w:rPr>
          <w:noProof/>
        </w:rPr>
        <w:t>8</w:t>
      </w:r>
      <w:bookmarkEnd w:id="119"/>
      <w:r w:rsidRPr="00E3331A">
        <w:t xml:space="preserve"> </w:t>
      </w:r>
      <w:r w:rsidRPr="00E3331A">
        <w:tab/>
        <w:t xml:space="preserve">Top 20 </w:t>
      </w:r>
      <w:r w:rsidR="00341FF3" w:rsidRPr="00E3331A">
        <w:t>indications</w:t>
      </w:r>
      <w:r w:rsidRPr="00E3331A">
        <w:t xml:space="preserve"> </w:t>
      </w:r>
      <w:r w:rsidR="00A1198B" w:rsidRPr="00E3331A">
        <w:t>for Ig by level of</w:t>
      </w:r>
      <w:r w:rsidRPr="00E3331A">
        <w:t xml:space="preserve"> use in Australia based on a review of data 2008</w:t>
      </w:r>
      <w:r w:rsidR="002E54C6" w:rsidRPr="00E3331A">
        <w:t>/</w:t>
      </w:r>
      <w:r w:rsidRPr="00E3331A">
        <w:t xml:space="preserve">2009 </w:t>
      </w:r>
      <w:r w:rsidR="002E54C6" w:rsidRPr="00E3331A">
        <w:t xml:space="preserve">to </w:t>
      </w:r>
      <w:r w:rsidRPr="00E3331A">
        <w:t>2015</w:t>
      </w:r>
      <w:r w:rsidR="002E54C6" w:rsidRPr="00E3331A">
        <w:t>/</w:t>
      </w:r>
      <w:r w:rsidRPr="00E3331A">
        <w:t>2016 by the National Blood Authority</w:t>
      </w:r>
      <w:bookmarkEnd w:id="120"/>
    </w:p>
    <w:tbl>
      <w:tblPr>
        <w:tblW w:w="9688" w:type="dxa"/>
        <w:tblLayout w:type="fixed"/>
        <w:tblLook w:val="04A0" w:firstRow="1" w:lastRow="0" w:firstColumn="1" w:lastColumn="0" w:noHBand="0" w:noVBand="1"/>
      </w:tblPr>
      <w:tblGrid>
        <w:gridCol w:w="7741"/>
        <w:gridCol w:w="1947"/>
      </w:tblGrid>
      <w:tr w:rsidR="00665A39" w:rsidRPr="00E3331A" w:rsidTr="00A17162">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665A39">
            <w:pPr>
              <w:spacing w:before="40" w:after="40" w:line="240" w:lineRule="auto"/>
              <w:rPr>
                <w:rFonts w:ascii="Arial Narrow" w:eastAsia="Calibri" w:hAnsi="Arial Narrow" w:cs="Times New Roman"/>
                <w:b/>
                <w:color w:val="000000"/>
                <w:sz w:val="20"/>
                <w:szCs w:val="20"/>
                <w:lang w:eastAsia="en-US"/>
              </w:rPr>
            </w:pPr>
            <w:r w:rsidRPr="00E3331A">
              <w:rPr>
                <w:rFonts w:ascii="Arial Narrow" w:eastAsia="Calibri" w:hAnsi="Arial Narrow" w:cs="Times New Roman"/>
                <w:b/>
                <w:color w:val="000000"/>
                <w:sz w:val="20"/>
                <w:szCs w:val="20"/>
                <w:lang w:eastAsia="en-US"/>
              </w:rPr>
              <w:t>Top 20 conditions by use of Ig</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821534">
            <w:pPr>
              <w:spacing w:before="40" w:after="40" w:line="240" w:lineRule="auto"/>
              <w:rPr>
                <w:rFonts w:ascii="Arial Narrow" w:eastAsia="Calibri" w:hAnsi="Arial Narrow" w:cs="Times New Roman"/>
                <w:b/>
                <w:color w:val="000000"/>
                <w:sz w:val="20"/>
                <w:szCs w:val="20"/>
                <w:lang w:eastAsia="en-US"/>
              </w:rPr>
            </w:pPr>
            <w:r w:rsidRPr="00E3331A">
              <w:rPr>
                <w:rFonts w:ascii="Arial Narrow" w:eastAsia="Calibri" w:hAnsi="Arial Narrow" w:cs="Times New Roman"/>
                <w:b/>
                <w:color w:val="000000"/>
                <w:sz w:val="20"/>
                <w:szCs w:val="20"/>
                <w:lang w:eastAsia="en-US"/>
              </w:rPr>
              <w:t>% of total Ig use</w:t>
            </w:r>
          </w:p>
        </w:tc>
      </w:tr>
      <w:tr w:rsidR="00665A39" w:rsidRPr="00E3331A" w:rsidTr="00A17162">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665A39">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 xml:space="preserve">Chronic inflammatory demyelinating polyneuropathy </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821534">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22</w:t>
            </w:r>
          </w:p>
        </w:tc>
      </w:tr>
      <w:tr w:rsidR="00665A39" w:rsidRPr="00E3331A" w:rsidTr="00A17162">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665A39">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 xml:space="preserve">Common variable immunodeficiency disease </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821534">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12</w:t>
            </w:r>
          </w:p>
        </w:tc>
      </w:tr>
      <w:tr w:rsidR="00665A39" w:rsidRPr="00E3331A" w:rsidTr="00A17162">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665A39">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 xml:space="preserve">Myasthenia gravis </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821534">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8</w:t>
            </w:r>
          </w:p>
        </w:tc>
      </w:tr>
      <w:tr w:rsidR="00665A39" w:rsidRPr="00E3331A" w:rsidTr="00A17162">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665A39">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 xml:space="preserve">Chronic lymphocytic leukaemia </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821534">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7</w:t>
            </w:r>
          </w:p>
        </w:tc>
      </w:tr>
      <w:tr w:rsidR="00665A39" w:rsidRPr="00E3331A" w:rsidTr="00A17162">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665A39">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 xml:space="preserve">Non-Hodgkin lymphoma </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821534">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7</w:t>
            </w:r>
          </w:p>
        </w:tc>
      </w:tr>
      <w:tr w:rsidR="00665A39" w:rsidRPr="00E3331A" w:rsidTr="00A17162">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665A39">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 xml:space="preserve">Multifocal motor neuropathy </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821534">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6</w:t>
            </w:r>
          </w:p>
        </w:tc>
      </w:tr>
      <w:tr w:rsidR="00665A39" w:rsidRPr="00E3331A" w:rsidTr="00A17162">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A39" w:rsidRPr="00E3331A" w:rsidRDefault="00665A39" w:rsidP="00665A39">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Multiple myeloma</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A39" w:rsidRPr="00E3331A" w:rsidRDefault="00665A39" w:rsidP="00821534">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6</w:t>
            </w:r>
          </w:p>
        </w:tc>
      </w:tr>
      <w:tr w:rsidR="00665A39" w:rsidRPr="00E3331A" w:rsidTr="00A17162">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665A39">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 xml:space="preserve">Polymyositis </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821534">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3</w:t>
            </w:r>
          </w:p>
        </w:tc>
      </w:tr>
      <w:tr w:rsidR="00665A39" w:rsidRPr="00E3331A" w:rsidTr="00A17162">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665A39">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lastRenderedPageBreak/>
              <w:t xml:space="preserve">Secondary hypogammaglobulinaemia (excludes haem malignancies) </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821534">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3</w:t>
            </w:r>
          </w:p>
        </w:tc>
      </w:tr>
      <w:tr w:rsidR="00665A39" w:rsidRPr="00E3331A" w:rsidTr="00A17162">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665A39">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 xml:space="preserve">Guillain-Barré syndrome </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821534">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3</w:t>
            </w:r>
          </w:p>
        </w:tc>
      </w:tr>
      <w:tr w:rsidR="00665A39" w:rsidRPr="00E3331A" w:rsidTr="00A17162">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665A39">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 xml:space="preserve">Kidney transplantation post-transplant </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821534">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2</w:t>
            </w:r>
          </w:p>
        </w:tc>
      </w:tr>
      <w:tr w:rsidR="00665A39" w:rsidRPr="00E3331A" w:rsidTr="00A17162">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665A39">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 xml:space="preserve">Other relevant haematological malignancies </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821534">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2</w:t>
            </w:r>
          </w:p>
        </w:tc>
      </w:tr>
      <w:tr w:rsidR="00665A39" w:rsidRPr="00E3331A" w:rsidTr="00A17162">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665A39">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 xml:space="preserve">ITP refractory </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821534">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2</w:t>
            </w:r>
          </w:p>
        </w:tc>
      </w:tr>
      <w:tr w:rsidR="00665A39" w:rsidRPr="00E3331A" w:rsidTr="00A17162">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665A39">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 xml:space="preserve">Specific antibody deficiency </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821534">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1</w:t>
            </w:r>
          </w:p>
        </w:tc>
      </w:tr>
      <w:tr w:rsidR="00665A39" w:rsidRPr="00E3331A" w:rsidTr="00A17162">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665A39">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 xml:space="preserve">ITP in specific circumstances (surgery, corticosteroids contraindicated, chronic ITP) </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821534">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1</w:t>
            </w:r>
          </w:p>
        </w:tc>
      </w:tr>
      <w:tr w:rsidR="00665A39" w:rsidRPr="00E3331A" w:rsidTr="00A17162">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665A39">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 xml:space="preserve">Dermatomyositis </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821534">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1</w:t>
            </w:r>
          </w:p>
        </w:tc>
      </w:tr>
      <w:tr w:rsidR="00665A39" w:rsidRPr="00E3331A" w:rsidTr="00A17162">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665A39">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 xml:space="preserve">Inclusion body myositis </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821534">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1</w:t>
            </w:r>
          </w:p>
        </w:tc>
      </w:tr>
      <w:tr w:rsidR="00665A39" w:rsidRPr="00E3331A" w:rsidTr="00A17162">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665A39">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 xml:space="preserve">HSCT - post </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821534">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1</w:t>
            </w:r>
          </w:p>
        </w:tc>
      </w:tr>
      <w:tr w:rsidR="00665A39" w:rsidRPr="00E3331A" w:rsidTr="00A17162">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665A39">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 xml:space="preserve">ITP with life-threatening haemorrhage </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821534">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1</w:t>
            </w:r>
          </w:p>
        </w:tc>
      </w:tr>
      <w:tr w:rsidR="00665A39" w:rsidRPr="00E3331A" w:rsidTr="00A17162">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665A39">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X</w:t>
            </w:r>
            <w:r w:rsidR="00004731" w:rsidRPr="00E3331A">
              <w:rPr>
                <w:rFonts w:ascii="Arial Narrow" w:eastAsia="Calibri" w:hAnsi="Arial Narrow" w:cs="Times New Roman"/>
                <w:color w:val="000000"/>
                <w:sz w:val="20"/>
                <w:szCs w:val="20"/>
                <w:lang w:eastAsia="en-US"/>
              </w:rPr>
              <w:t>-</w:t>
            </w:r>
            <w:r w:rsidRPr="00E3331A">
              <w:rPr>
                <w:rFonts w:ascii="Arial Narrow" w:eastAsia="Calibri" w:hAnsi="Arial Narrow" w:cs="Times New Roman"/>
                <w:color w:val="000000"/>
                <w:sz w:val="20"/>
                <w:szCs w:val="20"/>
                <w:lang w:eastAsia="en-US"/>
              </w:rPr>
              <w:t xml:space="preserve">linked agammaglobulinaemia </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A39" w:rsidRPr="00E3331A" w:rsidRDefault="00665A39" w:rsidP="00821534">
            <w:pPr>
              <w:spacing w:before="40" w:after="40" w:line="240" w:lineRule="auto"/>
              <w:rPr>
                <w:rFonts w:ascii="Arial Narrow" w:eastAsia="Calibri" w:hAnsi="Arial Narrow" w:cs="Times New Roman"/>
                <w:color w:val="000000"/>
                <w:sz w:val="20"/>
                <w:szCs w:val="20"/>
                <w:lang w:eastAsia="en-US"/>
              </w:rPr>
            </w:pPr>
            <w:r w:rsidRPr="00E3331A">
              <w:rPr>
                <w:rFonts w:ascii="Arial Narrow" w:eastAsia="Calibri" w:hAnsi="Arial Narrow" w:cs="Times New Roman"/>
                <w:color w:val="000000"/>
                <w:sz w:val="20"/>
                <w:szCs w:val="20"/>
                <w:lang w:eastAsia="en-US"/>
              </w:rPr>
              <w:t>1</w:t>
            </w:r>
          </w:p>
        </w:tc>
      </w:tr>
    </w:tbl>
    <w:p w:rsidR="00152EFA" w:rsidRPr="00E3331A" w:rsidRDefault="00152EFA" w:rsidP="0037150F">
      <w:pPr>
        <w:pStyle w:val="Tablenotes0"/>
      </w:pPr>
      <w:r w:rsidRPr="00E3331A">
        <w:t xml:space="preserve">Source: </w:t>
      </w:r>
      <w:r w:rsidR="0037150F" w:rsidRPr="00E3331A">
        <w:t xml:space="preserve">National Blood Authority </w:t>
      </w:r>
      <w:r w:rsidR="00B85C75">
        <w:rPr>
          <w:noProof/>
        </w:rPr>
        <w:t>(NBA 2019b)</w:t>
      </w:r>
    </w:p>
    <w:p w:rsidR="00654D27" w:rsidRPr="00E3331A" w:rsidRDefault="00665A39" w:rsidP="0037150F">
      <w:pPr>
        <w:pStyle w:val="Tablenotes0"/>
      </w:pPr>
      <w:r w:rsidRPr="00E3331A">
        <w:t>HSCT: h</w:t>
      </w:r>
      <w:r w:rsidR="00417823">
        <w:t>aematopoietic</w:t>
      </w:r>
      <w:r w:rsidRPr="00E3331A">
        <w:t xml:space="preserve"> stem cell transplantation</w:t>
      </w:r>
      <w:r w:rsidR="00004731" w:rsidRPr="00E3331A">
        <w:t>,</w:t>
      </w:r>
      <w:r w:rsidRPr="00E3331A">
        <w:t xml:space="preserve"> ITP: </w:t>
      </w:r>
      <w:r w:rsidR="00821534" w:rsidRPr="00E3331A">
        <w:t>immune</w:t>
      </w:r>
      <w:r w:rsidRPr="00E3331A">
        <w:t xml:space="preserve"> thrombocytopenic purpura</w:t>
      </w:r>
    </w:p>
    <w:p w:rsidR="00341FF3" w:rsidRPr="00E3331A" w:rsidRDefault="00341FF3" w:rsidP="00692C1C">
      <w:r w:rsidRPr="00E3331A">
        <w:t xml:space="preserve">Other </w:t>
      </w:r>
      <w:r w:rsidR="006B2BE7" w:rsidRPr="00E3331A">
        <w:t>medical conditions</w:t>
      </w:r>
      <w:r w:rsidRPr="00E3331A">
        <w:t xml:space="preserve"> listed </w:t>
      </w:r>
      <w:r w:rsidR="006B2BE7" w:rsidRPr="00E3331A">
        <w:t>in</w:t>
      </w:r>
      <w:r w:rsidRPr="00E3331A">
        <w:t xml:space="preserve"> the </w:t>
      </w:r>
      <w:r w:rsidR="005E4F8B" w:rsidRPr="00E3331A">
        <w:t>Version 3 of</w:t>
      </w:r>
      <w:r w:rsidR="00E4406C" w:rsidRPr="00E3331A">
        <w:rPr>
          <w:i/>
        </w:rPr>
        <w:t xml:space="preserve"> ‘the Criteria’</w:t>
      </w:r>
      <w:r w:rsidRPr="00E3331A">
        <w:t xml:space="preserve"> </w:t>
      </w:r>
      <w:r w:rsidR="00004731" w:rsidRPr="00E3331A">
        <w:t xml:space="preserve">for </w:t>
      </w:r>
      <w:r w:rsidR="006B2BE7" w:rsidRPr="00E3331A">
        <w:t xml:space="preserve">which Ig are noted </w:t>
      </w:r>
      <w:r w:rsidRPr="00E3331A">
        <w:t>as having an ‘emerging therapeutic role’ include:</w:t>
      </w:r>
      <w:r w:rsidR="00B25DF2" w:rsidRPr="00E3331A">
        <w:t xml:space="preserve"> </w:t>
      </w:r>
      <w:r w:rsidR="00B53C87" w:rsidRPr="00E3331A">
        <w:t>a</w:t>
      </w:r>
      <w:r w:rsidR="00BC2BE8" w:rsidRPr="00E3331A">
        <w:t xml:space="preserve">utoimmune encephalitis mediated by antibodies targeting cell-surface antigens (AMAE), </w:t>
      </w:r>
      <w:r w:rsidR="00B53C87" w:rsidRPr="00E3331A">
        <w:t>b</w:t>
      </w:r>
      <w:r w:rsidR="00BC2BE8" w:rsidRPr="00E3331A">
        <w:t xml:space="preserve">ullous pemphigoid (BP), </w:t>
      </w:r>
      <w:r w:rsidR="00B53C87" w:rsidRPr="00E3331A">
        <w:t>c</w:t>
      </w:r>
      <w:r w:rsidR="00BC2BE8" w:rsidRPr="00E3331A">
        <w:t xml:space="preserve">icatricial pemphigoid (CP) or </w:t>
      </w:r>
      <w:r w:rsidR="00B53C87" w:rsidRPr="00E3331A">
        <w:t>m</w:t>
      </w:r>
      <w:r w:rsidR="00BC2BE8" w:rsidRPr="00E3331A">
        <w:t xml:space="preserve">ucous </w:t>
      </w:r>
      <w:r w:rsidR="00B53C87" w:rsidRPr="00E3331A">
        <w:t>m</w:t>
      </w:r>
      <w:r w:rsidR="00BC2BE8" w:rsidRPr="00E3331A">
        <w:t xml:space="preserve">embrane </w:t>
      </w:r>
      <w:r w:rsidR="00B53C87" w:rsidRPr="00E3331A">
        <w:t>p</w:t>
      </w:r>
      <w:r w:rsidR="00BC2BE8" w:rsidRPr="00E3331A">
        <w:t xml:space="preserve">emphigoid (MMP), </w:t>
      </w:r>
      <w:r w:rsidR="00B53C87" w:rsidRPr="00E3331A">
        <w:t>h</w:t>
      </w:r>
      <w:r w:rsidR="00BC2BE8" w:rsidRPr="00E3331A">
        <w:t xml:space="preserve">aemophagocytic lymphohistiocytosis, IgM paraproteinaemic demyelinating neuropathy, </w:t>
      </w:r>
      <w:r w:rsidR="00B53C87" w:rsidRPr="00E3331A">
        <w:t>i</w:t>
      </w:r>
      <w:r w:rsidR="00BC2BE8" w:rsidRPr="00E3331A">
        <w:t xml:space="preserve">mmune thrombocytopenic purpura (ITP) </w:t>
      </w:r>
      <w:r w:rsidR="00EE2429" w:rsidRPr="00E3331A">
        <w:t>(</w:t>
      </w:r>
      <w:r w:rsidR="00BC2BE8" w:rsidRPr="00E3331A">
        <w:t>in children 15 years and younger</w:t>
      </w:r>
      <w:r w:rsidR="00EE2429" w:rsidRPr="00E3331A">
        <w:t>)</w:t>
      </w:r>
      <w:r w:rsidR="00BC2BE8" w:rsidRPr="00E3331A">
        <w:t xml:space="preserve">, </w:t>
      </w:r>
      <w:r w:rsidR="0096243A" w:rsidRPr="00E3331A">
        <w:t>o</w:t>
      </w:r>
      <w:r w:rsidR="00BC2BE8" w:rsidRPr="00E3331A">
        <w:t xml:space="preserve">psoclonus-myoclonus ataxia (OMA), </w:t>
      </w:r>
      <w:r w:rsidR="0096243A" w:rsidRPr="00E3331A">
        <w:t>p</w:t>
      </w:r>
      <w:r w:rsidR="00BC2BE8" w:rsidRPr="00E3331A">
        <w:t xml:space="preserve">emphigus foliaceus (PF), </w:t>
      </w:r>
      <w:r w:rsidR="0096243A" w:rsidRPr="00E3331A">
        <w:t>p</w:t>
      </w:r>
      <w:r w:rsidR="00BC2BE8" w:rsidRPr="00E3331A">
        <w:t xml:space="preserve">emphigus vulgaris (PV), </w:t>
      </w:r>
      <w:r w:rsidR="0096243A" w:rsidRPr="00E3331A">
        <w:t>p</w:t>
      </w:r>
      <w:r w:rsidR="00BC2BE8" w:rsidRPr="00E3331A">
        <w:t xml:space="preserve">ost-transfusion purpura (PTP), </w:t>
      </w:r>
      <w:r w:rsidR="0096243A" w:rsidRPr="00E3331A">
        <w:t>s</w:t>
      </w:r>
      <w:r w:rsidR="00BC2BE8" w:rsidRPr="00E3331A">
        <w:t xml:space="preserve">econdary hypogammaglobulinaemia unrelated to </w:t>
      </w:r>
      <w:r w:rsidR="005541CA" w:rsidRPr="00E3331A">
        <w:t>h</w:t>
      </w:r>
      <w:r w:rsidR="00BC2BE8" w:rsidRPr="00E3331A">
        <w:t xml:space="preserve">aematological malignancy or haemopoeitic stem cell transplant (HSCT), </w:t>
      </w:r>
      <w:r w:rsidR="00561421" w:rsidRPr="00E3331A">
        <w:t>s</w:t>
      </w:r>
      <w:r w:rsidR="00BC2BE8" w:rsidRPr="00E3331A">
        <w:t xml:space="preserve">olid organ transplantation, </w:t>
      </w:r>
      <w:r w:rsidR="00561421" w:rsidRPr="00E3331A">
        <w:t>s</w:t>
      </w:r>
      <w:r w:rsidR="00BC2BE8" w:rsidRPr="00E3331A">
        <w:t>pecific antibody deficiency,</w:t>
      </w:r>
      <w:r w:rsidR="000D4A40" w:rsidRPr="00E3331A">
        <w:t xml:space="preserve"> </w:t>
      </w:r>
      <w:r w:rsidR="00561421" w:rsidRPr="00E3331A">
        <w:t>and t</w:t>
      </w:r>
      <w:r w:rsidR="00BC2BE8" w:rsidRPr="00E3331A">
        <w:t>oxic shock syndrome (TSS)</w:t>
      </w:r>
      <w:r w:rsidR="00561421" w:rsidRPr="00E3331A">
        <w:t xml:space="preserve"> </w:t>
      </w:r>
      <w:r w:rsidR="00B85C75">
        <w:rPr>
          <w:noProof/>
        </w:rPr>
        <w:t>(NBA 2018)</w:t>
      </w:r>
      <w:r w:rsidR="00561421" w:rsidRPr="00E3331A">
        <w:t>.</w:t>
      </w:r>
    </w:p>
    <w:p w:rsidR="007D2548" w:rsidRPr="00E3331A" w:rsidRDefault="007D2548" w:rsidP="007D2548">
      <w:pPr>
        <w:pStyle w:val="Heading3"/>
        <w:jc w:val="both"/>
      </w:pPr>
      <w:bookmarkStart w:id="121" w:name="_Toc24103435"/>
      <w:r w:rsidRPr="00E3331A">
        <w:t xml:space="preserve">Current </w:t>
      </w:r>
      <w:r w:rsidR="000F3B50" w:rsidRPr="00E3331A">
        <w:t xml:space="preserve">funding </w:t>
      </w:r>
      <w:r w:rsidRPr="00E3331A">
        <w:t>arrangements</w:t>
      </w:r>
      <w:bookmarkEnd w:id="116"/>
      <w:bookmarkEnd w:id="117"/>
      <w:bookmarkEnd w:id="118"/>
      <w:bookmarkEnd w:id="121"/>
    </w:p>
    <w:p w:rsidR="00831CB5" w:rsidRPr="00E3331A" w:rsidRDefault="00D275B6" w:rsidP="00831CB5">
      <w:pPr>
        <w:rPr>
          <w:rFonts w:cs="Arial"/>
          <w:color w:val="333333"/>
        </w:rPr>
      </w:pPr>
      <w:r w:rsidRPr="00E3331A">
        <w:t xml:space="preserve">The supply of blood products in Australia </w:t>
      </w:r>
      <w:r w:rsidR="00E6744B" w:rsidRPr="00E3331A">
        <w:t xml:space="preserve">falls </w:t>
      </w:r>
      <w:r w:rsidRPr="00E3331A">
        <w:t xml:space="preserve">under the control of the </w:t>
      </w:r>
      <w:r w:rsidR="00EE2429" w:rsidRPr="00E3331A">
        <w:t>NBA</w:t>
      </w:r>
      <w:r w:rsidRPr="00E3331A">
        <w:t xml:space="preserve">. </w:t>
      </w:r>
      <w:r w:rsidR="00831CB5" w:rsidRPr="00E3331A">
        <w:t xml:space="preserve">Public funding </w:t>
      </w:r>
      <w:r w:rsidR="00D606CB" w:rsidRPr="00E3331A">
        <w:t xml:space="preserve">for Ig use </w:t>
      </w:r>
      <w:r w:rsidR="00831CB5" w:rsidRPr="00E3331A">
        <w:t xml:space="preserve">is available for those patients </w:t>
      </w:r>
      <w:r w:rsidR="00D606CB" w:rsidRPr="00E3331A">
        <w:t>whose</w:t>
      </w:r>
      <w:r w:rsidR="00831CB5" w:rsidRPr="00E3331A">
        <w:t xml:space="preserve"> medical condition</w:t>
      </w:r>
      <w:r w:rsidR="00E6744B" w:rsidRPr="00E3331A">
        <w:t>s</w:t>
      </w:r>
      <w:r w:rsidR="00831CB5" w:rsidRPr="00E3331A">
        <w:t xml:space="preserve"> meet the</w:t>
      </w:r>
      <w:r w:rsidR="00EE2429" w:rsidRPr="00E3331A">
        <w:t xml:space="preserve"> requirements set out in </w:t>
      </w:r>
      <w:r w:rsidR="005E4F8B" w:rsidRPr="00E3331A">
        <w:t>Version 3 of</w:t>
      </w:r>
      <w:r w:rsidR="00E4406C" w:rsidRPr="00E3331A">
        <w:rPr>
          <w:i/>
        </w:rPr>
        <w:t xml:space="preserve"> ‘the Criteria’</w:t>
      </w:r>
      <w:r w:rsidR="00B85C75">
        <w:rPr>
          <w:rFonts w:cs="Arial"/>
          <w:noProof/>
          <w:color w:val="333333"/>
        </w:rPr>
        <w:t>(NBA 2018)</w:t>
      </w:r>
      <w:r w:rsidR="00FD4825" w:rsidRPr="00E3331A">
        <w:rPr>
          <w:rFonts w:cs="Arial"/>
          <w:color w:val="333333"/>
        </w:rPr>
        <w:t>.</w:t>
      </w:r>
      <w:r w:rsidR="006B2BE7" w:rsidRPr="00E3331A">
        <w:rPr>
          <w:rFonts w:cs="Arial"/>
          <w:color w:val="333333"/>
        </w:rPr>
        <w:t xml:space="preserve"> </w:t>
      </w:r>
      <w:r w:rsidR="00EE2429" w:rsidRPr="00E3331A">
        <w:rPr>
          <w:rFonts w:cs="Arial"/>
          <w:color w:val="333333"/>
        </w:rPr>
        <w:t>T</w:t>
      </w:r>
      <w:r w:rsidR="00831CB5" w:rsidRPr="00E3331A">
        <w:rPr>
          <w:rFonts w:cs="Arial"/>
          <w:color w:val="333333"/>
        </w:rPr>
        <w:t xml:space="preserve">he use of Ig for CIDP is </w:t>
      </w:r>
      <w:r w:rsidR="006B2BE7" w:rsidRPr="00E3331A">
        <w:rPr>
          <w:rFonts w:cs="Arial"/>
          <w:color w:val="333333"/>
        </w:rPr>
        <w:t>supported</w:t>
      </w:r>
      <w:r w:rsidR="00831CB5" w:rsidRPr="00E3331A">
        <w:rPr>
          <w:rFonts w:cs="Arial"/>
          <w:color w:val="333333"/>
        </w:rPr>
        <w:t xml:space="preserve"> for the following </w:t>
      </w:r>
      <w:r w:rsidR="00D606CB" w:rsidRPr="00E3331A">
        <w:rPr>
          <w:rFonts w:cs="Arial"/>
          <w:color w:val="333333"/>
        </w:rPr>
        <w:t xml:space="preserve">specific </w:t>
      </w:r>
      <w:r w:rsidR="00831CB5" w:rsidRPr="00E3331A">
        <w:rPr>
          <w:rFonts w:cs="Arial"/>
          <w:color w:val="333333"/>
        </w:rPr>
        <w:t xml:space="preserve">indications: </w:t>
      </w:r>
    </w:p>
    <w:p w:rsidR="00831CB5" w:rsidRPr="00E3331A" w:rsidRDefault="00831CB5" w:rsidP="001F5B33">
      <w:pPr>
        <w:pStyle w:val="ColorfulList-Accent11"/>
        <w:numPr>
          <w:ilvl w:val="0"/>
          <w:numId w:val="13"/>
        </w:numPr>
        <w:rPr>
          <w:rFonts w:cs="Arial"/>
          <w:color w:val="333333"/>
        </w:rPr>
      </w:pPr>
      <w:r w:rsidRPr="00E3331A">
        <w:rPr>
          <w:rFonts w:cs="Arial"/>
          <w:color w:val="333333"/>
        </w:rPr>
        <w:t xml:space="preserve">Treatment of </w:t>
      </w:r>
      <w:r w:rsidR="002D3966" w:rsidRPr="00E3331A">
        <w:rPr>
          <w:rFonts w:cs="Arial"/>
          <w:color w:val="333333"/>
        </w:rPr>
        <w:t>CIDP</w:t>
      </w:r>
      <w:r w:rsidRPr="00E3331A">
        <w:rPr>
          <w:rFonts w:cs="Arial"/>
          <w:color w:val="333333"/>
        </w:rPr>
        <w:t xml:space="preserve"> for patients in whom walking is compromised or there is significant disability</w:t>
      </w:r>
    </w:p>
    <w:p w:rsidR="00831CB5" w:rsidRPr="00E3331A" w:rsidRDefault="00831CB5" w:rsidP="001F5B33">
      <w:pPr>
        <w:pStyle w:val="ColorfulList-Accent11"/>
        <w:numPr>
          <w:ilvl w:val="0"/>
          <w:numId w:val="13"/>
        </w:numPr>
        <w:rPr>
          <w:rFonts w:cs="Arial"/>
          <w:color w:val="333333"/>
        </w:rPr>
      </w:pPr>
      <w:r w:rsidRPr="00E3331A">
        <w:rPr>
          <w:rFonts w:cs="Arial"/>
          <w:color w:val="333333"/>
        </w:rPr>
        <w:t xml:space="preserve">Relapse of </w:t>
      </w:r>
      <w:r w:rsidR="002D3966" w:rsidRPr="00E3331A">
        <w:rPr>
          <w:rFonts w:cs="Arial"/>
          <w:color w:val="333333"/>
        </w:rPr>
        <w:t>CIDP</w:t>
      </w:r>
      <w:r w:rsidRPr="00E3331A">
        <w:rPr>
          <w:rFonts w:cs="Arial"/>
          <w:color w:val="333333"/>
        </w:rPr>
        <w:t xml:space="preserve"> patients within six months of commencement of trial off Ig therapy</w:t>
      </w:r>
    </w:p>
    <w:p w:rsidR="007D2548" w:rsidRPr="00E3331A" w:rsidRDefault="00D606CB" w:rsidP="00D275B6">
      <w:r w:rsidRPr="00E3331A">
        <w:t xml:space="preserve">Ig for </w:t>
      </w:r>
      <w:r w:rsidR="00EE2429" w:rsidRPr="00E3331A">
        <w:t xml:space="preserve">the </w:t>
      </w:r>
      <w:r w:rsidRPr="00E3331A">
        <w:t>management of CIDP patients who meet these specific indications is wholly government funded with no direct cost to the patient (no co-payments). Costs are shared between the Federal and state/territory governments, cover</w:t>
      </w:r>
      <w:r w:rsidR="00947534" w:rsidRPr="00E3331A">
        <w:t>ing</w:t>
      </w:r>
      <w:r w:rsidRPr="00E3331A">
        <w:t xml:space="preserve"> 63</w:t>
      </w:r>
      <w:r w:rsidR="00947534" w:rsidRPr="00E3331A">
        <w:t>%</w:t>
      </w:r>
      <w:r w:rsidRPr="00E3331A">
        <w:t xml:space="preserve"> and 37</w:t>
      </w:r>
      <w:r w:rsidR="00947534" w:rsidRPr="00E3331A">
        <w:t>%</w:t>
      </w:r>
      <w:r w:rsidRPr="00E3331A">
        <w:t xml:space="preserve"> of the costs respectively</w:t>
      </w:r>
      <w:r w:rsidR="00417B08" w:rsidRPr="00E3331A">
        <w:t xml:space="preserve"> </w:t>
      </w:r>
      <w:r w:rsidR="00B85C75">
        <w:rPr>
          <w:noProof/>
        </w:rPr>
        <w:t>(NBA 2016b)</w:t>
      </w:r>
      <w:r w:rsidR="00417B08" w:rsidRPr="00E3331A">
        <w:t xml:space="preserve">. </w:t>
      </w:r>
      <w:r w:rsidR="00417B08" w:rsidRPr="00E3331A">
        <w:rPr>
          <w:rFonts w:cs="Arial"/>
          <w:color w:val="333333"/>
        </w:rPr>
        <w:t>M</w:t>
      </w:r>
      <w:r w:rsidR="000D4A40" w:rsidRPr="00E3331A">
        <w:rPr>
          <w:rFonts w:cs="Arial"/>
          <w:color w:val="333333"/>
        </w:rPr>
        <w:t>ore</w:t>
      </w:r>
      <w:r w:rsidRPr="00E3331A">
        <w:rPr>
          <w:rFonts w:cs="Arial"/>
          <w:color w:val="333333"/>
        </w:rPr>
        <w:t xml:space="preserve"> detailed</w:t>
      </w:r>
      <w:r w:rsidR="006B2BE7" w:rsidRPr="00E3331A">
        <w:rPr>
          <w:rFonts w:cs="Arial"/>
          <w:color w:val="333333"/>
        </w:rPr>
        <w:t xml:space="preserve"> qualifying criteria regarding </w:t>
      </w:r>
      <w:r w:rsidRPr="00E3331A">
        <w:rPr>
          <w:rFonts w:cs="Arial"/>
          <w:color w:val="333333"/>
        </w:rPr>
        <w:t>the</w:t>
      </w:r>
      <w:r w:rsidR="006B2BE7" w:rsidRPr="00E3331A">
        <w:rPr>
          <w:rFonts w:cs="Arial"/>
          <w:color w:val="333333"/>
        </w:rPr>
        <w:t xml:space="preserve"> indications </w:t>
      </w:r>
      <w:r w:rsidRPr="00E3331A">
        <w:rPr>
          <w:rFonts w:cs="Arial"/>
          <w:color w:val="333333"/>
        </w:rPr>
        <w:t xml:space="preserve">for CIDP </w:t>
      </w:r>
      <w:r w:rsidR="004140C9" w:rsidRPr="00E3331A">
        <w:rPr>
          <w:rFonts w:cs="Arial"/>
          <w:color w:val="333333"/>
        </w:rPr>
        <w:t>are available</w:t>
      </w:r>
      <w:r w:rsidRPr="00E3331A">
        <w:rPr>
          <w:rFonts w:cs="Arial"/>
          <w:color w:val="333333"/>
        </w:rPr>
        <w:t xml:space="preserve"> </w:t>
      </w:r>
      <w:r w:rsidR="00B85C75">
        <w:rPr>
          <w:rFonts w:cs="Arial"/>
          <w:noProof/>
          <w:color w:val="333333"/>
        </w:rPr>
        <w:t>(NBA 2018)</w:t>
      </w:r>
      <w:r w:rsidR="004140C9" w:rsidRPr="00E3331A">
        <w:rPr>
          <w:rFonts w:cs="Arial"/>
          <w:color w:val="333333"/>
        </w:rPr>
        <w:t>.</w:t>
      </w:r>
    </w:p>
    <w:p w:rsidR="00FC479D" w:rsidRPr="00E3331A" w:rsidRDefault="00FC479D" w:rsidP="00FC479D">
      <w:r w:rsidRPr="00E3331A">
        <w:t xml:space="preserve">NBA procurement of Ig is </w:t>
      </w:r>
      <w:r w:rsidR="00D13AE8" w:rsidRPr="00E3331A">
        <w:t xml:space="preserve">via </w:t>
      </w:r>
      <w:r w:rsidRPr="00E3331A">
        <w:t>competitive tendering and negotiati</w:t>
      </w:r>
      <w:r w:rsidR="00D13AE8" w:rsidRPr="00E3331A">
        <w:t>on</w:t>
      </w:r>
      <w:r w:rsidRPr="00E3331A">
        <w:t xml:space="preserve"> with suppliers. Blood products </w:t>
      </w:r>
      <w:r w:rsidR="00AC38F3" w:rsidRPr="00E3331A">
        <w:t xml:space="preserve">prices </w:t>
      </w:r>
      <w:r w:rsidRPr="00E3331A">
        <w:t>(including Ig) and the suppliers procured by the NBA are listed on the National Product Price List</w:t>
      </w:r>
      <w:r w:rsidR="00AC38F3" w:rsidRPr="00E3331A">
        <w:t xml:space="preserve"> </w:t>
      </w:r>
      <w:r w:rsidR="00B85C75">
        <w:rPr>
          <w:noProof/>
        </w:rPr>
        <w:t>(NBA 2019c)</w:t>
      </w:r>
      <w:r w:rsidR="00AC38F3" w:rsidRPr="00E3331A">
        <w:t>.</w:t>
      </w:r>
      <w:r w:rsidRPr="00E3331A">
        <w:t xml:space="preserve"> Only those Ig</w:t>
      </w:r>
      <w:r w:rsidR="00122847" w:rsidRPr="00E3331A">
        <w:t>s</w:t>
      </w:r>
      <w:r w:rsidRPr="00E3331A">
        <w:t xml:space="preserve"> listed on the National Product List are supplied free of charge to the </w:t>
      </w:r>
      <w:r w:rsidRPr="00E3331A">
        <w:lastRenderedPageBreak/>
        <w:t>patient. The suppliers and cost to the government of Ig products indicated for CIDP on the most recent National Product Price List (products at 1</w:t>
      </w:r>
      <w:r w:rsidR="00122847" w:rsidRPr="00E3331A">
        <w:t xml:space="preserve"> </w:t>
      </w:r>
      <w:r w:rsidRPr="00E3331A">
        <w:t xml:space="preserve">January 2019) are outlined in </w:t>
      </w:r>
      <w:r w:rsidR="006F35B9" w:rsidRPr="00E3331A" w:rsidDel="00A134DA">
        <w:t xml:space="preserve">Table </w:t>
      </w:r>
      <w:r w:rsidR="006F35B9">
        <w:rPr>
          <w:noProof/>
        </w:rPr>
        <w:t>9</w:t>
      </w:r>
      <w:r w:rsidRPr="00E3331A">
        <w:t xml:space="preserve">. </w:t>
      </w:r>
    </w:p>
    <w:p w:rsidR="00FC479D" w:rsidRPr="00E3331A" w:rsidDel="00A134DA" w:rsidRDefault="00FC479D" w:rsidP="00FC479D">
      <w:pPr>
        <w:pStyle w:val="Caption"/>
        <w:tabs>
          <w:tab w:val="left" w:pos="1134"/>
        </w:tabs>
        <w:ind w:left="1134" w:hanging="1134"/>
      </w:pPr>
      <w:bookmarkStart w:id="122" w:name="_Ref394849669"/>
      <w:bookmarkStart w:id="123" w:name="_Toc24103315"/>
      <w:r w:rsidRPr="00E3331A" w:rsidDel="00A134DA">
        <w:t xml:space="preserve">Table </w:t>
      </w:r>
      <w:r w:rsidR="006F35B9">
        <w:rPr>
          <w:noProof/>
        </w:rPr>
        <w:t>9</w:t>
      </w:r>
      <w:bookmarkEnd w:id="122"/>
      <w:r w:rsidRPr="00E3331A" w:rsidDel="00A134DA">
        <w:tab/>
      </w:r>
      <w:r w:rsidRPr="00E3331A">
        <w:t>Price and suppliers of Ig products on the National Product Price List for plasma and recombinant products and indicated for CIDP as at 1 January 2019</w:t>
      </w:r>
      <w:bookmarkEnd w:id="123"/>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1"/>
        <w:gridCol w:w="1734"/>
        <w:gridCol w:w="1854"/>
        <w:gridCol w:w="1610"/>
        <w:gridCol w:w="1619"/>
      </w:tblGrid>
      <w:tr w:rsidR="00FC479D" w:rsidRPr="00E3331A" w:rsidDel="00A134DA" w:rsidTr="00F119A2">
        <w:tc>
          <w:tcPr>
            <w:tcW w:w="2142" w:type="dxa"/>
          </w:tcPr>
          <w:p w:rsidR="00FC479D" w:rsidRPr="00E3331A" w:rsidDel="00A134DA" w:rsidRDefault="00FC479D" w:rsidP="00F119A2">
            <w:pPr>
              <w:pStyle w:val="Tabletext1"/>
              <w:rPr>
                <w:b/>
              </w:rPr>
            </w:pPr>
            <w:bookmarkStart w:id="124" w:name="_Hlk5277411"/>
            <w:r w:rsidRPr="00E3331A">
              <w:rPr>
                <w:b/>
              </w:rPr>
              <w:t>Product Type</w:t>
            </w:r>
          </w:p>
        </w:tc>
        <w:tc>
          <w:tcPr>
            <w:tcW w:w="1768" w:type="dxa"/>
          </w:tcPr>
          <w:p w:rsidR="00FC479D" w:rsidRPr="00E3331A" w:rsidDel="00A134DA" w:rsidRDefault="00FC479D" w:rsidP="00F119A2">
            <w:pPr>
              <w:pStyle w:val="Tabletext1"/>
              <w:rPr>
                <w:b/>
              </w:rPr>
            </w:pPr>
            <w:r w:rsidRPr="00E3331A">
              <w:rPr>
                <w:b/>
              </w:rPr>
              <w:t>Name</w:t>
            </w:r>
          </w:p>
        </w:tc>
        <w:tc>
          <w:tcPr>
            <w:tcW w:w="1894" w:type="dxa"/>
          </w:tcPr>
          <w:p w:rsidR="00FC479D" w:rsidRPr="00E3331A" w:rsidDel="00A134DA" w:rsidRDefault="00FC479D" w:rsidP="00F119A2">
            <w:pPr>
              <w:pStyle w:val="Tabletext1"/>
              <w:rPr>
                <w:b/>
              </w:rPr>
            </w:pPr>
            <w:r w:rsidRPr="00E3331A">
              <w:rPr>
                <w:b/>
              </w:rPr>
              <w:t>Presentation</w:t>
            </w:r>
          </w:p>
        </w:tc>
        <w:tc>
          <w:tcPr>
            <w:tcW w:w="1655" w:type="dxa"/>
          </w:tcPr>
          <w:p w:rsidR="00FC479D" w:rsidRPr="00E3331A" w:rsidDel="00A134DA" w:rsidRDefault="00FC479D" w:rsidP="00F119A2">
            <w:pPr>
              <w:pStyle w:val="Tabletext1"/>
              <w:rPr>
                <w:b/>
              </w:rPr>
            </w:pPr>
            <w:r w:rsidRPr="00E3331A">
              <w:rPr>
                <w:b/>
              </w:rPr>
              <w:t>Supplier</w:t>
            </w:r>
          </w:p>
        </w:tc>
        <w:tc>
          <w:tcPr>
            <w:tcW w:w="1655" w:type="dxa"/>
          </w:tcPr>
          <w:p w:rsidR="00FC479D" w:rsidRPr="00E3331A" w:rsidDel="00A134DA" w:rsidRDefault="00FC479D" w:rsidP="00F119A2">
            <w:pPr>
              <w:pStyle w:val="Tabletext1"/>
              <w:rPr>
                <w:b/>
              </w:rPr>
            </w:pPr>
            <w:r w:rsidRPr="00E3331A">
              <w:rPr>
                <w:b/>
              </w:rPr>
              <w:t>Price</w:t>
            </w:r>
          </w:p>
        </w:tc>
      </w:tr>
      <w:tr w:rsidR="00FC479D" w:rsidRPr="00E3331A" w:rsidDel="00A134DA" w:rsidTr="00F119A2">
        <w:tc>
          <w:tcPr>
            <w:tcW w:w="2142" w:type="dxa"/>
          </w:tcPr>
          <w:p w:rsidR="00FC479D" w:rsidRPr="00E3331A" w:rsidDel="00A134DA" w:rsidRDefault="00FC479D" w:rsidP="00F119A2">
            <w:pPr>
              <w:pStyle w:val="Tabletext1"/>
            </w:pPr>
            <w:r w:rsidRPr="00E3331A">
              <w:t>IVIg (plasma derived – domestic)</w:t>
            </w:r>
          </w:p>
        </w:tc>
        <w:tc>
          <w:tcPr>
            <w:tcW w:w="1768" w:type="dxa"/>
          </w:tcPr>
          <w:p w:rsidR="00FC479D" w:rsidRPr="00E3331A" w:rsidDel="00A134DA" w:rsidRDefault="00FC479D" w:rsidP="00F119A2">
            <w:pPr>
              <w:pStyle w:val="Tabletext1"/>
            </w:pPr>
            <w:r w:rsidRPr="00E3331A">
              <w:t>Intragam P</w:t>
            </w:r>
          </w:p>
        </w:tc>
        <w:tc>
          <w:tcPr>
            <w:tcW w:w="1894" w:type="dxa"/>
          </w:tcPr>
          <w:p w:rsidR="00FC479D" w:rsidRPr="00E3331A" w:rsidDel="00A134DA" w:rsidRDefault="00FC479D" w:rsidP="00F119A2">
            <w:pPr>
              <w:pStyle w:val="Tabletext1"/>
            </w:pPr>
            <w:r w:rsidRPr="00E3331A">
              <w:t>3g/50ml</w:t>
            </w:r>
          </w:p>
        </w:tc>
        <w:tc>
          <w:tcPr>
            <w:tcW w:w="1655" w:type="dxa"/>
          </w:tcPr>
          <w:p w:rsidR="00FC479D" w:rsidRPr="00E3331A" w:rsidDel="00A134DA" w:rsidRDefault="00FC479D" w:rsidP="00F119A2">
            <w:pPr>
              <w:pStyle w:val="Tabletext1"/>
            </w:pPr>
            <w:r w:rsidRPr="00E3331A">
              <w:t>CSL Behring</w:t>
            </w:r>
          </w:p>
        </w:tc>
        <w:tc>
          <w:tcPr>
            <w:tcW w:w="1655" w:type="dxa"/>
          </w:tcPr>
          <w:p w:rsidR="00FC479D" w:rsidRPr="00E3331A" w:rsidDel="00A134DA" w:rsidRDefault="00FC479D" w:rsidP="00F119A2">
            <w:pPr>
              <w:pStyle w:val="Tabletext1"/>
            </w:pPr>
            <w:r w:rsidRPr="00E3331A">
              <w:t>$175.48</w:t>
            </w:r>
          </w:p>
        </w:tc>
      </w:tr>
      <w:tr w:rsidR="00FC479D" w:rsidRPr="00E3331A" w:rsidDel="00A134DA" w:rsidTr="00F119A2">
        <w:tc>
          <w:tcPr>
            <w:tcW w:w="2142" w:type="dxa"/>
          </w:tcPr>
          <w:p w:rsidR="00FC479D" w:rsidRPr="00E3331A" w:rsidDel="00A134DA" w:rsidRDefault="00FC479D" w:rsidP="00F119A2">
            <w:pPr>
              <w:pStyle w:val="Tabletext1"/>
            </w:pPr>
            <w:r w:rsidRPr="00E3331A">
              <w:t>IVIg (plasma derived – domestic)</w:t>
            </w:r>
          </w:p>
        </w:tc>
        <w:tc>
          <w:tcPr>
            <w:tcW w:w="1768" w:type="dxa"/>
          </w:tcPr>
          <w:p w:rsidR="00FC479D" w:rsidRPr="00E3331A" w:rsidDel="00A134DA" w:rsidRDefault="00FC479D" w:rsidP="00F119A2">
            <w:pPr>
              <w:pStyle w:val="Tabletext1"/>
            </w:pPr>
            <w:r w:rsidRPr="00E3331A">
              <w:t>Intragam 10</w:t>
            </w:r>
          </w:p>
        </w:tc>
        <w:tc>
          <w:tcPr>
            <w:tcW w:w="1894" w:type="dxa"/>
          </w:tcPr>
          <w:p w:rsidR="00FC479D" w:rsidRPr="00E3331A" w:rsidRDefault="00FC479D" w:rsidP="00F119A2">
            <w:pPr>
              <w:pStyle w:val="Tabletext1"/>
            </w:pPr>
            <w:r w:rsidRPr="00E3331A">
              <w:t>2.5g/25ml</w:t>
            </w:r>
          </w:p>
          <w:p w:rsidR="00FC479D" w:rsidRPr="00E3331A" w:rsidRDefault="00FC479D" w:rsidP="00F119A2">
            <w:pPr>
              <w:pStyle w:val="Tabletext1"/>
            </w:pPr>
            <w:r w:rsidRPr="00E3331A">
              <w:t>10g/100ml</w:t>
            </w:r>
          </w:p>
          <w:p w:rsidR="00FC479D" w:rsidRPr="00E3331A" w:rsidDel="00A134DA" w:rsidRDefault="00FC479D" w:rsidP="00F119A2">
            <w:pPr>
              <w:pStyle w:val="Tabletext1"/>
            </w:pPr>
            <w:r w:rsidRPr="00E3331A">
              <w:t>20g/200ml</w:t>
            </w:r>
          </w:p>
        </w:tc>
        <w:tc>
          <w:tcPr>
            <w:tcW w:w="1655" w:type="dxa"/>
          </w:tcPr>
          <w:p w:rsidR="00FC479D" w:rsidRPr="00E3331A" w:rsidDel="00A134DA" w:rsidRDefault="00FC479D" w:rsidP="00F119A2">
            <w:pPr>
              <w:pStyle w:val="Tabletext1"/>
            </w:pPr>
            <w:r w:rsidRPr="00E3331A">
              <w:t>CSL Behring</w:t>
            </w:r>
          </w:p>
        </w:tc>
        <w:tc>
          <w:tcPr>
            <w:tcW w:w="1655" w:type="dxa"/>
          </w:tcPr>
          <w:p w:rsidR="00FC479D" w:rsidRPr="00E3331A" w:rsidRDefault="00FC479D" w:rsidP="00F119A2">
            <w:pPr>
              <w:pStyle w:val="Tabletext1"/>
            </w:pPr>
            <w:r w:rsidRPr="00E3331A">
              <w:t>$146.23</w:t>
            </w:r>
          </w:p>
          <w:p w:rsidR="00FC479D" w:rsidRPr="00E3331A" w:rsidRDefault="00FC479D" w:rsidP="00F119A2">
            <w:pPr>
              <w:pStyle w:val="Tabletext1"/>
            </w:pPr>
            <w:r w:rsidRPr="00E3331A">
              <w:t>$584.93</w:t>
            </w:r>
          </w:p>
          <w:p w:rsidR="00FC479D" w:rsidRPr="00E3331A" w:rsidDel="00A134DA" w:rsidRDefault="00FC479D" w:rsidP="00F119A2">
            <w:pPr>
              <w:pStyle w:val="Tabletext1"/>
            </w:pPr>
            <w:r w:rsidRPr="00E3331A">
              <w:t>$1,1169.86</w:t>
            </w:r>
          </w:p>
        </w:tc>
      </w:tr>
      <w:tr w:rsidR="00FC479D" w:rsidRPr="00E3331A" w:rsidDel="00A134DA" w:rsidTr="00F119A2">
        <w:tc>
          <w:tcPr>
            <w:tcW w:w="2142" w:type="dxa"/>
          </w:tcPr>
          <w:p w:rsidR="00FC479D" w:rsidRPr="00E3331A" w:rsidDel="00A134DA" w:rsidRDefault="00FC479D" w:rsidP="00F119A2">
            <w:pPr>
              <w:pStyle w:val="Tabletext1"/>
            </w:pPr>
            <w:r w:rsidRPr="00E3331A">
              <w:t>IVIg (plasma derived – imported)</w:t>
            </w:r>
          </w:p>
        </w:tc>
        <w:tc>
          <w:tcPr>
            <w:tcW w:w="1768" w:type="dxa"/>
          </w:tcPr>
          <w:p w:rsidR="00FC479D" w:rsidRPr="00E3331A" w:rsidDel="00A134DA" w:rsidRDefault="00FC479D" w:rsidP="00F119A2">
            <w:pPr>
              <w:pStyle w:val="Tabletext1"/>
            </w:pPr>
            <w:r w:rsidRPr="00E3331A">
              <w:t>Privigen</w:t>
            </w:r>
          </w:p>
        </w:tc>
        <w:tc>
          <w:tcPr>
            <w:tcW w:w="1894" w:type="dxa"/>
          </w:tcPr>
          <w:p w:rsidR="00FC479D" w:rsidRPr="00E3331A" w:rsidRDefault="00FC479D" w:rsidP="00F119A2">
            <w:pPr>
              <w:pStyle w:val="Tabletext1"/>
            </w:pPr>
            <w:r w:rsidRPr="00E3331A">
              <w:t>5g/50ml</w:t>
            </w:r>
          </w:p>
          <w:p w:rsidR="00FC479D" w:rsidRPr="00E3331A" w:rsidRDefault="00FC479D" w:rsidP="00F119A2">
            <w:pPr>
              <w:pStyle w:val="Tabletext1"/>
            </w:pPr>
            <w:r w:rsidRPr="00E3331A">
              <w:t>10g/100ml</w:t>
            </w:r>
          </w:p>
          <w:p w:rsidR="00FC479D" w:rsidRPr="00E3331A" w:rsidRDefault="00FC479D" w:rsidP="00F119A2">
            <w:pPr>
              <w:pStyle w:val="Tabletext1"/>
            </w:pPr>
            <w:r w:rsidRPr="00E3331A">
              <w:t>20g/200ml</w:t>
            </w:r>
          </w:p>
          <w:p w:rsidR="00FC479D" w:rsidRPr="00E3331A" w:rsidDel="00A134DA" w:rsidRDefault="00FC479D" w:rsidP="00F119A2">
            <w:pPr>
              <w:pStyle w:val="Tabletext1"/>
            </w:pPr>
            <w:r w:rsidRPr="00E3331A">
              <w:t>40g/400ml</w:t>
            </w:r>
          </w:p>
        </w:tc>
        <w:tc>
          <w:tcPr>
            <w:tcW w:w="1655" w:type="dxa"/>
          </w:tcPr>
          <w:p w:rsidR="00FC479D" w:rsidRPr="00E3331A" w:rsidDel="00A134DA" w:rsidRDefault="00FC479D" w:rsidP="00F119A2">
            <w:pPr>
              <w:pStyle w:val="Tabletext1"/>
            </w:pPr>
            <w:r w:rsidRPr="00E3331A">
              <w:t>CSL Behring</w:t>
            </w:r>
          </w:p>
        </w:tc>
        <w:tc>
          <w:tcPr>
            <w:tcW w:w="1655" w:type="dxa"/>
          </w:tcPr>
          <w:p w:rsidR="00FC479D" w:rsidRPr="00E3331A" w:rsidRDefault="00FC479D" w:rsidP="00F119A2">
            <w:pPr>
              <w:pStyle w:val="Tabletext1"/>
            </w:pPr>
            <w:r w:rsidRPr="00E3331A">
              <w:t>$225.00</w:t>
            </w:r>
          </w:p>
          <w:p w:rsidR="00FC479D" w:rsidRPr="00E3331A" w:rsidRDefault="00FC479D" w:rsidP="00F119A2">
            <w:pPr>
              <w:pStyle w:val="Tabletext1"/>
            </w:pPr>
            <w:r w:rsidRPr="00E3331A">
              <w:t>$450.00</w:t>
            </w:r>
          </w:p>
          <w:p w:rsidR="00FC479D" w:rsidRPr="00E3331A" w:rsidRDefault="00FC479D" w:rsidP="00F119A2">
            <w:pPr>
              <w:pStyle w:val="Tabletext1"/>
            </w:pPr>
            <w:r w:rsidRPr="00E3331A">
              <w:t>$900.00</w:t>
            </w:r>
          </w:p>
          <w:p w:rsidR="00FC479D" w:rsidRPr="00E3331A" w:rsidDel="00A134DA" w:rsidRDefault="00FC479D" w:rsidP="00F119A2">
            <w:pPr>
              <w:pStyle w:val="Tabletext1"/>
            </w:pPr>
            <w:r w:rsidRPr="00E3331A">
              <w:t>$1,800.00</w:t>
            </w:r>
          </w:p>
        </w:tc>
      </w:tr>
      <w:tr w:rsidR="00FC479D" w:rsidRPr="00E3331A" w:rsidDel="00A134DA" w:rsidTr="00F119A2">
        <w:tc>
          <w:tcPr>
            <w:tcW w:w="2142" w:type="dxa"/>
          </w:tcPr>
          <w:p w:rsidR="00FC479D" w:rsidRPr="00E3331A" w:rsidDel="00A134DA" w:rsidRDefault="00FC479D" w:rsidP="00F119A2">
            <w:pPr>
              <w:pStyle w:val="Tabletext1"/>
            </w:pPr>
            <w:r w:rsidRPr="00E3331A">
              <w:t>IVIg (plasma derived – imported)</w:t>
            </w:r>
          </w:p>
        </w:tc>
        <w:tc>
          <w:tcPr>
            <w:tcW w:w="1768" w:type="dxa"/>
          </w:tcPr>
          <w:p w:rsidR="00FC479D" w:rsidRPr="00E3331A" w:rsidDel="00A134DA" w:rsidRDefault="00FC479D" w:rsidP="00F119A2">
            <w:pPr>
              <w:pStyle w:val="Tabletext1"/>
            </w:pPr>
            <w:r w:rsidRPr="00E3331A">
              <w:t>Flebogamma 5%</w:t>
            </w:r>
          </w:p>
        </w:tc>
        <w:tc>
          <w:tcPr>
            <w:tcW w:w="1894" w:type="dxa"/>
          </w:tcPr>
          <w:p w:rsidR="00FC479D" w:rsidRPr="00E3331A" w:rsidRDefault="00FC479D" w:rsidP="00F119A2">
            <w:pPr>
              <w:pStyle w:val="Tabletext1"/>
            </w:pPr>
            <w:r w:rsidRPr="00E3331A">
              <w:t>0.5g/10ml</w:t>
            </w:r>
          </w:p>
          <w:p w:rsidR="00FC479D" w:rsidRPr="00E3331A" w:rsidRDefault="00FC479D" w:rsidP="00F119A2">
            <w:pPr>
              <w:pStyle w:val="Tabletext1"/>
            </w:pPr>
            <w:r w:rsidRPr="00E3331A">
              <w:t>2.5g/50ml</w:t>
            </w:r>
          </w:p>
          <w:p w:rsidR="00FC479D" w:rsidRPr="00E3331A" w:rsidRDefault="00FC479D" w:rsidP="00F119A2">
            <w:pPr>
              <w:pStyle w:val="Tabletext1"/>
            </w:pPr>
            <w:r w:rsidRPr="00E3331A">
              <w:t>5g/100ml</w:t>
            </w:r>
          </w:p>
          <w:p w:rsidR="00FC479D" w:rsidRPr="00E3331A" w:rsidRDefault="00FC479D" w:rsidP="00F119A2">
            <w:pPr>
              <w:pStyle w:val="Tabletext1"/>
            </w:pPr>
            <w:r w:rsidRPr="00E3331A">
              <w:t>10g/200ml</w:t>
            </w:r>
          </w:p>
          <w:p w:rsidR="00FC479D" w:rsidRPr="00E3331A" w:rsidRDefault="00FC479D" w:rsidP="00F119A2">
            <w:pPr>
              <w:pStyle w:val="Tabletext1"/>
            </w:pPr>
            <w:r w:rsidRPr="00E3331A">
              <w:t>20g/400ml</w:t>
            </w:r>
          </w:p>
          <w:p w:rsidR="00FC479D" w:rsidRPr="00E3331A" w:rsidRDefault="00FC479D" w:rsidP="00F119A2">
            <w:pPr>
              <w:pStyle w:val="Tabletext1"/>
            </w:pPr>
            <w:r w:rsidRPr="00E3331A">
              <w:t>5g/50ml</w:t>
            </w:r>
          </w:p>
          <w:p w:rsidR="00FC479D" w:rsidRPr="00E3331A" w:rsidRDefault="00FC479D" w:rsidP="00F119A2">
            <w:pPr>
              <w:pStyle w:val="Tabletext1"/>
            </w:pPr>
            <w:r w:rsidRPr="00E3331A">
              <w:t>10g/100ml</w:t>
            </w:r>
          </w:p>
          <w:p w:rsidR="00FC479D" w:rsidRPr="00E3331A" w:rsidDel="00A134DA" w:rsidRDefault="00FC479D" w:rsidP="00F119A2">
            <w:pPr>
              <w:pStyle w:val="Tabletext1"/>
            </w:pPr>
            <w:r w:rsidRPr="00E3331A">
              <w:t>20g/200ml</w:t>
            </w:r>
          </w:p>
        </w:tc>
        <w:tc>
          <w:tcPr>
            <w:tcW w:w="1655" w:type="dxa"/>
          </w:tcPr>
          <w:p w:rsidR="00FC479D" w:rsidRPr="00E3331A" w:rsidDel="00A134DA" w:rsidRDefault="00FC479D" w:rsidP="00F119A2">
            <w:pPr>
              <w:pStyle w:val="Tabletext1"/>
            </w:pPr>
            <w:r w:rsidRPr="00E3331A">
              <w:t>Grifols</w:t>
            </w:r>
          </w:p>
        </w:tc>
        <w:tc>
          <w:tcPr>
            <w:tcW w:w="1655" w:type="dxa"/>
          </w:tcPr>
          <w:p w:rsidR="00FC479D" w:rsidRPr="00E3331A" w:rsidRDefault="00FC479D" w:rsidP="00F119A2">
            <w:pPr>
              <w:pStyle w:val="Tabletext1"/>
            </w:pPr>
            <w:r w:rsidRPr="00E3331A">
              <w:t>$22.50</w:t>
            </w:r>
          </w:p>
          <w:p w:rsidR="00FC479D" w:rsidRPr="00E3331A" w:rsidRDefault="00FC479D" w:rsidP="00F119A2">
            <w:pPr>
              <w:pStyle w:val="Tabletext1"/>
            </w:pPr>
            <w:r w:rsidRPr="00E3331A">
              <w:t>$112.50</w:t>
            </w:r>
          </w:p>
          <w:p w:rsidR="00FC479D" w:rsidRPr="00E3331A" w:rsidRDefault="00FC479D" w:rsidP="00F119A2">
            <w:pPr>
              <w:pStyle w:val="Tabletext1"/>
            </w:pPr>
            <w:r w:rsidRPr="00E3331A">
              <w:t>$225.00</w:t>
            </w:r>
          </w:p>
          <w:p w:rsidR="00FC479D" w:rsidRPr="00E3331A" w:rsidRDefault="00FC479D" w:rsidP="00F119A2">
            <w:pPr>
              <w:pStyle w:val="Tabletext1"/>
            </w:pPr>
            <w:r w:rsidRPr="00E3331A">
              <w:t>$450.00</w:t>
            </w:r>
          </w:p>
          <w:p w:rsidR="00FC479D" w:rsidRPr="00E3331A" w:rsidRDefault="00FC479D" w:rsidP="00F119A2">
            <w:pPr>
              <w:pStyle w:val="Tabletext1"/>
            </w:pPr>
            <w:r w:rsidRPr="00E3331A">
              <w:t>$900.00</w:t>
            </w:r>
          </w:p>
          <w:p w:rsidR="00FC479D" w:rsidRPr="00E3331A" w:rsidRDefault="00FC479D" w:rsidP="00F119A2">
            <w:pPr>
              <w:pStyle w:val="Tabletext1"/>
            </w:pPr>
            <w:r w:rsidRPr="00E3331A">
              <w:t>$225.00</w:t>
            </w:r>
          </w:p>
          <w:p w:rsidR="00FC479D" w:rsidRPr="00E3331A" w:rsidRDefault="00FC479D" w:rsidP="00F119A2">
            <w:pPr>
              <w:pStyle w:val="Tabletext1"/>
            </w:pPr>
            <w:r w:rsidRPr="00E3331A">
              <w:t>$450.00</w:t>
            </w:r>
          </w:p>
          <w:p w:rsidR="00FC479D" w:rsidRPr="00E3331A" w:rsidDel="00A134DA" w:rsidRDefault="00FC479D" w:rsidP="00F119A2">
            <w:pPr>
              <w:pStyle w:val="Tabletext1"/>
            </w:pPr>
            <w:r w:rsidRPr="00E3331A">
              <w:t>$900.00</w:t>
            </w:r>
          </w:p>
        </w:tc>
      </w:tr>
    </w:tbl>
    <w:bookmarkEnd w:id="124"/>
    <w:p w:rsidR="00FC479D" w:rsidRPr="00E3331A" w:rsidRDefault="0037150F" w:rsidP="0037150F">
      <w:pPr>
        <w:pStyle w:val="Tablenotes0"/>
      </w:pPr>
      <w:r w:rsidRPr="00E3331A">
        <w:t>Soource: NBA 2019c</w:t>
      </w:r>
    </w:p>
    <w:p w:rsidR="009B5E44" w:rsidRPr="00E3331A" w:rsidRDefault="00D606CB" w:rsidP="00831CB5">
      <w:pPr>
        <w:spacing w:before="240"/>
        <w:rPr>
          <w:rFonts w:cs="Arial"/>
          <w:color w:val="333333"/>
        </w:rPr>
      </w:pPr>
      <w:r w:rsidRPr="00E3331A">
        <w:rPr>
          <w:rFonts w:cs="Arial"/>
          <w:color w:val="333333"/>
        </w:rPr>
        <w:t>Whil</w:t>
      </w:r>
      <w:r w:rsidR="00591599" w:rsidRPr="00E3331A">
        <w:rPr>
          <w:rFonts w:cs="Arial"/>
          <w:color w:val="333333"/>
        </w:rPr>
        <w:t>e</w:t>
      </w:r>
      <w:r w:rsidRPr="00E3331A">
        <w:rPr>
          <w:rFonts w:cs="Arial"/>
          <w:color w:val="333333"/>
        </w:rPr>
        <w:t xml:space="preserve"> the government only funds Ig use for those medical conditions that meet </w:t>
      </w:r>
      <w:r w:rsidR="00E4406C" w:rsidRPr="00E3331A">
        <w:rPr>
          <w:rFonts w:cs="Arial"/>
          <w:color w:val="333333"/>
        </w:rPr>
        <w:t xml:space="preserve">Version 3 of </w:t>
      </w:r>
      <w:r w:rsidR="001B576E">
        <w:rPr>
          <w:rFonts w:cs="Arial"/>
          <w:color w:val="333333"/>
        </w:rPr>
        <w:t>T</w:t>
      </w:r>
      <w:r w:rsidRPr="00E3331A">
        <w:rPr>
          <w:rFonts w:cs="Arial"/>
          <w:color w:val="333333"/>
        </w:rPr>
        <w:t xml:space="preserve">he </w:t>
      </w:r>
      <w:r w:rsidRPr="00E3331A">
        <w:rPr>
          <w:rFonts w:cs="Arial"/>
          <w:i/>
          <w:color w:val="333333"/>
        </w:rPr>
        <w:t>Criteria</w:t>
      </w:r>
      <w:r w:rsidR="007B5F36" w:rsidRPr="00E3331A">
        <w:rPr>
          <w:rFonts w:cs="Arial"/>
          <w:color w:val="333333"/>
        </w:rPr>
        <w:t>,</w:t>
      </w:r>
      <w:r w:rsidRPr="00E3331A">
        <w:rPr>
          <w:rFonts w:cs="Arial"/>
          <w:color w:val="333333"/>
        </w:rPr>
        <w:t xml:space="preserve"> t</w:t>
      </w:r>
      <w:r w:rsidR="00134A3D" w:rsidRPr="00E3331A">
        <w:rPr>
          <w:rFonts w:cs="Arial"/>
          <w:color w:val="333333"/>
        </w:rPr>
        <w:t xml:space="preserve">he Applicant noted that “where an Ig product is not funded and supplied under the National Blood </w:t>
      </w:r>
      <w:r w:rsidR="002644E5" w:rsidRPr="00E3331A">
        <w:rPr>
          <w:rFonts w:cs="Arial"/>
          <w:color w:val="333333"/>
        </w:rPr>
        <w:t>Arrangements</w:t>
      </w:r>
      <w:r w:rsidR="0020064E" w:rsidRPr="00E3331A">
        <w:rPr>
          <w:rFonts w:cs="Arial"/>
          <w:color w:val="333333"/>
        </w:rPr>
        <w:t xml:space="preserve">, </w:t>
      </w:r>
      <w:r w:rsidR="00134A3D" w:rsidRPr="00E3331A">
        <w:rPr>
          <w:rFonts w:cs="Arial"/>
          <w:color w:val="333333"/>
        </w:rPr>
        <w:t>access to Ig for particular cases may still be available as a decision of a hospital drug committee or similar, or otherwise through direct order arrangements by some other source of funding”</w:t>
      </w:r>
      <w:r w:rsidR="005128E7" w:rsidRPr="00E3331A">
        <w:rPr>
          <w:rFonts w:cs="Arial"/>
          <w:color w:val="333333"/>
        </w:rPr>
        <w:t xml:space="preserve"> (Referral Form, page 3)</w:t>
      </w:r>
      <w:r w:rsidR="00134A3D" w:rsidRPr="00E3331A">
        <w:rPr>
          <w:rFonts w:cs="Arial"/>
          <w:color w:val="333333"/>
        </w:rPr>
        <w:t>.</w:t>
      </w:r>
      <w:r w:rsidR="002644E5" w:rsidRPr="00E3331A">
        <w:rPr>
          <w:rFonts w:cs="Arial"/>
          <w:color w:val="333333"/>
        </w:rPr>
        <w:t xml:space="preserve"> </w:t>
      </w:r>
    </w:p>
    <w:p w:rsidR="00835007" w:rsidRPr="00E3331A" w:rsidDel="00A134DA" w:rsidRDefault="00AB3CB2" w:rsidP="003E4E1F">
      <w:pPr>
        <w:pStyle w:val="Heading2"/>
        <w:numPr>
          <w:ilvl w:val="0"/>
          <w:numId w:val="8"/>
        </w:numPr>
      </w:pPr>
      <w:bookmarkStart w:id="125" w:name="_Toc381796450"/>
      <w:bookmarkStart w:id="126" w:name="_Toc24103436"/>
      <w:bookmarkStart w:id="127" w:name="_Toc327540865"/>
      <w:bookmarkStart w:id="128" w:name="_Toc379118069"/>
      <w:bookmarkStart w:id="129" w:name="_Toc381796447"/>
      <w:r w:rsidRPr="00E3331A" w:rsidDel="00A134DA">
        <w:t>Proposal for Public F</w:t>
      </w:r>
      <w:r w:rsidR="00835007" w:rsidRPr="00E3331A" w:rsidDel="00A134DA">
        <w:t>unding</w:t>
      </w:r>
      <w:bookmarkEnd w:id="125"/>
      <w:bookmarkEnd w:id="126"/>
    </w:p>
    <w:p w:rsidR="00D47CA5" w:rsidRPr="00E3331A" w:rsidRDefault="007D15B9" w:rsidP="00106705">
      <w:bookmarkStart w:id="130" w:name="_Ref373485347"/>
      <w:bookmarkStart w:id="131" w:name="_Ref373485342"/>
      <w:r w:rsidRPr="00E3331A">
        <w:t xml:space="preserve">There are no </w:t>
      </w:r>
      <w:r w:rsidR="00FC479D" w:rsidRPr="00E3331A">
        <w:t xml:space="preserve">proposed </w:t>
      </w:r>
      <w:r w:rsidRPr="00E3331A">
        <w:t>MBS item</w:t>
      </w:r>
      <w:r w:rsidR="00FC479D" w:rsidRPr="00E3331A">
        <w:t>s relevant to this Assessment.</w:t>
      </w:r>
      <w:r w:rsidR="00F22558" w:rsidRPr="00E3331A">
        <w:t xml:space="preserve"> </w:t>
      </w:r>
    </w:p>
    <w:p w:rsidR="00C3360E" w:rsidRPr="00E3331A" w:rsidRDefault="007C068F" w:rsidP="003E4E1F">
      <w:pPr>
        <w:pStyle w:val="Heading2"/>
        <w:numPr>
          <w:ilvl w:val="0"/>
          <w:numId w:val="8"/>
        </w:numPr>
      </w:pPr>
      <w:bookmarkStart w:id="132" w:name="_Toc24103437"/>
      <w:bookmarkStart w:id="133" w:name="_Toc379118076"/>
      <w:bookmarkStart w:id="134" w:name="_Toc381796455"/>
      <w:bookmarkStart w:id="135" w:name="_Toc379118072"/>
      <w:bookmarkStart w:id="136" w:name="_Toc355274709"/>
      <w:bookmarkEnd w:id="127"/>
      <w:bookmarkEnd w:id="128"/>
      <w:bookmarkEnd w:id="129"/>
      <w:bookmarkEnd w:id="130"/>
      <w:bookmarkEnd w:id="131"/>
      <w:r w:rsidRPr="00E3331A">
        <w:t>P</w:t>
      </w:r>
      <w:r w:rsidR="00C3360E" w:rsidRPr="00E3331A">
        <w:t>opulation</w:t>
      </w:r>
      <w:bookmarkEnd w:id="132"/>
    </w:p>
    <w:p w:rsidR="00C3360E" w:rsidRPr="00E3331A" w:rsidRDefault="00094B91" w:rsidP="00AA2C7A">
      <w:r w:rsidRPr="00E3331A">
        <w:t>As advised by the Reference Group, t</w:t>
      </w:r>
      <w:r w:rsidR="00BC4CB0" w:rsidRPr="00E3331A">
        <w:t xml:space="preserve">he population in the PICO is </w:t>
      </w:r>
      <w:r w:rsidR="00A218D3" w:rsidRPr="00E3331A">
        <w:t xml:space="preserve">all </w:t>
      </w:r>
      <w:r w:rsidR="00BC4CB0" w:rsidRPr="00E3331A">
        <w:t xml:space="preserve">patients with </w:t>
      </w:r>
      <w:r w:rsidR="002D3966" w:rsidRPr="00E3331A">
        <w:t>CIDP</w:t>
      </w:r>
      <w:r w:rsidR="006C10D5" w:rsidRPr="00E3331A">
        <w:t xml:space="preserve"> </w:t>
      </w:r>
      <w:r w:rsidR="00BC4CB0" w:rsidRPr="00E3331A">
        <w:t>who are currently eligible for Ig treatment in Austra</w:t>
      </w:r>
      <w:r w:rsidR="00A218D3" w:rsidRPr="00E3331A">
        <w:t xml:space="preserve">lia according to </w:t>
      </w:r>
      <w:r w:rsidR="00E4406C" w:rsidRPr="00E3331A">
        <w:t>V</w:t>
      </w:r>
      <w:r w:rsidR="00A218D3" w:rsidRPr="00E3331A">
        <w:t xml:space="preserve">ersion 3 of </w:t>
      </w:r>
      <w:r w:rsidR="00F176C6" w:rsidRPr="00E3331A">
        <w:t>‘</w:t>
      </w:r>
      <w:r w:rsidR="00F64AD0" w:rsidRPr="00E3331A">
        <w:t>T</w:t>
      </w:r>
      <w:r w:rsidR="00A218D3" w:rsidRPr="00E3331A">
        <w:t xml:space="preserve">he </w:t>
      </w:r>
      <w:r w:rsidR="00A218D3" w:rsidRPr="00E3331A">
        <w:rPr>
          <w:i/>
        </w:rPr>
        <w:t>Criteria</w:t>
      </w:r>
      <w:r w:rsidR="00F176C6" w:rsidRPr="00E3331A">
        <w:rPr>
          <w:i/>
        </w:rPr>
        <w:t>’</w:t>
      </w:r>
      <w:r w:rsidR="002017E7" w:rsidRPr="00E3331A">
        <w:rPr>
          <w:i/>
        </w:rPr>
        <w:t xml:space="preserve"> </w:t>
      </w:r>
      <w:r w:rsidR="00B85C75">
        <w:rPr>
          <w:noProof/>
        </w:rPr>
        <w:t>(DoH 2019a)</w:t>
      </w:r>
      <w:r w:rsidR="002017E7" w:rsidRPr="00E3331A">
        <w:t>.</w:t>
      </w:r>
      <w:r w:rsidRPr="00E3331A">
        <w:t xml:space="preserve"> </w:t>
      </w:r>
      <w:r w:rsidR="006C10D5" w:rsidRPr="00E3331A">
        <w:t xml:space="preserve">However, no study was identified </w:t>
      </w:r>
      <w:r w:rsidR="002017E7" w:rsidRPr="00E3331A">
        <w:t xml:space="preserve">that </w:t>
      </w:r>
      <w:r w:rsidR="006C10D5" w:rsidRPr="00E3331A">
        <w:t>used the exact specifications outline</w:t>
      </w:r>
      <w:r w:rsidR="00B2201A" w:rsidRPr="00E3331A">
        <w:t>d</w:t>
      </w:r>
      <w:r w:rsidR="006C10D5" w:rsidRPr="00E3331A">
        <w:t xml:space="preserve"> in Version 3 of </w:t>
      </w:r>
      <w:r w:rsidR="00F64AD0" w:rsidRPr="00E3331A">
        <w:t>‘</w:t>
      </w:r>
      <w:r w:rsidR="006C10D5" w:rsidRPr="00E3331A">
        <w:rPr>
          <w:i/>
        </w:rPr>
        <w:t xml:space="preserve">The </w:t>
      </w:r>
      <w:r w:rsidR="00B2201A" w:rsidRPr="00E3331A">
        <w:rPr>
          <w:i/>
        </w:rPr>
        <w:t>Criteria’</w:t>
      </w:r>
      <w:r w:rsidR="00B2201A" w:rsidRPr="00E3331A">
        <w:t>,</w:t>
      </w:r>
      <w:r w:rsidR="006C10D5" w:rsidRPr="00E3331A">
        <w:t xml:space="preserve"> </w:t>
      </w:r>
      <w:r w:rsidR="00B37A3F" w:rsidRPr="00E3331A">
        <w:t>so</w:t>
      </w:r>
      <w:r w:rsidR="006C10D5" w:rsidRPr="00E3331A">
        <w:t xml:space="preserve"> this was broadened for th</w:t>
      </w:r>
      <w:r w:rsidR="00B37A3F" w:rsidRPr="00E3331A">
        <w:t>is</w:t>
      </w:r>
      <w:r w:rsidR="006C10D5" w:rsidRPr="00E3331A">
        <w:t xml:space="preserve"> review to include patients with CIDP.</w:t>
      </w:r>
      <w:r w:rsidR="007B04D3">
        <w:t xml:space="preserve"> The applicability of the identified evidence to the population of this review is discussed in Section C of this report. </w:t>
      </w:r>
    </w:p>
    <w:p w:rsidR="00C769A5" w:rsidRPr="00E3331A" w:rsidRDefault="007A2C4B" w:rsidP="00AA2C7A">
      <w:r w:rsidRPr="00E3331A">
        <w:t xml:space="preserve">CIDP is a neurological autoimmune disorder whereby the body’s immune system </w:t>
      </w:r>
      <w:r w:rsidR="00E30F50" w:rsidRPr="00E3331A">
        <w:t>attacks and</w:t>
      </w:r>
      <w:r w:rsidRPr="00E3331A">
        <w:t xml:space="preserve"> damages the myelin sheath of the peripheral nerves</w:t>
      </w:r>
      <w:r w:rsidR="00E30F50" w:rsidRPr="00E3331A">
        <w:t xml:space="preserve">. The peripheral nerves extend from the spinal cord to the rest of the body and are responsible for stimulating muscle contraction and transmitting </w:t>
      </w:r>
      <w:r w:rsidR="00E30F50" w:rsidRPr="00E3331A">
        <w:lastRenderedPageBreak/>
        <w:t xml:space="preserve">information back to </w:t>
      </w:r>
      <w:r w:rsidR="00B37A3F" w:rsidRPr="00E3331A">
        <w:t xml:space="preserve">the </w:t>
      </w:r>
      <w:r w:rsidR="00E30F50" w:rsidRPr="00E3331A">
        <w:t>nervous system</w:t>
      </w:r>
      <w:r w:rsidRPr="00E3331A">
        <w:t xml:space="preserve">. </w:t>
      </w:r>
      <w:r w:rsidR="00E30F50" w:rsidRPr="00E3331A">
        <w:t>As the role of myelin is to insulate the nerve axon allowing electrical impulses to travel smoothly</w:t>
      </w:r>
      <w:r w:rsidR="00F117F2" w:rsidRPr="00E3331A">
        <w:t>, damage to myelin caused by CIDP results in electrical impulses being slowed or lost</w:t>
      </w:r>
      <w:r w:rsidR="00077A75" w:rsidRPr="00E3331A">
        <w:t xml:space="preserve"> </w:t>
      </w:r>
      <w:r w:rsidR="00B85C75">
        <w:rPr>
          <w:noProof/>
        </w:rPr>
        <w:t>(GBS/CIDP 2019)</w:t>
      </w:r>
      <w:r w:rsidR="00077A75" w:rsidRPr="00E3331A">
        <w:t>.</w:t>
      </w:r>
      <w:r w:rsidR="009848E3" w:rsidRPr="00E3331A">
        <w:t xml:space="preserve"> </w:t>
      </w:r>
      <w:r w:rsidR="00F117F2" w:rsidRPr="00E3331A">
        <w:t>The</w:t>
      </w:r>
      <w:r w:rsidR="001C1129" w:rsidRPr="00E3331A">
        <w:t xml:space="preserve"> cause</w:t>
      </w:r>
      <w:r w:rsidR="00F117F2" w:rsidRPr="00E3331A">
        <w:t xml:space="preserve"> of CIDP</w:t>
      </w:r>
      <w:r w:rsidR="001C1129" w:rsidRPr="00E3331A">
        <w:t xml:space="preserve"> is unknown and no specific predisposing factors have been identified</w:t>
      </w:r>
      <w:r w:rsidR="00077A75" w:rsidRPr="00E3331A">
        <w:t xml:space="preserve"> </w:t>
      </w:r>
      <w:r w:rsidR="00B85C75">
        <w:rPr>
          <w:noProof/>
        </w:rPr>
        <w:t>(Lewis 2019a)</w:t>
      </w:r>
      <w:r w:rsidR="00077A75" w:rsidRPr="00E3331A">
        <w:t>.</w:t>
      </w:r>
      <w:r w:rsidR="001C1129" w:rsidRPr="00E3331A">
        <w:t xml:space="preserve"> </w:t>
      </w:r>
      <w:r w:rsidRPr="00E3331A">
        <w:t>It can occur at any age and is more common in men than women</w:t>
      </w:r>
      <w:r w:rsidR="00AA358A" w:rsidRPr="00E3331A">
        <w:t xml:space="preserve"> </w:t>
      </w:r>
      <w:r w:rsidR="00B85C75">
        <w:rPr>
          <w:noProof/>
        </w:rPr>
        <w:t>(Brain Foundation 2019; MDA 2019)</w:t>
      </w:r>
      <w:r w:rsidR="00D250DB" w:rsidRPr="00E3331A">
        <w:t xml:space="preserve">. </w:t>
      </w:r>
      <w:r w:rsidR="000E27A3" w:rsidRPr="00E3331A">
        <w:t>T</w:t>
      </w:r>
      <w:r w:rsidR="00A94D36" w:rsidRPr="00E3331A">
        <w:t>here is no cure</w:t>
      </w:r>
      <w:r w:rsidR="000E27A3" w:rsidRPr="00E3331A">
        <w:t xml:space="preserve"> </w:t>
      </w:r>
      <w:r w:rsidR="00B85C75">
        <w:rPr>
          <w:noProof/>
        </w:rPr>
        <w:t>(GBS NSW 2019)</w:t>
      </w:r>
      <w:r w:rsidR="000E27A3" w:rsidRPr="00E3331A">
        <w:t>.</w:t>
      </w:r>
      <w:r w:rsidR="00A94D36" w:rsidRPr="00E3331A">
        <w:t xml:space="preserve"> </w:t>
      </w:r>
      <w:r w:rsidR="00314DA6" w:rsidRPr="00E3331A">
        <w:t>If left untreated</w:t>
      </w:r>
      <w:r w:rsidR="009B5C61" w:rsidRPr="00E3331A">
        <w:t>,</w:t>
      </w:r>
      <w:r w:rsidR="00314DA6" w:rsidRPr="00E3331A">
        <w:t xml:space="preserve"> irreversible damage to the nerve axons can occur. It is estimated that cumulative disability caused by untreated CIDP can lead to wheelchair dependence in around one-third of patients </w:t>
      </w:r>
      <w:r w:rsidR="00B85C75">
        <w:rPr>
          <w:noProof/>
        </w:rPr>
        <w:t>(Berman 2019)</w:t>
      </w:r>
      <w:r w:rsidR="009B5C61" w:rsidRPr="00E3331A">
        <w:t>.</w:t>
      </w:r>
    </w:p>
    <w:p w:rsidR="00B345E4" w:rsidRPr="00E3331A" w:rsidRDefault="00360CB1" w:rsidP="00AA2C7A">
      <w:r w:rsidRPr="00E3331A">
        <w:t>Symptoms and t</w:t>
      </w:r>
      <w:r w:rsidR="007A2C4B" w:rsidRPr="00E3331A">
        <w:t>he natural history of CIDP var</w:t>
      </w:r>
      <w:r w:rsidRPr="00E3331A">
        <w:t>y</w:t>
      </w:r>
      <w:r w:rsidR="007A2C4B" w:rsidRPr="00E3331A">
        <w:t xml:space="preserve"> </w:t>
      </w:r>
      <w:r w:rsidR="00D250DB" w:rsidRPr="00E3331A">
        <w:t xml:space="preserve">widely </w:t>
      </w:r>
      <w:r w:rsidR="007A2C4B" w:rsidRPr="00E3331A">
        <w:t xml:space="preserve">among individuals. </w:t>
      </w:r>
      <w:r w:rsidRPr="00E3331A">
        <w:t>Early symptoms include tingling or loss of feel</w:t>
      </w:r>
      <w:r w:rsidR="008B6E7C" w:rsidRPr="00E3331A">
        <w:t>i</w:t>
      </w:r>
      <w:r w:rsidRPr="00E3331A">
        <w:t>ng in the toes and fi</w:t>
      </w:r>
      <w:r w:rsidR="008B6E7C" w:rsidRPr="00E3331A">
        <w:t>ngers</w:t>
      </w:r>
      <w:r w:rsidR="00435983" w:rsidRPr="00E3331A">
        <w:t>, and/</w:t>
      </w:r>
      <w:r w:rsidR="008B6E7C" w:rsidRPr="00E3331A">
        <w:t>or weakness in the arms and hands or legs</w:t>
      </w:r>
      <w:r w:rsidR="00435983" w:rsidRPr="00E3331A">
        <w:t xml:space="preserve"> and feet</w:t>
      </w:r>
      <w:r w:rsidR="008B6E7C" w:rsidRPr="00E3331A">
        <w:t xml:space="preserve">. </w:t>
      </w:r>
      <w:r w:rsidR="00435983" w:rsidRPr="00E3331A">
        <w:t>Usually weakness in the legs and arms occurs together</w:t>
      </w:r>
      <w:r w:rsidR="008B6E7C" w:rsidRPr="00E3331A">
        <w:t xml:space="preserve">. </w:t>
      </w:r>
      <w:r w:rsidR="00435983" w:rsidRPr="00E3331A">
        <w:t xml:space="preserve">Weakness or lack of feeling in the feet can cause problems with walking. </w:t>
      </w:r>
      <w:r w:rsidR="008B6E7C" w:rsidRPr="00E3331A">
        <w:t xml:space="preserve">Other symptoms </w:t>
      </w:r>
      <w:r w:rsidR="00435983" w:rsidRPr="00E3331A">
        <w:t>can include fatigue, dizziness and aching pain in the muscles.</w:t>
      </w:r>
      <w:r w:rsidR="008B6E7C" w:rsidRPr="00E3331A">
        <w:t xml:space="preserve"> </w:t>
      </w:r>
      <w:r w:rsidR="00435983" w:rsidRPr="00E3331A">
        <w:t>A tremor may develop as the disease becomes more severe</w:t>
      </w:r>
      <w:r w:rsidR="00820DD7" w:rsidRPr="00E3331A">
        <w:t xml:space="preserve"> </w:t>
      </w:r>
      <w:r w:rsidR="00B85C75">
        <w:rPr>
          <w:noProof/>
        </w:rPr>
        <w:t>(GBS NSW 2019; Lewis 2018; Shelat 2018)</w:t>
      </w:r>
      <w:r w:rsidR="00820DD7" w:rsidRPr="00E3331A">
        <w:t xml:space="preserve">. </w:t>
      </w:r>
      <w:r w:rsidR="00B345E4" w:rsidRPr="00E3331A">
        <w:t>According to the Guillain</w:t>
      </w:r>
      <w:r w:rsidR="000C0E99">
        <w:t>-</w:t>
      </w:r>
      <w:r w:rsidR="00B345E4" w:rsidRPr="00E3331A">
        <w:t>Barré Association of the New South Wales</w:t>
      </w:r>
      <w:r w:rsidR="008C6938" w:rsidRPr="00E3331A">
        <w:t xml:space="preserve"> (NSW)</w:t>
      </w:r>
      <w:r w:rsidR="00B345E4" w:rsidRPr="00E3331A">
        <w:t>, the progression of the disease can be characterised into the following subcategories</w:t>
      </w:r>
      <w:r w:rsidR="00821534" w:rsidRPr="00E3331A">
        <w:t xml:space="preserve"> </w:t>
      </w:r>
      <w:r w:rsidR="00B85C75">
        <w:rPr>
          <w:noProof/>
        </w:rPr>
        <w:t>(GBS NSW 2019)</w:t>
      </w:r>
      <w:r w:rsidR="00B345E4" w:rsidRPr="00E3331A">
        <w:t>:</w:t>
      </w:r>
    </w:p>
    <w:p w:rsidR="00B345E4" w:rsidRPr="00E3331A" w:rsidRDefault="00B345E4" w:rsidP="001F5B33">
      <w:pPr>
        <w:pStyle w:val="ColorfulList-Accent11"/>
        <w:numPr>
          <w:ilvl w:val="0"/>
          <w:numId w:val="20"/>
        </w:numPr>
      </w:pPr>
      <w:r w:rsidRPr="00E3331A">
        <w:t>subacute</w:t>
      </w:r>
      <w:r w:rsidR="00C62EA5" w:rsidRPr="00E3331A">
        <w:t>—</w:t>
      </w:r>
      <w:r w:rsidRPr="00E3331A">
        <w:t xml:space="preserve">symptoms progress and worsen for at least four weeks but not more than eight weeks before </w:t>
      </w:r>
      <w:r w:rsidR="0003333F" w:rsidRPr="00E3331A">
        <w:t>plateau</w:t>
      </w:r>
      <w:r w:rsidR="00C62EA5" w:rsidRPr="00E3331A">
        <w:t>ing</w:t>
      </w:r>
      <w:r w:rsidRPr="00E3331A">
        <w:t xml:space="preserve"> or improving</w:t>
      </w:r>
    </w:p>
    <w:p w:rsidR="00B345E4" w:rsidRPr="00E3331A" w:rsidRDefault="00B345E4" w:rsidP="001F5B33">
      <w:pPr>
        <w:pStyle w:val="ColorfulList-Accent11"/>
        <w:numPr>
          <w:ilvl w:val="0"/>
          <w:numId w:val="20"/>
        </w:numPr>
      </w:pPr>
      <w:r w:rsidRPr="00E3331A">
        <w:t>chronic progressive</w:t>
      </w:r>
      <w:r w:rsidR="0003333F" w:rsidRPr="00E3331A">
        <w:t>—</w:t>
      </w:r>
      <w:r w:rsidRPr="00E3331A">
        <w:t>symptoms progress and worsen for a period exceeding eight weeks</w:t>
      </w:r>
    </w:p>
    <w:p w:rsidR="00B345E4" w:rsidRPr="00E3331A" w:rsidRDefault="00B345E4" w:rsidP="001F5B33">
      <w:pPr>
        <w:pStyle w:val="ColorfulList-Accent11"/>
        <w:numPr>
          <w:ilvl w:val="0"/>
          <w:numId w:val="20"/>
        </w:numPr>
      </w:pPr>
      <w:r w:rsidRPr="00E3331A">
        <w:t>chronic relapsing</w:t>
      </w:r>
      <w:r w:rsidR="00D27C0B" w:rsidRPr="00E3331A">
        <w:t>—</w:t>
      </w:r>
      <w:r w:rsidRPr="00E3331A">
        <w:t>more than one episode in which symptoms pr</w:t>
      </w:r>
      <w:r w:rsidR="003C00CD" w:rsidRPr="00E3331A">
        <w:t>ogress and worsen for a period greater than four weeks</w:t>
      </w:r>
    </w:p>
    <w:p w:rsidR="003C00CD" w:rsidRPr="00E3331A" w:rsidRDefault="003C00CD" w:rsidP="001F5B33">
      <w:pPr>
        <w:pStyle w:val="ColorfulList-Accent11"/>
        <w:numPr>
          <w:ilvl w:val="0"/>
          <w:numId w:val="20"/>
        </w:numPr>
      </w:pPr>
      <w:r w:rsidRPr="00E3331A">
        <w:t>recurrent</w:t>
      </w:r>
      <w:r w:rsidR="00F2079B" w:rsidRPr="00E3331A">
        <w:t>—</w:t>
      </w:r>
      <w:r w:rsidRPr="00E3331A">
        <w:t>each bout has a progressive phase of less than four weeks</w:t>
      </w:r>
      <w:r w:rsidR="00C13726" w:rsidRPr="00E3331A">
        <w:t xml:space="preserve"> </w:t>
      </w:r>
    </w:p>
    <w:p w:rsidR="007A2C4B" w:rsidRPr="00E3331A" w:rsidRDefault="00C10393" w:rsidP="00AA2C7A">
      <w:r w:rsidRPr="00E3331A">
        <w:t xml:space="preserve">Chronic relapsing CIDP with spontaneous improvement of remissions </w:t>
      </w:r>
      <w:r w:rsidR="00BE7889" w:rsidRPr="00E3331A">
        <w:t>is t</w:t>
      </w:r>
      <w:r w:rsidR="00866AAA" w:rsidRPr="00E3331A">
        <w:t xml:space="preserve">he </w:t>
      </w:r>
      <w:r w:rsidR="0077567C" w:rsidRPr="00E3331A">
        <w:t>most common form, present in about 80% of patients.</w:t>
      </w:r>
      <w:r w:rsidR="00345C95" w:rsidRPr="00E3331A">
        <w:t xml:space="preserve"> </w:t>
      </w:r>
      <w:r w:rsidR="0077567C" w:rsidRPr="00E3331A">
        <w:t>In a very small number of people CIDP progresses without remission</w:t>
      </w:r>
      <w:r w:rsidR="002777FB" w:rsidRPr="00E3331A">
        <w:t xml:space="preserve"> </w:t>
      </w:r>
      <w:r w:rsidR="00B85C75">
        <w:rPr>
          <w:noProof/>
        </w:rPr>
        <w:t>(GBS NSW 2019)</w:t>
      </w:r>
      <w:r w:rsidR="002777FB" w:rsidRPr="00E3331A">
        <w:t>.</w:t>
      </w:r>
    </w:p>
    <w:p w:rsidR="00A21B0D" w:rsidRPr="00E3331A" w:rsidRDefault="005D04F2" w:rsidP="00AA2C7A">
      <w:r w:rsidRPr="00E3331A">
        <w:t>Diagnosis of CIDP is difficult as t</w:t>
      </w:r>
      <w:r w:rsidR="003C00CD" w:rsidRPr="00E3331A">
        <w:t xml:space="preserve">here is no definitive test </w:t>
      </w:r>
      <w:r w:rsidRPr="00E3331A">
        <w:t xml:space="preserve">and the </w:t>
      </w:r>
      <w:r w:rsidR="003C00CD" w:rsidRPr="00E3331A">
        <w:t>symptoms are often vague</w:t>
      </w:r>
      <w:r w:rsidR="00F60AE6" w:rsidRPr="00E3331A">
        <w:t xml:space="preserve">, </w:t>
      </w:r>
      <w:r w:rsidR="003C00CD" w:rsidRPr="00E3331A">
        <w:t>match</w:t>
      </w:r>
      <w:r w:rsidR="00F60AE6" w:rsidRPr="00E3331A">
        <w:t>ing</w:t>
      </w:r>
      <w:r w:rsidR="003C00CD" w:rsidRPr="00E3331A">
        <w:t xml:space="preserve"> those of </w:t>
      </w:r>
      <w:r w:rsidRPr="00E3331A">
        <w:t>several</w:t>
      </w:r>
      <w:r w:rsidR="003C00CD" w:rsidRPr="00E3331A">
        <w:t xml:space="preserve"> </w:t>
      </w:r>
      <w:r w:rsidRPr="00E3331A">
        <w:t xml:space="preserve">other </w:t>
      </w:r>
      <w:r w:rsidR="003C00CD" w:rsidRPr="00E3331A">
        <w:t xml:space="preserve">diseases </w:t>
      </w:r>
      <w:r w:rsidR="00B85C75">
        <w:rPr>
          <w:noProof/>
        </w:rPr>
        <w:t>(GBS NSW 2019)</w:t>
      </w:r>
      <w:r w:rsidRPr="00E3331A">
        <w:t xml:space="preserve">. </w:t>
      </w:r>
      <w:r w:rsidR="00561569" w:rsidRPr="00E3331A">
        <w:t xml:space="preserve">There are also several variants of CIDP characterised by different presentations, </w:t>
      </w:r>
      <w:r w:rsidR="00F60AE6" w:rsidRPr="00E3331A">
        <w:t xml:space="preserve">which </w:t>
      </w:r>
      <w:r w:rsidR="00561569" w:rsidRPr="00E3331A">
        <w:t xml:space="preserve">include typical CIDP, multifocal motor neuropathy, Lewis-Sumner syndrome, pure sensory CIDP and pure motor CIDP </w:t>
      </w:r>
      <w:r w:rsidR="00B85C75">
        <w:rPr>
          <w:noProof/>
        </w:rPr>
        <w:t>(GBS/CIDP 2019)</w:t>
      </w:r>
      <w:r w:rsidR="00F60AE6" w:rsidRPr="00E3331A">
        <w:t>.</w:t>
      </w:r>
      <w:r w:rsidR="00561569" w:rsidRPr="00E3331A">
        <w:t xml:space="preserve"> </w:t>
      </w:r>
      <w:r w:rsidR="00693266" w:rsidRPr="00E3331A">
        <w:t>EFNS/PNS</w:t>
      </w:r>
      <w:r w:rsidR="00693266" w:rsidRPr="00E3331A" w:rsidDel="00693266">
        <w:t xml:space="preserve"> </w:t>
      </w:r>
      <w:r w:rsidR="00693266" w:rsidRPr="00E3331A">
        <w:t>g</w:t>
      </w:r>
      <w:r w:rsidRPr="00E3331A">
        <w:t xml:space="preserve">uidelines </w:t>
      </w:r>
      <w:r w:rsidR="00880E35" w:rsidRPr="00E3331A">
        <w:t xml:space="preserve">on CIDP </w:t>
      </w:r>
      <w:r w:rsidR="00D45565" w:rsidRPr="00E3331A">
        <w:t>published in 2010</w:t>
      </w:r>
      <w:r w:rsidR="0013031C" w:rsidRPr="00E3331A">
        <w:t xml:space="preserve"> </w:t>
      </w:r>
      <w:r w:rsidR="00880E35" w:rsidRPr="00E3331A">
        <w:t>note that</w:t>
      </w:r>
      <w:r w:rsidR="0056542F" w:rsidRPr="00E3331A">
        <w:t>:</w:t>
      </w:r>
      <w:r w:rsidR="00880E35" w:rsidRPr="00E3331A">
        <w:t xml:space="preserve"> </w:t>
      </w:r>
      <w:r w:rsidR="0013031C" w:rsidRPr="00E3331A">
        <w:t>“CIDP</w:t>
      </w:r>
      <w:r w:rsidRPr="00E3331A">
        <w:t xml:space="preserve"> should be considered in patients who have symmetric or asymmetric polyneuropathy</w:t>
      </w:r>
      <w:r w:rsidR="0013031C" w:rsidRPr="00E3331A">
        <w:t xml:space="preserve"> in whom the clinical course is relapsing and remitting or progresses for more than two months, especially if there are positive sensory symptoms, proximal weakness, areflexia without wasting, or preferential loss of vibration”</w:t>
      </w:r>
      <w:r w:rsidR="00EB214F" w:rsidRPr="00E3331A">
        <w:t xml:space="preserve"> </w:t>
      </w:r>
      <w:r w:rsidR="00B85C75">
        <w:rPr>
          <w:noProof/>
        </w:rPr>
        <w:t>(Van den Bergh et al. 2010)</w:t>
      </w:r>
      <w:r w:rsidR="00EB214F" w:rsidRPr="00E3331A">
        <w:t>.</w:t>
      </w:r>
      <w:r w:rsidR="0013031C" w:rsidRPr="00E3331A">
        <w:t xml:space="preserve"> </w:t>
      </w:r>
      <w:r w:rsidR="00F96FD5" w:rsidRPr="00E3331A">
        <w:t>Diagnosis is based on a combination of clinical, electrodiagnostic an</w:t>
      </w:r>
      <w:r w:rsidR="006F2F57" w:rsidRPr="00E3331A">
        <w:t>d laboratory</w:t>
      </w:r>
      <w:r w:rsidR="00F96FD5" w:rsidRPr="00E3331A">
        <w:t xml:space="preserve"> investigations (cerebrospinal fluid, magnetic resonance imaging, nerve biopsy</w:t>
      </w:r>
      <w:r w:rsidR="006F2F57" w:rsidRPr="00E3331A">
        <w:t>) as well</w:t>
      </w:r>
      <w:r w:rsidR="00F96FD5" w:rsidRPr="00E3331A">
        <w:t xml:space="preserve"> </w:t>
      </w:r>
      <w:r w:rsidR="006F2F57" w:rsidRPr="00E3331A">
        <w:t>as</w:t>
      </w:r>
      <w:r w:rsidR="00F96FD5" w:rsidRPr="00E3331A">
        <w:t xml:space="preserve"> treatment response</w:t>
      </w:r>
      <w:r w:rsidR="006F2F57" w:rsidRPr="00E3331A">
        <w:t xml:space="preserve"> as</w:t>
      </w:r>
      <w:r w:rsidR="00F96FD5" w:rsidRPr="00E3331A">
        <w:t xml:space="preserve"> </w:t>
      </w:r>
      <w:r w:rsidR="006F2F57" w:rsidRPr="00E3331A">
        <w:t>outlined in the</w:t>
      </w:r>
      <w:r w:rsidR="0013031C" w:rsidRPr="00E3331A">
        <w:t xml:space="preserve"> EFNS/PNS </w:t>
      </w:r>
      <w:r w:rsidR="006F2F57" w:rsidRPr="00E3331A">
        <w:t xml:space="preserve">guideline on </w:t>
      </w:r>
      <w:r w:rsidR="00F96FD5" w:rsidRPr="00E3331A">
        <w:t>CIDP</w:t>
      </w:r>
      <w:r w:rsidR="0013031C" w:rsidRPr="00E3331A">
        <w:t xml:space="preserve">. </w:t>
      </w:r>
      <w:r w:rsidR="00EB214F" w:rsidRPr="00E3331A">
        <w:t>T</w:t>
      </w:r>
      <w:r w:rsidR="00F96FD5" w:rsidRPr="00E3331A">
        <w:t xml:space="preserve">he PICO </w:t>
      </w:r>
      <w:r w:rsidR="005541CA" w:rsidRPr="00E3331A">
        <w:t>C</w:t>
      </w:r>
      <w:r w:rsidR="00F96FD5" w:rsidRPr="00E3331A">
        <w:t xml:space="preserve">onfirmation noted that expert opinion confirmed that the EFNS/PNS guidelines are </w:t>
      </w:r>
      <w:r w:rsidR="00EB214F" w:rsidRPr="00E3331A">
        <w:t xml:space="preserve">the most relevant </w:t>
      </w:r>
      <w:r w:rsidR="00F96FD5" w:rsidRPr="00E3331A">
        <w:t>at present, and align with current clinical practice</w:t>
      </w:r>
      <w:r w:rsidR="004D14AF" w:rsidRPr="00E3331A">
        <w:t xml:space="preserve"> </w:t>
      </w:r>
      <w:r w:rsidR="00B85C75">
        <w:rPr>
          <w:noProof/>
        </w:rPr>
        <w:t>(DoH 2019a)</w:t>
      </w:r>
      <w:r w:rsidR="002B0D4F" w:rsidRPr="00E3331A">
        <w:t xml:space="preserve">. </w:t>
      </w:r>
      <w:r w:rsidR="00EA140B" w:rsidRPr="00E3331A">
        <w:t>T</w:t>
      </w:r>
      <w:r w:rsidR="002B0089" w:rsidRPr="00E3331A">
        <w:t xml:space="preserve">he PICO </w:t>
      </w:r>
      <w:r w:rsidR="00EA140B" w:rsidRPr="00E3331A">
        <w:t xml:space="preserve">states </w:t>
      </w:r>
      <w:r w:rsidR="002B0089" w:rsidRPr="00E3331A">
        <w:t>that</w:t>
      </w:r>
      <w:r w:rsidR="00127AA3" w:rsidRPr="00E3331A">
        <w:t>:</w:t>
      </w:r>
      <w:r w:rsidR="002B0089" w:rsidRPr="00E3331A">
        <w:t xml:space="preserve"> “the </w:t>
      </w:r>
      <w:r w:rsidR="002B0D4F" w:rsidRPr="00E3331A">
        <w:t>Referrer notes that there is a risk that patients may receive Ig for an incorrect diagnosis</w:t>
      </w:r>
      <w:r w:rsidR="00F96FD5" w:rsidRPr="00E3331A">
        <w:t xml:space="preserve"> </w:t>
      </w:r>
      <w:r w:rsidR="002B0089" w:rsidRPr="00E3331A">
        <w:t xml:space="preserve">of CIDP as no specific diagnostic tests are required </w:t>
      </w:r>
      <w:r w:rsidR="002B0089" w:rsidRPr="00E3331A">
        <w:lastRenderedPageBreak/>
        <w:t xml:space="preserve">for a patient to qualify for intravenous Ig in Australia”. </w:t>
      </w:r>
      <w:r w:rsidR="00127AA3" w:rsidRPr="00E3331A">
        <w:t>The PICO</w:t>
      </w:r>
      <w:r w:rsidR="002B0089" w:rsidRPr="00E3331A">
        <w:t xml:space="preserve"> further stated that </w:t>
      </w:r>
      <w:r w:rsidR="003708F1" w:rsidRPr="00E3331A">
        <w:t>e</w:t>
      </w:r>
      <w:r w:rsidR="002B0089" w:rsidRPr="00E3331A">
        <w:t>xpert advice received during the review phase emphasised the significance of the risk of misdiagnosis</w:t>
      </w:r>
      <w:r w:rsidR="003708F1" w:rsidRPr="00E3331A">
        <w:t>,</w:t>
      </w:r>
      <w:r w:rsidR="002B0089" w:rsidRPr="00E3331A">
        <w:t xml:space="preserve"> not</w:t>
      </w:r>
      <w:r w:rsidR="003708F1" w:rsidRPr="00E3331A">
        <w:t>ing</w:t>
      </w:r>
      <w:r w:rsidR="002B0089" w:rsidRPr="00E3331A">
        <w:t xml:space="preserve"> that as many as </w:t>
      </w:r>
      <w:r w:rsidR="00B742C2" w:rsidRPr="00E3331A">
        <w:t>one</w:t>
      </w:r>
      <w:r w:rsidR="002B0089" w:rsidRPr="00E3331A">
        <w:t xml:space="preserve"> third of CIDP patients may be misdiagnosed.</w:t>
      </w:r>
      <w:r w:rsidR="00B742C2" w:rsidRPr="00E3331A">
        <w:t xml:space="preserve"> </w:t>
      </w:r>
      <w:r w:rsidR="00B85C75">
        <w:rPr>
          <w:noProof/>
        </w:rPr>
        <w:t>(DoH 2019a)</w:t>
      </w:r>
      <w:r w:rsidR="00B742C2" w:rsidRPr="00E3331A">
        <w:t>.</w:t>
      </w:r>
    </w:p>
    <w:p w:rsidR="0039165C" w:rsidRPr="00E3331A" w:rsidRDefault="0039165C" w:rsidP="00AA2C7A">
      <w:r w:rsidRPr="00E3331A">
        <w:t xml:space="preserve">A recent systematic review on the incidence and prevalence of CIDP reported a </w:t>
      </w:r>
      <w:r w:rsidR="004B595F" w:rsidRPr="00E3331A">
        <w:t>pooled crude incidence rate of 0.33 per 100,000 (95%</w:t>
      </w:r>
      <w:r w:rsidR="00F965E7" w:rsidRPr="00E3331A">
        <w:t xml:space="preserve"> </w:t>
      </w:r>
      <w:r w:rsidR="004B595F" w:rsidRPr="00E3331A">
        <w:t>CI: 0.21 to 0.53) and a pooled prevalence rate of 2.81 per 100,000 (95%</w:t>
      </w:r>
      <w:r w:rsidR="00F965E7" w:rsidRPr="00E3331A">
        <w:t xml:space="preserve"> </w:t>
      </w:r>
      <w:r w:rsidR="004B595F" w:rsidRPr="00E3331A">
        <w:t>CI: 1.58 to 4.39)</w:t>
      </w:r>
      <w:r w:rsidR="00F965E7" w:rsidRPr="00E3331A">
        <w:t xml:space="preserve"> </w:t>
      </w:r>
      <w:r w:rsidR="00B85C75">
        <w:rPr>
          <w:noProof/>
        </w:rPr>
        <w:t>(Broers et al. 2019)</w:t>
      </w:r>
      <w:r w:rsidR="004B595F" w:rsidRPr="00E3331A">
        <w:t>. An older study investigating the prevalence of CID</w:t>
      </w:r>
      <w:r w:rsidR="00F176C6" w:rsidRPr="00E3331A">
        <w:t>P</w:t>
      </w:r>
      <w:r w:rsidR="004B595F" w:rsidRPr="00E3331A">
        <w:t xml:space="preserve"> in </w:t>
      </w:r>
      <w:r w:rsidR="00F965E7" w:rsidRPr="00E3331A">
        <w:t>NSW</w:t>
      </w:r>
      <w:r w:rsidR="004B595F" w:rsidRPr="00E3331A">
        <w:t xml:space="preserve"> reported a crude prevalence of 1.9 per 100,000</w:t>
      </w:r>
      <w:r w:rsidR="00730A7B" w:rsidRPr="00E3331A">
        <w:t xml:space="preserve"> </w:t>
      </w:r>
      <w:r w:rsidR="00B85C75">
        <w:rPr>
          <w:noProof/>
        </w:rPr>
        <w:t>(McLeod et al. 1999b)</w:t>
      </w:r>
      <w:r w:rsidR="00730A7B" w:rsidRPr="00E3331A">
        <w:t>.</w:t>
      </w:r>
      <w:r w:rsidR="004B595F" w:rsidRPr="00E3331A">
        <w:t xml:space="preserve"> The mean age of onset was 47.6 years (range: 3 to 83 years). Fifty</w:t>
      </w:r>
      <w:r w:rsidR="00591599" w:rsidRPr="00E3331A">
        <w:t>-</w:t>
      </w:r>
      <w:r w:rsidR="004B595F" w:rsidRPr="00E3331A">
        <w:t>one per cent of patients had a relapsing-remitting course of disease and 49</w:t>
      </w:r>
      <w:r w:rsidR="00730A7B" w:rsidRPr="00E3331A">
        <w:t>%</w:t>
      </w:r>
      <w:r w:rsidR="004B595F" w:rsidRPr="00E3331A">
        <w:t xml:space="preserve"> had a non</w:t>
      </w:r>
      <w:r w:rsidR="00591599" w:rsidRPr="00E3331A">
        <w:t>-</w:t>
      </w:r>
      <w:r w:rsidR="004B595F" w:rsidRPr="00E3331A">
        <w:t xml:space="preserve">relapsing-remitting </w:t>
      </w:r>
      <w:r w:rsidR="00730A7B" w:rsidRPr="00E3331A">
        <w:t xml:space="preserve">disease </w:t>
      </w:r>
      <w:r w:rsidR="004B595F" w:rsidRPr="00E3331A">
        <w:t>(chronic progressive, stepwise progressive or subacute onset with remission). Disease duration ranged from 1 to 31 years with a mean of 7.1 (</w:t>
      </w:r>
      <w:r w:rsidR="00821534" w:rsidRPr="00E3331A">
        <w:t xml:space="preserve">SD </w:t>
      </w:r>
      <w:r w:rsidR="004B595F" w:rsidRPr="00E3331A">
        <w:t>7.0)</w:t>
      </w:r>
      <w:r w:rsidR="00841286" w:rsidRPr="00E3331A">
        <w:t xml:space="preserve"> </w:t>
      </w:r>
      <w:r w:rsidR="00B85C75">
        <w:rPr>
          <w:noProof/>
        </w:rPr>
        <w:t>(McLeod et al. 1999b)</w:t>
      </w:r>
      <w:r w:rsidR="00841286" w:rsidRPr="00E3331A">
        <w:t>.</w:t>
      </w:r>
      <w:r w:rsidR="004B595F" w:rsidRPr="00E3331A">
        <w:t xml:space="preserve"> </w:t>
      </w:r>
      <w:r w:rsidR="00ED3919" w:rsidRPr="00E3331A">
        <w:t>The Guillain-Barr</w:t>
      </w:r>
      <w:r w:rsidR="00ED3919" w:rsidRPr="00E3331A">
        <w:rPr>
          <w:rFonts w:ascii="Times New Roman" w:hAnsi="Times New Roman" w:cs="Times New Roman"/>
        </w:rPr>
        <w:t>é</w:t>
      </w:r>
      <w:r w:rsidR="00ED3919" w:rsidRPr="00E3331A">
        <w:t xml:space="preserve"> Syndrome Association of </w:t>
      </w:r>
      <w:r w:rsidR="00841286" w:rsidRPr="00E3331A">
        <w:t>NSW</w:t>
      </w:r>
      <w:r w:rsidR="00ED3919" w:rsidRPr="00E3331A">
        <w:t xml:space="preserve"> </w:t>
      </w:r>
      <w:r w:rsidR="00F176C6" w:rsidRPr="00E3331A">
        <w:t>report</w:t>
      </w:r>
      <w:r w:rsidR="006966FB" w:rsidRPr="00E3331A">
        <w:t>s</w:t>
      </w:r>
      <w:r w:rsidR="00F176C6" w:rsidRPr="00E3331A">
        <w:t xml:space="preserve"> an estimated incidence of CIDP of 12 </w:t>
      </w:r>
      <w:r w:rsidR="006966FB" w:rsidRPr="00E3331A">
        <w:t xml:space="preserve">to </w:t>
      </w:r>
      <w:r w:rsidR="00F176C6" w:rsidRPr="00E3331A">
        <w:t>15 per year and an approximate prevalence of 600 sufferers in any one year in Australia</w:t>
      </w:r>
      <w:r w:rsidR="0037150F" w:rsidRPr="00E3331A">
        <w:t xml:space="preserve"> </w:t>
      </w:r>
      <w:r w:rsidR="00B85C75">
        <w:rPr>
          <w:noProof/>
        </w:rPr>
        <w:t>(GBS NSW 2019)</w:t>
      </w:r>
      <w:r w:rsidR="0037150F" w:rsidRPr="00E3331A">
        <w:t>.</w:t>
      </w:r>
    </w:p>
    <w:p w:rsidR="006C10D5" w:rsidRPr="00E3331A" w:rsidRDefault="006C10D5" w:rsidP="00AA2C7A">
      <w:r w:rsidRPr="00E3331A">
        <w:t>Advice received for the PICO indicated that prevalence estimates using the EFNS</w:t>
      </w:r>
      <w:r w:rsidR="00991F4D" w:rsidRPr="00E3331A">
        <w:t>/PNS</w:t>
      </w:r>
      <w:r w:rsidRPr="00E3331A">
        <w:t xml:space="preserve"> criteria were likely to be the most relevant to the </w:t>
      </w:r>
      <w:r w:rsidR="00991F4D" w:rsidRPr="00E3331A">
        <w:t xml:space="preserve">Australian </w:t>
      </w:r>
      <w:r w:rsidRPr="00E3331A">
        <w:t>clinical setting. Th</w:t>
      </w:r>
      <w:r w:rsidR="000139D3" w:rsidRPr="00E3331A">
        <w:t>us</w:t>
      </w:r>
      <w:r w:rsidR="00444B61" w:rsidRPr="00E3331A">
        <w:t>, estimated CIDP patient numbers in Australia are expected to fall within the range of 578 to 1</w:t>
      </w:r>
      <w:r w:rsidR="000139D3" w:rsidRPr="00E3331A">
        <w:t>,</w:t>
      </w:r>
      <w:r w:rsidR="00444B61" w:rsidRPr="00E3331A">
        <w:t xml:space="preserve">593 patients using upper and lower confidence interval bounds from Rajabaly </w:t>
      </w:r>
      <w:r w:rsidR="00983BA7">
        <w:t xml:space="preserve">et al. </w:t>
      </w:r>
      <w:r w:rsidR="00444B61" w:rsidRPr="00E3331A">
        <w:t xml:space="preserve">(2009) and Mahdi Rogers </w:t>
      </w:r>
      <w:r w:rsidR="00983BA7">
        <w:t xml:space="preserve">et al. </w:t>
      </w:r>
      <w:r w:rsidR="00444B61" w:rsidRPr="00E3331A">
        <w:t>(2014) and including possible, probale and definite cases diagnosed using EFNS</w:t>
      </w:r>
      <w:r w:rsidR="000139D3" w:rsidRPr="00E3331A">
        <w:t>/PNS</w:t>
      </w:r>
      <w:r w:rsidR="00444B61" w:rsidRPr="00E3331A">
        <w:t xml:space="preserve"> criteria.</w:t>
      </w:r>
    </w:p>
    <w:p w:rsidR="00094B91" w:rsidRPr="00E3331A" w:rsidRDefault="00B92791" w:rsidP="00AA2C7A">
      <w:r w:rsidRPr="00E3331A">
        <w:t xml:space="preserve">Since </w:t>
      </w:r>
      <w:r w:rsidR="00094B91" w:rsidRPr="00E3331A">
        <w:t xml:space="preserve">CIDP is already an approved indication for Ig </w:t>
      </w:r>
      <w:r w:rsidR="00EA6E0E" w:rsidRPr="00E3331A">
        <w:t>therapy</w:t>
      </w:r>
      <w:r w:rsidR="00F176C6" w:rsidRPr="00E3331A">
        <w:t xml:space="preserve"> in Australia</w:t>
      </w:r>
      <w:r w:rsidR="001C3249" w:rsidRPr="00E3331A">
        <w:t>,</w:t>
      </w:r>
      <w:r w:rsidR="00EA6E0E" w:rsidRPr="00E3331A">
        <w:t xml:space="preserve"> </w:t>
      </w:r>
      <w:r w:rsidR="001C3249" w:rsidRPr="00E3331A">
        <w:t>d</w:t>
      </w:r>
      <w:r w:rsidR="00094B91" w:rsidRPr="00E3331A">
        <w:t xml:space="preserve">ata </w:t>
      </w:r>
      <w:r w:rsidR="001C3249" w:rsidRPr="00E3331A">
        <w:t xml:space="preserve">is available </w:t>
      </w:r>
      <w:r w:rsidR="00094B91" w:rsidRPr="00E3331A">
        <w:t>on the</w:t>
      </w:r>
      <w:r w:rsidR="00D5775A" w:rsidRPr="00E3331A">
        <w:t xml:space="preserve"> </w:t>
      </w:r>
      <w:r w:rsidR="00094B91" w:rsidRPr="00E3331A">
        <w:t xml:space="preserve">national use of </w:t>
      </w:r>
      <w:r w:rsidR="00820CA2" w:rsidRPr="00E3331A">
        <w:t>Ig</w:t>
      </w:r>
      <w:r w:rsidR="00094B91" w:rsidRPr="00E3331A">
        <w:t xml:space="preserve"> </w:t>
      </w:r>
      <w:r w:rsidR="00F176C6" w:rsidRPr="00E3331A">
        <w:t xml:space="preserve">for CIDP </w:t>
      </w:r>
      <w:r w:rsidRPr="00E3331A">
        <w:t>from</w:t>
      </w:r>
      <w:r w:rsidR="00094B91" w:rsidRPr="00E3331A">
        <w:t xml:space="preserve"> 2011</w:t>
      </w:r>
      <w:r w:rsidRPr="00E3331A">
        <w:t>/</w:t>
      </w:r>
      <w:r w:rsidR="00094B91" w:rsidRPr="00E3331A">
        <w:t>2012</w:t>
      </w:r>
      <w:r w:rsidRPr="00E3331A">
        <w:t xml:space="preserve"> </w:t>
      </w:r>
      <w:r w:rsidR="00094B91" w:rsidRPr="00E3331A">
        <w:t xml:space="preserve">to </w:t>
      </w:r>
      <w:r w:rsidR="00444B61" w:rsidRPr="00E3331A">
        <w:t>2017</w:t>
      </w:r>
      <w:r w:rsidRPr="00E3331A">
        <w:t>/20</w:t>
      </w:r>
      <w:r w:rsidR="00444B61" w:rsidRPr="00E3331A">
        <w:t>18</w:t>
      </w:r>
      <w:r w:rsidR="00094B91" w:rsidRPr="00E3331A">
        <w:t xml:space="preserve"> </w:t>
      </w:r>
      <w:r w:rsidR="001C3249" w:rsidRPr="00E3331A">
        <w:t>(</w:t>
      </w:r>
      <w:r w:rsidR="006F35B9" w:rsidRPr="00E3331A">
        <w:t xml:space="preserve">Table </w:t>
      </w:r>
      <w:r w:rsidR="006F35B9">
        <w:rPr>
          <w:noProof/>
        </w:rPr>
        <w:t>10</w:t>
      </w:r>
      <w:r w:rsidR="001C3249" w:rsidRPr="00E3331A">
        <w:t>)</w:t>
      </w:r>
      <w:r w:rsidR="00D5775A" w:rsidRPr="00E3331A">
        <w:t xml:space="preserve"> and </w:t>
      </w:r>
      <w:r w:rsidR="00F176C6" w:rsidRPr="00E3331A">
        <w:t xml:space="preserve">for </w:t>
      </w:r>
      <w:r w:rsidR="00D5775A" w:rsidRPr="00E3331A">
        <w:t>state</w:t>
      </w:r>
      <w:r w:rsidRPr="00E3331A">
        <w:t>-by-state</w:t>
      </w:r>
      <w:r w:rsidR="00D5775A" w:rsidRPr="00E3331A">
        <w:t xml:space="preserve"> use for 2015 to 2016 (</w:t>
      </w:r>
      <w:r w:rsidR="006F35B9" w:rsidRPr="00E3331A">
        <w:t xml:space="preserve">Table </w:t>
      </w:r>
      <w:r w:rsidR="006F35B9">
        <w:rPr>
          <w:noProof/>
        </w:rPr>
        <w:t>11</w:t>
      </w:r>
      <w:r w:rsidR="0020064E" w:rsidRPr="00E3331A">
        <w:t>)</w:t>
      </w:r>
      <w:r w:rsidR="00820CA2" w:rsidRPr="00E3331A">
        <w:t xml:space="preserve">. It should be noted that the </w:t>
      </w:r>
      <w:r w:rsidR="0016350A" w:rsidRPr="00E3331A">
        <w:t xml:space="preserve">Ig </w:t>
      </w:r>
      <w:r w:rsidR="00820CA2" w:rsidRPr="00E3331A">
        <w:t>data only pertain to IVIg</w:t>
      </w:r>
      <w:r w:rsidR="0016350A" w:rsidRPr="00E3331A">
        <w:t>.</w:t>
      </w:r>
      <w:r w:rsidR="00074788" w:rsidRPr="00E3331A">
        <w:t xml:space="preserve"> </w:t>
      </w:r>
      <w:r w:rsidR="0016350A" w:rsidRPr="00E3331A">
        <w:t>N</w:t>
      </w:r>
      <w:r w:rsidR="002606A3" w:rsidRPr="00E3331A">
        <w:t>o data is available for SCIg as th</w:t>
      </w:r>
      <w:r w:rsidR="0016350A" w:rsidRPr="00E3331A">
        <w:t>is is</w:t>
      </w:r>
      <w:r w:rsidR="002606A3" w:rsidRPr="00E3331A">
        <w:t xml:space="preserve"> currently </w:t>
      </w:r>
      <w:r w:rsidR="0016350A" w:rsidRPr="00E3331A">
        <w:t>un</w:t>
      </w:r>
      <w:r w:rsidR="002606A3" w:rsidRPr="00E3331A">
        <w:t>available for CIDP</w:t>
      </w:r>
      <w:r w:rsidR="00074788" w:rsidRPr="00E3331A">
        <w:t>.</w:t>
      </w:r>
      <w:r w:rsidR="0043538E" w:rsidRPr="00E3331A">
        <w:t xml:space="preserve"> However, the Applicant </w:t>
      </w:r>
      <w:r w:rsidR="00F10E66" w:rsidRPr="00E3331A">
        <w:t>stated</w:t>
      </w:r>
      <w:r w:rsidR="0043538E" w:rsidRPr="00E3331A">
        <w:t xml:space="preserve"> that approval for </w:t>
      </w:r>
      <w:r w:rsidR="005D2675" w:rsidRPr="00E3331A">
        <w:t xml:space="preserve">SCIg </w:t>
      </w:r>
      <w:r w:rsidR="0043538E" w:rsidRPr="00E3331A">
        <w:t>use in CIDP pati</w:t>
      </w:r>
      <w:r w:rsidR="00AC7215" w:rsidRPr="00E3331A">
        <w:t>e</w:t>
      </w:r>
      <w:r w:rsidR="0043538E" w:rsidRPr="00E3331A">
        <w:t xml:space="preserve">nts is said to be probable in the foreseeable future </w:t>
      </w:r>
      <w:r w:rsidR="00AC7215" w:rsidRPr="00E3331A">
        <w:t xml:space="preserve">(Referral </w:t>
      </w:r>
      <w:r w:rsidR="005541CA" w:rsidRPr="00E3331A">
        <w:t>F</w:t>
      </w:r>
      <w:r w:rsidR="00AC7215" w:rsidRPr="00E3331A">
        <w:t>orm, page 4).</w:t>
      </w:r>
      <w:r w:rsidR="00662AB0" w:rsidRPr="00E3331A">
        <w:t xml:space="preserve"> </w:t>
      </w:r>
      <w:r w:rsidR="005D2675" w:rsidRPr="00E3331A">
        <w:t>T</w:t>
      </w:r>
      <w:r w:rsidR="00F10E66" w:rsidRPr="00E3331A">
        <w:t xml:space="preserve">he PICO </w:t>
      </w:r>
      <w:r w:rsidR="005D2675" w:rsidRPr="00E3331A">
        <w:t xml:space="preserve">notes </w:t>
      </w:r>
      <w:r w:rsidR="00F10E66" w:rsidRPr="00E3331A">
        <w:t xml:space="preserve">that </w:t>
      </w:r>
      <w:r w:rsidR="00B00835" w:rsidRPr="00E3331A">
        <w:t xml:space="preserve">according to </w:t>
      </w:r>
      <w:r w:rsidR="00F10E66" w:rsidRPr="00E3331A">
        <w:t>the Reference Group</w:t>
      </w:r>
      <w:r w:rsidR="00B00835" w:rsidRPr="00E3331A">
        <w:t>,</w:t>
      </w:r>
      <w:r w:rsidR="00F10E66" w:rsidRPr="00E3331A">
        <w:t xml:space="preserve"> the introduction of SCIg is not expected to greatly increase the number of patients using Ig to treat CIDP</w:t>
      </w:r>
      <w:r w:rsidR="00B00835" w:rsidRPr="00E3331A">
        <w:t xml:space="preserve"> </w:t>
      </w:r>
      <w:r w:rsidR="00B85C75">
        <w:rPr>
          <w:noProof/>
        </w:rPr>
        <w:t>(DoH 2019a)</w:t>
      </w:r>
      <w:r w:rsidR="00B00835" w:rsidRPr="00E3331A">
        <w:t>.</w:t>
      </w:r>
    </w:p>
    <w:p w:rsidR="00350912" w:rsidRPr="00E3331A" w:rsidRDefault="00350912" w:rsidP="00D5775A">
      <w:pPr>
        <w:pStyle w:val="Caption"/>
        <w:ind w:left="1134" w:hanging="1134"/>
      </w:pPr>
      <w:bookmarkStart w:id="137" w:name="_Ref5626836"/>
      <w:bookmarkStart w:id="138" w:name="_Toc24103316"/>
      <w:r w:rsidRPr="00E3331A">
        <w:t xml:space="preserve">Table </w:t>
      </w:r>
      <w:r w:rsidR="006F35B9">
        <w:rPr>
          <w:noProof/>
        </w:rPr>
        <w:t>10</w:t>
      </w:r>
      <w:bookmarkEnd w:id="137"/>
      <w:r w:rsidR="00345C95" w:rsidRPr="00E3331A">
        <w:t xml:space="preserve"> </w:t>
      </w:r>
      <w:r w:rsidR="00D5775A" w:rsidRPr="00E3331A">
        <w:tab/>
      </w:r>
      <w:r w:rsidRPr="00E3331A">
        <w:t xml:space="preserve">Change in number of patients using IVIg </w:t>
      </w:r>
      <w:r w:rsidR="00D5775A" w:rsidRPr="00E3331A">
        <w:t>for CIDP i</w:t>
      </w:r>
      <w:r w:rsidRPr="00E3331A">
        <w:t>n Australia</w:t>
      </w:r>
      <w:r w:rsidR="00D5775A" w:rsidRPr="00E3331A">
        <w:t xml:space="preserve"> over time</w:t>
      </w:r>
      <w:bookmarkEnd w:id="138"/>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7"/>
        <w:gridCol w:w="1080"/>
        <w:gridCol w:w="1118"/>
        <w:gridCol w:w="1047"/>
        <w:gridCol w:w="1047"/>
        <w:gridCol w:w="1089"/>
        <w:gridCol w:w="946"/>
        <w:gridCol w:w="1274"/>
      </w:tblGrid>
      <w:tr w:rsidR="006C10D5" w:rsidRPr="00E3331A" w:rsidDel="00A134DA" w:rsidTr="003840DD">
        <w:tc>
          <w:tcPr>
            <w:tcW w:w="1296" w:type="dxa"/>
          </w:tcPr>
          <w:p w:rsidR="006C10D5" w:rsidRPr="00E3331A" w:rsidDel="00A134DA" w:rsidRDefault="006C10D5" w:rsidP="00310ADE">
            <w:pPr>
              <w:pStyle w:val="Tabletext1"/>
              <w:rPr>
                <w:b/>
              </w:rPr>
            </w:pPr>
            <w:r w:rsidRPr="00E3331A">
              <w:rPr>
                <w:b/>
              </w:rPr>
              <w:t>Financial year</w:t>
            </w:r>
          </w:p>
        </w:tc>
        <w:tc>
          <w:tcPr>
            <w:tcW w:w="1086" w:type="dxa"/>
          </w:tcPr>
          <w:p w:rsidR="006C10D5" w:rsidRPr="00E3331A" w:rsidDel="00A134DA" w:rsidRDefault="006C10D5" w:rsidP="00310ADE">
            <w:pPr>
              <w:pStyle w:val="Tabletext1"/>
              <w:rPr>
                <w:b/>
              </w:rPr>
            </w:pPr>
            <w:r w:rsidRPr="00E3331A">
              <w:rPr>
                <w:b/>
              </w:rPr>
              <w:t>2011–2012</w:t>
            </w:r>
          </w:p>
        </w:tc>
        <w:tc>
          <w:tcPr>
            <w:tcW w:w="1125" w:type="dxa"/>
          </w:tcPr>
          <w:p w:rsidR="006C10D5" w:rsidRPr="00E3331A" w:rsidDel="00A134DA" w:rsidRDefault="006C10D5" w:rsidP="00310ADE">
            <w:pPr>
              <w:pStyle w:val="Tabletext1"/>
              <w:rPr>
                <w:b/>
              </w:rPr>
            </w:pPr>
            <w:r w:rsidRPr="00E3331A">
              <w:rPr>
                <w:b/>
              </w:rPr>
              <w:t>2012–13</w:t>
            </w:r>
          </w:p>
        </w:tc>
        <w:tc>
          <w:tcPr>
            <w:tcW w:w="1053" w:type="dxa"/>
          </w:tcPr>
          <w:p w:rsidR="006C10D5" w:rsidRPr="00E3331A" w:rsidDel="00A134DA" w:rsidRDefault="006C10D5" w:rsidP="00310ADE">
            <w:pPr>
              <w:pStyle w:val="Tabletext1"/>
              <w:rPr>
                <w:b/>
              </w:rPr>
            </w:pPr>
            <w:r w:rsidRPr="00E3331A">
              <w:rPr>
                <w:b/>
              </w:rPr>
              <w:t>2013–14</w:t>
            </w:r>
          </w:p>
        </w:tc>
        <w:tc>
          <w:tcPr>
            <w:tcW w:w="1053" w:type="dxa"/>
          </w:tcPr>
          <w:p w:rsidR="006C10D5" w:rsidRPr="00E3331A" w:rsidDel="00A134DA" w:rsidRDefault="006C10D5" w:rsidP="00310ADE">
            <w:pPr>
              <w:pStyle w:val="Tabletext1"/>
              <w:rPr>
                <w:b/>
              </w:rPr>
            </w:pPr>
            <w:r w:rsidRPr="00E3331A">
              <w:rPr>
                <w:b/>
              </w:rPr>
              <w:t>2014–15</w:t>
            </w:r>
          </w:p>
        </w:tc>
        <w:tc>
          <w:tcPr>
            <w:tcW w:w="1092" w:type="dxa"/>
          </w:tcPr>
          <w:p w:rsidR="006C10D5" w:rsidRPr="00E3331A" w:rsidRDefault="006C10D5" w:rsidP="00310ADE">
            <w:pPr>
              <w:pStyle w:val="Tabletext1"/>
              <w:rPr>
                <w:b/>
              </w:rPr>
            </w:pPr>
            <w:r w:rsidRPr="00E3331A">
              <w:rPr>
                <w:b/>
              </w:rPr>
              <w:t>2015–16</w:t>
            </w:r>
          </w:p>
        </w:tc>
        <w:tc>
          <w:tcPr>
            <w:tcW w:w="900" w:type="dxa"/>
          </w:tcPr>
          <w:p w:rsidR="006C10D5" w:rsidRPr="00E3331A" w:rsidRDefault="006C10D5" w:rsidP="00310ADE">
            <w:pPr>
              <w:pStyle w:val="Tabletext1"/>
              <w:rPr>
                <w:b/>
              </w:rPr>
            </w:pPr>
            <w:r w:rsidRPr="00E3331A">
              <w:rPr>
                <w:b/>
              </w:rPr>
              <w:t>2017</w:t>
            </w:r>
            <w:r w:rsidR="00323100" w:rsidRPr="00E3331A">
              <w:rPr>
                <w:b/>
              </w:rPr>
              <w:t>–</w:t>
            </w:r>
            <w:r w:rsidRPr="00E3331A">
              <w:rPr>
                <w:b/>
              </w:rPr>
              <w:t>18</w:t>
            </w:r>
          </w:p>
        </w:tc>
        <w:tc>
          <w:tcPr>
            <w:tcW w:w="1283" w:type="dxa"/>
          </w:tcPr>
          <w:p w:rsidR="006C10D5" w:rsidRPr="00E3331A" w:rsidRDefault="006C10D5" w:rsidP="00310ADE">
            <w:pPr>
              <w:pStyle w:val="Tabletext1"/>
              <w:rPr>
                <w:b/>
              </w:rPr>
            </w:pPr>
            <w:r w:rsidRPr="00E3331A">
              <w:rPr>
                <w:b/>
              </w:rPr>
              <w:t>% Change between 201</w:t>
            </w:r>
            <w:r w:rsidR="00444B61" w:rsidRPr="00E3331A">
              <w:rPr>
                <w:b/>
              </w:rPr>
              <w:t>1</w:t>
            </w:r>
            <w:r w:rsidR="00323100" w:rsidRPr="00E3331A">
              <w:rPr>
                <w:b/>
              </w:rPr>
              <w:t>–</w:t>
            </w:r>
            <w:r w:rsidR="00444B61" w:rsidRPr="00E3331A">
              <w:rPr>
                <w:b/>
              </w:rPr>
              <w:t>12</w:t>
            </w:r>
            <w:r w:rsidRPr="00E3331A">
              <w:rPr>
                <w:b/>
              </w:rPr>
              <w:t xml:space="preserve"> to 2017</w:t>
            </w:r>
            <w:r w:rsidR="00323100" w:rsidRPr="00E3331A">
              <w:rPr>
                <w:b/>
              </w:rPr>
              <w:t>–</w:t>
            </w:r>
            <w:r w:rsidRPr="00E3331A">
              <w:rPr>
                <w:b/>
              </w:rPr>
              <w:t>18</w:t>
            </w:r>
          </w:p>
        </w:tc>
      </w:tr>
      <w:tr w:rsidR="006C10D5" w:rsidRPr="00E3331A" w:rsidDel="00A134DA" w:rsidTr="003840DD">
        <w:tc>
          <w:tcPr>
            <w:tcW w:w="1296" w:type="dxa"/>
          </w:tcPr>
          <w:p w:rsidR="006C10D5" w:rsidRPr="00E3331A" w:rsidDel="00A134DA" w:rsidRDefault="006C10D5" w:rsidP="00310ADE">
            <w:pPr>
              <w:pStyle w:val="Tabletext1"/>
            </w:pPr>
            <w:r w:rsidRPr="00E3331A">
              <w:t>Patient number</w:t>
            </w:r>
          </w:p>
        </w:tc>
        <w:tc>
          <w:tcPr>
            <w:tcW w:w="1086" w:type="dxa"/>
          </w:tcPr>
          <w:p w:rsidR="006C10D5" w:rsidRPr="00E3331A" w:rsidDel="00A134DA" w:rsidRDefault="006C10D5" w:rsidP="00310ADE">
            <w:pPr>
              <w:pStyle w:val="Tabletext1"/>
            </w:pPr>
            <w:r w:rsidRPr="00E3331A">
              <w:t>1,551</w:t>
            </w:r>
          </w:p>
        </w:tc>
        <w:tc>
          <w:tcPr>
            <w:tcW w:w="1125" w:type="dxa"/>
          </w:tcPr>
          <w:p w:rsidR="006C10D5" w:rsidRPr="00E3331A" w:rsidDel="00A134DA" w:rsidRDefault="006C10D5" w:rsidP="00310ADE">
            <w:pPr>
              <w:pStyle w:val="Tabletext1"/>
            </w:pPr>
            <w:r w:rsidRPr="00E3331A">
              <w:t>1,753</w:t>
            </w:r>
          </w:p>
        </w:tc>
        <w:tc>
          <w:tcPr>
            <w:tcW w:w="1053" w:type="dxa"/>
          </w:tcPr>
          <w:p w:rsidR="006C10D5" w:rsidRPr="00E3331A" w:rsidDel="00A134DA" w:rsidRDefault="006C10D5" w:rsidP="00310ADE">
            <w:pPr>
              <w:pStyle w:val="Tabletext1"/>
            </w:pPr>
            <w:r w:rsidRPr="00E3331A">
              <w:t>1,903</w:t>
            </w:r>
          </w:p>
        </w:tc>
        <w:tc>
          <w:tcPr>
            <w:tcW w:w="1053" w:type="dxa"/>
          </w:tcPr>
          <w:p w:rsidR="006C10D5" w:rsidRPr="00E3331A" w:rsidDel="00A134DA" w:rsidRDefault="006C10D5" w:rsidP="00310ADE">
            <w:pPr>
              <w:pStyle w:val="Tabletext1"/>
            </w:pPr>
            <w:r w:rsidRPr="00E3331A">
              <w:t>2,054</w:t>
            </w:r>
          </w:p>
        </w:tc>
        <w:tc>
          <w:tcPr>
            <w:tcW w:w="1092" w:type="dxa"/>
          </w:tcPr>
          <w:p w:rsidR="006C10D5" w:rsidRPr="00E3331A" w:rsidDel="00A134DA" w:rsidRDefault="006C10D5" w:rsidP="00310ADE">
            <w:pPr>
              <w:pStyle w:val="Tabletext1"/>
            </w:pPr>
            <w:r w:rsidRPr="00E3331A">
              <w:t>2,250</w:t>
            </w:r>
          </w:p>
        </w:tc>
        <w:tc>
          <w:tcPr>
            <w:tcW w:w="900" w:type="dxa"/>
          </w:tcPr>
          <w:p w:rsidR="006C10D5" w:rsidRPr="00E3331A" w:rsidRDefault="006C10D5" w:rsidP="00310ADE">
            <w:pPr>
              <w:pStyle w:val="Tabletext1"/>
            </w:pPr>
            <w:r w:rsidRPr="00E3331A">
              <w:t>2,595</w:t>
            </w:r>
          </w:p>
        </w:tc>
        <w:tc>
          <w:tcPr>
            <w:tcW w:w="1283" w:type="dxa"/>
          </w:tcPr>
          <w:p w:rsidR="006C10D5" w:rsidRPr="00E3331A" w:rsidRDefault="00444B61" w:rsidP="00310ADE">
            <w:pPr>
              <w:pStyle w:val="Tabletext1"/>
            </w:pPr>
            <w:r w:rsidRPr="00E3331A">
              <w:t>67</w:t>
            </w:r>
            <w:r w:rsidR="006C10D5" w:rsidRPr="00E3331A">
              <w:t>%</w:t>
            </w:r>
          </w:p>
        </w:tc>
      </w:tr>
      <w:tr w:rsidR="006C10D5" w:rsidRPr="00E3331A" w:rsidDel="00A134DA" w:rsidTr="003840DD">
        <w:tc>
          <w:tcPr>
            <w:tcW w:w="1296" w:type="dxa"/>
          </w:tcPr>
          <w:p w:rsidR="006C10D5" w:rsidRPr="00E3331A" w:rsidRDefault="006C10D5" w:rsidP="007835C4">
            <w:pPr>
              <w:pStyle w:val="Tabletext1"/>
            </w:pPr>
            <w:r w:rsidRPr="00E3331A">
              <w:t xml:space="preserve">Total grams </w:t>
            </w:r>
            <w:r w:rsidR="007835C4" w:rsidRPr="00E3331A">
              <w:t xml:space="preserve">Ig </w:t>
            </w:r>
            <w:r w:rsidRPr="00E3331A">
              <w:t>used</w:t>
            </w:r>
          </w:p>
        </w:tc>
        <w:tc>
          <w:tcPr>
            <w:tcW w:w="1086" w:type="dxa"/>
          </w:tcPr>
          <w:p w:rsidR="006C10D5" w:rsidRPr="00E3331A" w:rsidRDefault="006C10D5" w:rsidP="00310ADE">
            <w:pPr>
              <w:pStyle w:val="Tabletext1"/>
            </w:pPr>
            <w:r w:rsidRPr="00E3331A">
              <w:t>677,458</w:t>
            </w:r>
          </w:p>
        </w:tc>
        <w:tc>
          <w:tcPr>
            <w:tcW w:w="1125" w:type="dxa"/>
          </w:tcPr>
          <w:p w:rsidR="006C10D5" w:rsidRPr="00E3331A" w:rsidRDefault="006C10D5" w:rsidP="00310ADE">
            <w:pPr>
              <w:pStyle w:val="Tabletext1"/>
            </w:pPr>
            <w:r w:rsidRPr="00E3331A">
              <w:t>758,271</w:t>
            </w:r>
          </w:p>
        </w:tc>
        <w:tc>
          <w:tcPr>
            <w:tcW w:w="1053" w:type="dxa"/>
          </w:tcPr>
          <w:p w:rsidR="006C10D5" w:rsidRPr="00E3331A" w:rsidRDefault="006C10D5" w:rsidP="00310ADE">
            <w:pPr>
              <w:pStyle w:val="Tabletext1"/>
            </w:pPr>
            <w:r w:rsidRPr="00E3331A">
              <w:t>857,533</w:t>
            </w:r>
          </w:p>
        </w:tc>
        <w:tc>
          <w:tcPr>
            <w:tcW w:w="1053" w:type="dxa"/>
          </w:tcPr>
          <w:p w:rsidR="006C10D5" w:rsidRPr="00E3331A" w:rsidRDefault="006C10D5" w:rsidP="00310ADE">
            <w:pPr>
              <w:pStyle w:val="Tabletext1"/>
            </w:pPr>
            <w:r w:rsidRPr="00E3331A">
              <w:t>974,258</w:t>
            </w:r>
          </w:p>
        </w:tc>
        <w:tc>
          <w:tcPr>
            <w:tcW w:w="1092" w:type="dxa"/>
          </w:tcPr>
          <w:p w:rsidR="006C10D5" w:rsidRPr="00E3331A" w:rsidRDefault="006C10D5" w:rsidP="00310ADE">
            <w:pPr>
              <w:pStyle w:val="Tabletext1"/>
            </w:pPr>
            <w:r w:rsidRPr="00E3331A">
              <w:t>1,071,135</w:t>
            </w:r>
          </w:p>
        </w:tc>
        <w:tc>
          <w:tcPr>
            <w:tcW w:w="900" w:type="dxa"/>
          </w:tcPr>
          <w:p w:rsidR="006C10D5" w:rsidRPr="00E3331A" w:rsidRDefault="006C10D5" w:rsidP="00310ADE">
            <w:pPr>
              <w:pStyle w:val="Tabletext1"/>
            </w:pPr>
            <w:r w:rsidRPr="00E3331A">
              <w:t>1,290,730</w:t>
            </w:r>
          </w:p>
        </w:tc>
        <w:tc>
          <w:tcPr>
            <w:tcW w:w="1283" w:type="dxa"/>
          </w:tcPr>
          <w:p w:rsidR="006C10D5" w:rsidRPr="00E3331A" w:rsidRDefault="00444B61" w:rsidP="00310ADE">
            <w:pPr>
              <w:pStyle w:val="Tabletext1"/>
            </w:pPr>
            <w:r w:rsidRPr="00E3331A">
              <w:t>91</w:t>
            </w:r>
            <w:r w:rsidR="006C10D5" w:rsidRPr="00E3331A">
              <w:t>%</w:t>
            </w:r>
          </w:p>
        </w:tc>
      </w:tr>
    </w:tbl>
    <w:p w:rsidR="00094B91" w:rsidRDefault="0037150F" w:rsidP="0037150F">
      <w:pPr>
        <w:pStyle w:val="Tablenotes1"/>
        <w:rPr>
          <w:noProof/>
        </w:rPr>
      </w:pPr>
      <w:r w:rsidRPr="00E3331A">
        <w:t xml:space="preserve">Source: NBA annual report 2015-16 </w:t>
      </w:r>
      <w:r w:rsidR="00B85C75">
        <w:rPr>
          <w:noProof/>
        </w:rPr>
        <w:t>(NBA 2019b)</w:t>
      </w:r>
    </w:p>
    <w:p w:rsidR="00832A4E" w:rsidRPr="00E3331A" w:rsidRDefault="00832A4E" w:rsidP="003064AE">
      <w:pPr>
        <w:pStyle w:val="Tablenotes1"/>
        <w:ind w:left="0"/>
      </w:pPr>
    </w:p>
    <w:p w:rsidR="003064AE" w:rsidRDefault="003064AE" w:rsidP="00350912">
      <w:pPr>
        <w:pStyle w:val="Caption"/>
        <w:ind w:left="1134" w:hanging="1134"/>
      </w:pPr>
      <w:bookmarkStart w:id="139" w:name="_Ref5626862"/>
      <w:bookmarkStart w:id="140" w:name="_Toc24103317"/>
      <w:r>
        <w:br w:type="page"/>
      </w:r>
    </w:p>
    <w:p w:rsidR="00350912" w:rsidRPr="00E3331A" w:rsidRDefault="00350912" w:rsidP="00350912">
      <w:pPr>
        <w:pStyle w:val="Caption"/>
        <w:ind w:left="1134" w:hanging="1134"/>
      </w:pPr>
      <w:r w:rsidRPr="00E3331A">
        <w:lastRenderedPageBreak/>
        <w:t xml:space="preserve">Table </w:t>
      </w:r>
      <w:r w:rsidR="006F35B9">
        <w:rPr>
          <w:noProof/>
        </w:rPr>
        <w:t>11</w:t>
      </w:r>
      <w:bookmarkEnd w:id="139"/>
      <w:r w:rsidRPr="00E3331A">
        <w:t xml:space="preserve"> </w:t>
      </w:r>
      <w:r w:rsidRPr="00E3331A">
        <w:tab/>
        <w:t>I</w:t>
      </w:r>
      <w:r w:rsidR="00D5775A" w:rsidRPr="00E3331A">
        <w:t>VIg</w:t>
      </w:r>
      <w:r w:rsidRPr="00E3331A">
        <w:t xml:space="preserve"> supply </w:t>
      </w:r>
      <w:r w:rsidR="00D5775A" w:rsidRPr="00E3331A">
        <w:t xml:space="preserve">for CIDP </w:t>
      </w:r>
      <w:r w:rsidRPr="00E3331A">
        <w:t>by state/territory 2015 to 2016</w:t>
      </w:r>
      <w:bookmarkEnd w:id="140"/>
      <w:r w:rsidRPr="00E3331A">
        <w:t xml:space="preserve"> </w:t>
      </w: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2"/>
        <w:gridCol w:w="938"/>
        <w:gridCol w:w="931"/>
        <w:gridCol w:w="903"/>
        <w:gridCol w:w="879"/>
        <w:gridCol w:w="798"/>
        <w:gridCol w:w="809"/>
        <w:gridCol w:w="697"/>
        <w:gridCol w:w="695"/>
        <w:gridCol w:w="946"/>
      </w:tblGrid>
      <w:tr w:rsidR="00350912" w:rsidRPr="00E3331A" w:rsidTr="00F10E66">
        <w:tc>
          <w:tcPr>
            <w:tcW w:w="1275" w:type="dxa"/>
          </w:tcPr>
          <w:p w:rsidR="0043538E" w:rsidRPr="00E3331A" w:rsidDel="00A134DA" w:rsidRDefault="0043538E" w:rsidP="00E8601B">
            <w:pPr>
              <w:pStyle w:val="Tabletext1"/>
              <w:rPr>
                <w:b/>
              </w:rPr>
            </w:pPr>
            <w:r w:rsidRPr="00E3331A">
              <w:rPr>
                <w:b/>
              </w:rPr>
              <w:t>State</w:t>
            </w:r>
          </w:p>
        </w:tc>
        <w:tc>
          <w:tcPr>
            <w:tcW w:w="1020" w:type="dxa"/>
          </w:tcPr>
          <w:p w:rsidR="0043538E" w:rsidRPr="00E3331A" w:rsidDel="00A134DA" w:rsidRDefault="0043538E" w:rsidP="00E8601B">
            <w:pPr>
              <w:pStyle w:val="Tabletext1"/>
              <w:rPr>
                <w:b/>
              </w:rPr>
            </w:pPr>
            <w:r w:rsidRPr="00E3331A">
              <w:rPr>
                <w:b/>
              </w:rPr>
              <w:t>NSW</w:t>
            </w:r>
          </w:p>
        </w:tc>
        <w:tc>
          <w:tcPr>
            <w:tcW w:w="1007" w:type="dxa"/>
          </w:tcPr>
          <w:p w:rsidR="0043538E" w:rsidRPr="00E3331A" w:rsidDel="00A134DA" w:rsidRDefault="0043538E" w:rsidP="00E8601B">
            <w:pPr>
              <w:pStyle w:val="Tabletext1"/>
              <w:rPr>
                <w:b/>
              </w:rPr>
            </w:pPr>
            <w:r w:rsidRPr="00E3331A">
              <w:rPr>
                <w:b/>
              </w:rPr>
              <w:t>VIC</w:t>
            </w:r>
          </w:p>
        </w:tc>
        <w:tc>
          <w:tcPr>
            <w:tcW w:w="961" w:type="dxa"/>
          </w:tcPr>
          <w:p w:rsidR="0043538E" w:rsidRPr="00E3331A" w:rsidDel="00A134DA" w:rsidRDefault="0043538E" w:rsidP="00E8601B">
            <w:pPr>
              <w:pStyle w:val="Tabletext1"/>
              <w:rPr>
                <w:b/>
              </w:rPr>
            </w:pPr>
            <w:r w:rsidRPr="00E3331A">
              <w:rPr>
                <w:b/>
              </w:rPr>
              <w:t>QLD</w:t>
            </w:r>
          </w:p>
        </w:tc>
        <w:tc>
          <w:tcPr>
            <w:tcW w:w="922" w:type="dxa"/>
          </w:tcPr>
          <w:p w:rsidR="0043538E" w:rsidRPr="00E3331A" w:rsidDel="00A134DA" w:rsidRDefault="0043538E" w:rsidP="00E8601B">
            <w:pPr>
              <w:pStyle w:val="Tabletext1"/>
              <w:rPr>
                <w:b/>
              </w:rPr>
            </w:pPr>
            <w:r w:rsidRPr="00E3331A">
              <w:rPr>
                <w:b/>
              </w:rPr>
              <w:t>WA</w:t>
            </w:r>
          </w:p>
        </w:tc>
        <w:tc>
          <w:tcPr>
            <w:tcW w:w="848" w:type="dxa"/>
          </w:tcPr>
          <w:p w:rsidR="0043538E" w:rsidRPr="00E3331A" w:rsidRDefault="0043538E" w:rsidP="00E8601B">
            <w:pPr>
              <w:pStyle w:val="Tabletext1"/>
              <w:rPr>
                <w:b/>
              </w:rPr>
            </w:pPr>
            <w:r w:rsidRPr="00E3331A">
              <w:rPr>
                <w:b/>
              </w:rPr>
              <w:t>SA</w:t>
            </w:r>
          </w:p>
        </w:tc>
        <w:tc>
          <w:tcPr>
            <w:tcW w:w="740" w:type="dxa"/>
          </w:tcPr>
          <w:p w:rsidR="0043538E" w:rsidRPr="00E3331A" w:rsidRDefault="0043538E" w:rsidP="00E8601B">
            <w:pPr>
              <w:pStyle w:val="Tabletext1"/>
              <w:rPr>
                <w:b/>
              </w:rPr>
            </w:pPr>
            <w:r w:rsidRPr="00E3331A">
              <w:rPr>
                <w:b/>
              </w:rPr>
              <w:t>TAS</w:t>
            </w:r>
          </w:p>
        </w:tc>
        <w:tc>
          <w:tcPr>
            <w:tcW w:w="741" w:type="dxa"/>
          </w:tcPr>
          <w:p w:rsidR="0043538E" w:rsidRPr="00E3331A" w:rsidRDefault="0043538E" w:rsidP="00E8601B">
            <w:pPr>
              <w:pStyle w:val="Tabletext1"/>
              <w:rPr>
                <w:b/>
              </w:rPr>
            </w:pPr>
            <w:r w:rsidRPr="00E3331A">
              <w:rPr>
                <w:b/>
              </w:rPr>
              <w:t>ACT</w:t>
            </w:r>
          </w:p>
        </w:tc>
        <w:tc>
          <w:tcPr>
            <w:tcW w:w="737" w:type="dxa"/>
          </w:tcPr>
          <w:p w:rsidR="0043538E" w:rsidRPr="00E3331A" w:rsidRDefault="0043538E" w:rsidP="00E8601B">
            <w:pPr>
              <w:pStyle w:val="Tabletext1"/>
              <w:rPr>
                <w:b/>
              </w:rPr>
            </w:pPr>
            <w:r w:rsidRPr="00E3331A">
              <w:rPr>
                <w:b/>
              </w:rPr>
              <w:t>NT</w:t>
            </w:r>
          </w:p>
        </w:tc>
        <w:tc>
          <w:tcPr>
            <w:tcW w:w="863" w:type="dxa"/>
          </w:tcPr>
          <w:p w:rsidR="0043538E" w:rsidRPr="00E3331A" w:rsidRDefault="0043538E" w:rsidP="00E8601B">
            <w:pPr>
              <w:pStyle w:val="Tabletext1"/>
              <w:rPr>
                <w:b/>
              </w:rPr>
            </w:pPr>
            <w:r w:rsidRPr="00E3331A">
              <w:rPr>
                <w:b/>
              </w:rPr>
              <w:t>National</w:t>
            </w:r>
          </w:p>
        </w:tc>
      </w:tr>
      <w:tr w:rsidR="00350912" w:rsidRPr="00E3331A" w:rsidDel="00A134DA" w:rsidTr="00F10E66">
        <w:tc>
          <w:tcPr>
            <w:tcW w:w="1275" w:type="dxa"/>
          </w:tcPr>
          <w:p w:rsidR="0043538E" w:rsidRPr="00E3331A" w:rsidDel="00A134DA" w:rsidRDefault="0043538E" w:rsidP="00E8601B">
            <w:pPr>
              <w:pStyle w:val="Tabletext1"/>
            </w:pPr>
            <w:r w:rsidRPr="00E3331A">
              <w:t>Patient number</w:t>
            </w:r>
          </w:p>
        </w:tc>
        <w:tc>
          <w:tcPr>
            <w:tcW w:w="1020" w:type="dxa"/>
          </w:tcPr>
          <w:p w:rsidR="0043538E" w:rsidRPr="00E3331A" w:rsidDel="00A134DA" w:rsidRDefault="00F10E66" w:rsidP="00E8601B">
            <w:pPr>
              <w:pStyle w:val="Tabletext1"/>
            </w:pPr>
            <w:r w:rsidRPr="00E3331A">
              <w:t>834</w:t>
            </w:r>
          </w:p>
        </w:tc>
        <w:tc>
          <w:tcPr>
            <w:tcW w:w="1007" w:type="dxa"/>
          </w:tcPr>
          <w:p w:rsidR="0043538E" w:rsidRPr="00E3331A" w:rsidDel="00A134DA" w:rsidRDefault="00F10E66" w:rsidP="00E8601B">
            <w:pPr>
              <w:pStyle w:val="Tabletext1"/>
            </w:pPr>
            <w:r w:rsidRPr="00E3331A">
              <w:t>507</w:t>
            </w:r>
          </w:p>
        </w:tc>
        <w:tc>
          <w:tcPr>
            <w:tcW w:w="961" w:type="dxa"/>
          </w:tcPr>
          <w:p w:rsidR="0043538E" w:rsidRPr="00E3331A" w:rsidDel="00A134DA" w:rsidRDefault="00F10E66" w:rsidP="00E8601B">
            <w:pPr>
              <w:pStyle w:val="Tabletext1"/>
            </w:pPr>
            <w:r w:rsidRPr="00E3331A">
              <w:t>648</w:t>
            </w:r>
          </w:p>
        </w:tc>
        <w:tc>
          <w:tcPr>
            <w:tcW w:w="922" w:type="dxa"/>
          </w:tcPr>
          <w:p w:rsidR="0043538E" w:rsidRPr="00E3331A" w:rsidDel="00A134DA" w:rsidRDefault="00F10E66" w:rsidP="00E8601B">
            <w:pPr>
              <w:pStyle w:val="Tabletext1"/>
            </w:pPr>
            <w:r w:rsidRPr="00E3331A">
              <w:t>130</w:t>
            </w:r>
          </w:p>
        </w:tc>
        <w:tc>
          <w:tcPr>
            <w:tcW w:w="848" w:type="dxa"/>
          </w:tcPr>
          <w:p w:rsidR="0043538E" w:rsidRPr="00E3331A" w:rsidDel="00A134DA" w:rsidRDefault="00F10E66" w:rsidP="00E8601B">
            <w:pPr>
              <w:pStyle w:val="Tabletext1"/>
            </w:pPr>
            <w:r w:rsidRPr="00E3331A">
              <w:t>93</w:t>
            </w:r>
          </w:p>
        </w:tc>
        <w:tc>
          <w:tcPr>
            <w:tcW w:w="740" w:type="dxa"/>
          </w:tcPr>
          <w:p w:rsidR="0043538E" w:rsidRPr="00E3331A" w:rsidDel="00A134DA" w:rsidRDefault="00F10E66" w:rsidP="00E8601B">
            <w:pPr>
              <w:pStyle w:val="Tabletext1"/>
            </w:pPr>
            <w:r w:rsidRPr="00E3331A">
              <w:t>36</w:t>
            </w:r>
          </w:p>
        </w:tc>
        <w:tc>
          <w:tcPr>
            <w:tcW w:w="741" w:type="dxa"/>
          </w:tcPr>
          <w:p w:rsidR="0043538E" w:rsidRPr="00E3331A" w:rsidDel="00A134DA" w:rsidRDefault="00F10E66" w:rsidP="00E8601B">
            <w:pPr>
              <w:pStyle w:val="Tabletext1"/>
            </w:pPr>
            <w:r w:rsidRPr="00E3331A">
              <w:t>32</w:t>
            </w:r>
          </w:p>
        </w:tc>
        <w:tc>
          <w:tcPr>
            <w:tcW w:w="737" w:type="dxa"/>
          </w:tcPr>
          <w:p w:rsidR="0043538E" w:rsidRPr="00E3331A" w:rsidDel="00A134DA" w:rsidRDefault="00F10E66" w:rsidP="00E8601B">
            <w:pPr>
              <w:pStyle w:val="Tabletext1"/>
            </w:pPr>
            <w:r w:rsidRPr="00E3331A">
              <w:t>15</w:t>
            </w:r>
          </w:p>
        </w:tc>
        <w:tc>
          <w:tcPr>
            <w:tcW w:w="863" w:type="dxa"/>
          </w:tcPr>
          <w:p w:rsidR="0043538E" w:rsidRPr="00E3331A" w:rsidDel="00A134DA" w:rsidRDefault="00F10E66" w:rsidP="00E8601B">
            <w:pPr>
              <w:pStyle w:val="Tabletext1"/>
            </w:pPr>
            <w:r w:rsidRPr="00E3331A">
              <w:t>2,250</w:t>
            </w:r>
          </w:p>
        </w:tc>
      </w:tr>
      <w:tr w:rsidR="00350912" w:rsidRPr="00E3331A" w:rsidDel="00A134DA" w:rsidTr="00F10E66">
        <w:tc>
          <w:tcPr>
            <w:tcW w:w="1275" w:type="dxa"/>
          </w:tcPr>
          <w:p w:rsidR="0043538E" w:rsidRPr="00E3331A" w:rsidRDefault="00312680" w:rsidP="00E8601B">
            <w:pPr>
              <w:pStyle w:val="Tabletext1"/>
            </w:pPr>
            <w:r w:rsidRPr="00E3331A">
              <w:t>g</w:t>
            </w:r>
            <w:r w:rsidR="00F10E66" w:rsidRPr="00E3331A">
              <w:t>rams</w:t>
            </w:r>
          </w:p>
        </w:tc>
        <w:tc>
          <w:tcPr>
            <w:tcW w:w="1020" w:type="dxa"/>
          </w:tcPr>
          <w:p w:rsidR="0043538E" w:rsidRPr="00E3331A" w:rsidDel="00A134DA" w:rsidRDefault="00350912" w:rsidP="00E8601B">
            <w:pPr>
              <w:pStyle w:val="Tabletext1"/>
            </w:pPr>
            <w:r w:rsidRPr="00E3331A">
              <w:t>363,767</w:t>
            </w:r>
          </w:p>
        </w:tc>
        <w:tc>
          <w:tcPr>
            <w:tcW w:w="1007" w:type="dxa"/>
          </w:tcPr>
          <w:p w:rsidR="0043538E" w:rsidRPr="00E3331A" w:rsidDel="00A134DA" w:rsidRDefault="00350912" w:rsidP="00E8601B">
            <w:pPr>
              <w:pStyle w:val="Tabletext1"/>
            </w:pPr>
            <w:r w:rsidRPr="00E3331A">
              <w:t>248,735</w:t>
            </w:r>
          </w:p>
        </w:tc>
        <w:tc>
          <w:tcPr>
            <w:tcW w:w="961" w:type="dxa"/>
          </w:tcPr>
          <w:p w:rsidR="0043538E" w:rsidRPr="00E3331A" w:rsidDel="00A134DA" w:rsidRDefault="00350912" w:rsidP="00E8601B">
            <w:pPr>
              <w:pStyle w:val="Tabletext1"/>
            </w:pPr>
            <w:r w:rsidRPr="00E3331A">
              <w:t>277,894</w:t>
            </w:r>
          </w:p>
        </w:tc>
        <w:tc>
          <w:tcPr>
            <w:tcW w:w="922" w:type="dxa"/>
          </w:tcPr>
          <w:p w:rsidR="0043538E" w:rsidRPr="00E3331A" w:rsidDel="00A134DA" w:rsidRDefault="00350912" w:rsidP="00E8601B">
            <w:pPr>
              <w:pStyle w:val="Tabletext1"/>
            </w:pPr>
            <w:r w:rsidRPr="00E3331A">
              <w:t>104,920</w:t>
            </w:r>
          </w:p>
        </w:tc>
        <w:tc>
          <w:tcPr>
            <w:tcW w:w="848" w:type="dxa"/>
          </w:tcPr>
          <w:p w:rsidR="0043538E" w:rsidRPr="00E3331A" w:rsidDel="00A134DA" w:rsidRDefault="00350912" w:rsidP="00E8601B">
            <w:pPr>
              <w:pStyle w:val="Tabletext1"/>
            </w:pPr>
            <w:r w:rsidRPr="00E3331A">
              <w:t>40,008</w:t>
            </w:r>
          </w:p>
        </w:tc>
        <w:tc>
          <w:tcPr>
            <w:tcW w:w="740" w:type="dxa"/>
          </w:tcPr>
          <w:p w:rsidR="0043538E" w:rsidRPr="00E3331A" w:rsidDel="00A134DA" w:rsidRDefault="00350912" w:rsidP="00E8601B">
            <w:pPr>
              <w:pStyle w:val="Tabletext1"/>
            </w:pPr>
            <w:r w:rsidRPr="00E3331A">
              <w:t>196,416</w:t>
            </w:r>
          </w:p>
        </w:tc>
        <w:tc>
          <w:tcPr>
            <w:tcW w:w="741" w:type="dxa"/>
          </w:tcPr>
          <w:p w:rsidR="0043538E" w:rsidRPr="00E3331A" w:rsidDel="00A134DA" w:rsidRDefault="00350912" w:rsidP="00E8601B">
            <w:pPr>
              <w:pStyle w:val="Tabletext1"/>
            </w:pPr>
            <w:r w:rsidRPr="00E3331A">
              <w:t>9,843</w:t>
            </w:r>
          </w:p>
        </w:tc>
        <w:tc>
          <w:tcPr>
            <w:tcW w:w="737" w:type="dxa"/>
          </w:tcPr>
          <w:p w:rsidR="0043538E" w:rsidRPr="00E3331A" w:rsidDel="00A134DA" w:rsidRDefault="00350912" w:rsidP="00E8601B">
            <w:pPr>
              <w:pStyle w:val="Tabletext1"/>
            </w:pPr>
            <w:r w:rsidRPr="00E3331A">
              <w:t>6,557</w:t>
            </w:r>
          </w:p>
        </w:tc>
        <w:tc>
          <w:tcPr>
            <w:tcW w:w="863" w:type="dxa"/>
          </w:tcPr>
          <w:p w:rsidR="0043538E" w:rsidRPr="00E3331A" w:rsidDel="00A134DA" w:rsidRDefault="00350912" w:rsidP="00E8601B">
            <w:pPr>
              <w:pStyle w:val="Tabletext1"/>
            </w:pPr>
            <w:r w:rsidRPr="00E3331A">
              <w:t>1,071,135</w:t>
            </w:r>
          </w:p>
        </w:tc>
      </w:tr>
      <w:tr w:rsidR="00350912" w:rsidRPr="00E3331A" w:rsidDel="00A134DA" w:rsidTr="00F10E66">
        <w:tc>
          <w:tcPr>
            <w:tcW w:w="1275" w:type="dxa"/>
          </w:tcPr>
          <w:p w:rsidR="00F10E66" w:rsidRPr="00E3331A" w:rsidRDefault="00312680" w:rsidP="00F10E66">
            <w:pPr>
              <w:pStyle w:val="Tabletext1"/>
            </w:pPr>
            <w:r w:rsidRPr="00E3331A">
              <w:t>g</w:t>
            </w:r>
            <w:r w:rsidR="00F10E66" w:rsidRPr="00E3331A">
              <w:t>rams/</w:t>
            </w:r>
            <w:r w:rsidRPr="00E3331A">
              <w:t>e</w:t>
            </w:r>
            <w:r w:rsidR="00F10E66" w:rsidRPr="00E3331A">
              <w:t>pisode</w:t>
            </w:r>
          </w:p>
        </w:tc>
        <w:tc>
          <w:tcPr>
            <w:tcW w:w="1020" w:type="dxa"/>
          </w:tcPr>
          <w:p w:rsidR="00F10E66" w:rsidRPr="00E3331A" w:rsidDel="00A134DA" w:rsidRDefault="00350912" w:rsidP="00F10E66">
            <w:pPr>
              <w:pStyle w:val="Tabletext1"/>
            </w:pPr>
            <w:r w:rsidRPr="00E3331A">
              <w:t>39</w:t>
            </w:r>
          </w:p>
        </w:tc>
        <w:tc>
          <w:tcPr>
            <w:tcW w:w="1007" w:type="dxa"/>
          </w:tcPr>
          <w:p w:rsidR="00F10E66" w:rsidRPr="00E3331A" w:rsidDel="00A134DA" w:rsidRDefault="00350912" w:rsidP="00F10E66">
            <w:pPr>
              <w:pStyle w:val="Tabletext1"/>
            </w:pPr>
            <w:r w:rsidRPr="00E3331A">
              <w:t>38</w:t>
            </w:r>
          </w:p>
        </w:tc>
        <w:tc>
          <w:tcPr>
            <w:tcW w:w="961" w:type="dxa"/>
          </w:tcPr>
          <w:p w:rsidR="00F10E66" w:rsidRPr="00E3331A" w:rsidDel="00A134DA" w:rsidRDefault="00350912" w:rsidP="00F10E66">
            <w:pPr>
              <w:pStyle w:val="Tabletext1"/>
            </w:pPr>
            <w:r w:rsidRPr="00E3331A">
              <w:t>34</w:t>
            </w:r>
          </w:p>
        </w:tc>
        <w:tc>
          <w:tcPr>
            <w:tcW w:w="922" w:type="dxa"/>
          </w:tcPr>
          <w:p w:rsidR="00F10E66" w:rsidRPr="00E3331A" w:rsidDel="00A134DA" w:rsidRDefault="00350912" w:rsidP="00F10E66">
            <w:pPr>
              <w:pStyle w:val="Tabletext1"/>
            </w:pPr>
            <w:r w:rsidRPr="00E3331A">
              <w:t>64</w:t>
            </w:r>
          </w:p>
        </w:tc>
        <w:tc>
          <w:tcPr>
            <w:tcW w:w="848" w:type="dxa"/>
          </w:tcPr>
          <w:p w:rsidR="00F10E66" w:rsidRPr="00E3331A" w:rsidDel="00A134DA" w:rsidRDefault="00350912" w:rsidP="00F10E66">
            <w:pPr>
              <w:pStyle w:val="Tabletext1"/>
            </w:pPr>
            <w:r w:rsidRPr="00E3331A">
              <w:t>45</w:t>
            </w:r>
          </w:p>
        </w:tc>
        <w:tc>
          <w:tcPr>
            <w:tcW w:w="740" w:type="dxa"/>
          </w:tcPr>
          <w:p w:rsidR="00F10E66" w:rsidRPr="00E3331A" w:rsidDel="00A134DA" w:rsidRDefault="00350912" w:rsidP="00F10E66">
            <w:pPr>
              <w:pStyle w:val="Tabletext1"/>
            </w:pPr>
            <w:r w:rsidRPr="00E3331A">
              <w:t>39</w:t>
            </w:r>
          </w:p>
        </w:tc>
        <w:tc>
          <w:tcPr>
            <w:tcW w:w="741" w:type="dxa"/>
          </w:tcPr>
          <w:p w:rsidR="00F10E66" w:rsidRPr="00E3331A" w:rsidDel="00A134DA" w:rsidRDefault="00350912" w:rsidP="00F10E66">
            <w:pPr>
              <w:pStyle w:val="Tabletext1"/>
            </w:pPr>
            <w:r w:rsidRPr="00E3331A">
              <w:t>32</w:t>
            </w:r>
          </w:p>
        </w:tc>
        <w:tc>
          <w:tcPr>
            <w:tcW w:w="737" w:type="dxa"/>
          </w:tcPr>
          <w:p w:rsidR="00F10E66" w:rsidRPr="00E3331A" w:rsidDel="00A134DA" w:rsidRDefault="00350912" w:rsidP="00F10E66">
            <w:pPr>
              <w:pStyle w:val="Tabletext1"/>
            </w:pPr>
            <w:r w:rsidRPr="00E3331A">
              <w:t>42</w:t>
            </w:r>
          </w:p>
        </w:tc>
        <w:tc>
          <w:tcPr>
            <w:tcW w:w="863" w:type="dxa"/>
          </w:tcPr>
          <w:p w:rsidR="00F10E66" w:rsidRPr="00E3331A" w:rsidDel="00A134DA" w:rsidRDefault="00350912" w:rsidP="00F10E66">
            <w:pPr>
              <w:pStyle w:val="Tabletext1"/>
            </w:pPr>
            <w:r w:rsidRPr="00E3331A">
              <w:t>39</w:t>
            </w:r>
          </w:p>
        </w:tc>
      </w:tr>
      <w:tr w:rsidR="00350912" w:rsidRPr="00E3331A" w:rsidDel="00A134DA" w:rsidTr="00F10E66">
        <w:tc>
          <w:tcPr>
            <w:tcW w:w="1275" w:type="dxa"/>
          </w:tcPr>
          <w:p w:rsidR="00F10E66" w:rsidRPr="00E3331A" w:rsidRDefault="00312680" w:rsidP="00F10E66">
            <w:pPr>
              <w:pStyle w:val="Tabletext1"/>
            </w:pPr>
            <w:r w:rsidRPr="00E3331A">
              <w:t>g</w:t>
            </w:r>
            <w:r w:rsidR="00F10E66" w:rsidRPr="00E3331A">
              <w:t>rams per 1,000</w:t>
            </w:r>
          </w:p>
        </w:tc>
        <w:tc>
          <w:tcPr>
            <w:tcW w:w="1020" w:type="dxa"/>
          </w:tcPr>
          <w:p w:rsidR="00F10E66" w:rsidRPr="00E3331A" w:rsidDel="00A134DA" w:rsidRDefault="00350912" w:rsidP="00F10E66">
            <w:pPr>
              <w:pStyle w:val="Tabletext1"/>
            </w:pPr>
            <w:r w:rsidRPr="00E3331A">
              <w:t>47</w:t>
            </w:r>
          </w:p>
        </w:tc>
        <w:tc>
          <w:tcPr>
            <w:tcW w:w="1007" w:type="dxa"/>
          </w:tcPr>
          <w:p w:rsidR="00F10E66" w:rsidRPr="00E3331A" w:rsidDel="00A134DA" w:rsidRDefault="00350912" w:rsidP="00F10E66">
            <w:pPr>
              <w:pStyle w:val="Tabletext1"/>
            </w:pPr>
            <w:r w:rsidRPr="00E3331A">
              <w:t>41</w:t>
            </w:r>
          </w:p>
        </w:tc>
        <w:tc>
          <w:tcPr>
            <w:tcW w:w="961" w:type="dxa"/>
          </w:tcPr>
          <w:p w:rsidR="00F10E66" w:rsidRPr="00E3331A" w:rsidDel="00A134DA" w:rsidRDefault="00350912" w:rsidP="00F10E66">
            <w:pPr>
              <w:pStyle w:val="Tabletext1"/>
            </w:pPr>
            <w:r w:rsidRPr="00E3331A">
              <w:t>58</w:t>
            </w:r>
          </w:p>
        </w:tc>
        <w:tc>
          <w:tcPr>
            <w:tcW w:w="922" w:type="dxa"/>
          </w:tcPr>
          <w:p w:rsidR="00F10E66" w:rsidRPr="00E3331A" w:rsidDel="00A134DA" w:rsidRDefault="00350912" w:rsidP="00F10E66">
            <w:pPr>
              <w:pStyle w:val="Tabletext1"/>
            </w:pPr>
            <w:r w:rsidRPr="00E3331A">
              <w:t>40</w:t>
            </w:r>
          </w:p>
        </w:tc>
        <w:tc>
          <w:tcPr>
            <w:tcW w:w="848" w:type="dxa"/>
          </w:tcPr>
          <w:p w:rsidR="00F10E66" w:rsidRPr="00E3331A" w:rsidDel="00A134DA" w:rsidRDefault="00350912" w:rsidP="00F10E66">
            <w:pPr>
              <w:pStyle w:val="Tabletext1"/>
            </w:pPr>
            <w:r w:rsidRPr="00E3331A">
              <w:t>23</w:t>
            </w:r>
          </w:p>
        </w:tc>
        <w:tc>
          <w:tcPr>
            <w:tcW w:w="740" w:type="dxa"/>
          </w:tcPr>
          <w:p w:rsidR="00F10E66" w:rsidRPr="00E3331A" w:rsidDel="00A134DA" w:rsidRDefault="00350912" w:rsidP="00F10E66">
            <w:pPr>
              <w:pStyle w:val="Tabletext1"/>
            </w:pPr>
            <w:r w:rsidRPr="00E3331A">
              <w:t>38</w:t>
            </w:r>
          </w:p>
        </w:tc>
        <w:tc>
          <w:tcPr>
            <w:tcW w:w="741" w:type="dxa"/>
          </w:tcPr>
          <w:p w:rsidR="00F10E66" w:rsidRPr="00E3331A" w:rsidDel="00A134DA" w:rsidRDefault="00350912" w:rsidP="00F10E66">
            <w:pPr>
              <w:pStyle w:val="Tabletext1"/>
            </w:pPr>
            <w:r w:rsidRPr="00E3331A">
              <w:t>25</w:t>
            </w:r>
          </w:p>
        </w:tc>
        <w:tc>
          <w:tcPr>
            <w:tcW w:w="737" w:type="dxa"/>
          </w:tcPr>
          <w:p w:rsidR="00F10E66" w:rsidRPr="00E3331A" w:rsidDel="00A134DA" w:rsidRDefault="00350912" w:rsidP="00F10E66">
            <w:pPr>
              <w:pStyle w:val="Tabletext1"/>
            </w:pPr>
            <w:r w:rsidRPr="00E3331A">
              <w:t>27</w:t>
            </w:r>
          </w:p>
        </w:tc>
        <w:tc>
          <w:tcPr>
            <w:tcW w:w="863" w:type="dxa"/>
          </w:tcPr>
          <w:p w:rsidR="00F10E66" w:rsidRPr="00E3331A" w:rsidDel="00A134DA" w:rsidRDefault="00350912" w:rsidP="00F10E66">
            <w:pPr>
              <w:pStyle w:val="Tabletext1"/>
            </w:pPr>
            <w:r w:rsidRPr="00E3331A">
              <w:t>45</w:t>
            </w:r>
          </w:p>
        </w:tc>
      </w:tr>
    </w:tbl>
    <w:p w:rsidR="0037150F" w:rsidRPr="00E3331A" w:rsidRDefault="0037150F" w:rsidP="0037150F">
      <w:pPr>
        <w:pStyle w:val="Tablenotes1"/>
      </w:pPr>
      <w:r w:rsidRPr="00E3331A">
        <w:t xml:space="preserve">Source: Source: NBA annual report 2015-16 </w:t>
      </w:r>
      <w:r w:rsidR="00B85C75">
        <w:rPr>
          <w:noProof/>
        </w:rPr>
        <w:t>(NBA 2019b)</w:t>
      </w:r>
    </w:p>
    <w:p w:rsidR="0043538E" w:rsidRPr="00E3331A" w:rsidRDefault="00444B61" w:rsidP="0037150F">
      <w:pPr>
        <w:pStyle w:val="Tablenotes1"/>
      </w:pPr>
      <w:r w:rsidRPr="00E3331A">
        <w:t>Note: I</w:t>
      </w:r>
      <w:r w:rsidR="00312680" w:rsidRPr="00E3331A">
        <w:t>V</w:t>
      </w:r>
      <w:r w:rsidRPr="00E3331A">
        <w:t xml:space="preserve">Ig supply by state for the 2017-18 time period was not available. </w:t>
      </w:r>
    </w:p>
    <w:p w:rsidR="00B63821" w:rsidRPr="00E3331A" w:rsidRDefault="00B63821" w:rsidP="00AA2C7A">
      <w:r w:rsidRPr="00E3331A">
        <w:t xml:space="preserve">There appears to be a discrepancy between the current number of patients using Ig for CIDP (as reported in </w:t>
      </w:r>
      <w:r w:rsidR="006F35B9" w:rsidRPr="00E3331A">
        <w:t xml:space="preserve">Table </w:t>
      </w:r>
      <w:r w:rsidR="006F35B9">
        <w:rPr>
          <w:noProof/>
        </w:rPr>
        <w:t>10</w:t>
      </w:r>
      <w:r w:rsidRPr="00E3331A">
        <w:t xml:space="preserve">) and data on the prevalence of CIDP. Expert advice is that the reason for </w:t>
      </w:r>
      <w:bookmarkStart w:id="141" w:name="_Hlk14183278"/>
      <w:r w:rsidRPr="00E3331A">
        <w:t xml:space="preserve">this </w:t>
      </w:r>
      <w:r w:rsidR="00A423BE" w:rsidRPr="00E3331A">
        <w:t>is</w:t>
      </w:r>
      <w:r w:rsidRPr="00E3331A">
        <w:t xml:space="preserve"> likely multifaceted and may be due to prevalence studies using </w:t>
      </w:r>
      <w:r w:rsidR="008A53B5" w:rsidRPr="00E3331A">
        <w:t xml:space="preserve">a </w:t>
      </w:r>
      <w:r w:rsidRPr="00E3331A">
        <w:t>narrow</w:t>
      </w:r>
      <w:r w:rsidR="008A53B5" w:rsidRPr="00E3331A">
        <w:t>er</w:t>
      </w:r>
      <w:r w:rsidRPr="00E3331A">
        <w:t xml:space="preserve"> set of criteria for CIDP diagnosis than </w:t>
      </w:r>
      <w:r w:rsidR="00045A06" w:rsidRPr="00E3331A">
        <w:t>t</w:t>
      </w:r>
      <w:r w:rsidRPr="00E3331A">
        <w:t>hat used in clinical practice</w:t>
      </w:r>
      <w:r w:rsidR="00045A06" w:rsidRPr="00E3331A">
        <w:t>, and</w:t>
      </w:r>
      <w:r w:rsidRPr="00E3331A">
        <w:t xml:space="preserve"> patients </w:t>
      </w:r>
      <w:r w:rsidR="00045A06" w:rsidRPr="00E3331A">
        <w:t xml:space="preserve">being </w:t>
      </w:r>
      <w:r w:rsidRPr="00E3331A">
        <w:t>misdiagnosed with CIDP</w:t>
      </w:r>
      <w:r w:rsidR="00045A06" w:rsidRPr="00E3331A">
        <w:t xml:space="preserve"> such as</w:t>
      </w:r>
      <w:r w:rsidRPr="00E3331A">
        <w:t xml:space="preserve"> patients with non-CIDP autoimmune neuropathies being labelled as having CIDP</w:t>
      </w:r>
      <w:bookmarkEnd w:id="141"/>
      <w:r w:rsidR="003B776D" w:rsidRPr="00E3331A">
        <w:t xml:space="preserve"> </w:t>
      </w:r>
      <w:r w:rsidR="00B85C75">
        <w:rPr>
          <w:noProof/>
        </w:rPr>
        <w:t>(Expert Neurologist 2019)</w:t>
      </w:r>
      <w:r w:rsidR="003B776D" w:rsidRPr="00E3331A">
        <w:t>.</w:t>
      </w:r>
      <w:r w:rsidRPr="00E3331A">
        <w:t xml:space="preserve"> This issue is further discussed in Section C of this Assessment.</w:t>
      </w:r>
    </w:p>
    <w:p w:rsidR="005602D3" w:rsidRPr="00E3331A" w:rsidRDefault="005602D3" w:rsidP="003E4E1F">
      <w:pPr>
        <w:pStyle w:val="Heading2"/>
        <w:numPr>
          <w:ilvl w:val="0"/>
          <w:numId w:val="8"/>
        </w:numPr>
      </w:pPr>
      <w:bookmarkStart w:id="142" w:name="_Toc24103438"/>
      <w:r w:rsidRPr="00E3331A">
        <w:t>Comparator</w:t>
      </w:r>
      <w:bookmarkEnd w:id="133"/>
      <w:bookmarkEnd w:id="134"/>
      <w:r w:rsidR="00106705" w:rsidRPr="00E3331A">
        <w:t xml:space="preserve"> D</w:t>
      </w:r>
      <w:r w:rsidRPr="00E3331A">
        <w:t>etails</w:t>
      </w:r>
      <w:bookmarkEnd w:id="142"/>
    </w:p>
    <w:p w:rsidR="00EA42EA" w:rsidRPr="00E3331A" w:rsidRDefault="00EE6428" w:rsidP="00DF343F">
      <w:pPr>
        <w:jc w:val="both"/>
      </w:pPr>
      <w:r w:rsidRPr="00E3331A">
        <w:t>C</w:t>
      </w:r>
      <w:r w:rsidR="00EA42EA" w:rsidRPr="00E3331A">
        <w:t>omparators to Ig agreed upon in the PICO</w:t>
      </w:r>
      <w:r w:rsidR="00CF3478" w:rsidRPr="00E3331A">
        <w:t xml:space="preserve"> </w:t>
      </w:r>
      <w:r w:rsidR="00B85C75">
        <w:rPr>
          <w:noProof/>
        </w:rPr>
        <w:t>(DoH 2019a)</w:t>
      </w:r>
      <w:r w:rsidR="00CF3478" w:rsidRPr="00E3331A">
        <w:t xml:space="preserve"> </w:t>
      </w:r>
      <w:r w:rsidR="00A423BE" w:rsidRPr="00E3331A">
        <w:t>are</w:t>
      </w:r>
      <w:r w:rsidR="00EA42EA" w:rsidRPr="00E3331A">
        <w:t>:</w:t>
      </w:r>
    </w:p>
    <w:p w:rsidR="00EA42EA" w:rsidRPr="00E3331A" w:rsidRDefault="00EA42EA" w:rsidP="001F5B33">
      <w:pPr>
        <w:pStyle w:val="ColorfulList-Accent11"/>
        <w:numPr>
          <w:ilvl w:val="0"/>
          <w:numId w:val="19"/>
        </w:numPr>
        <w:jc w:val="both"/>
      </w:pPr>
      <w:r w:rsidRPr="00E3331A">
        <w:t>Steroids (oral and IV)</w:t>
      </w:r>
    </w:p>
    <w:p w:rsidR="00EA42EA" w:rsidRPr="00E3331A" w:rsidRDefault="00EA42EA" w:rsidP="001F5B33">
      <w:pPr>
        <w:pStyle w:val="ColorfulList-Accent11"/>
        <w:numPr>
          <w:ilvl w:val="0"/>
          <w:numId w:val="19"/>
        </w:numPr>
        <w:jc w:val="both"/>
      </w:pPr>
      <w:r w:rsidRPr="00E3331A">
        <w:t>Plasma exchange</w:t>
      </w:r>
    </w:p>
    <w:p w:rsidR="00EA42EA" w:rsidRPr="00E3331A" w:rsidRDefault="00EA42EA" w:rsidP="001F5B33">
      <w:pPr>
        <w:pStyle w:val="ColorfulList-Accent11"/>
        <w:numPr>
          <w:ilvl w:val="0"/>
          <w:numId w:val="19"/>
        </w:numPr>
        <w:jc w:val="both"/>
      </w:pPr>
      <w:r w:rsidRPr="00E3331A">
        <w:t>Immunosuppressant and/or immunomodulatory drugs and therapies</w:t>
      </w:r>
      <w:r w:rsidR="003B09AB">
        <w:t xml:space="preserve">, </w:t>
      </w:r>
      <w:r w:rsidRPr="00E3331A">
        <w:t>not including steroids</w:t>
      </w:r>
      <w:r w:rsidR="003B09AB">
        <w:t xml:space="preserve"> or Ig (this comparator is referred to as immunosuppressants in this report, or by specific drug name</w:t>
      </w:r>
      <w:r w:rsidR="001B576E">
        <w:t>)</w:t>
      </w:r>
    </w:p>
    <w:p w:rsidR="00EA42EA" w:rsidRPr="00E3331A" w:rsidRDefault="00EA42EA" w:rsidP="001F5B33">
      <w:pPr>
        <w:pStyle w:val="ColorfulList-Accent11"/>
        <w:numPr>
          <w:ilvl w:val="0"/>
          <w:numId w:val="19"/>
        </w:numPr>
        <w:jc w:val="both"/>
      </w:pPr>
      <w:r w:rsidRPr="00E3331A">
        <w:t>A combination of two or more of the above therapies</w:t>
      </w:r>
    </w:p>
    <w:p w:rsidR="00EA42EA" w:rsidRPr="00E3331A" w:rsidRDefault="00EA42EA" w:rsidP="001F5B33">
      <w:pPr>
        <w:pStyle w:val="ColorfulList-Accent11"/>
        <w:numPr>
          <w:ilvl w:val="0"/>
          <w:numId w:val="19"/>
        </w:numPr>
        <w:jc w:val="both"/>
      </w:pPr>
      <w:r w:rsidRPr="00E3331A">
        <w:t xml:space="preserve">No active treatment, </w:t>
      </w:r>
      <w:r w:rsidR="007B04D3">
        <w:t>n</w:t>
      </w:r>
      <w:r w:rsidRPr="00E3331A">
        <w:t>o Ig</w:t>
      </w:r>
    </w:p>
    <w:p w:rsidR="00EA42EA" w:rsidRPr="00E3331A" w:rsidRDefault="00AB4A5A" w:rsidP="009848E3">
      <w:pPr>
        <w:pStyle w:val="Heading3"/>
      </w:pPr>
      <w:bookmarkStart w:id="143" w:name="_Toc24103439"/>
      <w:r w:rsidRPr="00E3331A">
        <w:t>Steroids (oral and IV)</w:t>
      </w:r>
      <w:bookmarkEnd w:id="143"/>
    </w:p>
    <w:p w:rsidR="0072687B" w:rsidRPr="00E3331A" w:rsidRDefault="00A94D36" w:rsidP="00DF343F">
      <w:pPr>
        <w:jc w:val="both"/>
      </w:pPr>
      <w:r w:rsidRPr="00E3331A">
        <w:t>Corticosteroids</w:t>
      </w:r>
      <w:r w:rsidR="0054130E" w:rsidRPr="00E3331A">
        <w:t xml:space="preserve">, which work by suppressing the immune system </w:t>
      </w:r>
      <w:r w:rsidR="00B85C75">
        <w:rPr>
          <w:noProof/>
        </w:rPr>
        <w:t>(Hughes et al. 2017)</w:t>
      </w:r>
      <w:r w:rsidR="0054130E" w:rsidRPr="00E3331A">
        <w:t>,</w:t>
      </w:r>
      <w:r w:rsidRPr="00E3331A">
        <w:t xml:space="preserve"> are frequently used as</w:t>
      </w:r>
      <w:r w:rsidR="009848E3" w:rsidRPr="00E3331A">
        <w:t xml:space="preserve"> a</w:t>
      </w:r>
      <w:r w:rsidRPr="00E3331A">
        <w:t xml:space="preserve"> first-line treatment of CIDP</w:t>
      </w:r>
      <w:r w:rsidR="00A64545" w:rsidRPr="00E3331A">
        <w:t xml:space="preserve"> and have a long history of use in its management</w:t>
      </w:r>
      <w:r w:rsidR="00A158CC" w:rsidRPr="00E3331A">
        <w:t xml:space="preserve"> </w:t>
      </w:r>
      <w:r w:rsidR="00B85C75">
        <w:rPr>
          <w:noProof/>
        </w:rPr>
        <w:t>(Dyck and Tracy 2018; Ryan and Ryan 2018)</w:t>
      </w:r>
      <w:r w:rsidR="00A158CC" w:rsidRPr="00E3331A">
        <w:t>.</w:t>
      </w:r>
      <w:r w:rsidR="00A64545" w:rsidRPr="00E3331A">
        <w:t xml:space="preserve"> </w:t>
      </w:r>
      <w:r w:rsidR="0029014A" w:rsidRPr="00E3331A">
        <w:t>A range of corticosteroid types and dosing regimens (</w:t>
      </w:r>
      <w:r w:rsidR="008C7308" w:rsidRPr="00E3331A">
        <w:t xml:space="preserve">e.g. </w:t>
      </w:r>
      <w:r w:rsidR="003E629B" w:rsidRPr="00E3331A">
        <w:t xml:space="preserve">daily </w:t>
      </w:r>
      <w:r w:rsidR="0080393E" w:rsidRPr="00E3331A">
        <w:t>and alternate</w:t>
      </w:r>
      <w:r w:rsidR="00952AB7" w:rsidRPr="00E3331A">
        <w:t>-</w:t>
      </w:r>
      <w:r w:rsidR="0080393E" w:rsidRPr="00E3331A">
        <w:t xml:space="preserve">day oral, weekly </w:t>
      </w:r>
      <w:r w:rsidR="0029014A" w:rsidRPr="00E3331A">
        <w:t xml:space="preserve">pulsed </w:t>
      </w:r>
      <w:r w:rsidR="0080393E" w:rsidRPr="00E3331A">
        <w:t>oral, weekly or monthly pulsed intravenous</w:t>
      </w:r>
      <w:r w:rsidR="0029014A" w:rsidRPr="00E3331A">
        <w:t xml:space="preserve">) </w:t>
      </w:r>
      <w:r w:rsidR="007C1085" w:rsidRPr="00E3331A">
        <w:t>have been used</w:t>
      </w:r>
      <w:r w:rsidR="0029014A" w:rsidRPr="00E3331A">
        <w:t xml:space="preserve"> in the management of CIDP</w:t>
      </w:r>
      <w:r w:rsidR="00A158CC" w:rsidRPr="00E3331A">
        <w:t xml:space="preserve"> </w:t>
      </w:r>
      <w:r w:rsidR="00B85C75">
        <w:rPr>
          <w:noProof/>
        </w:rPr>
        <w:t>(Lewis 2019b; van Lieverloo et al. 2018)</w:t>
      </w:r>
      <w:r w:rsidR="00A158CC" w:rsidRPr="00E3331A">
        <w:t>.</w:t>
      </w:r>
      <w:r w:rsidR="007C1085" w:rsidRPr="00E3331A">
        <w:t xml:space="preserve"> </w:t>
      </w:r>
      <w:r w:rsidR="00A158CC" w:rsidRPr="00E3331A">
        <w:t>T</w:t>
      </w:r>
      <w:r w:rsidR="007C1085" w:rsidRPr="00E3331A">
        <w:t xml:space="preserve">he PICO </w:t>
      </w:r>
      <w:r w:rsidR="00A158CC" w:rsidRPr="00E3331A">
        <w:t xml:space="preserve">stated </w:t>
      </w:r>
      <w:r w:rsidR="007C1085" w:rsidRPr="00E3331A">
        <w:t>that expert advice indicated no standard dosing regimen</w:t>
      </w:r>
      <w:r w:rsidR="00834EEB" w:rsidRPr="00E3331A">
        <w:t>s</w:t>
      </w:r>
      <w:r w:rsidR="007C1085" w:rsidRPr="00E3331A">
        <w:t xml:space="preserve"> exist</w:t>
      </w:r>
      <w:r w:rsidR="00A06784" w:rsidRPr="00E3331A">
        <w:t>,</w:t>
      </w:r>
      <w:r w:rsidR="007C1085" w:rsidRPr="00E3331A">
        <w:t xml:space="preserve"> however, an example of a steroid prescription </w:t>
      </w:r>
      <w:r w:rsidR="00A06784" w:rsidRPr="00E3331A">
        <w:t xml:space="preserve">for </w:t>
      </w:r>
      <w:r w:rsidR="007C1085" w:rsidRPr="00E3331A">
        <w:t>CIDP</w:t>
      </w:r>
      <w:r w:rsidR="0029014A" w:rsidRPr="00E3331A">
        <w:t xml:space="preserve"> </w:t>
      </w:r>
      <w:r w:rsidR="007C1085" w:rsidRPr="00E3331A">
        <w:t>in Australia would likely involve initial high doses (e.g., prednisone at 40m</w:t>
      </w:r>
      <w:r w:rsidR="008C7308" w:rsidRPr="00E3331A">
        <w:t>g per day for two months) with a gradual reduction until the minimum effective dose is reached</w:t>
      </w:r>
      <w:r w:rsidR="00CF3478" w:rsidRPr="00E3331A">
        <w:t xml:space="preserve"> </w:t>
      </w:r>
      <w:r w:rsidR="00B85C75">
        <w:rPr>
          <w:noProof/>
        </w:rPr>
        <w:t>(DoH 2019a)</w:t>
      </w:r>
      <w:r w:rsidR="008C7308" w:rsidRPr="00E3331A">
        <w:t xml:space="preserve">. </w:t>
      </w:r>
    </w:p>
    <w:p w:rsidR="00AB4A5A" w:rsidRPr="00E3331A" w:rsidRDefault="00C338B8" w:rsidP="00DF343F">
      <w:pPr>
        <w:jc w:val="both"/>
      </w:pPr>
      <w:r w:rsidRPr="00E3331A">
        <w:t xml:space="preserve">The </w:t>
      </w:r>
      <w:r w:rsidR="0072687B" w:rsidRPr="00E3331A">
        <w:t>Applicant</w:t>
      </w:r>
      <w:r w:rsidRPr="00E3331A">
        <w:t xml:space="preserve"> noted that there are</w:t>
      </w:r>
      <w:r w:rsidR="0072687B" w:rsidRPr="00E3331A">
        <w:t xml:space="preserve"> </w:t>
      </w:r>
      <w:r w:rsidRPr="00E3331A">
        <w:t xml:space="preserve">four glucocorticoids </w:t>
      </w:r>
      <w:r w:rsidR="00D66F53" w:rsidRPr="00E3331A">
        <w:t>relevant for consideration as comparators</w:t>
      </w:r>
      <w:r w:rsidR="00A64545" w:rsidRPr="00E3331A">
        <w:t xml:space="preserve"> to Ig</w:t>
      </w:r>
      <w:r w:rsidR="005A6F2E" w:rsidRPr="00E3331A">
        <w:t>:</w:t>
      </w:r>
      <w:r w:rsidR="00A94D36" w:rsidRPr="00E3331A">
        <w:t xml:space="preserve"> prednisone, prednisolone, dexamethasone and methylprednisolone</w:t>
      </w:r>
      <w:r w:rsidR="0072687B" w:rsidRPr="00E3331A">
        <w:t xml:space="preserve"> (Referral Form, page 37)</w:t>
      </w:r>
      <w:r w:rsidR="0029014A" w:rsidRPr="00E3331A">
        <w:t>.</w:t>
      </w:r>
      <w:r w:rsidR="00D66F53" w:rsidRPr="00E3331A">
        <w:t xml:space="preserve"> All four are listed on the </w:t>
      </w:r>
      <w:r w:rsidR="00B918CB" w:rsidRPr="00E3331A">
        <w:t>PBS. Their details</w:t>
      </w:r>
      <w:r w:rsidR="00590547" w:rsidRPr="00E3331A">
        <w:t xml:space="preserve">, as provided in the PICO, </w:t>
      </w:r>
      <w:r w:rsidR="00B918CB" w:rsidRPr="00E3331A">
        <w:t xml:space="preserve">are </w:t>
      </w:r>
      <w:r w:rsidR="00EE48D9" w:rsidRPr="00E3331A">
        <w:t>outlined</w:t>
      </w:r>
      <w:r w:rsidR="00D66F53" w:rsidRPr="00E3331A">
        <w:t xml:space="preserve"> </w:t>
      </w:r>
      <w:r w:rsidR="00B918CB" w:rsidRPr="00E3331A">
        <w:t xml:space="preserve">in </w:t>
      </w:r>
      <w:r w:rsidR="006F35B9" w:rsidRPr="00E3331A">
        <w:t xml:space="preserve">Table </w:t>
      </w:r>
      <w:r w:rsidR="006F35B9">
        <w:rPr>
          <w:noProof/>
        </w:rPr>
        <w:t>12</w:t>
      </w:r>
      <w:r w:rsidR="00CF3478" w:rsidRPr="00E3331A">
        <w:t xml:space="preserve"> </w:t>
      </w:r>
      <w:r w:rsidR="00B85C75">
        <w:rPr>
          <w:noProof/>
        </w:rPr>
        <w:t>(DoH 2019a)</w:t>
      </w:r>
      <w:r w:rsidR="00CF3478" w:rsidRPr="00E3331A">
        <w:t>.</w:t>
      </w:r>
      <w:r w:rsidR="0029014A" w:rsidRPr="00E3331A">
        <w:t xml:space="preserve"> </w:t>
      </w:r>
    </w:p>
    <w:p w:rsidR="007D2548" w:rsidRPr="00E3331A" w:rsidRDefault="007D2548" w:rsidP="00BB381C">
      <w:pPr>
        <w:pStyle w:val="Caption"/>
        <w:tabs>
          <w:tab w:val="left" w:pos="1134"/>
        </w:tabs>
        <w:ind w:left="1134" w:hanging="1134"/>
        <w:jc w:val="both"/>
      </w:pPr>
      <w:bookmarkStart w:id="144" w:name="_Ref350151252"/>
      <w:bookmarkStart w:id="145" w:name="_Ref350151231"/>
      <w:bookmarkStart w:id="146" w:name="_Toc350258536"/>
      <w:bookmarkStart w:id="147" w:name="_Toc381969860"/>
      <w:bookmarkStart w:id="148" w:name="_Toc24103318"/>
      <w:r w:rsidRPr="00E3331A">
        <w:lastRenderedPageBreak/>
        <w:t xml:space="preserve">Table </w:t>
      </w:r>
      <w:r w:rsidR="006F35B9">
        <w:rPr>
          <w:noProof/>
        </w:rPr>
        <w:t>12</w:t>
      </w:r>
      <w:bookmarkEnd w:id="144"/>
      <w:r w:rsidRPr="00E3331A">
        <w:rPr>
          <w:noProof/>
        </w:rPr>
        <w:tab/>
      </w:r>
      <w:bookmarkEnd w:id="145"/>
      <w:bookmarkEnd w:id="146"/>
      <w:bookmarkEnd w:id="147"/>
      <w:r w:rsidR="000261CA" w:rsidRPr="00E3331A">
        <w:t>Corticosteroids listed on the PBS</w:t>
      </w:r>
      <w:r w:rsidR="00CF3478" w:rsidRPr="00E3331A">
        <w:t xml:space="preserve"> </w:t>
      </w:r>
      <w:r w:rsidR="000261CA" w:rsidRPr="00E3331A">
        <w:t>and subsidised for CIDP</w:t>
      </w:r>
      <w:r w:rsidR="00BA1F36" w:rsidRPr="00E3331A">
        <w:t xml:space="preserve"> </w:t>
      </w:r>
      <w:r w:rsidR="00590547" w:rsidRPr="00E3331A">
        <w:t>according to the Applicant</w:t>
      </w:r>
      <w:bookmarkEnd w:id="14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3567"/>
        <w:gridCol w:w="1127"/>
        <w:gridCol w:w="2660"/>
      </w:tblGrid>
      <w:tr w:rsidR="001F79B5" w:rsidRPr="00E3331A" w:rsidTr="009848E3">
        <w:trPr>
          <w:trHeight w:val="335"/>
        </w:trPr>
        <w:tc>
          <w:tcPr>
            <w:tcW w:w="1560" w:type="dxa"/>
          </w:tcPr>
          <w:p w:rsidR="001F79B5" w:rsidRPr="00E3331A" w:rsidRDefault="001F79B5" w:rsidP="00B426FF">
            <w:pPr>
              <w:pStyle w:val="Tabletext1"/>
              <w:rPr>
                <w:b/>
                <w:sz w:val="18"/>
                <w:szCs w:val="18"/>
              </w:rPr>
            </w:pPr>
            <w:bookmarkStart w:id="149" w:name="_Hlk8205467"/>
            <w:r w:rsidRPr="00E3331A">
              <w:rPr>
                <w:b/>
                <w:sz w:val="18"/>
                <w:szCs w:val="18"/>
              </w:rPr>
              <w:t>Generic name</w:t>
            </w:r>
          </w:p>
        </w:tc>
        <w:tc>
          <w:tcPr>
            <w:tcW w:w="3685" w:type="dxa"/>
          </w:tcPr>
          <w:p w:rsidR="001F79B5" w:rsidRPr="00E3331A" w:rsidRDefault="001F79B5" w:rsidP="00B426FF">
            <w:pPr>
              <w:pStyle w:val="Tabletext1"/>
              <w:rPr>
                <w:b/>
                <w:sz w:val="18"/>
                <w:szCs w:val="18"/>
              </w:rPr>
            </w:pPr>
            <w:r w:rsidRPr="00E3331A">
              <w:rPr>
                <w:b/>
                <w:sz w:val="18"/>
                <w:szCs w:val="18"/>
              </w:rPr>
              <w:t>Available brand</w:t>
            </w:r>
          </w:p>
        </w:tc>
        <w:tc>
          <w:tcPr>
            <w:tcW w:w="1134" w:type="dxa"/>
          </w:tcPr>
          <w:p w:rsidR="001F79B5" w:rsidRPr="00E3331A" w:rsidRDefault="001F79B5" w:rsidP="00B426FF">
            <w:pPr>
              <w:pStyle w:val="Tabletext1"/>
              <w:rPr>
                <w:b/>
                <w:sz w:val="18"/>
                <w:szCs w:val="18"/>
              </w:rPr>
            </w:pPr>
            <w:r w:rsidRPr="00E3331A">
              <w:rPr>
                <w:b/>
                <w:sz w:val="18"/>
                <w:szCs w:val="18"/>
              </w:rPr>
              <w:t>PBS restriction</w:t>
            </w:r>
          </w:p>
        </w:tc>
        <w:tc>
          <w:tcPr>
            <w:tcW w:w="2758" w:type="dxa"/>
          </w:tcPr>
          <w:p w:rsidR="001F79B5" w:rsidRPr="00E3331A" w:rsidRDefault="001F79B5" w:rsidP="00B426FF">
            <w:pPr>
              <w:pStyle w:val="Tabletext1"/>
              <w:rPr>
                <w:b/>
                <w:sz w:val="18"/>
                <w:szCs w:val="18"/>
              </w:rPr>
            </w:pPr>
            <w:r w:rsidRPr="00E3331A">
              <w:rPr>
                <w:b/>
                <w:sz w:val="18"/>
                <w:szCs w:val="18"/>
              </w:rPr>
              <w:t>Code and prescriber number</w:t>
            </w:r>
          </w:p>
        </w:tc>
      </w:tr>
      <w:tr w:rsidR="001F79B5" w:rsidRPr="00E3331A" w:rsidTr="009848E3">
        <w:tc>
          <w:tcPr>
            <w:tcW w:w="1560" w:type="dxa"/>
          </w:tcPr>
          <w:p w:rsidR="001F79B5" w:rsidRPr="00E3331A" w:rsidRDefault="001F79B5" w:rsidP="00B426FF">
            <w:pPr>
              <w:pStyle w:val="Tabletext1"/>
              <w:rPr>
                <w:sz w:val="18"/>
                <w:szCs w:val="18"/>
              </w:rPr>
            </w:pPr>
            <w:r w:rsidRPr="00E3331A">
              <w:rPr>
                <w:sz w:val="18"/>
                <w:szCs w:val="18"/>
              </w:rPr>
              <w:t>Prednisone</w:t>
            </w:r>
          </w:p>
          <w:p w:rsidR="001F79B5" w:rsidRPr="00E3331A" w:rsidRDefault="001F79B5" w:rsidP="00B426FF">
            <w:pPr>
              <w:pStyle w:val="Tabletext1"/>
              <w:rPr>
                <w:sz w:val="18"/>
                <w:szCs w:val="18"/>
              </w:rPr>
            </w:pPr>
          </w:p>
        </w:tc>
        <w:tc>
          <w:tcPr>
            <w:tcW w:w="3685" w:type="dxa"/>
          </w:tcPr>
          <w:p w:rsidR="001F79B5" w:rsidRPr="00E3331A" w:rsidRDefault="001F79B5" w:rsidP="00B426FF">
            <w:pPr>
              <w:pStyle w:val="Tabletext1"/>
              <w:rPr>
                <w:sz w:val="18"/>
                <w:szCs w:val="18"/>
              </w:rPr>
            </w:pPr>
            <w:r w:rsidRPr="00E3331A">
              <w:rPr>
                <w:sz w:val="18"/>
                <w:szCs w:val="18"/>
              </w:rPr>
              <w:t>1 &amp; 5 mg tablets (Predsone &amp; Panafcort)</w:t>
            </w:r>
          </w:p>
          <w:p w:rsidR="001F79B5" w:rsidRPr="00E3331A" w:rsidRDefault="001F79B5" w:rsidP="00B426FF">
            <w:pPr>
              <w:pStyle w:val="Tabletext1"/>
              <w:rPr>
                <w:sz w:val="18"/>
                <w:szCs w:val="18"/>
              </w:rPr>
            </w:pPr>
            <w:r w:rsidRPr="00E3331A">
              <w:rPr>
                <w:sz w:val="18"/>
                <w:szCs w:val="18"/>
              </w:rPr>
              <w:t>25 mg tablet (Panafcort &amp; Sone)</w:t>
            </w:r>
          </w:p>
        </w:tc>
        <w:tc>
          <w:tcPr>
            <w:tcW w:w="1134" w:type="dxa"/>
          </w:tcPr>
          <w:p w:rsidR="001F79B5" w:rsidRPr="00E3331A" w:rsidRDefault="001F79B5" w:rsidP="00B426FF">
            <w:pPr>
              <w:pStyle w:val="Tabletext1"/>
              <w:rPr>
                <w:sz w:val="18"/>
                <w:szCs w:val="18"/>
              </w:rPr>
            </w:pPr>
            <w:r w:rsidRPr="00E3331A">
              <w:rPr>
                <w:sz w:val="18"/>
                <w:szCs w:val="18"/>
              </w:rPr>
              <w:t>Unrestricted</w:t>
            </w:r>
          </w:p>
        </w:tc>
        <w:tc>
          <w:tcPr>
            <w:tcW w:w="2758" w:type="dxa"/>
          </w:tcPr>
          <w:p w:rsidR="001F79B5" w:rsidRPr="00E3331A" w:rsidRDefault="001F79B5" w:rsidP="00B426FF">
            <w:pPr>
              <w:pStyle w:val="Tabletext1"/>
              <w:rPr>
                <w:sz w:val="18"/>
                <w:szCs w:val="18"/>
              </w:rPr>
            </w:pPr>
            <w:r w:rsidRPr="00E3331A">
              <w:rPr>
                <w:sz w:val="18"/>
                <w:szCs w:val="18"/>
              </w:rPr>
              <w:t>1934T (1 mg tablet, 100)</w:t>
            </w:r>
          </w:p>
          <w:p w:rsidR="001F79B5" w:rsidRPr="00E3331A" w:rsidRDefault="001F79B5" w:rsidP="00B426FF">
            <w:pPr>
              <w:pStyle w:val="Tabletext1"/>
              <w:rPr>
                <w:sz w:val="18"/>
                <w:szCs w:val="18"/>
              </w:rPr>
            </w:pPr>
            <w:r w:rsidRPr="00E3331A">
              <w:rPr>
                <w:sz w:val="18"/>
                <w:szCs w:val="18"/>
              </w:rPr>
              <w:t>1935W (5 mg tablet, 60)</w:t>
            </w:r>
          </w:p>
          <w:p w:rsidR="001F79B5" w:rsidRPr="00E3331A" w:rsidRDefault="001F79B5" w:rsidP="00B426FF">
            <w:pPr>
              <w:pStyle w:val="Tabletext1"/>
              <w:rPr>
                <w:sz w:val="18"/>
                <w:szCs w:val="18"/>
              </w:rPr>
            </w:pPr>
            <w:r w:rsidRPr="00E3331A">
              <w:rPr>
                <w:sz w:val="18"/>
                <w:szCs w:val="18"/>
              </w:rPr>
              <w:t>1936W (25 mg tablet, 30)</w:t>
            </w:r>
          </w:p>
        </w:tc>
      </w:tr>
      <w:tr w:rsidR="001F79B5" w:rsidRPr="00E3331A" w:rsidTr="009848E3">
        <w:tc>
          <w:tcPr>
            <w:tcW w:w="1560" w:type="dxa"/>
          </w:tcPr>
          <w:p w:rsidR="001F79B5" w:rsidRPr="00E3331A" w:rsidRDefault="001F79B5" w:rsidP="00B426FF">
            <w:pPr>
              <w:pStyle w:val="Tabletext1"/>
              <w:rPr>
                <w:sz w:val="18"/>
                <w:szCs w:val="18"/>
              </w:rPr>
            </w:pPr>
            <w:r w:rsidRPr="00E3331A">
              <w:rPr>
                <w:sz w:val="18"/>
                <w:szCs w:val="18"/>
              </w:rPr>
              <w:t>Prednisolone</w:t>
            </w:r>
          </w:p>
        </w:tc>
        <w:tc>
          <w:tcPr>
            <w:tcW w:w="3685" w:type="dxa"/>
          </w:tcPr>
          <w:p w:rsidR="001F79B5" w:rsidRPr="00E3331A" w:rsidRDefault="001F79B5" w:rsidP="00B426FF">
            <w:pPr>
              <w:pStyle w:val="Tabletext1"/>
              <w:rPr>
                <w:sz w:val="18"/>
                <w:szCs w:val="18"/>
              </w:rPr>
            </w:pPr>
            <w:r w:rsidRPr="00E3331A">
              <w:rPr>
                <w:sz w:val="18"/>
                <w:szCs w:val="18"/>
              </w:rPr>
              <w:t>1 mg tablet (Predsolone &amp; Panafcortelone)</w:t>
            </w:r>
          </w:p>
          <w:p w:rsidR="001F79B5" w:rsidRPr="00E3331A" w:rsidRDefault="001F79B5" w:rsidP="00554DFF">
            <w:pPr>
              <w:pStyle w:val="Tabletext1"/>
              <w:rPr>
                <w:sz w:val="18"/>
                <w:szCs w:val="18"/>
              </w:rPr>
            </w:pPr>
            <w:r w:rsidRPr="00E3331A">
              <w:rPr>
                <w:sz w:val="18"/>
                <w:szCs w:val="18"/>
              </w:rPr>
              <w:t>5 &amp; 25 mg tablets (Panafcortelone &amp; Solone)</w:t>
            </w:r>
          </w:p>
        </w:tc>
        <w:tc>
          <w:tcPr>
            <w:tcW w:w="1134" w:type="dxa"/>
          </w:tcPr>
          <w:p w:rsidR="001F79B5" w:rsidRPr="00E3331A" w:rsidRDefault="001F79B5" w:rsidP="00B426FF">
            <w:pPr>
              <w:pStyle w:val="Tabletext1"/>
              <w:rPr>
                <w:sz w:val="18"/>
                <w:szCs w:val="18"/>
              </w:rPr>
            </w:pPr>
            <w:r w:rsidRPr="00E3331A">
              <w:rPr>
                <w:sz w:val="18"/>
                <w:szCs w:val="18"/>
              </w:rPr>
              <w:t>Unrestricted</w:t>
            </w:r>
          </w:p>
        </w:tc>
        <w:tc>
          <w:tcPr>
            <w:tcW w:w="2758" w:type="dxa"/>
          </w:tcPr>
          <w:p w:rsidR="001F79B5" w:rsidRPr="00E3331A" w:rsidRDefault="001F79B5" w:rsidP="00B426FF">
            <w:pPr>
              <w:pStyle w:val="Tabletext1"/>
              <w:rPr>
                <w:sz w:val="18"/>
                <w:szCs w:val="18"/>
              </w:rPr>
            </w:pPr>
            <w:r w:rsidRPr="00E3331A">
              <w:rPr>
                <w:sz w:val="18"/>
                <w:szCs w:val="18"/>
              </w:rPr>
              <w:t>3152X (1 mg tablet, 100)</w:t>
            </w:r>
          </w:p>
          <w:p w:rsidR="001F79B5" w:rsidRPr="00E3331A" w:rsidRDefault="001F79B5" w:rsidP="00B426FF">
            <w:pPr>
              <w:pStyle w:val="Tabletext1"/>
              <w:rPr>
                <w:sz w:val="18"/>
                <w:szCs w:val="18"/>
              </w:rPr>
            </w:pPr>
            <w:r w:rsidRPr="00E3331A">
              <w:rPr>
                <w:sz w:val="18"/>
                <w:szCs w:val="18"/>
              </w:rPr>
              <w:t>1917X (5 mg tablet, 60)</w:t>
            </w:r>
          </w:p>
          <w:p w:rsidR="001F79B5" w:rsidRPr="00E3331A" w:rsidRDefault="001F79B5" w:rsidP="00B426FF">
            <w:pPr>
              <w:pStyle w:val="Tabletext1"/>
              <w:rPr>
                <w:sz w:val="18"/>
                <w:szCs w:val="18"/>
              </w:rPr>
            </w:pPr>
            <w:r w:rsidRPr="00E3331A">
              <w:rPr>
                <w:sz w:val="18"/>
                <w:szCs w:val="18"/>
              </w:rPr>
              <w:t>1916W (25 mg tablet, 30)</w:t>
            </w:r>
          </w:p>
        </w:tc>
      </w:tr>
      <w:tr w:rsidR="001F79B5" w:rsidRPr="00E3331A" w:rsidTr="009848E3">
        <w:tc>
          <w:tcPr>
            <w:tcW w:w="1560" w:type="dxa"/>
          </w:tcPr>
          <w:p w:rsidR="001F79B5" w:rsidRPr="00E3331A" w:rsidRDefault="001F79B5" w:rsidP="00B426FF">
            <w:pPr>
              <w:pStyle w:val="Tabletext1"/>
              <w:rPr>
                <w:sz w:val="18"/>
                <w:szCs w:val="18"/>
              </w:rPr>
            </w:pPr>
            <w:r w:rsidRPr="00E3331A">
              <w:rPr>
                <w:sz w:val="18"/>
                <w:szCs w:val="18"/>
              </w:rPr>
              <w:t xml:space="preserve">Dexamethasone </w:t>
            </w:r>
          </w:p>
        </w:tc>
        <w:tc>
          <w:tcPr>
            <w:tcW w:w="3685" w:type="dxa"/>
          </w:tcPr>
          <w:p w:rsidR="001F79B5" w:rsidRPr="00E3331A" w:rsidRDefault="001F79B5" w:rsidP="00B426FF">
            <w:pPr>
              <w:pStyle w:val="Tabletext1"/>
              <w:rPr>
                <w:sz w:val="18"/>
                <w:szCs w:val="18"/>
              </w:rPr>
            </w:pPr>
            <w:r w:rsidRPr="00E3331A">
              <w:rPr>
                <w:sz w:val="18"/>
                <w:szCs w:val="18"/>
              </w:rPr>
              <w:t>0.5 mg &amp; 4 mg tablet (Dexmethsone)</w:t>
            </w:r>
          </w:p>
          <w:p w:rsidR="001F79B5" w:rsidRPr="00E3331A" w:rsidRDefault="001F79B5" w:rsidP="00B426FF">
            <w:pPr>
              <w:pStyle w:val="Tabletext1"/>
              <w:rPr>
                <w:sz w:val="18"/>
                <w:szCs w:val="18"/>
              </w:rPr>
            </w:pPr>
          </w:p>
        </w:tc>
        <w:tc>
          <w:tcPr>
            <w:tcW w:w="1134" w:type="dxa"/>
          </w:tcPr>
          <w:p w:rsidR="001F79B5" w:rsidRPr="00E3331A" w:rsidRDefault="001F79B5" w:rsidP="00B426FF">
            <w:pPr>
              <w:pStyle w:val="Tabletext1"/>
              <w:rPr>
                <w:sz w:val="18"/>
                <w:szCs w:val="18"/>
              </w:rPr>
            </w:pPr>
            <w:r w:rsidRPr="00E3331A">
              <w:rPr>
                <w:sz w:val="18"/>
                <w:szCs w:val="18"/>
              </w:rPr>
              <w:t>Unrestricted</w:t>
            </w:r>
          </w:p>
        </w:tc>
        <w:tc>
          <w:tcPr>
            <w:tcW w:w="2758" w:type="dxa"/>
          </w:tcPr>
          <w:p w:rsidR="001F79B5" w:rsidRPr="00E3331A" w:rsidRDefault="001F79B5" w:rsidP="00B426FF">
            <w:pPr>
              <w:pStyle w:val="Tabletext1"/>
              <w:rPr>
                <w:sz w:val="18"/>
                <w:szCs w:val="18"/>
              </w:rPr>
            </w:pPr>
            <w:r w:rsidRPr="00E3331A">
              <w:rPr>
                <w:sz w:val="18"/>
                <w:szCs w:val="18"/>
              </w:rPr>
              <w:t>2507Y (4 mg tablet, 30)</w:t>
            </w:r>
          </w:p>
          <w:p w:rsidR="001F79B5" w:rsidRPr="00E3331A" w:rsidRDefault="001F79B5" w:rsidP="00B426FF">
            <w:pPr>
              <w:pStyle w:val="Tabletext1"/>
              <w:rPr>
                <w:sz w:val="18"/>
                <w:szCs w:val="18"/>
              </w:rPr>
            </w:pPr>
            <w:r w:rsidRPr="00E3331A">
              <w:rPr>
                <w:sz w:val="18"/>
                <w:szCs w:val="18"/>
              </w:rPr>
              <w:t>129B (0.5 mg tablet, 30)</w:t>
            </w:r>
          </w:p>
        </w:tc>
      </w:tr>
      <w:tr w:rsidR="001F79B5" w:rsidRPr="00E3331A" w:rsidTr="009848E3">
        <w:tc>
          <w:tcPr>
            <w:tcW w:w="1560" w:type="dxa"/>
          </w:tcPr>
          <w:p w:rsidR="001F79B5" w:rsidRPr="00E3331A" w:rsidRDefault="001F79B5" w:rsidP="00B426FF">
            <w:pPr>
              <w:pStyle w:val="Tabletext1"/>
              <w:rPr>
                <w:sz w:val="18"/>
                <w:szCs w:val="18"/>
              </w:rPr>
            </w:pPr>
            <w:r w:rsidRPr="00E3331A">
              <w:rPr>
                <w:sz w:val="18"/>
                <w:szCs w:val="18"/>
              </w:rPr>
              <w:t>Methylprednisolone</w:t>
            </w:r>
          </w:p>
        </w:tc>
        <w:tc>
          <w:tcPr>
            <w:tcW w:w="3685" w:type="dxa"/>
          </w:tcPr>
          <w:p w:rsidR="001F79B5" w:rsidRPr="00E3331A" w:rsidRDefault="001F79B5" w:rsidP="00B426FF">
            <w:pPr>
              <w:pStyle w:val="Tabletext1"/>
              <w:rPr>
                <w:sz w:val="18"/>
                <w:szCs w:val="18"/>
              </w:rPr>
            </w:pPr>
            <w:r w:rsidRPr="00E3331A">
              <w:rPr>
                <w:sz w:val="18"/>
                <w:szCs w:val="18"/>
              </w:rPr>
              <w:t>40 mg</w:t>
            </w:r>
            <w:r w:rsidR="00F7647C" w:rsidRPr="00E3331A">
              <w:rPr>
                <w:sz w:val="18"/>
                <w:szCs w:val="18"/>
              </w:rPr>
              <w:t>/mL</w:t>
            </w:r>
            <w:r w:rsidRPr="00E3331A">
              <w:rPr>
                <w:sz w:val="18"/>
                <w:szCs w:val="18"/>
              </w:rPr>
              <w:t xml:space="preserve"> injection, 5 </w:t>
            </w:r>
            <w:r w:rsidR="00F7647C" w:rsidRPr="00E3331A">
              <w:rPr>
                <w:sz w:val="18"/>
                <w:szCs w:val="18"/>
              </w:rPr>
              <w:t>x 1 mL</w:t>
            </w:r>
            <w:r w:rsidR="00CD44DC" w:rsidRPr="00E3331A">
              <w:rPr>
                <w:sz w:val="18"/>
                <w:szCs w:val="18"/>
              </w:rPr>
              <w:t xml:space="preserve"> </w:t>
            </w:r>
            <w:r w:rsidRPr="00E3331A">
              <w:rPr>
                <w:sz w:val="18"/>
                <w:szCs w:val="18"/>
              </w:rPr>
              <w:t>vials (</w:t>
            </w:r>
            <w:r w:rsidR="00F7647C" w:rsidRPr="00E3331A">
              <w:rPr>
                <w:sz w:val="18"/>
                <w:szCs w:val="18"/>
              </w:rPr>
              <w:t>Depo-Nisolone, Depo-Medrol</w:t>
            </w:r>
            <w:r w:rsidRPr="00E3331A">
              <w:rPr>
                <w:sz w:val="18"/>
                <w:szCs w:val="18"/>
              </w:rPr>
              <w:t>)</w:t>
            </w:r>
          </w:p>
          <w:p w:rsidR="001F79B5" w:rsidRPr="00E3331A" w:rsidRDefault="001F79B5" w:rsidP="00B426FF">
            <w:pPr>
              <w:pStyle w:val="Tabletext1"/>
              <w:rPr>
                <w:sz w:val="18"/>
                <w:szCs w:val="18"/>
              </w:rPr>
            </w:pPr>
            <w:r w:rsidRPr="00E3331A">
              <w:rPr>
                <w:sz w:val="18"/>
                <w:szCs w:val="18"/>
              </w:rPr>
              <w:t>40 mg injection, 5 vials &amp; inert diluent (Solu-Medrol)</w:t>
            </w:r>
          </w:p>
          <w:p w:rsidR="001F79B5" w:rsidRPr="00E3331A" w:rsidRDefault="00F7647C" w:rsidP="00B426FF">
            <w:pPr>
              <w:pStyle w:val="Tabletext1"/>
              <w:rPr>
                <w:sz w:val="18"/>
                <w:szCs w:val="18"/>
              </w:rPr>
            </w:pPr>
            <w:r w:rsidRPr="00E3331A">
              <w:rPr>
                <w:sz w:val="18"/>
                <w:szCs w:val="18"/>
              </w:rPr>
              <w:t xml:space="preserve">40 mg </w:t>
            </w:r>
            <w:r w:rsidR="008E152F" w:rsidRPr="00E3331A">
              <w:rPr>
                <w:sz w:val="18"/>
                <w:szCs w:val="18"/>
              </w:rPr>
              <w:t xml:space="preserve">powder for </w:t>
            </w:r>
            <w:r w:rsidRPr="00E3331A">
              <w:rPr>
                <w:sz w:val="18"/>
                <w:szCs w:val="18"/>
              </w:rPr>
              <w:t>injection, 5 vials (Methylpred)</w:t>
            </w:r>
          </w:p>
          <w:p w:rsidR="00F7647C" w:rsidRPr="00E3331A" w:rsidRDefault="00F7647C" w:rsidP="00B426FF">
            <w:pPr>
              <w:pStyle w:val="Tabletext1"/>
              <w:rPr>
                <w:sz w:val="18"/>
                <w:szCs w:val="18"/>
              </w:rPr>
            </w:pPr>
            <w:r w:rsidRPr="00E3331A">
              <w:rPr>
                <w:sz w:val="18"/>
                <w:szCs w:val="18"/>
              </w:rPr>
              <w:t xml:space="preserve">1000 mg powder </w:t>
            </w:r>
            <w:r w:rsidR="008E152F" w:rsidRPr="00E3331A">
              <w:rPr>
                <w:sz w:val="18"/>
                <w:szCs w:val="18"/>
              </w:rPr>
              <w:t xml:space="preserve">for injection </w:t>
            </w:r>
            <w:r w:rsidRPr="00E3331A">
              <w:rPr>
                <w:sz w:val="18"/>
                <w:szCs w:val="18"/>
              </w:rPr>
              <w:t>(Methylpred, Methylprednisolone Alphapharm, Solu-Medrol)</w:t>
            </w:r>
          </w:p>
          <w:p w:rsidR="001F79B5" w:rsidRPr="00E3331A" w:rsidRDefault="001F79B5" w:rsidP="00B426FF">
            <w:pPr>
              <w:pStyle w:val="Tabletext1"/>
              <w:rPr>
                <w:sz w:val="18"/>
                <w:szCs w:val="18"/>
              </w:rPr>
            </w:pPr>
          </w:p>
        </w:tc>
        <w:tc>
          <w:tcPr>
            <w:tcW w:w="1134" w:type="dxa"/>
          </w:tcPr>
          <w:p w:rsidR="001F79B5" w:rsidRPr="00E3331A" w:rsidRDefault="001F79B5" w:rsidP="00B426FF">
            <w:pPr>
              <w:pStyle w:val="Tabletext1"/>
              <w:rPr>
                <w:sz w:val="18"/>
                <w:szCs w:val="18"/>
              </w:rPr>
            </w:pPr>
            <w:r w:rsidRPr="00E3331A">
              <w:rPr>
                <w:sz w:val="18"/>
                <w:szCs w:val="18"/>
              </w:rPr>
              <w:t>Unrestricted</w:t>
            </w:r>
          </w:p>
        </w:tc>
        <w:tc>
          <w:tcPr>
            <w:tcW w:w="2758" w:type="dxa"/>
          </w:tcPr>
          <w:p w:rsidR="001F79B5" w:rsidRPr="00E3331A" w:rsidRDefault="00F7647C" w:rsidP="00B426FF">
            <w:pPr>
              <w:pStyle w:val="Tabletext1"/>
              <w:rPr>
                <w:sz w:val="18"/>
                <w:szCs w:val="18"/>
              </w:rPr>
            </w:pPr>
            <w:r w:rsidRPr="00E3331A">
              <w:rPr>
                <w:sz w:val="18"/>
                <w:szCs w:val="18"/>
              </w:rPr>
              <w:t xml:space="preserve">5148Y </w:t>
            </w:r>
            <w:r w:rsidR="001F79B5" w:rsidRPr="00E3331A">
              <w:rPr>
                <w:sz w:val="18"/>
                <w:szCs w:val="18"/>
              </w:rPr>
              <w:t>(40 mg/mL injection, 5 x 1</w:t>
            </w:r>
            <w:r w:rsidRPr="00E3331A">
              <w:rPr>
                <w:sz w:val="18"/>
                <w:szCs w:val="18"/>
              </w:rPr>
              <w:t xml:space="preserve"> mL vials</w:t>
            </w:r>
            <w:r w:rsidR="001F79B5" w:rsidRPr="00E3331A">
              <w:rPr>
                <w:sz w:val="18"/>
                <w:szCs w:val="18"/>
              </w:rPr>
              <w:t>)</w:t>
            </w:r>
          </w:p>
          <w:p w:rsidR="00F7647C" w:rsidRPr="00E3331A" w:rsidRDefault="00F7647C" w:rsidP="00B426FF">
            <w:pPr>
              <w:pStyle w:val="Tabletext1"/>
              <w:rPr>
                <w:sz w:val="18"/>
                <w:szCs w:val="18"/>
              </w:rPr>
            </w:pPr>
            <w:r w:rsidRPr="00E3331A">
              <w:rPr>
                <w:sz w:val="18"/>
                <w:szCs w:val="18"/>
              </w:rPr>
              <w:t>1928L (40 mg/mL injection, 5 x 1 mL vials)</w:t>
            </w:r>
          </w:p>
          <w:p w:rsidR="001F79B5" w:rsidRPr="00E3331A" w:rsidRDefault="001F79B5" w:rsidP="00B426FF">
            <w:pPr>
              <w:pStyle w:val="Tabletext1"/>
              <w:rPr>
                <w:sz w:val="18"/>
                <w:szCs w:val="18"/>
              </w:rPr>
            </w:pPr>
            <w:r w:rsidRPr="00E3331A">
              <w:rPr>
                <w:sz w:val="18"/>
                <w:szCs w:val="18"/>
              </w:rPr>
              <w:t>2981X (40 mg injection, 5 vials &amp; inert diluent)</w:t>
            </w:r>
          </w:p>
          <w:p w:rsidR="001F79B5" w:rsidRPr="00E3331A" w:rsidRDefault="00F7647C" w:rsidP="00B426FF">
            <w:pPr>
              <w:pStyle w:val="Tabletext1"/>
              <w:rPr>
                <w:sz w:val="18"/>
                <w:szCs w:val="18"/>
              </w:rPr>
            </w:pPr>
            <w:r w:rsidRPr="00E3331A">
              <w:rPr>
                <w:sz w:val="18"/>
                <w:szCs w:val="18"/>
              </w:rPr>
              <w:t>5263B</w:t>
            </w:r>
            <w:r w:rsidR="001F79B5" w:rsidRPr="00E3331A">
              <w:rPr>
                <w:sz w:val="18"/>
                <w:szCs w:val="18"/>
              </w:rPr>
              <w:t xml:space="preserve"> (40 mg powder for injection, 5)</w:t>
            </w:r>
          </w:p>
          <w:p w:rsidR="001F79B5" w:rsidRPr="00E3331A" w:rsidRDefault="00F7647C" w:rsidP="00B426FF">
            <w:pPr>
              <w:pStyle w:val="Tabletext1"/>
              <w:rPr>
                <w:sz w:val="18"/>
                <w:szCs w:val="18"/>
              </w:rPr>
            </w:pPr>
            <w:r w:rsidRPr="00E3331A">
              <w:rPr>
                <w:sz w:val="18"/>
                <w:szCs w:val="18"/>
              </w:rPr>
              <w:t xml:space="preserve">5264C </w:t>
            </w:r>
            <w:r w:rsidR="001F79B5" w:rsidRPr="00E3331A">
              <w:rPr>
                <w:sz w:val="18"/>
                <w:szCs w:val="18"/>
              </w:rPr>
              <w:t>(1000 mg powder for injection)</w:t>
            </w:r>
          </w:p>
        </w:tc>
      </w:tr>
    </w:tbl>
    <w:bookmarkEnd w:id="149"/>
    <w:p w:rsidR="00590547" w:rsidRPr="00E3331A" w:rsidRDefault="00590547" w:rsidP="0037150F">
      <w:pPr>
        <w:pStyle w:val="Tablenotes1"/>
      </w:pPr>
      <w:r w:rsidRPr="00E3331A">
        <w:t>Source: Table reproduced from the PICO (page 18)</w:t>
      </w:r>
      <w:r w:rsidR="00B85C75">
        <w:rPr>
          <w:noProof/>
        </w:rPr>
        <w:t>(DoH 2019a)</w:t>
      </w:r>
    </w:p>
    <w:p w:rsidR="007D2548" w:rsidRPr="00E3331A" w:rsidRDefault="001F79B5" w:rsidP="0037150F">
      <w:pPr>
        <w:pStyle w:val="Tablenotes1"/>
      </w:pPr>
      <w:r w:rsidRPr="00E3331A">
        <w:t>CIDP: chronic inflammatory demyelinating polyneuropathy</w:t>
      </w:r>
    </w:p>
    <w:p w:rsidR="0080393E" w:rsidRPr="00E3331A" w:rsidRDefault="0080393E" w:rsidP="0080393E">
      <w:pPr>
        <w:jc w:val="both"/>
      </w:pPr>
      <w:r w:rsidRPr="00E3331A">
        <w:t>Prolonged use of steroids is linked with serious side effects including osteoporosis, cataracts, diabetes hypertension, obesity and myopathy</w:t>
      </w:r>
      <w:r w:rsidR="00CD44DC" w:rsidRPr="00E3331A">
        <w:t xml:space="preserve"> </w:t>
      </w:r>
      <w:r w:rsidR="00B85C75">
        <w:rPr>
          <w:noProof/>
        </w:rPr>
        <w:t>(GBS NSW 2019)</w:t>
      </w:r>
      <w:r w:rsidR="00CD44DC" w:rsidRPr="00E3331A">
        <w:t>.</w:t>
      </w:r>
      <w:r w:rsidRPr="00E3331A">
        <w:t xml:space="preserve"> </w:t>
      </w:r>
      <w:r w:rsidR="00EE48D9" w:rsidRPr="00E3331A">
        <w:t>It is noted in the Referral Form (page 37) that the Reference Group c</w:t>
      </w:r>
      <w:r w:rsidRPr="00E3331A">
        <w:t>linical expert advised that about 50</w:t>
      </w:r>
      <w:r w:rsidR="004B7F4E" w:rsidRPr="00E3331A">
        <w:t>%</w:t>
      </w:r>
      <w:r w:rsidRPr="00E3331A">
        <w:t xml:space="preserve"> of patients not on Ig therapy would be on high</w:t>
      </w:r>
      <w:r w:rsidR="00D45BCF" w:rsidRPr="00E3331A">
        <w:t>-</w:t>
      </w:r>
      <w:r w:rsidRPr="00E3331A">
        <w:t>dose steroids</w:t>
      </w:r>
      <w:r w:rsidR="004B7F4E" w:rsidRPr="00E3331A">
        <w:t>,</w:t>
      </w:r>
      <w:r w:rsidRPr="00E3331A">
        <w:t xml:space="preserve"> </w:t>
      </w:r>
      <w:r w:rsidR="00ED6D28" w:rsidRPr="00E3331A">
        <w:t xml:space="preserve">which are inappropriate </w:t>
      </w:r>
      <w:r w:rsidR="002E5108" w:rsidRPr="00E3331A">
        <w:t>in the</w:t>
      </w:r>
      <w:r w:rsidRPr="00E3331A">
        <w:t xml:space="preserve"> long-term due to adverse events. </w:t>
      </w:r>
      <w:r w:rsidR="00882382" w:rsidRPr="00E3331A">
        <w:t>O</w:t>
      </w:r>
      <w:r w:rsidRPr="00E3331A">
        <w:t>wing to these side</w:t>
      </w:r>
      <w:r w:rsidR="00D45BCF" w:rsidRPr="00E3331A">
        <w:t xml:space="preserve"> </w:t>
      </w:r>
      <w:r w:rsidRPr="00E3331A">
        <w:t>effects, corticosteroids are used in conjunction with steroid-sparing therapy in the form of immunosuppressants</w:t>
      </w:r>
      <w:r w:rsidR="00882382" w:rsidRPr="00E3331A">
        <w:t xml:space="preserve"> </w:t>
      </w:r>
      <w:r w:rsidR="00B85C75">
        <w:rPr>
          <w:noProof/>
        </w:rPr>
        <w:t>(DoH 2019a)</w:t>
      </w:r>
      <w:r w:rsidR="00882382" w:rsidRPr="00E3331A">
        <w:t>.</w:t>
      </w:r>
      <w:r w:rsidRPr="00E3331A">
        <w:t xml:space="preserve"> By suppressing the immune </w:t>
      </w:r>
      <w:r w:rsidR="001074D7" w:rsidRPr="00E3331A">
        <w:t>system,</w:t>
      </w:r>
      <w:r w:rsidRPr="00E3331A">
        <w:t xml:space="preserve"> a lower</w:t>
      </w:r>
      <w:r w:rsidR="004132F7" w:rsidRPr="00E3331A">
        <w:t xml:space="preserve"> </w:t>
      </w:r>
      <w:r w:rsidRPr="00E3331A">
        <w:t xml:space="preserve">dose of steroids </w:t>
      </w:r>
      <w:r w:rsidR="000470EA" w:rsidRPr="00E3331A">
        <w:t xml:space="preserve">can </w:t>
      </w:r>
      <w:r w:rsidRPr="00E3331A">
        <w:t xml:space="preserve">be used. The types of immunosuppressants used are discussed below. </w:t>
      </w:r>
    </w:p>
    <w:p w:rsidR="001074D7" w:rsidRPr="00E3331A" w:rsidRDefault="004132F7" w:rsidP="001074D7">
      <w:pPr>
        <w:jc w:val="both"/>
      </w:pPr>
      <w:r w:rsidRPr="00E3331A">
        <w:t>The PICO noted a</w:t>
      </w:r>
      <w:r w:rsidR="001074D7" w:rsidRPr="00E3331A">
        <w:t xml:space="preserve"> contraindication for corticosteroid use for patients who have a pure motor form of CIDP (muscle weakness with no sensory loss</w:t>
      </w:r>
      <w:r w:rsidRPr="00E3331A">
        <w:t>)</w:t>
      </w:r>
      <w:r w:rsidR="00CF3478" w:rsidRPr="00E3331A">
        <w:t xml:space="preserve"> </w:t>
      </w:r>
      <w:r w:rsidR="00B85C75">
        <w:rPr>
          <w:noProof/>
        </w:rPr>
        <w:t>(DoH 2019a)</w:t>
      </w:r>
      <w:r w:rsidR="00CF3478" w:rsidRPr="00E3331A">
        <w:t>.</w:t>
      </w:r>
      <w:r w:rsidR="001074D7" w:rsidRPr="00E3331A">
        <w:t xml:space="preserve"> Other contraindication</w:t>
      </w:r>
      <w:r w:rsidR="009848E3" w:rsidRPr="00E3331A">
        <w:t>s</w:t>
      </w:r>
      <w:r w:rsidR="001074D7" w:rsidRPr="00E3331A">
        <w:t xml:space="preserve"> include peptic ulcer disease, brittle diabetes, refractory hypertension, severe osteoporosis and systemic fungal infections</w:t>
      </w:r>
      <w:r w:rsidRPr="00E3331A">
        <w:t xml:space="preserve"> </w:t>
      </w:r>
      <w:r w:rsidR="00B85C75">
        <w:rPr>
          <w:noProof/>
        </w:rPr>
        <w:t>(Lewis 2019b)</w:t>
      </w:r>
      <w:r w:rsidRPr="00E3331A">
        <w:t>.</w:t>
      </w:r>
    </w:p>
    <w:p w:rsidR="0069225D" w:rsidRPr="00E3331A" w:rsidRDefault="00A956B3" w:rsidP="009848E3">
      <w:pPr>
        <w:pStyle w:val="Heading3"/>
      </w:pPr>
      <w:bookmarkStart w:id="150" w:name="_Toc24103440"/>
      <w:r w:rsidRPr="00E3331A">
        <w:t>Plasma exchange</w:t>
      </w:r>
      <w:bookmarkEnd w:id="150"/>
    </w:p>
    <w:p w:rsidR="00A956B3" w:rsidRPr="00E3331A" w:rsidRDefault="00C338B8" w:rsidP="00C338B8">
      <w:r w:rsidRPr="00E3331A">
        <w:t xml:space="preserve">Plasma exchange is an alternative first-line treatment to steroids for CIDP. </w:t>
      </w:r>
      <w:r w:rsidR="00584F11" w:rsidRPr="00E3331A">
        <w:t xml:space="preserve">The Referral Form (page 37) states that it is the second most common comparator treatment following corticosteroids. </w:t>
      </w:r>
      <w:r w:rsidR="004132F7" w:rsidRPr="00E3331A">
        <w:t xml:space="preserve">The procedure </w:t>
      </w:r>
      <w:r w:rsidR="0068730C" w:rsidRPr="00E3331A">
        <w:t>involves taking blood from a patient, separating the plasma (the fluid component of the blood) from the cellular fraction and replacing it with a plasma substitute</w:t>
      </w:r>
      <w:r w:rsidR="00584F11" w:rsidRPr="00E3331A">
        <w:t xml:space="preserve"> (usually albumin)</w:t>
      </w:r>
      <w:r w:rsidR="006C21FA" w:rsidRPr="00E3331A">
        <w:t>, then returning the cells plus plasma substitute to the patient</w:t>
      </w:r>
      <w:r w:rsidR="004132F7" w:rsidRPr="00E3331A">
        <w:t xml:space="preserve"> </w:t>
      </w:r>
      <w:r w:rsidR="00B85C75">
        <w:rPr>
          <w:noProof/>
        </w:rPr>
        <w:t>(Oaklander et al. 2017; Ryan and Ryan 2018)</w:t>
      </w:r>
      <w:r w:rsidR="004132F7" w:rsidRPr="00E3331A">
        <w:t>.</w:t>
      </w:r>
      <w:r w:rsidR="0068730C" w:rsidRPr="00E3331A">
        <w:t xml:space="preserve"> This is done </w:t>
      </w:r>
      <w:r w:rsidR="004132F7" w:rsidRPr="00E3331A">
        <w:t xml:space="preserve">via </w:t>
      </w:r>
      <w:r w:rsidR="0068730C" w:rsidRPr="00E3331A">
        <w:t xml:space="preserve">a machine called a Blood Cell Separator. </w:t>
      </w:r>
      <w:r w:rsidR="00DE7395" w:rsidRPr="00E3331A">
        <w:t>The theory behind plasma exchange i</w:t>
      </w:r>
      <w:r w:rsidR="004132F7" w:rsidRPr="00E3331A">
        <w:t>s</w:t>
      </w:r>
      <w:r w:rsidR="00DE7395" w:rsidRPr="00E3331A">
        <w:t xml:space="preserve"> that </w:t>
      </w:r>
      <w:r w:rsidR="00315AFA" w:rsidRPr="00E3331A">
        <w:t xml:space="preserve">it removes </w:t>
      </w:r>
      <w:r w:rsidR="00DE7395" w:rsidRPr="00E3331A">
        <w:t xml:space="preserve">the </w:t>
      </w:r>
      <w:r w:rsidR="00315AFA" w:rsidRPr="00E3331A">
        <w:t>antibodies and complement components</w:t>
      </w:r>
      <w:r w:rsidR="00DE7395" w:rsidRPr="00E3331A">
        <w:t xml:space="preserve"> responsible for </w:t>
      </w:r>
      <w:r w:rsidR="00315AFA" w:rsidRPr="00E3331A">
        <w:t xml:space="preserve">damaging the </w:t>
      </w:r>
      <w:r w:rsidR="00130F6E" w:rsidRPr="00E3331A">
        <w:t xml:space="preserve">myelin sheath of the </w:t>
      </w:r>
      <w:r w:rsidR="00315AFA" w:rsidRPr="00E3331A">
        <w:t>peripheral nerves</w:t>
      </w:r>
      <w:r w:rsidR="00327D55" w:rsidRPr="00E3331A">
        <w:t xml:space="preserve"> </w:t>
      </w:r>
      <w:r w:rsidR="00B85C75">
        <w:rPr>
          <w:noProof/>
        </w:rPr>
        <w:t>(Lewis 2018)</w:t>
      </w:r>
      <w:r w:rsidR="00327D55" w:rsidRPr="00E3331A">
        <w:t>.</w:t>
      </w:r>
      <w:r w:rsidR="00DE7395" w:rsidRPr="00E3331A">
        <w:t xml:space="preserve"> </w:t>
      </w:r>
      <w:r w:rsidR="0068730C" w:rsidRPr="00E3331A">
        <w:t>The American Soc</w:t>
      </w:r>
      <w:r w:rsidR="00584F11" w:rsidRPr="00E3331A">
        <w:t xml:space="preserve">iety for Apheresis recommends that patients with CIDP initially receive </w:t>
      </w:r>
      <w:r w:rsidR="003B203D" w:rsidRPr="00E3331A">
        <w:t>1</w:t>
      </w:r>
      <w:r w:rsidR="00584F11" w:rsidRPr="00E3331A">
        <w:t xml:space="preserve"> to </w:t>
      </w:r>
      <w:r w:rsidR="003B203D" w:rsidRPr="00E3331A">
        <w:t>1.5</w:t>
      </w:r>
      <w:r w:rsidR="00584F11" w:rsidRPr="00E3331A">
        <w:t xml:space="preserve"> plasma volume exchanges</w:t>
      </w:r>
      <w:r w:rsidR="00327D55" w:rsidRPr="00E3331A">
        <w:t>,</w:t>
      </w:r>
      <w:r w:rsidR="00584F11" w:rsidRPr="00E3331A">
        <w:t xml:space="preserve"> </w:t>
      </w:r>
      <w:r w:rsidR="003B203D" w:rsidRPr="00E3331A">
        <w:t>two to three</w:t>
      </w:r>
      <w:r w:rsidR="00584F11" w:rsidRPr="00E3331A">
        <w:t xml:space="preserve"> times per week</w:t>
      </w:r>
      <w:r w:rsidR="003B203D" w:rsidRPr="00E3331A">
        <w:t xml:space="preserve"> </w:t>
      </w:r>
      <w:r w:rsidR="003B203D" w:rsidRPr="00E3331A">
        <w:lastRenderedPageBreak/>
        <w:t>until improvement and then taper as tolerated</w:t>
      </w:r>
      <w:r w:rsidR="006C21FA" w:rsidRPr="00E3331A">
        <w:t xml:space="preserve">. </w:t>
      </w:r>
      <w:r w:rsidR="00327D55" w:rsidRPr="00E3331A">
        <w:t>M</w:t>
      </w:r>
      <w:r w:rsidR="00FD7634" w:rsidRPr="00E3331A">
        <w:t xml:space="preserve">aintenance </w:t>
      </w:r>
      <w:r w:rsidR="006C21FA" w:rsidRPr="00E3331A">
        <w:t>plasma exchange</w:t>
      </w:r>
      <w:r w:rsidR="003B203D" w:rsidRPr="00E3331A">
        <w:t xml:space="preserve"> may be required </w:t>
      </w:r>
      <w:r w:rsidR="00327D55" w:rsidRPr="00E3331A">
        <w:t xml:space="preserve">at </w:t>
      </w:r>
      <w:r w:rsidR="003B203D" w:rsidRPr="00E3331A">
        <w:t>weekly or monthly intervals to control symptoms</w:t>
      </w:r>
      <w:r w:rsidR="00327D55" w:rsidRPr="00E3331A">
        <w:t xml:space="preserve"> </w:t>
      </w:r>
      <w:r w:rsidR="00B85C75">
        <w:rPr>
          <w:noProof/>
        </w:rPr>
        <w:t>(Schwartz et al. 2016)</w:t>
      </w:r>
      <w:r w:rsidR="00327D55" w:rsidRPr="00E3331A">
        <w:t>.</w:t>
      </w:r>
      <w:r w:rsidR="003B203D" w:rsidRPr="00E3331A">
        <w:t xml:space="preserve"> </w:t>
      </w:r>
      <w:r w:rsidR="002D56C9" w:rsidRPr="00E3331A">
        <w:t>Expert advice provided in the PICO noted that there is no standardised plasma exchange schedule in Australia</w:t>
      </w:r>
      <w:r w:rsidR="00487913" w:rsidRPr="00E3331A">
        <w:t>,</w:t>
      </w:r>
      <w:r w:rsidR="002D56C9" w:rsidRPr="00E3331A">
        <w:t xml:space="preserve"> however, five exchanges trialled over 7 to 11 days would be the most common approach</w:t>
      </w:r>
      <w:r w:rsidR="00487913" w:rsidRPr="00E3331A">
        <w:t xml:space="preserve"> </w:t>
      </w:r>
      <w:r w:rsidR="00B85C75">
        <w:rPr>
          <w:noProof/>
        </w:rPr>
        <w:t>(DoH 2019b)</w:t>
      </w:r>
      <w:r w:rsidR="00487913" w:rsidRPr="00E3331A">
        <w:t>.</w:t>
      </w:r>
      <w:r w:rsidR="002D56C9" w:rsidRPr="00E3331A">
        <w:t xml:space="preserve"> </w:t>
      </w:r>
      <w:r w:rsidR="005F3CEF" w:rsidRPr="00E3331A">
        <w:t>T</w:t>
      </w:r>
      <w:r w:rsidR="00DE7395" w:rsidRPr="00E3331A">
        <w:t>he Guillain</w:t>
      </w:r>
      <w:r w:rsidR="000C0E99">
        <w:t>-</w:t>
      </w:r>
      <w:r w:rsidR="00DE7395" w:rsidRPr="00E3331A">
        <w:t xml:space="preserve">Barré Association of </w:t>
      </w:r>
      <w:r w:rsidR="00487913" w:rsidRPr="00E3331A">
        <w:t>NSW</w:t>
      </w:r>
      <w:r w:rsidR="00DE7395" w:rsidRPr="00E3331A">
        <w:t xml:space="preserve"> reports that </w:t>
      </w:r>
      <w:r w:rsidR="00487913" w:rsidRPr="00E3331A">
        <w:t>approximately</w:t>
      </w:r>
      <w:r w:rsidR="00DE7395" w:rsidRPr="00E3331A">
        <w:t xml:space="preserve"> two or three litres of plasma </w:t>
      </w:r>
      <w:r w:rsidR="00487913" w:rsidRPr="00E3331A">
        <w:t xml:space="preserve">is </w:t>
      </w:r>
      <w:r w:rsidR="00DE7395" w:rsidRPr="00E3331A">
        <w:t xml:space="preserve">exchanged </w:t>
      </w:r>
      <w:r w:rsidR="00487913" w:rsidRPr="00E3331A">
        <w:t xml:space="preserve">at each session </w:t>
      </w:r>
      <w:r w:rsidR="00DE7395" w:rsidRPr="00E3331A">
        <w:t>and th</w:t>
      </w:r>
      <w:r w:rsidR="00487913" w:rsidRPr="00E3331A">
        <w:t>is</w:t>
      </w:r>
      <w:r w:rsidR="00DE7395" w:rsidRPr="00E3331A">
        <w:t xml:space="preserve"> is repeated several times over about two week</w:t>
      </w:r>
      <w:r w:rsidR="00CF3478" w:rsidRPr="00E3331A">
        <w:t xml:space="preserve">s </w:t>
      </w:r>
      <w:r w:rsidR="00B85C75">
        <w:rPr>
          <w:noProof/>
        </w:rPr>
        <w:t>(GBS NSW 2019)</w:t>
      </w:r>
      <w:r w:rsidR="00CF3478" w:rsidRPr="00E3331A">
        <w:t xml:space="preserve">. </w:t>
      </w:r>
      <w:r w:rsidR="002D56C9" w:rsidRPr="00E3331A">
        <w:t xml:space="preserve">Expert opinion provided to the PICO </w:t>
      </w:r>
      <w:r w:rsidR="00B551AE" w:rsidRPr="00E3331A">
        <w:t>was that</w:t>
      </w:r>
      <w:r w:rsidR="002D56C9" w:rsidRPr="00E3331A">
        <w:t xml:space="preserve"> that while some patients may receive long-term plasma exchange</w:t>
      </w:r>
      <w:r w:rsidR="00487913" w:rsidRPr="00E3331A">
        <w:t>,</w:t>
      </w:r>
      <w:r w:rsidR="002D56C9" w:rsidRPr="00E3331A">
        <w:t xml:space="preserve"> </w:t>
      </w:r>
      <w:r w:rsidR="00487913" w:rsidRPr="00E3331A">
        <w:t xml:space="preserve">it </w:t>
      </w:r>
      <w:r w:rsidR="002D56C9" w:rsidRPr="00E3331A">
        <w:t>would most commonly be provided in combination with an immunosuppressant</w:t>
      </w:r>
      <w:r w:rsidR="00CF3478" w:rsidRPr="00E3331A">
        <w:t xml:space="preserve"> </w:t>
      </w:r>
      <w:r w:rsidR="00B85C75">
        <w:rPr>
          <w:noProof/>
        </w:rPr>
        <w:t>(DoH 2019a)</w:t>
      </w:r>
      <w:r w:rsidR="00CF3478" w:rsidRPr="00E3331A">
        <w:t>.</w:t>
      </w:r>
      <w:r w:rsidR="00A916B8" w:rsidRPr="00E3331A">
        <w:t xml:space="preserve"> The Reference Group noted that PE was rarely used as an ongoing treatment due to vascular access issues</w:t>
      </w:r>
      <w:r w:rsidR="00C84B4D" w:rsidRPr="00E3331A">
        <w:t>, and lack of access to centres that provide this service</w:t>
      </w:r>
      <w:r w:rsidR="00A916B8" w:rsidRPr="00E3331A">
        <w:t>.</w:t>
      </w:r>
    </w:p>
    <w:p w:rsidR="00504669" w:rsidRPr="00E3331A" w:rsidRDefault="00504669" w:rsidP="00504669">
      <w:r w:rsidRPr="00E3331A">
        <w:t xml:space="preserve">Contraindications for plasma exchange include </w:t>
      </w:r>
      <w:r w:rsidR="00427A54" w:rsidRPr="00E3331A">
        <w:t>active infections, haemodynamic instability, hypocalcaemia and allergies to heparin or albumin</w:t>
      </w:r>
      <w:r w:rsidR="006760A1" w:rsidRPr="00E3331A">
        <w:t xml:space="preserve"> </w:t>
      </w:r>
      <w:r w:rsidR="00B85C75">
        <w:rPr>
          <w:noProof/>
        </w:rPr>
        <w:t>(Stieglitz 2018)</w:t>
      </w:r>
      <w:r w:rsidR="006760A1" w:rsidRPr="00E3331A">
        <w:t>.</w:t>
      </w:r>
      <w:r w:rsidR="000D6DB4" w:rsidRPr="00E3331A">
        <w:t xml:space="preserve"> One general review noted that plasma exchange is an </w:t>
      </w:r>
      <w:r w:rsidR="007B6301" w:rsidRPr="00E3331A">
        <w:t>appealing</w:t>
      </w:r>
      <w:r w:rsidR="000D6DB4" w:rsidRPr="00E3331A">
        <w:t xml:space="preserve"> therapy for patients who have contraindications to other treatments </w:t>
      </w:r>
      <w:r w:rsidR="00963882" w:rsidRPr="00E3331A">
        <w:t xml:space="preserve">such as </w:t>
      </w:r>
      <w:r w:rsidR="006760A1" w:rsidRPr="00E3331A">
        <w:t xml:space="preserve">those </w:t>
      </w:r>
      <w:r w:rsidR="000D6DB4" w:rsidRPr="00E3331A">
        <w:t>with diabetes mellitus</w:t>
      </w:r>
      <w:r w:rsidR="00963882" w:rsidRPr="00E3331A">
        <w:t xml:space="preserve"> (contraindicated to steroids)</w:t>
      </w:r>
      <w:r w:rsidR="000D6DB4" w:rsidRPr="00E3331A">
        <w:t xml:space="preserve"> </w:t>
      </w:r>
      <w:r w:rsidR="006760A1" w:rsidRPr="00E3331A">
        <w:t>or</w:t>
      </w:r>
      <w:r w:rsidR="000D6DB4" w:rsidRPr="00E3331A">
        <w:t xml:space="preserve"> pre-existing renal insufficiency</w:t>
      </w:r>
      <w:r w:rsidR="00963882" w:rsidRPr="00E3331A">
        <w:t xml:space="preserve"> (contraindicated to IVIg)</w:t>
      </w:r>
      <w:r w:rsidR="006760A1" w:rsidRPr="00E3331A">
        <w:t xml:space="preserve"> </w:t>
      </w:r>
      <w:r w:rsidR="00B85C75">
        <w:rPr>
          <w:noProof/>
        </w:rPr>
        <w:t>(Gorson 2012)</w:t>
      </w:r>
      <w:r w:rsidR="006760A1" w:rsidRPr="00E3331A">
        <w:t>.</w:t>
      </w:r>
    </w:p>
    <w:p w:rsidR="00E308A8" w:rsidRPr="00E3331A" w:rsidRDefault="00A469AB" w:rsidP="00963882">
      <w:pPr>
        <w:pStyle w:val="Heading3"/>
      </w:pPr>
      <w:bookmarkStart w:id="151" w:name="_Toc24103441"/>
      <w:r w:rsidRPr="00E3331A">
        <w:t>Immunosuppressants and/or immunomodulatory drugs (other than steroids)</w:t>
      </w:r>
      <w:bookmarkEnd w:id="151"/>
    </w:p>
    <w:p w:rsidR="00A469AB" w:rsidRPr="00E3331A" w:rsidRDefault="001811A5" w:rsidP="00A469AB">
      <w:r w:rsidRPr="00E3331A">
        <w:t>Several</w:t>
      </w:r>
      <w:r w:rsidR="00A469AB" w:rsidRPr="00E3331A">
        <w:t xml:space="preserve"> immunosuppressive drugs have been reported </w:t>
      </w:r>
      <w:r w:rsidR="00087FDE" w:rsidRPr="00E3331A">
        <w:t xml:space="preserve">to be </w:t>
      </w:r>
      <w:r w:rsidR="00A469AB" w:rsidRPr="00E3331A">
        <w:t xml:space="preserve">beneficial for CIDP. The </w:t>
      </w:r>
      <w:r w:rsidR="005541CA" w:rsidRPr="00E3331A">
        <w:t>R</w:t>
      </w:r>
      <w:r w:rsidR="00A469AB" w:rsidRPr="00E3331A">
        <w:t xml:space="preserve">eferral </w:t>
      </w:r>
      <w:r w:rsidR="005541CA" w:rsidRPr="00E3331A">
        <w:t>F</w:t>
      </w:r>
      <w:r w:rsidR="00A469AB" w:rsidRPr="00E3331A">
        <w:t>orm lists nine</w:t>
      </w:r>
      <w:r w:rsidR="00775A1B" w:rsidRPr="00E3331A">
        <w:t xml:space="preserve"> </w:t>
      </w:r>
      <w:r w:rsidR="00C37DB3" w:rsidRPr="00E3331A">
        <w:t xml:space="preserve">sourced from the </w:t>
      </w:r>
      <w:r w:rsidR="00087FDE" w:rsidRPr="00E3331A">
        <w:t>EFNS/PNS g</w:t>
      </w:r>
      <w:r w:rsidR="00C37DB3" w:rsidRPr="00E3331A">
        <w:t xml:space="preserve">uideline on management of </w:t>
      </w:r>
      <w:r w:rsidR="00087FDE" w:rsidRPr="00E3331A">
        <w:t xml:space="preserve">CIDP </w:t>
      </w:r>
      <w:r w:rsidR="00B85C75">
        <w:rPr>
          <w:noProof/>
        </w:rPr>
        <w:t>(Van den Bergh et al. 2010)</w:t>
      </w:r>
      <w:r w:rsidR="00C37DB3" w:rsidRPr="00E3331A">
        <w:t xml:space="preserve"> and an RCT</w:t>
      </w:r>
      <w:r w:rsidR="009C5E86" w:rsidRPr="00E3331A">
        <w:t xml:space="preserve"> </w:t>
      </w:r>
      <w:r w:rsidR="00B85C75">
        <w:rPr>
          <w:noProof/>
        </w:rPr>
        <w:t>(Hughes et al. 2018)</w:t>
      </w:r>
      <w:r w:rsidR="009C5E86" w:rsidRPr="00E3331A">
        <w:t xml:space="preserve">. </w:t>
      </w:r>
      <w:r w:rsidR="006F35B9" w:rsidRPr="00E3331A">
        <w:t xml:space="preserve">Table </w:t>
      </w:r>
      <w:r w:rsidR="006F35B9">
        <w:rPr>
          <w:noProof/>
        </w:rPr>
        <w:t>13</w:t>
      </w:r>
      <w:r w:rsidR="00C37DB3" w:rsidRPr="00E3331A">
        <w:t xml:space="preserve">, which </w:t>
      </w:r>
      <w:r w:rsidR="008E0EF7" w:rsidRPr="00E3331A">
        <w:t>has been</w:t>
      </w:r>
      <w:r w:rsidR="00C37DB3" w:rsidRPr="00E3331A">
        <w:t xml:space="preserve"> </w:t>
      </w:r>
      <w:r w:rsidR="003A21F5" w:rsidRPr="00E3331A">
        <w:t>reproduced from the PICO</w:t>
      </w:r>
      <w:r w:rsidR="00CF3478" w:rsidRPr="00E3331A">
        <w:t xml:space="preserve"> </w:t>
      </w:r>
      <w:r w:rsidR="00B85C75">
        <w:rPr>
          <w:noProof/>
        </w:rPr>
        <w:t>(DoH 2019a)</w:t>
      </w:r>
      <w:r w:rsidR="00524C29" w:rsidRPr="00E3331A">
        <w:t>,</w:t>
      </w:r>
      <w:r w:rsidR="00CF3478" w:rsidRPr="00E3331A">
        <w:t xml:space="preserve"> </w:t>
      </w:r>
      <w:r w:rsidR="003A21F5" w:rsidRPr="00E3331A">
        <w:t xml:space="preserve">lists these drugs along with their PBS </w:t>
      </w:r>
      <w:r w:rsidR="008428FF" w:rsidRPr="00E3331A">
        <w:t xml:space="preserve">item </w:t>
      </w:r>
      <w:r w:rsidR="003A21F5" w:rsidRPr="00E3331A">
        <w:t>numbers.</w:t>
      </w:r>
      <w:r w:rsidR="005A33B4" w:rsidRPr="00E3331A">
        <w:t xml:space="preserve"> </w:t>
      </w:r>
      <w:r w:rsidR="006F35B9" w:rsidRPr="00E3331A">
        <w:t xml:space="preserve">Table </w:t>
      </w:r>
      <w:r w:rsidR="006F35B9">
        <w:rPr>
          <w:noProof/>
        </w:rPr>
        <w:t>16</w:t>
      </w:r>
      <w:r w:rsidR="005A33B4" w:rsidRPr="00E3331A">
        <w:t xml:space="preserve"> in Section A.7. outlines recommended dosages of immunosuppressants for treatment of CIDP </w:t>
      </w:r>
      <w:r w:rsidR="00192CC3" w:rsidRPr="00E3331A">
        <w:t>along with suggested frequency of monitoring during treatment.</w:t>
      </w:r>
    </w:p>
    <w:p w:rsidR="003A21F5" w:rsidRPr="00E3331A" w:rsidRDefault="003A21F5" w:rsidP="003A21F5">
      <w:pPr>
        <w:pStyle w:val="Caption"/>
        <w:ind w:left="1134" w:hanging="1134"/>
      </w:pPr>
      <w:bookmarkStart w:id="152" w:name="_Ref8130584"/>
      <w:bookmarkStart w:id="153" w:name="_Toc24103319"/>
      <w:r w:rsidRPr="00E3331A">
        <w:lastRenderedPageBreak/>
        <w:t xml:space="preserve">Table </w:t>
      </w:r>
      <w:r w:rsidR="006F35B9">
        <w:rPr>
          <w:noProof/>
        </w:rPr>
        <w:t>13</w:t>
      </w:r>
      <w:bookmarkEnd w:id="152"/>
      <w:r w:rsidRPr="00E3331A">
        <w:t xml:space="preserve"> </w:t>
      </w:r>
      <w:r w:rsidRPr="00E3331A">
        <w:tab/>
        <w:t>Immunosuppressants listed on the PBS and subsidised for CIDP treatments</w:t>
      </w:r>
      <w:bookmarkEnd w:id="153"/>
      <w:r w:rsidRPr="00E3331A">
        <w:t xml:space="preserve"> </w:t>
      </w:r>
    </w:p>
    <w:tbl>
      <w:tblPr>
        <w:tblW w:w="4965" w:type="pct"/>
        <w:tblBorders>
          <w:top w:val="single" w:sz="4" w:space="0" w:color="7F7F7F"/>
          <w:bottom w:val="single" w:sz="4" w:space="0" w:color="7F7F7F"/>
        </w:tblBorders>
        <w:tblLook w:val="0000" w:firstRow="0" w:lastRow="0" w:firstColumn="0" w:lastColumn="0" w:noHBand="0" w:noVBand="0"/>
      </w:tblPr>
      <w:tblGrid>
        <w:gridCol w:w="2125"/>
        <w:gridCol w:w="1558"/>
        <w:gridCol w:w="5273"/>
      </w:tblGrid>
      <w:tr w:rsidR="00281EC2" w:rsidRPr="00E3331A" w:rsidTr="003D5FA7">
        <w:trPr>
          <w:tblHeader/>
        </w:trPr>
        <w:tc>
          <w:tcPr>
            <w:tcW w:w="1186" w:type="pct"/>
            <w:tcBorders>
              <w:top w:val="single" w:sz="4" w:space="0" w:color="7F7F7F"/>
              <w:left w:val="single" w:sz="4" w:space="0" w:color="7F7F7F"/>
              <w:bottom w:val="single" w:sz="4" w:space="0" w:color="7F7F7F"/>
              <w:right w:val="single" w:sz="4" w:space="0" w:color="7F7F7F"/>
            </w:tcBorders>
            <w:shd w:val="clear" w:color="auto" w:fill="auto"/>
          </w:tcPr>
          <w:p w:rsidR="00E8093B" w:rsidRPr="00E3331A" w:rsidRDefault="00E8093B" w:rsidP="0007007F">
            <w:pPr>
              <w:keepNext/>
              <w:spacing w:before="60" w:after="60" w:line="240" w:lineRule="auto"/>
              <w:rPr>
                <w:rFonts w:ascii="Arial Narrow" w:eastAsia="Calibri" w:hAnsi="Arial Narrow" w:cs="Calibri"/>
                <w:b/>
                <w:sz w:val="18"/>
                <w:szCs w:val="18"/>
                <w:lang w:eastAsia="en-US"/>
              </w:rPr>
            </w:pPr>
            <w:bookmarkStart w:id="154" w:name="_Hlk8648158"/>
            <w:r w:rsidRPr="00E3331A">
              <w:rPr>
                <w:rFonts w:eastAsia="Calibri"/>
                <w:lang w:eastAsia="en-US"/>
              </w:rPr>
              <w:br w:type="page"/>
            </w:r>
            <w:r w:rsidRPr="00E3331A">
              <w:rPr>
                <w:rFonts w:ascii="Arial Narrow" w:eastAsia="Calibri" w:hAnsi="Arial Narrow" w:cs="Calibri"/>
                <w:b/>
                <w:sz w:val="18"/>
                <w:szCs w:val="18"/>
                <w:lang w:eastAsia="en-US"/>
              </w:rPr>
              <w:t>Generic name</w:t>
            </w:r>
          </w:p>
        </w:tc>
        <w:tc>
          <w:tcPr>
            <w:tcW w:w="870" w:type="pct"/>
            <w:tcBorders>
              <w:top w:val="single" w:sz="4" w:space="0" w:color="7F7F7F"/>
              <w:left w:val="single" w:sz="4" w:space="0" w:color="7F7F7F"/>
              <w:bottom w:val="single" w:sz="4" w:space="0" w:color="7F7F7F"/>
              <w:right w:val="single" w:sz="4" w:space="0" w:color="7F7F7F"/>
            </w:tcBorders>
            <w:shd w:val="clear" w:color="auto" w:fill="auto"/>
          </w:tcPr>
          <w:p w:rsidR="00E8093B" w:rsidRPr="00E3331A" w:rsidRDefault="00E8093B" w:rsidP="0007007F">
            <w:pPr>
              <w:keepNext/>
              <w:spacing w:before="60" w:after="60" w:line="240" w:lineRule="auto"/>
              <w:rPr>
                <w:rFonts w:ascii="Arial Narrow" w:eastAsia="Calibri" w:hAnsi="Arial Narrow" w:cs="Calibri"/>
                <w:b/>
                <w:sz w:val="18"/>
                <w:szCs w:val="18"/>
                <w:lang w:eastAsia="en-US"/>
              </w:rPr>
            </w:pPr>
            <w:r w:rsidRPr="00E3331A">
              <w:rPr>
                <w:rFonts w:ascii="Arial Narrow" w:eastAsia="Calibri" w:hAnsi="Arial Narrow" w:cs="Calibri"/>
                <w:b/>
                <w:sz w:val="18"/>
                <w:szCs w:val="18"/>
                <w:lang w:eastAsia="en-US"/>
              </w:rPr>
              <w:t>PBS restriction</w:t>
            </w:r>
          </w:p>
        </w:tc>
        <w:tc>
          <w:tcPr>
            <w:tcW w:w="2944" w:type="pct"/>
            <w:tcBorders>
              <w:top w:val="single" w:sz="4" w:space="0" w:color="7F7F7F"/>
              <w:left w:val="single" w:sz="4" w:space="0" w:color="7F7F7F"/>
              <w:bottom w:val="single" w:sz="4" w:space="0" w:color="7F7F7F"/>
              <w:right w:val="single" w:sz="4" w:space="0" w:color="7F7F7F"/>
            </w:tcBorders>
            <w:shd w:val="clear" w:color="auto" w:fill="auto"/>
          </w:tcPr>
          <w:p w:rsidR="00E8093B" w:rsidRPr="00E3331A" w:rsidRDefault="00E8093B" w:rsidP="0007007F">
            <w:pPr>
              <w:keepNext/>
              <w:spacing w:before="60" w:after="60" w:line="240" w:lineRule="auto"/>
              <w:rPr>
                <w:rFonts w:ascii="Arial Narrow" w:eastAsia="Calibri" w:hAnsi="Arial Narrow" w:cs="Calibri"/>
                <w:b/>
                <w:sz w:val="18"/>
                <w:szCs w:val="18"/>
                <w:lang w:eastAsia="en-US"/>
              </w:rPr>
            </w:pPr>
            <w:r w:rsidRPr="00E3331A">
              <w:rPr>
                <w:rFonts w:ascii="Arial Narrow" w:eastAsia="Calibri" w:hAnsi="Arial Narrow" w:cs="Calibri"/>
                <w:b/>
                <w:sz w:val="18"/>
                <w:szCs w:val="18"/>
                <w:lang w:eastAsia="en-US"/>
              </w:rPr>
              <w:t>PBS item numbers</w:t>
            </w:r>
          </w:p>
        </w:tc>
      </w:tr>
      <w:tr w:rsidR="00281EC2" w:rsidRPr="00E3331A" w:rsidTr="0007007F">
        <w:tc>
          <w:tcPr>
            <w:tcW w:w="1186" w:type="pct"/>
            <w:tcBorders>
              <w:left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Azathioprine</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(Brand names: APO-Azathioprine, Azathioprine GH, Azathioprine Sandoz, Imuran)</w:t>
            </w:r>
          </w:p>
        </w:tc>
        <w:tc>
          <w:tcPr>
            <w:tcW w:w="870" w:type="pct"/>
            <w:tcBorders>
              <w:left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Unrestricted</w:t>
            </w:r>
          </w:p>
        </w:tc>
        <w:tc>
          <w:tcPr>
            <w:tcW w:w="2944" w:type="pct"/>
            <w:tcBorders>
              <w:left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2688L (25 mg tablet, 200)</w:t>
            </w:r>
          </w:p>
        </w:tc>
      </w:tr>
      <w:tr w:rsidR="00281EC2" w:rsidRPr="00E3331A" w:rsidTr="0007007F">
        <w:tc>
          <w:tcPr>
            <w:tcW w:w="1186" w:type="pct"/>
            <w:tcBorders>
              <w:top w:val="single" w:sz="4" w:space="0" w:color="7F7F7F"/>
              <w:left w:val="single" w:sz="4" w:space="0" w:color="7F7F7F"/>
              <w:bottom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Ciclosporin</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(Brand names: Neoral (25, 50 or 100), Cyclosporin Sandoz)</w:t>
            </w:r>
          </w:p>
        </w:tc>
        <w:tc>
          <w:tcPr>
            <w:tcW w:w="870" w:type="pct"/>
            <w:tcBorders>
              <w:top w:val="single" w:sz="4" w:space="0" w:color="7F7F7F"/>
              <w:left w:val="single" w:sz="4" w:space="0" w:color="7F7F7F"/>
              <w:bottom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Unrestricted for General Schedule listings only (S100 CIDP not included)</w:t>
            </w:r>
          </w:p>
        </w:tc>
        <w:tc>
          <w:tcPr>
            <w:tcW w:w="2944" w:type="pct"/>
            <w:tcBorders>
              <w:top w:val="single" w:sz="4" w:space="0" w:color="7F7F7F"/>
              <w:left w:val="single" w:sz="4" w:space="0" w:color="7F7F7F"/>
              <w:bottom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8657P (10 mg capsule, 60)</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8659Q (25 mg capsule, 30)</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8659Q (50mg capsule, 30)</w:t>
            </w:r>
          </w:p>
        </w:tc>
      </w:tr>
      <w:tr w:rsidR="00281EC2" w:rsidRPr="00E3331A" w:rsidTr="0007007F">
        <w:tc>
          <w:tcPr>
            <w:tcW w:w="1186" w:type="pct"/>
            <w:tcBorders>
              <w:left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Cyclophosphamide</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(Cyclonex, Endoxan)</w:t>
            </w:r>
          </w:p>
        </w:tc>
        <w:tc>
          <w:tcPr>
            <w:tcW w:w="870" w:type="pct"/>
            <w:tcBorders>
              <w:left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Unrestricted</w:t>
            </w:r>
          </w:p>
        </w:tc>
        <w:tc>
          <w:tcPr>
            <w:tcW w:w="2944" w:type="pct"/>
            <w:tcBorders>
              <w:left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1266P (50 mg tablet, 50)</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4327R (injection, 2,800 mg)</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7226H (injection, 2,800 mg)</w:t>
            </w:r>
          </w:p>
        </w:tc>
      </w:tr>
      <w:bookmarkEnd w:id="154"/>
      <w:tr w:rsidR="00281EC2" w:rsidRPr="00E3331A" w:rsidTr="0007007F">
        <w:tc>
          <w:tcPr>
            <w:tcW w:w="1186" w:type="pct"/>
            <w:tcBorders>
              <w:top w:val="single" w:sz="4" w:space="0" w:color="7F7F7F"/>
              <w:left w:val="single" w:sz="4" w:space="0" w:color="7F7F7F"/>
              <w:bottom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Fingolimod*</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(Brand names: Gilenya)</w:t>
            </w:r>
          </w:p>
        </w:tc>
        <w:tc>
          <w:tcPr>
            <w:tcW w:w="870" w:type="pct"/>
            <w:tcBorders>
              <w:top w:val="single" w:sz="4" w:space="0" w:color="7F7F7F"/>
              <w:left w:val="single" w:sz="4" w:space="0" w:color="7F7F7F"/>
              <w:bottom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Authority required and CIDP not included</w:t>
            </w:r>
          </w:p>
        </w:tc>
        <w:tc>
          <w:tcPr>
            <w:tcW w:w="2944" w:type="pct"/>
            <w:tcBorders>
              <w:top w:val="single" w:sz="4" w:space="0" w:color="7F7F7F"/>
              <w:left w:val="single" w:sz="4" w:space="0" w:color="7F7F7F"/>
              <w:bottom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N/A</w:t>
            </w:r>
          </w:p>
        </w:tc>
      </w:tr>
      <w:tr w:rsidR="00281EC2" w:rsidRPr="00E3331A" w:rsidTr="0007007F">
        <w:tc>
          <w:tcPr>
            <w:tcW w:w="1186" w:type="pct"/>
            <w:tcBorders>
              <w:left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Methotrexate**</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(Brand names: Methoblastin, Methotrexate Accord, Hospira, Methotrexate Ebewe, Pfizer Australia)</w:t>
            </w:r>
          </w:p>
        </w:tc>
        <w:tc>
          <w:tcPr>
            <w:tcW w:w="870" w:type="pct"/>
            <w:tcBorders>
              <w:left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Unrestricted</w:t>
            </w:r>
          </w:p>
        </w:tc>
        <w:tc>
          <w:tcPr>
            <w:tcW w:w="2944" w:type="pct"/>
            <w:tcBorders>
              <w:left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1622J (2.5 mg tablet, 30)</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2272N (10 mg tablet, 15)</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1623K (10 mg tablet, 50)</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1818Q (injection, 50 mg in 2 mL)</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2396D (injection, 50 mg in 2 mL)</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2395C (injection, 50 mg in 2 mL)</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4502Y (injection 1 g/10 mL, 500 mg/20 mL, 5 mg/2 mL, 1 g/10 mL, 50 mg/2 mL, 5 g/50 mL, 1 g/10 mL)</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7250N (injection 1 g/10 mL, 500 mg/20 mL, 5 mg/2 mL, 50 mg/2 mL, 1 g/10 mL, 5 g/50 mL, 1 g/10 mL)</w:t>
            </w:r>
          </w:p>
        </w:tc>
      </w:tr>
      <w:tr w:rsidR="00281EC2" w:rsidRPr="00E3331A" w:rsidTr="0007007F">
        <w:tc>
          <w:tcPr>
            <w:tcW w:w="1186" w:type="pct"/>
            <w:tcBorders>
              <w:top w:val="single" w:sz="4" w:space="0" w:color="7F7F7F"/>
              <w:left w:val="single" w:sz="4" w:space="0" w:color="7F7F7F"/>
              <w:bottom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Mycophenolate mofetil**</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 xml:space="preserve">Brand names: Ceptolate, Myfortic, APO-Mycophenolate, CellCept, Mycophnolate Sandoz, Pharmacor Mycophenolate (AN, 250, 500), </w:t>
            </w:r>
          </w:p>
        </w:tc>
        <w:tc>
          <w:tcPr>
            <w:tcW w:w="870" w:type="pct"/>
            <w:tcBorders>
              <w:top w:val="single" w:sz="4" w:space="0" w:color="7F7F7F"/>
              <w:left w:val="single" w:sz="4" w:space="0" w:color="7F7F7F"/>
              <w:bottom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Unrestricted for General Schedule listings only (S100 CIDP not included)</w:t>
            </w:r>
          </w:p>
        </w:tc>
        <w:tc>
          <w:tcPr>
            <w:tcW w:w="2944" w:type="pct"/>
            <w:tcBorders>
              <w:top w:val="single" w:sz="4" w:space="0" w:color="7F7F7F"/>
              <w:left w:val="single" w:sz="4" w:space="0" w:color="7F7F7F"/>
              <w:bottom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8651H (powder for oral liquid, 1 g/5 mL)</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1836P (capsule, 250 mg, 50)</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2150E (enteric tablet, 180 or 360 mg, 120)</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8649F (capsule, 250 mg, 100)</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8650G (</w:t>
            </w:r>
            <w:r w:rsidR="002338F0" w:rsidRPr="00E3331A">
              <w:rPr>
                <w:rFonts w:ascii="Arial Narrow" w:eastAsia="Calibri" w:hAnsi="Arial Narrow" w:cs="Calibri"/>
                <w:sz w:val="18"/>
                <w:szCs w:val="18"/>
                <w:lang w:eastAsia="en-US"/>
              </w:rPr>
              <w:t>t</w:t>
            </w:r>
            <w:r w:rsidRPr="00E3331A">
              <w:rPr>
                <w:rFonts w:ascii="Arial Narrow" w:eastAsia="Calibri" w:hAnsi="Arial Narrow" w:cs="Calibri"/>
                <w:sz w:val="18"/>
                <w:szCs w:val="18"/>
                <w:lang w:eastAsia="en-US"/>
              </w:rPr>
              <w:t>ablet, 500 mg, 50)</w:t>
            </w:r>
          </w:p>
        </w:tc>
      </w:tr>
      <w:tr w:rsidR="00281EC2" w:rsidRPr="00E3331A" w:rsidTr="0007007F">
        <w:tc>
          <w:tcPr>
            <w:tcW w:w="1186" w:type="pct"/>
            <w:tcBorders>
              <w:left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Rituximab*</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(Mabthera)</w:t>
            </w:r>
          </w:p>
        </w:tc>
        <w:tc>
          <w:tcPr>
            <w:tcW w:w="870" w:type="pct"/>
            <w:tcBorders>
              <w:left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Authority required and CIDP not included</w:t>
            </w:r>
          </w:p>
        </w:tc>
        <w:tc>
          <w:tcPr>
            <w:tcW w:w="2944" w:type="pct"/>
            <w:tcBorders>
              <w:left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N/A</w:t>
            </w:r>
          </w:p>
        </w:tc>
      </w:tr>
      <w:tr w:rsidR="00281EC2" w:rsidRPr="00E3331A" w:rsidTr="0007007F">
        <w:tc>
          <w:tcPr>
            <w:tcW w:w="1186" w:type="pct"/>
            <w:tcBorders>
              <w:top w:val="single" w:sz="4" w:space="0" w:color="7F7F7F"/>
              <w:left w:val="single" w:sz="4" w:space="0" w:color="7F7F7F"/>
              <w:bottom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Tacrolimus</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 xml:space="preserve">(brand names: ADVAGRAF XL, Prograf, Tacrolimus Sandoz, Pacrolim, Pharmacor Tacrolimus, Tacrograf, TACROLIMUS APOTEX) </w:t>
            </w:r>
          </w:p>
        </w:tc>
        <w:tc>
          <w:tcPr>
            <w:tcW w:w="870" w:type="pct"/>
            <w:tcBorders>
              <w:top w:val="single" w:sz="4" w:space="0" w:color="7F7F7F"/>
              <w:left w:val="single" w:sz="4" w:space="0" w:color="7F7F7F"/>
              <w:bottom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Unrestricted for General Schedule listings only (S100 authority required, CIDP not included)</w:t>
            </w:r>
          </w:p>
        </w:tc>
        <w:tc>
          <w:tcPr>
            <w:tcW w:w="2944" w:type="pct"/>
            <w:tcBorders>
              <w:top w:val="single" w:sz="4" w:space="0" w:color="7F7F7F"/>
              <w:left w:val="single" w:sz="4" w:space="0" w:color="7F7F7F"/>
              <w:bottom w:val="single" w:sz="4" w:space="0" w:color="7F7F7F"/>
              <w:right w:val="single" w:sz="4" w:space="0" w:color="7F7F7F"/>
            </w:tcBorders>
            <w:shd w:val="clear" w:color="auto" w:fill="auto"/>
          </w:tcPr>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5300Y (MR capsule, 1 mg, 60)</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10870D (capsule, 0.75 mg, 100)</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5451X (MR capsule, 5 mg, 30)</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8647D (capsule, 1 mg, 100)</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10871E (capsule, 2 mg, 100)</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8646C (capsule, 0.5 mg, 100)</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8648E (capsule, 5 mg, 20)</w:t>
            </w:r>
          </w:p>
          <w:p w:rsidR="00E8093B" w:rsidRPr="00E3331A" w:rsidRDefault="00E8093B" w:rsidP="0007007F">
            <w:pPr>
              <w:keepNext/>
              <w:spacing w:after="0" w:line="240" w:lineRule="auto"/>
              <w:contextualSpacing/>
              <w:rPr>
                <w:rFonts w:ascii="Arial Narrow" w:eastAsia="Calibri" w:hAnsi="Arial Narrow" w:cs="Calibri"/>
                <w:sz w:val="18"/>
                <w:szCs w:val="18"/>
                <w:lang w:eastAsia="en-US"/>
              </w:rPr>
            </w:pPr>
            <w:r w:rsidRPr="00E3331A">
              <w:rPr>
                <w:rFonts w:ascii="Arial Narrow" w:eastAsia="Calibri" w:hAnsi="Arial Narrow" w:cs="Calibri"/>
                <w:sz w:val="18"/>
                <w:szCs w:val="18"/>
                <w:lang w:eastAsia="en-US"/>
              </w:rPr>
              <w:t>5299X (MR capsule, 0.5 mg, 30)</w:t>
            </w:r>
          </w:p>
        </w:tc>
      </w:tr>
    </w:tbl>
    <w:p w:rsidR="00775A1B" w:rsidRPr="00E3331A" w:rsidRDefault="00775A1B" w:rsidP="0037150F">
      <w:pPr>
        <w:pStyle w:val="Tablenotes1"/>
      </w:pPr>
      <w:r w:rsidRPr="00E3331A">
        <w:t xml:space="preserve">Source: </w:t>
      </w:r>
      <w:r w:rsidR="002F07DE" w:rsidRPr="00E3331A">
        <w:t xml:space="preserve">Reproduced from the PICO. </w:t>
      </w:r>
      <w:r w:rsidRPr="00E3331A">
        <w:t xml:space="preserve">Adapted from pages 39 and 40 for the Referral Form; </w:t>
      </w:r>
      <w:r w:rsidRPr="00E3331A">
        <w:rPr>
          <w:noProof/>
        </w:rPr>
        <w:t>original source</w:t>
      </w:r>
      <w:r w:rsidRPr="00E3331A">
        <w:t xml:space="preserve">: PBS website </w:t>
      </w:r>
    </w:p>
    <w:p w:rsidR="00775A1B" w:rsidRPr="00E3331A" w:rsidRDefault="00775A1B" w:rsidP="0037150F">
      <w:pPr>
        <w:pStyle w:val="Tablenotes1"/>
      </w:pPr>
      <w:r w:rsidRPr="00E3331A">
        <w:t xml:space="preserve">Note: * = not PBS </w:t>
      </w:r>
      <w:r w:rsidRPr="00E3331A">
        <w:rPr>
          <w:noProof/>
        </w:rPr>
        <w:t>subsidised</w:t>
      </w:r>
      <w:r w:rsidRPr="00E3331A">
        <w:t xml:space="preserve"> for CIDP; ** only formulations that could </w:t>
      </w:r>
      <w:r w:rsidRPr="00E3331A">
        <w:rPr>
          <w:noProof/>
        </w:rPr>
        <w:t>be funded</w:t>
      </w:r>
      <w:r w:rsidRPr="00E3331A">
        <w:t xml:space="preserve"> for CIDP included (</w:t>
      </w:r>
      <w:r w:rsidRPr="00E3331A">
        <w:rPr>
          <w:noProof/>
        </w:rPr>
        <w:t>i.e.</w:t>
      </w:r>
      <w:r w:rsidRPr="00E3331A">
        <w:t xml:space="preserve"> where no authority required or where authority includes CIDP patients)</w:t>
      </w:r>
    </w:p>
    <w:p w:rsidR="00775A1B" w:rsidRPr="00E3331A" w:rsidRDefault="00775A1B" w:rsidP="0037150F">
      <w:pPr>
        <w:pStyle w:val="Tablenotes1"/>
      </w:pPr>
      <w:r w:rsidRPr="00E3331A">
        <w:t>CIDP</w:t>
      </w:r>
      <w:r w:rsidR="003A21F5" w:rsidRPr="00E3331A">
        <w:t xml:space="preserve">: </w:t>
      </w:r>
      <w:r w:rsidR="00BE54F2">
        <w:t>c</w:t>
      </w:r>
      <w:r w:rsidRPr="00E3331A">
        <w:t>hronic inflammatory demyelinating polyneuropathy</w:t>
      </w:r>
      <w:r w:rsidR="003A21F5" w:rsidRPr="00E3331A">
        <w:t>;</w:t>
      </w:r>
      <w:r w:rsidRPr="00E3331A">
        <w:t xml:space="preserve"> MR</w:t>
      </w:r>
      <w:r w:rsidR="003A21F5" w:rsidRPr="00E3331A">
        <w:t xml:space="preserve">: </w:t>
      </w:r>
      <w:r w:rsidRPr="00E3331A">
        <w:t>Modified release</w:t>
      </w:r>
      <w:r w:rsidR="003A21F5" w:rsidRPr="00E3331A">
        <w:t>;</w:t>
      </w:r>
      <w:r w:rsidRPr="00E3331A">
        <w:t xml:space="preserve"> NA</w:t>
      </w:r>
      <w:r w:rsidR="003A21F5" w:rsidRPr="00E3331A">
        <w:t xml:space="preserve">: </w:t>
      </w:r>
      <w:r w:rsidRPr="00E3331A">
        <w:t>Not applicable</w:t>
      </w:r>
      <w:r w:rsidR="003A21F5" w:rsidRPr="00E3331A">
        <w:t>;</w:t>
      </w:r>
      <w:r w:rsidRPr="00E3331A">
        <w:t xml:space="preserve"> NR</w:t>
      </w:r>
      <w:r w:rsidR="003A21F5" w:rsidRPr="00E3331A">
        <w:t xml:space="preserve">: </w:t>
      </w:r>
      <w:r w:rsidRPr="00E3331A">
        <w:t>Not reported; PBS</w:t>
      </w:r>
      <w:r w:rsidR="003A21F5" w:rsidRPr="00E3331A">
        <w:t xml:space="preserve">: </w:t>
      </w:r>
      <w:r w:rsidRPr="00E3331A">
        <w:t>Pharmaceutical Benefits Scheme.</w:t>
      </w:r>
    </w:p>
    <w:p w:rsidR="005C7808" w:rsidRPr="00E3331A" w:rsidRDefault="00353AC6" w:rsidP="00A469AB">
      <w:r w:rsidRPr="00E3331A">
        <w:t>T</w:t>
      </w:r>
      <w:r w:rsidR="003A21F5" w:rsidRPr="00E3331A">
        <w:t>he PICO note</w:t>
      </w:r>
      <w:r w:rsidRPr="00E3331A">
        <w:t>s</w:t>
      </w:r>
      <w:r w:rsidR="003A21F5" w:rsidRPr="00E3331A">
        <w:t xml:space="preserve"> that Fingolomad (Gilenya) and Rituximab (Mabthera) are not PBS</w:t>
      </w:r>
      <w:r w:rsidR="00417823">
        <w:t xml:space="preserve"> </w:t>
      </w:r>
      <w:r w:rsidR="003A21F5" w:rsidRPr="00E3331A">
        <w:t xml:space="preserve">subsidised for CIDP and are listed as “authority required, CIDP not included”. </w:t>
      </w:r>
      <w:r w:rsidR="006377AA" w:rsidRPr="00E3331A">
        <w:t>A literature review on CIDP reported that, historically, azathioprine and cyclophosphamide have probably been the most commonly used drug for CIDP</w:t>
      </w:r>
      <w:r w:rsidRPr="00E3331A">
        <w:t>,</w:t>
      </w:r>
      <w:r w:rsidR="006377AA" w:rsidRPr="00E3331A">
        <w:t xml:space="preserve"> with azathioprine generally used as a steroid</w:t>
      </w:r>
      <w:r w:rsidR="00D45BCF" w:rsidRPr="00E3331A">
        <w:t>-</w:t>
      </w:r>
      <w:r w:rsidR="006377AA" w:rsidRPr="00E3331A">
        <w:t xml:space="preserve">sparing medication or reserved for patients with mild disease </w:t>
      </w:r>
      <w:r w:rsidR="00B85C75">
        <w:rPr>
          <w:noProof/>
        </w:rPr>
        <w:t>(Lewis 2019b)</w:t>
      </w:r>
      <w:r w:rsidRPr="00E3331A">
        <w:t>.</w:t>
      </w:r>
      <w:r w:rsidR="006377AA" w:rsidRPr="00E3331A">
        <w:t xml:space="preserve"> </w:t>
      </w:r>
      <w:r w:rsidR="003A21F5" w:rsidRPr="00E3331A">
        <w:t>Expert advice</w:t>
      </w:r>
      <w:r w:rsidR="00C162B0" w:rsidRPr="00E3331A">
        <w:t>, as reported in the</w:t>
      </w:r>
      <w:r w:rsidR="003A21F5" w:rsidRPr="00E3331A">
        <w:t xml:space="preserve"> PICO</w:t>
      </w:r>
      <w:r w:rsidR="00C162B0" w:rsidRPr="00E3331A">
        <w:t>,</w:t>
      </w:r>
      <w:r w:rsidR="003A21F5" w:rsidRPr="00E3331A">
        <w:t xml:space="preserve"> </w:t>
      </w:r>
      <w:r w:rsidR="00C162B0" w:rsidRPr="00E3331A">
        <w:t>noted</w:t>
      </w:r>
      <w:r w:rsidR="003A21F5" w:rsidRPr="00E3331A">
        <w:t xml:space="preserve"> that </w:t>
      </w:r>
      <w:r w:rsidR="00C162B0" w:rsidRPr="00E3331A">
        <w:t xml:space="preserve">mycophenolate (or azathioprine) would be used as second-line immunosuppressant therapies. </w:t>
      </w:r>
      <w:r w:rsidRPr="00E3331A">
        <w:t>F</w:t>
      </w:r>
      <w:r w:rsidR="00C162B0" w:rsidRPr="00E3331A">
        <w:t xml:space="preserve">urther </w:t>
      </w:r>
      <w:r w:rsidRPr="00E3331A">
        <w:t xml:space="preserve">advice </w:t>
      </w:r>
      <w:r w:rsidR="00C162B0" w:rsidRPr="00E3331A">
        <w:t>state</w:t>
      </w:r>
      <w:r w:rsidRPr="00E3331A">
        <w:t>s</w:t>
      </w:r>
      <w:r w:rsidR="00C162B0" w:rsidRPr="00E3331A">
        <w:t xml:space="preserve"> that </w:t>
      </w:r>
      <w:r w:rsidR="003A21F5" w:rsidRPr="00E3331A">
        <w:t>it is unlikely that anyone still receives Fingolomad for CIDP</w:t>
      </w:r>
      <w:r w:rsidR="0098710E" w:rsidRPr="00E3331A">
        <w:t>,</w:t>
      </w:r>
      <w:r w:rsidR="003A21F5" w:rsidRPr="00E3331A">
        <w:t xml:space="preserve"> however, Rituximab (Mabthera) is commonly used for CIDP when patients have failed other immunosuppressant therapy, with the cost often borne by hospital drug committees </w:t>
      </w:r>
      <w:r w:rsidR="00B85C75">
        <w:rPr>
          <w:noProof/>
        </w:rPr>
        <w:t>(DoH 2019a)</w:t>
      </w:r>
      <w:r w:rsidR="0098710E" w:rsidRPr="00E3331A">
        <w:t>.</w:t>
      </w:r>
      <w:r w:rsidR="00C162B0" w:rsidRPr="00E3331A">
        <w:t xml:space="preserve"> </w:t>
      </w:r>
      <w:r w:rsidR="0098710E" w:rsidRPr="00E3331A">
        <w:t xml:space="preserve">Azathioprine is the most widely used </w:t>
      </w:r>
      <w:r w:rsidR="0098710E" w:rsidRPr="00E3331A">
        <w:lastRenderedPageBreak/>
        <w:t>immunosuppressant in the treatment of CIDP a</w:t>
      </w:r>
      <w:r w:rsidR="00C162B0" w:rsidRPr="00E3331A">
        <w:t>ccording to the Guillain</w:t>
      </w:r>
      <w:r w:rsidR="000C0E99">
        <w:t>-</w:t>
      </w:r>
      <w:r w:rsidR="00C162B0" w:rsidRPr="00E3331A">
        <w:t xml:space="preserve">Barré Association of </w:t>
      </w:r>
      <w:r w:rsidR="0098710E" w:rsidRPr="00E3331A">
        <w:t>NSW</w:t>
      </w:r>
      <w:r w:rsidR="00C162B0" w:rsidRPr="00E3331A">
        <w:t xml:space="preserve"> information page on CIDP. </w:t>
      </w:r>
    </w:p>
    <w:p w:rsidR="005C7808" w:rsidRPr="00E3331A" w:rsidRDefault="00E1069B" w:rsidP="00A469AB">
      <w:r w:rsidRPr="00E3331A">
        <w:t>T</w:t>
      </w:r>
      <w:r w:rsidR="008E0EF7" w:rsidRPr="00E3331A">
        <w:t xml:space="preserve">he PICO </w:t>
      </w:r>
      <w:r w:rsidRPr="00E3331A">
        <w:t xml:space="preserve">notes </w:t>
      </w:r>
      <w:r w:rsidR="008E0EF7" w:rsidRPr="00E3331A">
        <w:t xml:space="preserve">that expert advice regarding the use of immunosuppressants for CIDP </w:t>
      </w:r>
      <w:r w:rsidR="00A36B77" w:rsidRPr="00E3331A">
        <w:t xml:space="preserve">in Australia </w:t>
      </w:r>
      <w:r w:rsidR="008E0EF7" w:rsidRPr="00E3331A">
        <w:t xml:space="preserve">is that they not </w:t>
      </w:r>
      <w:r w:rsidR="00DB612E" w:rsidRPr="00E3331A">
        <w:t xml:space="preserve">be </w:t>
      </w:r>
      <w:r w:rsidR="008E0EF7" w:rsidRPr="00E3331A">
        <w:t>used as stand-alone treatment</w:t>
      </w:r>
      <w:r w:rsidR="00DB612E" w:rsidRPr="00E3331A">
        <w:t>s</w:t>
      </w:r>
      <w:r w:rsidR="008E0EF7" w:rsidRPr="00E3331A">
        <w:t xml:space="preserve"> but are initiated alongside corticosteroids</w:t>
      </w:r>
      <w:r w:rsidR="00DB612E" w:rsidRPr="00E3331A">
        <w:t xml:space="preserve"> and</w:t>
      </w:r>
      <w:r w:rsidR="008E0EF7" w:rsidRPr="00E3331A">
        <w:t xml:space="preserve"> continued following tapering of steroid dosage</w:t>
      </w:r>
      <w:r w:rsidR="00DB612E" w:rsidRPr="00E3331A">
        <w:t xml:space="preserve"> if necessary</w:t>
      </w:r>
      <w:r w:rsidR="008E0EF7" w:rsidRPr="00E3331A">
        <w:t xml:space="preserve">. The clinical expert </w:t>
      </w:r>
      <w:r w:rsidR="005A33B4" w:rsidRPr="00E3331A">
        <w:t xml:space="preserve">to the PICO </w:t>
      </w:r>
      <w:r w:rsidR="008E0EF7" w:rsidRPr="00E3331A">
        <w:t xml:space="preserve">stated that the reason for this was the longer duration required for immunosuppressants </w:t>
      </w:r>
      <w:r w:rsidR="006377AA" w:rsidRPr="00E3331A">
        <w:t xml:space="preserve">to </w:t>
      </w:r>
      <w:r w:rsidR="005C7808" w:rsidRPr="00E3331A">
        <w:t>have an effect</w:t>
      </w:r>
      <w:r w:rsidR="006377AA" w:rsidRPr="00E3331A">
        <w:t xml:space="preserve"> in</w:t>
      </w:r>
      <w:r w:rsidR="008E0EF7" w:rsidRPr="00E3331A">
        <w:t xml:space="preserve"> comparison to the short action </w:t>
      </w:r>
      <w:r w:rsidR="006377AA" w:rsidRPr="00E3331A">
        <w:t xml:space="preserve">time </w:t>
      </w:r>
      <w:r w:rsidR="008E0EF7" w:rsidRPr="00E3331A">
        <w:t>associated with corticosteroids</w:t>
      </w:r>
      <w:r w:rsidR="006D3C45" w:rsidRPr="00E3331A">
        <w:t xml:space="preserve"> </w:t>
      </w:r>
      <w:r w:rsidR="00B85C75">
        <w:rPr>
          <w:noProof/>
        </w:rPr>
        <w:t>(DoH 2019a)</w:t>
      </w:r>
      <w:r w:rsidR="006D3C45" w:rsidRPr="00E3331A">
        <w:t>.</w:t>
      </w:r>
      <w:r w:rsidR="00CF3478" w:rsidRPr="00E3331A">
        <w:t xml:space="preserve"> </w:t>
      </w:r>
      <w:r w:rsidR="006377AA" w:rsidRPr="00E3331A">
        <w:t xml:space="preserve">A literature review on CIDP noted that a therapeutic response to azathioprine may take </w:t>
      </w:r>
      <w:r w:rsidR="006D3C45" w:rsidRPr="00E3331A">
        <w:t xml:space="preserve">greater than </w:t>
      </w:r>
      <w:r w:rsidR="006377AA" w:rsidRPr="00E3331A">
        <w:t>six months</w:t>
      </w:r>
      <w:r w:rsidR="006D3C45" w:rsidRPr="00E3331A">
        <w:t xml:space="preserve"> </w:t>
      </w:r>
      <w:r w:rsidR="00B85C75">
        <w:rPr>
          <w:noProof/>
        </w:rPr>
        <w:t>(Lewis 2019b)</w:t>
      </w:r>
      <w:r w:rsidR="006D3C45" w:rsidRPr="00E3331A">
        <w:t>.</w:t>
      </w:r>
      <w:r w:rsidR="005C7808" w:rsidRPr="00E3331A">
        <w:t xml:space="preserve"> Another review on the management of CIDP stated in reference to the use of immunosuppressants drugs as second</w:t>
      </w:r>
      <w:r w:rsidR="00D45BCF" w:rsidRPr="00E3331A">
        <w:t>-</w:t>
      </w:r>
      <w:r w:rsidR="005C7808" w:rsidRPr="00E3331A">
        <w:t>line therapies for CIDP, that it is critical to use these alternative drugs for long enough (</w:t>
      </w:r>
      <w:r w:rsidR="006D3C45" w:rsidRPr="00E3331A">
        <w:t>e</w:t>
      </w:r>
      <w:r w:rsidR="00801B0B" w:rsidRPr="00E3331A">
        <w:t>.</w:t>
      </w:r>
      <w:r w:rsidR="006D3C45" w:rsidRPr="00E3331A">
        <w:t>g.</w:t>
      </w:r>
      <w:r w:rsidR="005C7808" w:rsidRPr="00E3331A">
        <w:t xml:space="preserve"> azathioprine for at least 12 to 18 months) before concluding </w:t>
      </w:r>
      <w:r w:rsidR="00801B0B" w:rsidRPr="00E3331A">
        <w:t xml:space="preserve">that </w:t>
      </w:r>
      <w:r w:rsidR="005C7808" w:rsidRPr="00E3331A">
        <w:t xml:space="preserve">the second-line drug </w:t>
      </w:r>
      <w:r w:rsidR="00801B0B" w:rsidRPr="00E3331A">
        <w:t>is</w:t>
      </w:r>
      <w:r w:rsidR="005C7808" w:rsidRPr="00E3331A">
        <w:t xml:space="preserve"> ineffective and moving on to alternative second-line medication trials</w:t>
      </w:r>
      <w:r w:rsidR="00801B0B" w:rsidRPr="00E3331A">
        <w:t xml:space="preserve"> </w:t>
      </w:r>
      <w:r w:rsidR="00B85C75">
        <w:rPr>
          <w:noProof/>
        </w:rPr>
        <w:t>(Gorson 2012)</w:t>
      </w:r>
      <w:r w:rsidR="00801B0B" w:rsidRPr="00E3331A">
        <w:t>.</w:t>
      </w:r>
    </w:p>
    <w:p w:rsidR="005602D3" w:rsidRPr="00E3331A" w:rsidRDefault="005602D3" w:rsidP="003E4E1F">
      <w:pPr>
        <w:pStyle w:val="Heading2"/>
        <w:numPr>
          <w:ilvl w:val="0"/>
          <w:numId w:val="8"/>
        </w:numPr>
      </w:pPr>
      <w:bookmarkStart w:id="155" w:name="_Toc381796446"/>
      <w:bookmarkStart w:id="156" w:name="_Toc24103442"/>
      <w:r w:rsidRPr="00E3331A">
        <w:t xml:space="preserve">Clinical </w:t>
      </w:r>
      <w:bookmarkEnd w:id="155"/>
      <w:r w:rsidR="00715135" w:rsidRPr="00E3331A">
        <w:t>management Algorithm(s)</w:t>
      </w:r>
      <w:bookmarkEnd w:id="156"/>
      <w:r w:rsidRPr="00E3331A">
        <w:t xml:space="preserve"> </w:t>
      </w:r>
    </w:p>
    <w:p w:rsidR="007E5A60" w:rsidRPr="00E3331A" w:rsidRDefault="00147F55" w:rsidP="007E5A60">
      <w:bookmarkStart w:id="157" w:name="_Ref379455005"/>
      <w:bookmarkStart w:id="158" w:name="_Ref379454995"/>
      <w:bookmarkStart w:id="159" w:name="_Toc381969891"/>
      <w:r w:rsidRPr="00E3331A">
        <w:t>Figures 1 and 2 describe the current management of CIDP in patients for whom Ig therapy is indicated and not indicated</w:t>
      </w:r>
      <w:r w:rsidR="00B84A60" w:rsidRPr="00E3331A">
        <w:t>,</w:t>
      </w:r>
      <w:r w:rsidRPr="00E3331A">
        <w:t xml:space="preserve"> respectively.</w:t>
      </w:r>
    </w:p>
    <w:p w:rsidR="00431B4A" w:rsidRPr="00E3331A" w:rsidRDefault="00147F55">
      <w:pPr>
        <w:spacing w:after="0" w:line="240" w:lineRule="auto"/>
        <w:rPr>
          <w:rFonts w:ascii="Arial Narrow" w:hAnsi="Arial Narrow"/>
          <w:b/>
          <w:bCs/>
          <w:sz w:val="20"/>
        </w:rPr>
      </w:pPr>
      <w:r w:rsidRPr="00E3331A">
        <w:t xml:space="preserve"> </w:t>
      </w:r>
      <w:r w:rsidR="00431B4A" w:rsidRPr="00E3331A">
        <w:br w:type="page"/>
      </w:r>
    </w:p>
    <w:p w:rsidR="002E5149" w:rsidRPr="00E3331A" w:rsidRDefault="002E5149" w:rsidP="009B558E">
      <w:pPr>
        <w:pStyle w:val="Caption"/>
        <w:ind w:left="1134" w:hanging="1134"/>
        <w:jc w:val="both"/>
      </w:pPr>
      <w:bookmarkStart w:id="160" w:name="_Ref10019510"/>
      <w:bookmarkStart w:id="161" w:name="_Toc23767043"/>
      <w:r w:rsidRPr="00E3331A">
        <w:lastRenderedPageBreak/>
        <w:t xml:space="preserve">Figure </w:t>
      </w:r>
      <w:r w:rsidR="006F35B9">
        <w:rPr>
          <w:noProof/>
        </w:rPr>
        <w:t>1</w:t>
      </w:r>
      <w:bookmarkEnd w:id="157"/>
      <w:bookmarkEnd w:id="160"/>
      <w:r w:rsidRPr="00E3331A">
        <w:tab/>
      </w:r>
      <w:r w:rsidR="00431B4A" w:rsidRPr="00E3331A">
        <w:t xml:space="preserve">Current </w:t>
      </w:r>
      <w:r w:rsidRPr="00E3331A">
        <w:t xml:space="preserve">management algorithm for </w:t>
      </w:r>
      <w:bookmarkEnd w:id="158"/>
      <w:bookmarkEnd w:id="159"/>
      <w:r w:rsidR="00431B4A" w:rsidRPr="00E3331A">
        <w:t>CIDP patients eligible for Ig therapy</w:t>
      </w:r>
      <w:bookmarkEnd w:id="161"/>
    </w:p>
    <w:p w:rsidR="00503C5B" w:rsidRPr="00E3331A" w:rsidRDefault="00D21A82" w:rsidP="00503C5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linical pathway describing Criteria for Ig use and when to trial weaning." style="width:424.5pt;height:585.75pt">
            <v:imagedata r:id="rId18" o:title=""/>
          </v:shape>
        </w:pict>
      </w:r>
    </w:p>
    <w:p w:rsidR="00431B4A" w:rsidRPr="00E3331A" w:rsidRDefault="00431B4A" w:rsidP="0037150F">
      <w:pPr>
        <w:pStyle w:val="Tablenotes1"/>
      </w:pPr>
      <w:r w:rsidRPr="00E3331A">
        <w:t xml:space="preserve">Source: </w:t>
      </w:r>
      <w:r w:rsidR="0012591E" w:rsidRPr="00E3331A">
        <w:t>r</w:t>
      </w:r>
      <w:r w:rsidRPr="00E3331A">
        <w:t xml:space="preserve">eproduced from Figure 1, page 28 and Figure 2, page 36 of the Referral Form. </w:t>
      </w:r>
    </w:p>
    <w:p w:rsidR="00431B4A" w:rsidRPr="00E3331A" w:rsidRDefault="00431B4A" w:rsidP="0037150F">
      <w:pPr>
        <w:pStyle w:val="Tablenotes1"/>
      </w:pPr>
      <w:r w:rsidRPr="00E3331A">
        <w:t>Abbreviations: ONLS = Overall Neuropathy Limitations Scale, MRC = Medical Research Council, SMWT = Six-minute walking test, MRS = Modified Rankin Scale, Ig = Immunoglobulin, CIDP = Chronic inflammatory demyelinating polyneuropathy, SCIg = subcutaneous immunoglobulin</w:t>
      </w:r>
      <w:r w:rsidR="00147F55" w:rsidRPr="00E3331A">
        <w:t>.</w:t>
      </w:r>
    </w:p>
    <w:p w:rsidR="00147F55" w:rsidRPr="00E3331A" w:rsidRDefault="00431B4A" w:rsidP="00C90F6D">
      <w:pPr>
        <w:pStyle w:val="TableHeading"/>
        <w:rPr>
          <w:lang w:val="en-GB" w:eastAsia="ja-JP"/>
        </w:rPr>
      </w:pPr>
      <w:r w:rsidRPr="00E3331A">
        <w:br w:type="page"/>
      </w:r>
      <w:bookmarkStart w:id="162" w:name="_Toc23767044"/>
      <w:r w:rsidRPr="00E3331A">
        <w:rPr>
          <w:lang w:val="en-GB" w:eastAsia="ja-JP"/>
        </w:rPr>
        <w:lastRenderedPageBreak/>
        <w:t xml:space="preserve">Figure </w:t>
      </w:r>
      <w:r w:rsidR="006F35B9">
        <w:rPr>
          <w:noProof/>
          <w:lang w:val="en-GB" w:eastAsia="ja-JP"/>
        </w:rPr>
        <w:t>2</w:t>
      </w:r>
      <w:r w:rsidRPr="00E3331A">
        <w:rPr>
          <w:lang w:val="en-GB" w:eastAsia="ja-JP"/>
        </w:rPr>
        <w:tab/>
        <w:t xml:space="preserve">Proposed algorithm for </w:t>
      </w:r>
      <w:r w:rsidRPr="00E3331A">
        <w:rPr>
          <w:noProof/>
          <w:lang w:val="en-GB" w:eastAsia="ja-JP"/>
        </w:rPr>
        <w:t>treatment</w:t>
      </w:r>
      <w:r w:rsidRPr="00E3331A">
        <w:rPr>
          <w:lang w:val="en-GB" w:eastAsia="ja-JP"/>
        </w:rPr>
        <w:t xml:space="preserve"> of patients in the absence (or failure) of Ig.</w:t>
      </w:r>
      <w:bookmarkEnd w:id="162"/>
      <w:r w:rsidRPr="00E3331A">
        <w:rPr>
          <w:lang w:val="en-GB" w:eastAsia="ja-JP"/>
        </w:rPr>
        <w:t xml:space="preserve"> </w:t>
      </w:r>
    </w:p>
    <w:p w:rsidR="00431B4A" w:rsidRPr="00E3331A" w:rsidRDefault="00D21A82">
      <w:pPr>
        <w:spacing w:after="0" w:line="240" w:lineRule="auto"/>
      </w:pPr>
      <w:r>
        <w:pict>
          <v:shape id="_x0000_i1026" type="#_x0000_t75" alt="CLinical pathway describing treatment for patients when Ig is not an option" style="width:442.5pt;height:464.25pt">
            <v:imagedata r:id="rId19" o:title=""/>
          </v:shape>
        </w:pict>
      </w:r>
    </w:p>
    <w:p w:rsidR="00431B4A" w:rsidRPr="00E3331A" w:rsidRDefault="00431B4A">
      <w:pPr>
        <w:spacing w:after="0" w:line="240" w:lineRule="auto"/>
        <w:rPr>
          <w:rFonts w:cs="Calibri"/>
          <w:sz w:val="18"/>
          <w:szCs w:val="18"/>
        </w:rPr>
      </w:pPr>
    </w:p>
    <w:p w:rsidR="00431B4A" w:rsidRPr="00E3331A" w:rsidRDefault="00431B4A" w:rsidP="002F07DE">
      <w:pPr>
        <w:pStyle w:val="Tablenotes1"/>
      </w:pPr>
      <w:r w:rsidRPr="00E3331A">
        <w:t>Source:</w:t>
      </w:r>
      <w:r w:rsidRPr="00E3331A">
        <w:rPr>
          <w:b/>
        </w:rPr>
        <w:t xml:space="preserve"> </w:t>
      </w:r>
      <w:r w:rsidR="00CF68DC" w:rsidRPr="00E3331A">
        <w:t>r</w:t>
      </w:r>
      <w:r w:rsidRPr="00E3331A">
        <w:t xml:space="preserve">eproduced from Figure 3 page 42 of the Referral Form. </w:t>
      </w:r>
    </w:p>
    <w:p w:rsidR="00431B4A" w:rsidRPr="00E3331A" w:rsidRDefault="00431B4A" w:rsidP="002F07DE">
      <w:pPr>
        <w:pStyle w:val="Tablenotes1"/>
      </w:pPr>
      <w:r w:rsidRPr="00E3331A">
        <w:t>Abbreviations: Ig</w:t>
      </w:r>
      <w:r w:rsidRPr="00E3331A">
        <w:rPr>
          <w:b/>
        </w:rPr>
        <w:t xml:space="preserve"> </w:t>
      </w:r>
      <w:r w:rsidRPr="00E3331A">
        <w:t>= Immunoglobulin</w:t>
      </w:r>
    </w:p>
    <w:p w:rsidR="002F07DE" w:rsidRPr="00755F3E" w:rsidRDefault="00755F3E" w:rsidP="00755F3E">
      <w:pPr>
        <w:pStyle w:val="Tablenotes1"/>
      </w:pPr>
      <w:r w:rsidRPr="00755F3E">
        <w:t>Note:</w:t>
      </w:r>
      <w:r w:rsidR="002F07DE" w:rsidRPr="00755F3E">
        <w:t xml:space="preserve"> this algorithm may also be applicable for any patie</w:t>
      </w:r>
      <w:r w:rsidRPr="00755F3E">
        <w:t xml:space="preserve">nt not/no longer eligible for </w:t>
      </w:r>
      <w:r w:rsidR="002F07DE" w:rsidRPr="00755F3E">
        <w:t>Ig under Version 3 of ‘the Criteria’</w:t>
      </w:r>
      <w:r w:rsidRPr="00755F3E">
        <w:t xml:space="preserve"> </w:t>
      </w:r>
      <w:r w:rsidR="002F07DE" w:rsidRPr="00755F3E">
        <w:t>(i.e. reach ‘use alternate therapies’ stage on Figur</w:t>
      </w:r>
      <w:r w:rsidRPr="00755F3E">
        <w:t xml:space="preserve">e 1), or for patients in whom </w:t>
      </w:r>
      <w:r w:rsidR="002F07DE" w:rsidRPr="00755F3E">
        <w:t>Ig is contraindicated.</w:t>
      </w:r>
    </w:p>
    <w:p w:rsidR="002F07DE" w:rsidRPr="00E3331A" w:rsidRDefault="002F07DE" w:rsidP="00431B4A">
      <w:pPr>
        <w:spacing w:after="0" w:line="240" w:lineRule="auto"/>
        <w:rPr>
          <w:rFonts w:cs="Calibri"/>
          <w:sz w:val="18"/>
          <w:szCs w:val="18"/>
        </w:rPr>
      </w:pPr>
    </w:p>
    <w:p w:rsidR="00431B4A" w:rsidRPr="00E3331A" w:rsidRDefault="00431B4A">
      <w:pPr>
        <w:spacing w:after="0" w:line="240" w:lineRule="auto"/>
        <w:rPr>
          <w:rFonts w:eastAsia="Calibri" w:cs="Calibri"/>
          <w:sz w:val="14"/>
          <w:szCs w:val="18"/>
          <w:lang w:eastAsia="en-US"/>
        </w:rPr>
      </w:pPr>
      <w:r w:rsidRPr="00E3331A">
        <w:rPr>
          <w:rFonts w:cs="Calibri"/>
          <w:sz w:val="14"/>
        </w:rPr>
        <w:br w:type="page"/>
      </w:r>
    </w:p>
    <w:p w:rsidR="005354F8" w:rsidRPr="00E3331A" w:rsidRDefault="005354F8" w:rsidP="003E4E1F">
      <w:pPr>
        <w:pStyle w:val="Heading2"/>
        <w:numPr>
          <w:ilvl w:val="0"/>
          <w:numId w:val="8"/>
        </w:numPr>
      </w:pPr>
      <w:bookmarkStart w:id="163" w:name="_Toc24103443"/>
      <w:r w:rsidRPr="00E3331A">
        <w:lastRenderedPageBreak/>
        <w:t>Key Differences in the Delivery of the Medical Service and the Main Comparator</w:t>
      </w:r>
      <w:bookmarkEnd w:id="163"/>
      <w:r w:rsidRPr="00E3331A">
        <w:t xml:space="preserve"> </w:t>
      </w:r>
    </w:p>
    <w:p w:rsidR="00664678" w:rsidRPr="00E3331A" w:rsidRDefault="00664678" w:rsidP="002D645F">
      <w:pPr>
        <w:rPr>
          <w:b/>
        </w:rPr>
      </w:pPr>
      <w:r w:rsidRPr="00E3331A">
        <w:rPr>
          <w:rStyle w:val="Hyperlink"/>
          <w:color w:val="auto"/>
          <w:u w:val="none"/>
        </w:rPr>
        <w:t xml:space="preserve">Care </w:t>
      </w:r>
      <w:r w:rsidR="00306222" w:rsidRPr="00E3331A">
        <w:rPr>
          <w:rStyle w:val="Hyperlink"/>
          <w:color w:val="auto"/>
          <w:u w:val="none"/>
        </w:rPr>
        <w:t xml:space="preserve">and treatment </w:t>
      </w:r>
      <w:r w:rsidRPr="00E3331A">
        <w:rPr>
          <w:rStyle w:val="Hyperlink"/>
          <w:color w:val="auto"/>
          <w:u w:val="none"/>
        </w:rPr>
        <w:t>of CIDP patients</w:t>
      </w:r>
      <w:r w:rsidR="00D35EE5" w:rsidRPr="00E3331A">
        <w:rPr>
          <w:rStyle w:val="Hyperlink"/>
          <w:color w:val="auto"/>
          <w:u w:val="none"/>
        </w:rPr>
        <w:t xml:space="preserve"> </w:t>
      </w:r>
      <w:r w:rsidRPr="00E3331A">
        <w:rPr>
          <w:rStyle w:val="Hyperlink"/>
          <w:color w:val="auto"/>
          <w:u w:val="none"/>
        </w:rPr>
        <w:t>is primarily managed by neurologists</w:t>
      </w:r>
      <w:r w:rsidR="00D35EE5" w:rsidRPr="00E3331A">
        <w:rPr>
          <w:rStyle w:val="Hyperlink"/>
          <w:color w:val="auto"/>
          <w:u w:val="none"/>
        </w:rPr>
        <w:t>.</w:t>
      </w:r>
      <w:r w:rsidRPr="00E3331A">
        <w:rPr>
          <w:rStyle w:val="Hyperlink"/>
          <w:color w:val="auto"/>
          <w:u w:val="none"/>
        </w:rPr>
        <w:t xml:space="preserve"> </w:t>
      </w:r>
      <w:r w:rsidR="00D36D56" w:rsidRPr="00E3331A">
        <w:rPr>
          <w:rStyle w:val="Hyperlink"/>
          <w:color w:val="auto"/>
          <w:u w:val="none"/>
        </w:rPr>
        <w:t>P</w:t>
      </w:r>
      <w:r w:rsidRPr="00E3331A">
        <w:rPr>
          <w:rStyle w:val="Hyperlink"/>
          <w:color w:val="auto"/>
          <w:u w:val="none"/>
        </w:rPr>
        <w:t>atients liv</w:t>
      </w:r>
      <w:r w:rsidR="00D36D56" w:rsidRPr="00E3331A">
        <w:rPr>
          <w:rStyle w:val="Hyperlink"/>
          <w:color w:val="auto"/>
          <w:u w:val="none"/>
        </w:rPr>
        <w:t>ing</w:t>
      </w:r>
      <w:r w:rsidRPr="00E3331A">
        <w:rPr>
          <w:rStyle w:val="Hyperlink"/>
          <w:color w:val="auto"/>
          <w:u w:val="none"/>
        </w:rPr>
        <w:t xml:space="preserve"> in regional or rural areas may have ongoing care provided by a general medicine physician and/or neurologist (Referral Form, page 30).</w:t>
      </w:r>
    </w:p>
    <w:p w:rsidR="00D218E1" w:rsidRPr="00E3331A" w:rsidRDefault="00D218E1" w:rsidP="002D645F">
      <w:pPr>
        <w:rPr>
          <w:b/>
        </w:rPr>
      </w:pPr>
      <w:r w:rsidRPr="00E3331A">
        <w:rPr>
          <w:b/>
        </w:rPr>
        <w:t>Immunoglobulins</w:t>
      </w:r>
    </w:p>
    <w:p w:rsidR="00FB2A72" w:rsidRPr="00E3331A" w:rsidRDefault="00316EEF" w:rsidP="0035648C">
      <w:pPr>
        <w:rPr>
          <w:rStyle w:val="Hyperlink"/>
          <w:i/>
          <w:color w:val="auto"/>
          <w:u w:val="none"/>
        </w:rPr>
      </w:pPr>
      <w:r w:rsidRPr="00E3331A">
        <w:rPr>
          <w:rStyle w:val="Hyperlink"/>
          <w:i/>
          <w:color w:val="auto"/>
          <w:u w:val="none"/>
        </w:rPr>
        <w:t>IVIg</w:t>
      </w:r>
    </w:p>
    <w:p w:rsidR="00D35EE5" w:rsidRPr="00E3331A" w:rsidRDefault="009971B8" w:rsidP="00D35EE5">
      <w:pPr>
        <w:rPr>
          <w:rStyle w:val="Hyperlink"/>
          <w:color w:val="auto"/>
          <w:u w:val="none"/>
        </w:rPr>
      </w:pPr>
      <w:r w:rsidRPr="00E3331A">
        <w:rPr>
          <w:rStyle w:val="Hyperlink"/>
          <w:color w:val="auto"/>
          <w:u w:val="none"/>
        </w:rPr>
        <w:t>In order</w:t>
      </w:r>
      <w:r w:rsidR="00584BE2" w:rsidRPr="00E3331A">
        <w:rPr>
          <w:rStyle w:val="Hyperlink"/>
          <w:color w:val="auto"/>
          <w:u w:val="none"/>
        </w:rPr>
        <w:t xml:space="preserve"> to receive IVIg treatment for CIDP a patient must have received a diagnosis from a neurologist, as specified in </w:t>
      </w:r>
      <w:r w:rsidR="005E4F8B" w:rsidRPr="00E3331A">
        <w:rPr>
          <w:rStyle w:val="Hyperlink"/>
          <w:color w:val="auto"/>
          <w:u w:val="none"/>
        </w:rPr>
        <w:t>Version 3 of</w:t>
      </w:r>
      <w:r w:rsidR="00E4406C" w:rsidRPr="00E3331A">
        <w:rPr>
          <w:rStyle w:val="Hyperlink"/>
          <w:i/>
          <w:color w:val="auto"/>
          <w:u w:val="none"/>
        </w:rPr>
        <w:t xml:space="preserve"> ‘the Criteria’</w:t>
      </w:r>
      <w:r w:rsidR="00983BA7">
        <w:rPr>
          <w:rStyle w:val="Hyperlink"/>
          <w:color w:val="auto"/>
          <w:u w:val="none"/>
        </w:rPr>
        <w:t xml:space="preserve"> </w:t>
      </w:r>
      <w:r w:rsidR="00B85C75">
        <w:rPr>
          <w:rStyle w:val="Hyperlink"/>
          <w:noProof/>
          <w:color w:val="auto"/>
          <w:u w:val="none"/>
        </w:rPr>
        <w:t>(</w:t>
      </w:r>
      <w:r w:rsidR="00B85C75" w:rsidRPr="007F6AA8">
        <w:rPr>
          <w:rStyle w:val="Hyperlink"/>
          <w:noProof/>
          <w:color w:val="auto"/>
          <w:u w:val="none"/>
        </w:rPr>
        <w:t>NBA 2018</w:t>
      </w:r>
      <w:r w:rsidR="00B85C75">
        <w:rPr>
          <w:rStyle w:val="Hyperlink"/>
          <w:noProof/>
          <w:color w:val="auto"/>
          <w:u w:val="none"/>
        </w:rPr>
        <w:t>)</w:t>
      </w:r>
      <w:r w:rsidRPr="00E3331A">
        <w:rPr>
          <w:rStyle w:val="Hyperlink"/>
          <w:color w:val="auto"/>
          <w:u w:val="none"/>
        </w:rPr>
        <w:t>.</w:t>
      </w:r>
      <w:r w:rsidR="00345C95" w:rsidRPr="00E3331A">
        <w:rPr>
          <w:rStyle w:val="Hyperlink"/>
          <w:color w:val="auto"/>
          <w:u w:val="none"/>
        </w:rPr>
        <w:t xml:space="preserve"> </w:t>
      </w:r>
      <w:r w:rsidR="009603D5" w:rsidRPr="00E3331A">
        <w:rPr>
          <w:rStyle w:val="Hyperlink"/>
          <w:color w:val="auto"/>
          <w:u w:val="none"/>
        </w:rPr>
        <w:t xml:space="preserve">IVIg treatment </w:t>
      </w:r>
      <w:r w:rsidR="00D35EE5" w:rsidRPr="00E3331A">
        <w:rPr>
          <w:rStyle w:val="Hyperlink"/>
          <w:color w:val="auto"/>
          <w:u w:val="none"/>
        </w:rPr>
        <w:t xml:space="preserve">can only be </w:t>
      </w:r>
      <w:r w:rsidR="002F1EB7" w:rsidRPr="00E3331A">
        <w:rPr>
          <w:rStyle w:val="Hyperlink"/>
          <w:color w:val="auto"/>
          <w:u w:val="none"/>
        </w:rPr>
        <w:t xml:space="preserve">prescribed </w:t>
      </w:r>
      <w:r w:rsidR="00D35EE5" w:rsidRPr="00E3331A">
        <w:rPr>
          <w:rStyle w:val="Hyperlink"/>
          <w:color w:val="auto"/>
          <w:u w:val="none"/>
        </w:rPr>
        <w:t>by a BloodSTAR</w:t>
      </w:r>
      <w:r w:rsidR="009F3206" w:rsidRPr="00E3331A">
        <w:rPr>
          <w:rStyle w:val="Hyperlink"/>
          <w:color w:val="auto"/>
          <w:u w:val="none"/>
        </w:rPr>
        <w:t>-</w:t>
      </w:r>
      <w:r w:rsidR="00D35EE5" w:rsidRPr="00E3331A">
        <w:rPr>
          <w:rStyle w:val="Hyperlink"/>
          <w:color w:val="auto"/>
          <w:u w:val="none"/>
        </w:rPr>
        <w:t>registered treating medical officer who is an Australian Health Practitioner Regulation Agency (AHPRA)</w:t>
      </w:r>
      <w:r w:rsidR="009F3206" w:rsidRPr="00E3331A">
        <w:rPr>
          <w:rStyle w:val="Hyperlink"/>
          <w:color w:val="auto"/>
          <w:u w:val="none"/>
        </w:rPr>
        <w:t>-</w:t>
      </w:r>
      <w:r w:rsidR="00D35EE5" w:rsidRPr="00E3331A">
        <w:rPr>
          <w:rStyle w:val="Hyperlink"/>
          <w:color w:val="auto"/>
          <w:u w:val="none"/>
        </w:rPr>
        <w:t xml:space="preserve">registered neurologist. The </w:t>
      </w:r>
      <w:r w:rsidR="009603D5" w:rsidRPr="00E3331A">
        <w:rPr>
          <w:rStyle w:val="Hyperlink"/>
          <w:color w:val="auto"/>
          <w:u w:val="none"/>
        </w:rPr>
        <w:t>reviewing medical officer (also BloodSTAR registered) must be an AHPRA registered neurologist or a general physician</w:t>
      </w:r>
      <w:r w:rsidR="00D35EE5" w:rsidRPr="00E3331A">
        <w:rPr>
          <w:rStyle w:val="Hyperlink"/>
          <w:color w:val="auto"/>
          <w:u w:val="none"/>
        </w:rPr>
        <w:t xml:space="preserve"> (Referral form page 31). </w:t>
      </w:r>
      <w:r w:rsidR="001E738D" w:rsidRPr="00E3331A">
        <w:rPr>
          <w:rStyle w:val="Hyperlink"/>
          <w:color w:val="auto"/>
          <w:u w:val="none"/>
        </w:rPr>
        <w:t>IVIg is infused through a vein in the patient’s arm.</w:t>
      </w:r>
    </w:p>
    <w:p w:rsidR="0028710E" w:rsidRPr="00E3331A" w:rsidRDefault="0028710E" w:rsidP="0028710E">
      <w:pPr>
        <w:rPr>
          <w:rStyle w:val="Hyperlink"/>
          <w:color w:val="auto"/>
          <w:u w:val="none"/>
        </w:rPr>
      </w:pPr>
      <w:r w:rsidRPr="00E3331A">
        <w:rPr>
          <w:rStyle w:val="Hyperlink"/>
          <w:color w:val="auto"/>
          <w:u w:val="none"/>
        </w:rPr>
        <w:t>A list of possible settings where Ig infusion can occur in Australia, as reported in the Referral Form (page 31), include:</w:t>
      </w:r>
    </w:p>
    <w:p w:rsidR="0028710E" w:rsidRPr="00E3331A" w:rsidRDefault="0028710E" w:rsidP="001F5B33">
      <w:pPr>
        <w:pStyle w:val="ColorfulList-Accent11"/>
        <w:numPr>
          <w:ilvl w:val="0"/>
          <w:numId w:val="24"/>
        </w:numPr>
        <w:rPr>
          <w:rStyle w:val="Hyperlink"/>
          <w:color w:val="auto"/>
          <w:u w:val="none"/>
        </w:rPr>
      </w:pPr>
      <w:r w:rsidRPr="00E3331A">
        <w:rPr>
          <w:rStyle w:val="Hyperlink"/>
          <w:color w:val="auto"/>
          <w:u w:val="none"/>
        </w:rPr>
        <w:t>Inpatient private hospital</w:t>
      </w:r>
    </w:p>
    <w:p w:rsidR="0028710E" w:rsidRPr="00E3331A" w:rsidRDefault="0028710E" w:rsidP="001F5B33">
      <w:pPr>
        <w:pStyle w:val="ColorfulList-Accent11"/>
        <w:numPr>
          <w:ilvl w:val="0"/>
          <w:numId w:val="24"/>
        </w:numPr>
        <w:rPr>
          <w:rStyle w:val="Hyperlink"/>
          <w:color w:val="auto"/>
          <w:u w:val="none"/>
        </w:rPr>
      </w:pPr>
      <w:r w:rsidRPr="00E3331A">
        <w:rPr>
          <w:rStyle w:val="Hyperlink"/>
          <w:color w:val="auto"/>
          <w:u w:val="none"/>
        </w:rPr>
        <w:t>Inpatient public hospital (as a private patient)</w:t>
      </w:r>
    </w:p>
    <w:p w:rsidR="0028710E" w:rsidRPr="00E3331A" w:rsidRDefault="0028710E" w:rsidP="001F5B33">
      <w:pPr>
        <w:pStyle w:val="ColorfulList-Accent11"/>
        <w:numPr>
          <w:ilvl w:val="0"/>
          <w:numId w:val="24"/>
        </w:numPr>
        <w:rPr>
          <w:rStyle w:val="Hyperlink"/>
          <w:color w:val="auto"/>
          <w:u w:val="none"/>
        </w:rPr>
      </w:pPr>
      <w:r w:rsidRPr="00E3331A">
        <w:rPr>
          <w:rStyle w:val="Hyperlink"/>
          <w:color w:val="auto"/>
          <w:u w:val="none"/>
        </w:rPr>
        <w:t>Inpatient public hospital (as a public patient)</w:t>
      </w:r>
    </w:p>
    <w:p w:rsidR="0028710E" w:rsidRPr="00E3331A" w:rsidRDefault="0028710E" w:rsidP="001F5B33">
      <w:pPr>
        <w:pStyle w:val="ColorfulList-Accent11"/>
        <w:numPr>
          <w:ilvl w:val="0"/>
          <w:numId w:val="24"/>
        </w:numPr>
        <w:rPr>
          <w:rStyle w:val="Hyperlink"/>
          <w:color w:val="auto"/>
          <w:u w:val="none"/>
        </w:rPr>
      </w:pPr>
      <w:r w:rsidRPr="00E3331A">
        <w:rPr>
          <w:rStyle w:val="Hyperlink"/>
          <w:color w:val="auto"/>
          <w:u w:val="none"/>
        </w:rPr>
        <w:t>Outpatient clinic</w:t>
      </w:r>
    </w:p>
    <w:p w:rsidR="0028710E" w:rsidRPr="00E3331A" w:rsidRDefault="0028710E" w:rsidP="001F5B33">
      <w:pPr>
        <w:pStyle w:val="ColorfulList-Accent11"/>
        <w:numPr>
          <w:ilvl w:val="0"/>
          <w:numId w:val="24"/>
        </w:numPr>
        <w:rPr>
          <w:rStyle w:val="Hyperlink"/>
          <w:color w:val="auto"/>
          <w:u w:val="none"/>
        </w:rPr>
      </w:pPr>
      <w:r w:rsidRPr="00E3331A">
        <w:rPr>
          <w:rStyle w:val="Hyperlink"/>
          <w:color w:val="auto"/>
          <w:u w:val="none"/>
        </w:rPr>
        <w:t>Private same-day infusion facilities, unattached to a hospital</w:t>
      </w:r>
    </w:p>
    <w:p w:rsidR="0028710E" w:rsidRPr="00E3331A" w:rsidRDefault="0028710E" w:rsidP="0028710E">
      <w:pPr>
        <w:rPr>
          <w:rStyle w:val="Hyperlink"/>
          <w:color w:val="auto"/>
          <w:u w:val="none"/>
        </w:rPr>
      </w:pPr>
      <w:r w:rsidRPr="00E3331A">
        <w:rPr>
          <w:rStyle w:val="Hyperlink"/>
          <w:color w:val="auto"/>
          <w:u w:val="none"/>
        </w:rPr>
        <w:t xml:space="preserve">The setting must be accredited to administer blood products under the National Safety and Quality Health Service Standard for Blood Management. According to clinical advisers on the Review Group </w:t>
      </w:r>
      <w:r w:rsidR="004004B2" w:rsidRPr="00E3331A">
        <w:rPr>
          <w:rStyle w:val="Hyperlink"/>
          <w:color w:val="auto"/>
          <w:u w:val="none"/>
        </w:rPr>
        <w:t>(</w:t>
      </w:r>
      <w:r w:rsidRPr="00E3331A">
        <w:rPr>
          <w:rStyle w:val="Hyperlink"/>
          <w:color w:val="auto"/>
          <w:u w:val="none"/>
        </w:rPr>
        <w:t>Referral Form</w:t>
      </w:r>
      <w:r w:rsidR="004004B2" w:rsidRPr="00E3331A">
        <w:rPr>
          <w:rStyle w:val="Hyperlink"/>
          <w:color w:val="auto"/>
          <w:u w:val="none"/>
        </w:rPr>
        <w:t xml:space="preserve">, </w:t>
      </w:r>
      <w:r w:rsidRPr="00E3331A">
        <w:rPr>
          <w:rStyle w:val="Hyperlink"/>
          <w:color w:val="auto"/>
          <w:u w:val="none"/>
        </w:rPr>
        <w:t>page 31), IVIg infusion in Australia predominantly occurs in the public outpatient setting. However, due to funding incentives, patients were often admitted on a ’same</w:t>
      </w:r>
      <w:r w:rsidR="00B85490" w:rsidRPr="00E3331A">
        <w:rPr>
          <w:rStyle w:val="Hyperlink"/>
          <w:color w:val="auto"/>
          <w:u w:val="none"/>
        </w:rPr>
        <w:t>-</w:t>
      </w:r>
      <w:r w:rsidRPr="00E3331A">
        <w:rPr>
          <w:rStyle w:val="Hyperlink"/>
          <w:color w:val="auto"/>
          <w:u w:val="none"/>
        </w:rPr>
        <w:t xml:space="preserve">day care’ basis and counted as inpatients. The </w:t>
      </w:r>
      <w:r w:rsidR="00B85490" w:rsidRPr="00E3331A">
        <w:rPr>
          <w:rStyle w:val="Hyperlink"/>
          <w:color w:val="auto"/>
          <w:u w:val="none"/>
        </w:rPr>
        <w:t xml:space="preserve">clinical advisers </w:t>
      </w:r>
      <w:r w:rsidRPr="00E3331A">
        <w:rPr>
          <w:rStyle w:val="Hyperlink"/>
          <w:color w:val="auto"/>
          <w:u w:val="none"/>
        </w:rPr>
        <w:t>estimated that 75% of infusion</w:t>
      </w:r>
      <w:r w:rsidR="00C122D8" w:rsidRPr="00E3331A">
        <w:rPr>
          <w:rStyle w:val="Hyperlink"/>
          <w:color w:val="auto"/>
          <w:u w:val="none"/>
        </w:rPr>
        <w:t>s</w:t>
      </w:r>
      <w:r w:rsidRPr="00E3331A">
        <w:rPr>
          <w:rStyle w:val="Hyperlink"/>
          <w:color w:val="auto"/>
          <w:u w:val="none"/>
        </w:rPr>
        <w:t xml:space="preserve"> were given in this setting. Inpatient administration of IVIg for CIDP was considered rare in either the public or private hospital setting (Referral Form, page 31).</w:t>
      </w:r>
    </w:p>
    <w:p w:rsidR="00491A87" w:rsidRPr="00E3331A" w:rsidRDefault="00BC4515" w:rsidP="00491A87">
      <w:pPr>
        <w:rPr>
          <w:rStyle w:val="Hyperlink"/>
          <w:color w:val="auto"/>
          <w:u w:val="none"/>
        </w:rPr>
      </w:pPr>
      <w:r w:rsidRPr="00E3331A">
        <w:rPr>
          <w:rStyle w:val="Hyperlink"/>
          <w:color w:val="auto"/>
          <w:u w:val="none"/>
        </w:rPr>
        <w:t xml:space="preserve">The </w:t>
      </w:r>
      <w:r w:rsidR="00C122D8" w:rsidRPr="00E3331A">
        <w:rPr>
          <w:rStyle w:val="Hyperlink"/>
          <w:color w:val="auto"/>
          <w:u w:val="none"/>
        </w:rPr>
        <w:t xml:space="preserve">dosing regimen and </w:t>
      </w:r>
      <w:r w:rsidRPr="00E3331A">
        <w:rPr>
          <w:rStyle w:val="Hyperlink"/>
          <w:color w:val="auto"/>
          <w:u w:val="none"/>
        </w:rPr>
        <w:t>amount of IVIg to be infused</w:t>
      </w:r>
      <w:r w:rsidR="00C21DC2" w:rsidRPr="00E3331A">
        <w:rPr>
          <w:rStyle w:val="Hyperlink"/>
          <w:color w:val="auto"/>
          <w:u w:val="none"/>
        </w:rPr>
        <w:t xml:space="preserve"> and</w:t>
      </w:r>
      <w:r w:rsidRPr="00E3331A">
        <w:rPr>
          <w:rStyle w:val="Hyperlink"/>
          <w:color w:val="auto"/>
          <w:u w:val="none"/>
        </w:rPr>
        <w:t xml:space="preserve"> </w:t>
      </w:r>
      <w:r w:rsidR="00C21DC2" w:rsidRPr="00E3331A">
        <w:rPr>
          <w:rStyle w:val="Hyperlink"/>
          <w:color w:val="auto"/>
          <w:u w:val="none"/>
        </w:rPr>
        <w:t>for</w:t>
      </w:r>
      <w:r w:rsidRPr="00E3331A">
        <w:rPr>
          <w:rStyle w:val="Hyperlink"/>
          <w:color w:val="auto"/>
          <w:u w:val="none"/>
        </w:rPr>
        <w:t xml:space="preserve"> </w:t>
      </w:r>
      <w:r w:rsidR="00C21DC2" w:rsidRPr="00E3331A">
        <w:rPr>
          <w:rStyle w:val="Hyperlink"/>
          <w:color w:val="auto"/>
          <w:u w:val="none"/>
        </w:rPr>
        <w:t xml:space="preserve">initial CIDP treatment and for </w:t>
      </w:r>
      <w:r w:rsidR="006775F3" w:rsidRPr="00E3331A">
        <w:rPr>
          <w:rStyle w:val="Hyperlink"/>
          <w:color w:val="auto"/>
          <w:u w:val="none"/>
        </w:rPr>
        <w:t xml:space="preserve">treatment of </w:t>
      </w:r>
      <w:r w:rsidR="007F7B1A" w:rsidRPr="00E3331A">
        <w:rPr>
          <w:rStyle w:val="Hyperlink"/>
          <w:color w:val="auto"/>
          <w:u w:val="none"/>
        </w:rPr>
        <w:t xml:space="preserve">CIDP </w:t>
      </w:r>
      <w:r w:rsidR="00C21DC2" w:rsidRPr="00E3331A">
        <w:rPr>
          <w:rStyle w:val="Hyperlink"/>
          <w:color w:val="auto"/>
          <w:u w:val="none"/>
        </w:rPr>
        <w:t xml:space="preserve">relapse is </w:t>
      </w:r>
      <w:r w:rsidR="00B82A37" w:rsidRPr="00E3331A">
        <w:rPr>
          <w:rStyle w:val="Hyperlink"/>
          <w:color w:val="auto"/>
          <w:u w:val="none"/>
        </w:rPr>
        <w:t xml:space="preserve">shown in </w:t>
      </w:r>
      <w:r w:rsidR="006F35B9" w:rsidRPr="00E3331A">
        <w:t xml:space="preserve">Table </w:t>
      </w:r>
      <w:r w:rsidR="006F35B9">
        <w:rPr>
          <w:noProof/>
        </w:rPr>
        <w:t>14</w:t>
      </w:r>
      <w:r w:rsidRPr="00E3331A">
        <w:rPr>
          <w:rStyle w:val="Hyperlink"/>
          <w:color w:val="auto"/>
          <w:u w:val="none"/>
        </w:rPr>
        <w:t>.</w:t>
      </w:r>
      <w:r w:rsidR="00C21DC2" w:rsidRPr="00E3331A">
        <w:rPr>
          <w:rStyle w:val="Hyperlink"/>
          <w:color w:val="auto"/>
          <w:u w:val="none"/>
        </w:rPr>
        <w:t xml:space="preserve"> </w:t>
      </w:r>
      <w:r w:rsidR="00DB45A6" w:rsidRPr="00E3331A">
        <w:rPr>
          <w:rStyle w:val="Hyperlink"/>
          <w:color w:val="auto"/>
          <w:u w:val="none"/>
        </w:rPr>
        <w:t>M</w:t>
      </w:r>
      <w:r w:rsidR="00201275" w:rsidRPr="00E3331A">
        <w:rPr>
          <w:rStyle w:val="Hyperlink"/>
          <w:color w:val="auto"/>
          <w:u w:val="none"/>
        </w:rPr>
        <w:t xml:space="preserve">ost patients with CIDP would </w:t>
      </w:r>
      <w:r w:rsidR="00613981" w:rsidRPr="00E3331A">
        <w:rPr>
          <w:rStyle w:val="Hyperlink"/>
          <w:color w:val="auto"/>
          <w:u w:val="none"/>
        </w:rPr>
        <w:t>receive</w:t>
      </w:r>
      <w:r w:rsidR="00201275" w:rsidRPr="00E3331A">
        <w:rPr>
          <w:rStyle w:val="Hyperlink"/>
          <w:color w:val="auto"/>
          <w:u w:val="none"/>
        </w:rPr>
        <w:t xml:space="preserve"> treatment every </w:t>
      </w:r>
      <w:r w:rsidR="00613981" w:rsidRPr="00E3331A">
        <w:rPr>
          <w:rStyle w:val="Hyperlink"/>
          <w:color w:val="auto"/>
          <w:u w:val="none"/>
        </w:rPr>
        <w:t>four</w:t>
      </w:r>
      <w:r w:rsidR="00201275" w:rsidRPr="00E3331A">
        <w:rPr>
          <w:rStyle w:val="Hyperlink"/>
          <w:color w:val="auto"/>
          <w:u w:val="none"/>
        </w:rPr>
        <w:t xml:space="preserve"> weeks for 12 months </w:t>
      </w:r>
      <w:r w:rsidR="00613981" w:rsidRPr="00E3331A">
        <w:rPr>
          <w:rStyle w:val="Hyperlink"/>
          <w:color w:val="auto"/>
          <w:u w:val="none"/>
        </w:rPr>
        <w:t xml:space="preserve">followed by a </w:t>
      </w:r>
      <w:r w:rsidR="00701B5F" w:rsidRPr="00E3331A">
        <w:rPr>
          <w:rStyle w:val="Hyperlink"/>
          <w:color w:val="auto"/>
          <w:u w:val="none"/>
        </w:rPr>
        <w:t xml:space="preserve">weaning process </w:t>
      </w:r>
      <w:r w:rsidR="00201275" w:rsidRPr="00E3331A">
        <w:rPr>
          <w:rStyle w:val="Hyperlink"/>
          <w:color w:val="auto"/>
          <w:u w:val="none"/>
        </w:rPr>
        <w:t xml:space="preserve">to </w:t>
      </w:r>
      <w:r w:rsidR="00701B5F" w:rsidRPr="00E3331A">
        <w:rPr>
          <w:rStyle w:val="Hyperlink"/>
          <w:color w:val="auto"/>
          <w:u w:val="none"/>
        </w:rPr>
        <w:t>withdraw</w:t>
      </w:r>
      <w:r w:rsidR="00201275" w:rsidRPr="00E3331A">
        <w:rPr>
          <w:rStyle w:val="Hyperlink"/>
          <w:color w:val="auto"/>
          <w:u w:val="none"/>
        </w:rPr>
        <w:t xml:space="preserve"> IVIg completely</w:t>
      </w:r>
      <w:r w:rsidR="001C360E" w:rsidRPr="00E3331A">
        <w:rPr>
          <w:rStyle w:val="Hyperlink"/>
          <w:color w:val="auto"/>
          <w:u w:val="none"/>
        </w:rPr>
        <w:t>. P</w:t>
      </w:r>
      <w:r w:rsidR="00201275" w:rsidRPr="00E3331A">
        <w:rPr>
          <w:rStyle w:val="Hyperlink"/>
          <w:color w:val="auto"/>
          <w:u w:val="none"/>
        </w:rPr>
        <w:t>atient</w:t>
      </w:r>
      <w:r w:rsidR="001C360E" w:rsidRPr="00E3331A">
        <w:rPr>
          <w:rStyle w:val="Hyperlink"/>
          <w:color w:val="auto"/>
          <w:u w:val="none"/>
        </w:rPr>
        <w:t>s who</w:t>
      </w:r>
      <w:r w:rsidR="00201275" w:rsidRPr="00E3331A">
        <w:rPr>
          <w:rStyle w:val="Hyperlink"/>
          <w:color w:val="auto"/>
          <w:u w:val="none"/>
        </w:rPr>
        <w:t xml:space="preserve"> respond well </w:t>
      </w:r>
      <w:r w:rsidR="00115103" w:rsidRPr="00E3331A">
        <w:rPr>
          <w:rStyle w:val="Hyperlink"/>
          <w:color w:val="auto"/>
          <w:u w:val="none"/>
        </w:rPr>
        <w:t xml:space="preserve">initially </w:t>
      </w:r>
      <w:r w:rsidR="00201275" w:rsidRPr="00E3331A">
        <w:rPr>
          <w:rStyle w:val="Hyperlink"/>
          <w:color w:val="auto"/>
          <w:u w:val="none"/>
        </w:rPr>
        <w:t>and remain stable after 4</w:t>
      </w:r>
      <w:r w:rsidR="00AE7241" w:rsidRPr="00E3331A">
        <w:rPr>
          <w:rStyle w:val="Hyperlink"/>
          <w:color w:val="auto"/>
          <w:u w:val="none"/>
        </w:rPr>
        <w:t>-</w:t>
      </w:r>
      <w:r w:rsidR="00201275" w:rsidRPr="00E3331A">
        <w:rPr>
          <w:rStyle w:val="Hyperlink"/>
          <w:color w:val="auto"/>
          <w:u w:val="none"/>
        </w:rPr>
        <w:t xml:space="preserve">6 months, </w:t>
      </w:r>
      <w:r w:rsidR="00AE7241" w:rsidRPr="00E3331A">
        <w:rPr>
          <w:rStyle w:val="Hyperlink"/>
          <w:color w:val="auto"/>
          <w:u w:val="none"/>
        </w:rPr>
        <w:t xml:space="preserve">may have </w:t>
      </w:r>
      <w:r w:rsidR="00201275" w:rsidRPr="00E3331A">
        <w:rPr>
          <w:rStyle w:val="Hyperlink"/>
          <w:color w:val="auto"/>
          <w:u w:val="none"/>
        </w:rPr>
        <w:t xml:space="preserve">infusions spaced out to every </w:t>
      </w:r>
      <w:r w:rsidR="00AE7241" w:rsidRPr="00E3331A">
        <w:rPr>
          <w:rStyle w:val="Hyperlink"/>
          <w:color w:val="auto"/>
          <w:u w:val="none"/>
        </w:rPr>
        <w:t>six</w:t>
      </w:r>
      <w:r w:rsidR="00201275" w:rsidRPr="00E3331A">
        <w:rPr>
          <w:rStyle w:val="Hyperlink"/>
          <w:color w:val="auto"/>
          <w:u w:val="none"/>
        </w:rPr>
        <w:t xml:space="preserve"> weeks. </w:t>
      </w:r>
      <w:r w:rsidR="006C53C5" w:rsidRPr="00E3331A">
        <w:rPr>
          <w:rStyle w:val="Hyperlink"/>
          <w:color w:val="auto"/>
          <w:u w:val="none"/>
        </w:rPr>
        <w:t>Conversely, patient</w:t>
      </w:r>
      <w:r w:rsidR="003278CF" w:rsidRPr="00E3331A">
        <w:rPr>
          <w:rStyle w:val="Hyperlink"/>
          <w:color w:val="auto"/>
          <w:u w:val="none"/>
        </w:rPr>
        <w:t>s with</w:t>
      </w:r>
      <w:r w:rsidR="006C53C5" w:rsidRPr="00E3331A">
        <w:rPr>
          <w:rStyle w:val="Hyperlink"/>
          <w:color w:val="auto"/>
          <w:u w:val="none"/>
        </w:rPr>
        <w:t xml:space="preserve"> more severe disease, or </w:t>
      </w:r>
      <w:r w:rsidR="00FE30E8" w:rsidRPr="00E3331A">
        <w:rPr>
          <w:rStyle w:val="Hyperlink"/>
          <w:color w:val="auto"/>
          <w:u w:val="none"/>
        </w:rPr>
        <w:t xml:space="preserve">those who </w:t>
      </w:r>
      <w:r w:rsidR="006C53C5" w:rsidRPr="00E3331A">
        <w:rPr>
          <w:rStyle w:val="Hyperlink"/>
          <w:color w:val="auto"/>
          <w:u w:val="none"/>
        </w:rPr>
        <w:t xml:space="preserve">develop </w:t>
      </w:r>
      <w:r w:rsidR="006C53C5" w:rsidRPr="00E3331A">
        <w:rPr>
          <w:rStyle w:val="Hyperlink"/>
          <w:color w:val="auto"/>
          <w:u w:val="none"/>
        </w:rPr>
        <w:lastRenderedPageBreak/>
        <w:t>weakness in the week prior to their infusion, may have the</w:t>
      </w:r>
      <w:r w:rsidR="009B017E" w:rsidRPr="00E3331A">
        <w:rPr>
          <w:rStyle w:val="Hyperlink"/>
          <w:color w:val="auto"/>
          <w:u w:val="none"/>
        </w:rPr>
        <w:t>ir</w:t>
      </w:r>
      <w:r w:rsidR="006C53C5" w:rsidRPr="00E3331A">
        <w:rPr>
          <w:rStyle w:val="Hyperlink"/>
          <w:color w:val="auto"/>
          <w:u w:val="none"/>
        </w:rPr>
        <w:t xml:space="preserve"> infusion</w:t>
      </w:r>
      <w:r w:rsidR="00FE30E8" w:rsidRPr="00E3331A">
        <w:rPr>
          <w:rStyle w:val="Hyperlink"/>
          <w:color w:val="auto"/>
          <w:u w:val="none"/>
        </w:rPr>
        <w:t xml:space="preserve"> interval reduced</w:t>
      </w:r>
      <w:r w:rsidR="006C53C5" w:rsidRPr="00E3331A">
        <w:rPr>
          <w:rStyle w:val="Hyperlink"/>
          <w:color w:val="auto"/>
          <w:u w:val="none"/>
        </w:rPr>
        <w:t xml:space="preserve"> (e.g. every 2 or 3 weeks)</w:t>
      </w:r>
      <w:r w:rsidR="009B017E" w:rsidRPr="00E3331A">
        <w:rPr>
          <w:rStyle w:val="Hyperlink"/>
          <w:color w:val="auto"/>
          <w:u w:val="none"/>
        </w:rPr>
        <w:t xml:space="preserve"> </w:t>
      </w:r>
      <w:r w:rsidR="00B85C75">
        <w:rPr>
          <w:rStyle w:val="Hyperlink"/>
          <w:noProof/>
          <w:color w:val="auto"/>
          <w:u w:val="none"/>
        </w:rPr>
        <w:t>(</w:t>
      </w:r>
      <w:r w:rsidR="00B85C75" w:rsidRPr="007F6AA8">
        <w:rPr>
          <w:rStyle w:val="Hyperlink"/>
          <w:noProof/>
          <w:color w:val="auto"/>
          <w:u w:val="none"/>
        </w:rPr>
        <w:t>Expert Neurologist 2019</w:t>
      </w:r>
      <w:r w:rsidR="00B85C75">
        <w:rPr>
          <w:rStyle w:val="Hyperlink"/>
          <w:noProof/>
          <w:color w:val="auto"/>
          <w:u w:val="none"/>
        </w:rPr>
        <w:t>)</w:t>
      </w:r>
      <w:r w:rsidR="009B017E" w:rsidRPr="00E3331A">
        <w:rPr>
          <w:rStyle w:val="Hyperlink"/>
          <w:color w:val="auto"/>
          <w:u w:val="none"/>
        </w:rPr>
        <w:t>.</w:t>
      </w:r>
    </w:p>
    <w:p w:rsidR="007F7B1A" w:rsidRPr="00E3331A" w:rsidRDefault="007F7B1A" w:rsidP="007F7B1A">
      <w:pPr>
        <w:pStyle w:val="Caption"/>
        <w:ind w:left="1134" w:hanging="1134"/>
      </w:pPr>
      <w:bookmarkStart w:id="164" w:name="_Ref8649934"/>
      <w:bookmarkStart w:id="165" w:name="_Toc24103320"/>
      <w:r w:rsidRPr="00E3331A">
        <w:t xml:space="preserve">Table </w:t>
      </w:r>
      <w:r w:rsidR="006F35B9">
        <w:rPr>
          <w:noProof/>
        </w:rPr>
        <w:t>14</w:t>
      </w:r>
      <w:bookmarkEnd w:id="164"/>
      <w:r w:rsidRPr="00E3331A">
        <w:t xml:space="preserve"> </w:t>
      </w:r>
      <w:r w:rsidRPr="00E3331A">
        <w:tab/>
        <w:t>Current specified dosages of IVIg for initial CIDP treatment and for CIDP relapse</w:t>
      </w:r>
      <w:r w:rsidR="002A2FE7" w:rsidRPr="00E3331A">
        <w:t>*</w:t>
      </w:r>
      <w:bookmarkEnd w:id="165"/>
    </w:p>
    <w:tbl>
      <w:tblPr>
        <w:tblW w:w="4965" w:type="pct"/>
        <w:tblBorders>
          <w:top w:val="single" w:sz="4" w:space="0" w:color="7F7F7F"/>
          <w:bottom w:val="single" w:sz="4" w:space="0" w:color="7F7F7F"/>
        </w:tblBorders>
        <w:tblLook w:val="0000" w:firstRow="0" w:lastRow="0" w:firstColumn="0" w:lastColumn="0" w:noHBand="0" w:noVBand="0"/>
      </w:tblPr>
      <w:tblGrid>
        <w:gridCol w:w="2124"/>
        <w:gridCol w:w="6832"/>
      </w:tblGrid>
      <w:tr w:rsidR="00BC4515" w:rsidRPr="00E3331A" w:rsidTr="0007007F">
        <w:tc>
          <w:tcPr>
            <w:tcW w:w="1186" w:type="pct"/>
            <w:tcBorders>
              <w:top w:val="single" w:sz="4" w:space="0" w:color="7F7F7F"/>
              <w:left w:val="single" w:sz="4" w:space="0" w:color="7F7F7F"/>
              <w:bottom w:val="single" w:sz="4" w:space="0" w:color="7F7F7F"/>
              <w:right w:val="single" w:sz="4" w:space="0" w:color="7F7F7F"/>
            </w:tcBorders>
            <w:shd w:val="clear" w:color="auto" w:fill="auto"/>
          </w:tcPr>
          <w:p w:rsidR="00BC4515" w:rsidRPr="00E3331A" w:rsidRDefault="00BC4515" w:rsidP="00147F55">
            <w:pPr>
              <w:pStyle w:val="Tablecontents"/>
            </w:pPr>
            <w:r w:rsidRPr="00E3331A">
              <w:t>Induction dose</w:t>
            </w:r>
          </w:p>
        </w:tc>
        <w:tc>
          <w:tcPr>
            <w:tcW w:w="3814" w:type="pct"/>
            <w:tcBorders>
              <w:top w:val="single" w:sz="4" w:space="0" w:color="7F7F7F"/>
              <w:left w:val="single" w:sz="4" w:space="0" w:color="7F7F7F"/>
              <w:bottom w:val="single" w:sz="4" w:space="0" w:color="7F7F7F"/>
              <w:right w:val="single" w:sz="4" w:space="0" w:color="7F7F7F"/>
            </w:tcBorders>
            <w:shd w:val="clear" w:color="auto" w:fill="auto"/>
          </w:tcPr>
          <w:p w:rsidR="00BC4515" w:rsidRPr="00E3331A" w:rsidRDefault="00BC4515" w:rsidP="00147F55">
            <w:pPr>
              <w:pStyle w:val="Tablecontents"/>
            </w:pPr>
            <w:r w:rsidRPr="00E3331A">
              <w:t>2</w:t>
            </w:r>
            <w:r w:rsidR="00C21DC2" w:rsidRPr="00E3331A">
              <w:t>.0</w:t>
            </w:r>
            <w:r w:rsidRPr="00E3331A">
              <w:t>g/kg in 2</w:t>
            </w:r>
            <w:r w:rsidR="00B51FCA" w:rsidRPr="00E3331A">
              <w:t>-</w:t>
            </w:r>
            <w:r w:rsidRPr="00E3331A">
              <w:t>5 divided doses</w:t>
            </w:r>
            <w:r w:rsidR="000A1BD4">
              <w:t>.</w:t>
            </w:r>
          </w:p>
        </w:tc>
      </w:tr>
      <w:tr w:rsidR="00BC4515" w:rsidRPr="00E3331A" w:rsidTr="0007007F">
        <w:tc>
          <w:tcPr>
            <w:tcW w:w="1186" w:type="pct"/>
            <w:tcBorders>
              <w:left w:val="single" w:sz="4" w:space="0" w:color="7F7F7F"/>
              <w:right w:val="single" w:sz="4" w:space="0" w:color="7F7F7F"/>
            </w:tcBorders>
            <w:shd w:val="clear" w:color="auto" w:fill="auto"/>
          </w:tcPr>
          <w:p w:rsidR="00BC4515" w:rsidRPr="00E3331A" w:rsidRDefault="00BC4515" w:rsidP="00147F55">
            <w:pPr>
              <w:pStyle w:val="Tablecontents"/>
            </w:pPr>
            <w:r w:rsidRPr="00E3331A">
              <w:t>Maintenance dose</w:t>
            </w:r>
            <w:r w:rsidR="002A2FE7" w:rsidRPr="00E3331A">
              <w:rPr>
                <w:vertAlign w:val="superscript"/>
              </w:rPr>
              <w:t>†</w:t>
            </w:r>
          </w:p>
        </w:tc>
        <w:tc>
          <w:tcPr>
            <w:tcW w:w="3814" w:type="pct"/>
            <w:tcBorders>
              <w:left w:val="single" w:sz="4" w:space="0" w:color="7F7F7F"/>
              <w:right w:val="single" w:sz="4" w:space="0" w:color="7F7F7F"/>
            </w:tcBorders>
            <w:shd w:val="clear" w:color="auto" w:fill="auto"/>
          </w:tcPr>
          <w:p w:rsidR="00BC4515" w:rsidRPr="00E3331A" w:rsidRDefault="00C21DC2" w:rsidP="001263D7">
            <w:pPr>
              <w:pStyle w:val="Tablecontents"/>
            </w:pPr>
            <w:r w:rsidRPr="00E3331A">
              <w:t xml:space="preserve">0.4-1.0g/kg, 2–6 weekly. The amount per dose should be titrated to the individual’s response and </w:t>
            </w:r>
            <w:r w:rsidR="00C51121" w:rsidRPr="00E3331A">
              <w:t>m</w:t>
            </w:r>
            <w:r w:rsidRPr="00E3331A">
              <w:t xml:space="preserve">ay be reduced while weaning. A maximum dose of 2g/kg may be given in any </w:t>
            </w:r>
            <w:r w:rsidR="001263D7" w:rsidRPr="00E3331A">
              <w:t>4</w:t>
            </w:r>
            <w:r w:rsidRPr="00E3331A">
              <w:t>-week period. This might be by smaller doses more frequently than fortnightly</w:t>
            </w:r>
            <w:r w:rsidR="000A1BD4">
              <w:t>.</w:t>
            </w:r>
          </w:p>
        </w:tc>
      </w:tr>
    </w:tbl>
    <w:p w:rsidR="00DC4C7F" w:rsidRPr="00E3331A" w:rsidRDefault="00DC4C7F" w:rsidP="0037150F">
      <w:pPr>
        <w:pStyle w:val="Tablenotes1"/>
        <w:rPr>
          <w:rStyle w:val="Hyperlink"/>
          <w:color w:val="auto"/>
          <w:u w:val="none"/>
        </w:rPr>
      </w:pPr>
      <w:r w:rsidRPr="00E3331A">
        <w:rPr>
          <w:rStyle w:val="Hyperlink"/>
          <w:color w:val="auto"/>
          <w:u w:val="none"/>
        </w:rPr>
        <w:t>Soource: as defined in Version 3 of ‘the Criteria’(NBA, 2018)</w:t>
      </w:r>
    </w:p>
    <w:p w:rsidR="009C04B9" w:rsidRPr="00E3331A" w:rsidRDefault="002A2FE7" w:rsidP="0037150F">
      <w:pPr>
        <w:pStyle w:val="Tablenotes1"/>
        <w:rPr>
          <w:rStyle w:val="Hyperlink"/>
          <w:color w:val="auto"/>
          <w:u w:val="none"/>
        </w:rPr>
      </w:pPr>
      <w:r w:rsidRPr="00E3331A">
        <w:rPr>
          <w:rStyle w:val="Hyperlink"/>
          <w:color w:val="auto"/>
          <w:u w:val="none"/>
        </w:rPr>
        <w:t xml:space="preserve">*Relapse of CIDP patients within six months of commencement of trial off Ig therapy. Once a patient has relapsed when trialled off Ig treatment, a second line immunomodulatory agent should be strongly considered as additional therapy. </w:t>
      </w:r>
    </w:p>
    <w:p w:rsidR="002A2FE7" w:rsidRPr="00E3331A" w:rsidRDefault="002A2FE7" w:rsidP="0037150F">
      <w:pPr>
        <w:pStyle w:val="Tablenotes1"/>
        <w:rPr>
          <w:rStyle w:val="Hyperlink"/>
          <w:color w:val="auto"/>
          <w:u w:val="none"/>
        </w:rPr>
      </w:pPr>
      <w:r w:rsidRPr="00E3331A">
        <w:rPr>
          <w:vertAlign w:val="superscript"/>
        </w:rPr>
        <w:t>†</w:t>
      </w:r>
      <w:r w:rsidRPr="00E3331A">
        <w:t>The aim should be to use the lowest dose possible that achieves the appropriate clinical outcome for each patient.</w:t>
      </w:r>
    </w:p>
    <w:p w:rsidR="0028710E" w:rsidRPr="00E3331A" w:rsidRDefault="0028710E" w:rsidP="0028710E">
      <w:pPr>
        <w:rPr>
          <w:rStyle w:val="Hyperlink"/>
          <w:color w:val="auto"/>
          <w:u w:val="none"/>
        </w:rPr>
      </w:pPr>
      <w:r w:rsidRPr="00E3331A">
        <w:rPr>
          <w:rStyle w:val="Hyperlink"/>
          <w:color w:val="auto"/>
          <w:u w:val="none"/>
        </w:rPr>
        <w:t xml:space="preserve">The infusion is generally </w:t>
      </w:r>
      <w:r w:rsidR="001263D7" w:rsidRPr="00E3331A">
        <w:rPr>
          <w:rStyle w:val="Hyperlink"/>
          <w:color w:val="auto"/>
          <w:u w:val="none"/>
        </w:rPr>
        <w:t xml:space="preserve">administered </w:t>
      </w:r>
      <w:r w:rsidRPr="00E3331A">
        <w:rPr>
          <w:rStyle w:val="Hyperlink"/>
          <w:color w:val="auto"/>
          <w:u w:val="none"/>
        </w:rPr>
        <w:t>by a registered nurse</w:t>
      </w:r>
      <w:r w:rsidR="001263D7" w:rsidRPr="00E3331A">
        <w:rPr>
          <w:rStyle w:val="Hyperlink"/>
          <w:color w:val="auto"/>
          <w:u w:val="none"/>
        </w:rPr>
        <w:t>,</w:t>
      </w:r>
      <w:r w:rsidRPr="00E3331A">
        <w:rPr>
          <w:rStyle w:val="Hyperlink"/>
          <w:color w:val="auto"/>
          <w:u w:val="none"/>
        </w:rPr>
        <w:t xml:space="preserve"> and the patient’s vital signs must be monitored throughout the infusion by a registered or enrolled nurse (Referral Form, page 30). </w:t>
      </w:r>
      <w:r w:rsidR="001263D7" w:rsidRPr="00E3331A">
        <w:rPr>
          <w:rStyle w:val="Hyperlink"/>
          <w:color w:val="auto"/>
          <w:u w:val="none"/>
        </w:rPr>
        <w:t>I</w:t>
      </w:r>
      <w:r w:rsidR="007246AF" w:rsidRPr="00E3331A">
        <w:rPr>
          <w:rStyle w:val="Hyperlink"/>
          <w:color w:val="auto"/>
          <w:u w:val="none"/>
        </w:rPr>
        <w:t>nfusion generally take</w:t>
      </w:r>
      <w:r w:rsidR="002A5E75" w:rsidRPr="00E3331A">
        <w:rPr>
          <w:rStyle w:val="Hyperlink"/>
          <w:color w:val="auto"/>
          <w:u w:val="none"/>
        </w:rPr>
        <w:t>s</w:t>
      </w:r>
      <w:r w:rsidR="007246AF" w:rsidRPr="00E3331A">
        <w:rPr>
          <w:rStyle w:val="Hyperlink"/>
          <w:color w:val="auto"/>
          <w:u w:val="none"/>
        </w:rPr>
        <w:t xml:space="preserve"> about three hours to complete</w:t>
      </w:r>
      <w:r w:rsidR="002A5E75" w:rsidRPr="00E3331A">
        <w:rPr>
          <w:rStyle w:val="Hyperlink"/>
          <w:color w:val="auto"/>
          <w:u w:val="none"/>
        </w:rPr>
        <w:t xml:space="preserve"> </w:t>
      </w:r>
      <w:r w:rsidR="00B85C75">
        <w:rPr>
          <w:rStyle w:val="Hyperlink"/>
          <w:noProof/>
          <w:color w:val="auto"/>
          <w:u w:val="none"/>
        </w:rPr>
        <w:t>(</w:t>
      </w:r>
      <w:r w:rsidR="00B85C75" w:rsidRPr="007F6AA8">
        <w:rPr>
          <w:rStyle w:val="Hyperlink"/>
          <w:noProof/>
          <w:color w:val="auto"/>
          <w:u w:val="none"/>
        </w:rPr>
        <w:t>AAAAI 2019</w:t>
      </w:r>
      <w:r w:rsidR="00B85C75">
        <w:rPr>
          <w:rStyle w:val="Hyperlink"/>
          <w:noProof/>
          <w:color w:val="auto"/>
          <w:u w:val="none"/>
        </w:rPr>
        <w:t>)</w:t>
      </w:r>
      <w:r w:rsidR="0046505E" w:rsidRPr="00E3331A">
        <w:rPr>
          <w:rStyle w:val="Hyperlink"/>
          <w:color w:val="auto"/>
          <w:u w:val="none"/>
        </w:rPr>
        <w:t>, with</w:t>
      </w:r>
      <w:r w:rsidR="007246AF" w:rsidRPr="00E3331A">
        <w:rPr>
          <w:rStyle w:val="Hyperlink"/>
          <w:color w:val="auto"/>
          <w:u w:val="none"/>
        </w:rPr>
        <w:t xml:space="preserve"> </w:t>
      </w:r>
      <w:r w:rsidR="0046505E" w:rsidRPr="00E3331A">
        <w:rPr>
          <w:rStyle w:val="Hyperlink"/>
          <w:color w:val="auto"/>
          <w:u w:val="none"/>
        </w:rPr>
        <w:t>t</w:t>
      </w:r>
      <w:r w:rsidRPr="00E3331A">
        <w:rPr>
          <w:rStyle w:val="Hyperlink"/>
          <w:color w:val="auto"/>
          <w:u w:val="none"/>
        </w:rPr>
        <w:t xml:space="preserve">he time required for each infusion dependent on the patient’s weight, </w:t>
      </w:r>
      <w:r w:rsidR="0046505E" w:rsidRPr="00E3331A">
        <w:rPr>
          <w:rStyle w:val="Hyperlink"/>
          <w:color w:val="auto"/>
          <w:u w:val="none"/>
        </w:rPr>
        <w:t xml:space="preserve">the </w:t>
      </w:r>
      <w:r w:rsidRPr="00E3331A">
        <w:rPr>
          <w:rStyle w:val="Hyperlink"/>
          <w:color w:val="auto"/>
          <w:u w:val="none"/>
        </w:rPr>
        <w:t xml:space="preserve">dose required, </w:t>
      </w:r>
      <w:r w:rsidR="0046505E" w:rsidRPr="00E3331A">
        <w:rPr>
          <w:rStyle w:val="Hyperlink"/>
          <w:color w:val="auto"/>
          <w:u w:val="none"/>
        </w:rPr>
        <w:t xml:space="preserve">the </w:t>
      </w:r>
      <w:r w:rsidRPr="00E3331A">
        <w:rPr>
          <w:rStyle w:val="Hyperlink"/>
          <w:color w:val="auto"/>
          <w:u w:val="none"/>
        </w:rPr>
        <w:t>product’s advised infusion rate</w:t>
      </w:r>
      <w:r w:rsidR="0046505E" w:rsidRPr="00E3331A">
        <w:rPr>
          <w:rStyle w:val="Hyperlink"/>
          <w:color w:val="auto"/>
          <w:u w:val="none"/>
        </w:rPr>
        <w:t>,</w:t>
      </w:r>
      <w:r w:rsidRPr="00E3331A">
        <w:rPr>
          <w:rStyle w:val="Hyperlink"/>
          <w:color w:val="auto"/>
          <w:u w:val="none"/>
        </w:rPr>
        <w:t xml:space="preserve"> hospital protocol</w:t>
      </w:r>
      <w:r w:rsidR="0036270C" w:rsidRPr="00E3331A">
        <w:rPr>
          <w:rStyle w:val="Hyperlink"/>
          <w:color w:val="auto"/>
          <w:u w:val="none"/>
        </w:rPr>
        <w:t>,</w:t>
      </w:r>
      <w:r w:rsidRPr="00E3331A">
        <w:rPr>
          <w:rStyle w:val="Hyperlink"/>
          <w:color w:val="auto"/>
          <w:u w:val="none"/>
        </w:rPr>
        <w:t xml:space="preserve"> and the patient’s response during infusion (Referral Form, page 29). </w:t>
      </w:r>
      <w:r w:rsidR="0036270C" w:rsidRPr="00E3331A">
        <w:rPr>
          <w:rStyle w:val="Hyperlink"/>
          <w:color w:val="auto"/>
          <w:u w:val="none"/>
        </w:rPr>
        <w:t>I</w:t>
      </w:r>
      <w:r w:rsidRPr="00E3331A">
        <w:rPr>
          <w:rStyle w:val="Hyperlink"/>
          <w:color w:val="auto"/>
          <w:u w:val="none"/>
        </w:rPr>
        <w:t xml:space="preserve">f the dose is large (e.g. 2g/kg = 160g for an 80kg </w:t>
      </w:r>
      <w:r w:rsidR="0036270C" w:rsidRPr="00E3331A">
        <w:rPr>
          <w:rStyle w:val="Hyperlink"/>
          <w:color w:val="auto"/>
          <w:u w:val="none"/>
        </w:rPr>
        <w:t>patient</w:t>
      </w:r>
      <w:r w:rsidRPr="00E3331A">
        <w:rPr>
          <w:rStyle w:val="Hyperlink"/>
          <w:color w:val="auto"/>
          <w:u w:val="none"/>
        </w:rPr>
        <w:t xml:space="preserve">) </w:t>
      </w:r>
      <w:r w:rsidR="0036270C" w:rsidRPr="00E3331A">
        <w:rPr>
          <w:rStyle w:val="Hyperlink"/>
          <w:color w:val="auto"/>
          <w:u w:val="none"/>
        </w:rPr>
        <w:t>it</w:t>
      </w:r>
      <w:r w:rsidRPr="00E3331A">
        <w:rPr>
          <w:rStyle w:val="Hyperlink"/>
          <w:color w:val="auto"/>
          <w:u w:val="none"/>
        </w:rPr>
        <w:t xml:space="preserve"> is more likely to be split over consecutive days</w:t>
      </w:r>
      <w:r w:rsidR="00EF774C" w:rsidRPr="00E3331A">
        <w:rPr>
          <w:rStyle w:val="Hyperlink"/>
          <w:color w:val="auto"/>
          <w:u w:val="none"/>
        </w:rPr>
        <w:t>.</w:t>
      </w:r>
      <w:r w:rsidRPr="00E3331A">
        <w:rPr>
          <w:rStyle w:val="Hyperlink"/>
          <w:color w:val="auto"/>
          <w:u w:val="none"/>
        </w:rPr>
        <w:t xml:space="preserve"> </w:t>
      </w:r>
      <w:r w:rsidR="00EF774C" w:rsidRPr="00E3331A">
        <w:rPr>
          <w:rStyle w:val="Hyperlink"/>
          <w:color w:val="auto"/>
          <w:u w:val="none"/>
        </w:rPr>
        <w:t>S</w:t>
      </w:r>
      <w:r w:rsidRPr="00E3331A">
        <w:rPr>
          <w:rStyle w:val="Hyperlink"/>
          <w:color w:val="auto"/>
          <w:u w:val="none"/>
        </w:rPr>
        <w:t>maller dose</w:t>
      </w:r>
      <w:r w:rsidR="00EF774C" w:rsidRPr="00E3331A">
        <w:rPr>
          <w:rStyle w:val="Hyperlink"/>
          <w:color w:val="auto"/>
          <w:u w:val="none"/>
        </w:rPr>
        <w:t>s</w:t>
      </w:r>
      <w:r w:rsidRPr="00E3331A">
        <w:rPr>
          <w:rStyle w:val="Hyperlink"/>
          <w:color w:val="auto"/>
          <w:u w:val="none"/>
        </w:rPr>
        <w:t xml:space="preserve"> (e.g. 0.5g/kg = 30g for a 60kg </w:t>
      </w:r>
      <w:r w:rsidR="00EF774C" w:rsidRPr="00E3331A">
        <w:rPr>
          <w:rStyle w:val="Hyperlink"/>
          <w:color w:val="auto"/>
          <w:u w:val="none"/>
        </w:rPr>
        <w:t>patient</w:t>
      </w:r>
      <w:r w:rsidRPr="00E3331A">
        <w:rPr>
          <w:rStyle w:val="Hyperlink"/>
          <w:color w:val="auto"/>
          <w:u w:val="none"/>
        </w:rPr>
        <w:t xml:space="preserve">) </w:t>
      </w:r>
      <w:r w:rsidR="00EF774C" w:rsidRPr="00E3331A">
        <w:rPr>
          <w:rStyle w:val="Hyperlink"/>
          <w:color w:val="auto"/>
          <w:u w:val="none"/>
        </w:rPr>
        <w:t>are</w:t>
      </w:r>
      <w:r w:rsidRPr="00E3331A">
        <w:rPr>
          <w:rStyle w:val="Hyperlink"/>
          <w:color w:val="auto"/>
          <w:u w:val="none"/>
        </w:rPr>
        <w:t xml:space="preserve"> more likely to be given over the course of half to one day (Referral Form, page 29).</w:t>
      </w:r>
    </w:p>
    <w:p w:rsidR="0028710E" w:rsidRPr="00E3331A" w:rsidRDefault="00584BE2" w:rsidP="0028710E">
      <w:pPr>
        <w:rPr>
          <w:rStyle w:val="Hyperlink"/>
          <w:color w:val="auto"/>
          <w:u w:val="none"/>
        </w:rPr>
      </w:pPr>
      <w:r w:rsidRPr="00E3331A">
        <w:rPr>
          <w:rStyle w:val="Hyperlink"/>
          <w:color w:val="auto"/>
          <w:u w:val="none"/>
        </w:rPr>
        <w:t xml:space="preserve">The frequency with which a patient must be reviewed whilst receiving IVIg is specified in </w:t>
      </w:r>
      <w:r w:rsidR="005E4F8B" w:rsidRPr="00E3331A">
        <w:rPr>
          <w:rStyle w:val="Hyperlink"/>
          <w:color w:val="auto"/>
          <w:u w:val="none"/>
        </w:rPr>
        <w:t>Version 3 of</w:t>
      </w:r>
      <w:r w:rsidR="00E4406C" w:rsidRPr="00E3331A">
        <w:rPr>
          <w:rStyle w:val="Hyperlink"/>
          <w:i/>
          <w:color w:val="auto"/>
          <w:u w:val="none"/>
        </w:rPr>
        <w:t xml:space="preserve"> ‘the Criteria’</w:t>
      </w:r>
      <w:r w:rsidR="000D5C15" w:rsidRPr="00E3331A">
        <w:rPr>
          <w:rStyle w:val="Hyperlink"/>
          <w:color w:val="auto"/>
          <w:u w:val="none"/>
        </w:rPr>
        <w:t xml:space="preserve"> </w:t>
      </w:r>
      <w:r w:rsidR="00B85C75">
        <w:rPr>
          <w:rStyle w:val="Hyperlink"/>
          <w:noProof/>
          <w:color w:val="auto"/>
          <w:u w:val="none"/>
        </w:rPr>
        <w:t>(</w:t>
      </w:r>
      <w:r w:rsidR="00B85C75" w:rsidRPr="007F6AA8">
        <w:rPr>
          <w:rStyle w:val="Hyperlink"/>
          <w:noProof/>
          <w:color w:val="auto"/>
          <w:u w:val="none"/>
        </w:rPr>
        <w:t>NBA 2018</w:t>
      </w:r>
      <w:r w:rsidR="00B85C75">
        <w:rPr>
          <w:rStyle w:val="Hyperlink"/>
          <w:noProof/>
          <w:color w:val="auto"/>
          <w:u w:val="none"/>
        </w:rPr>
        <w:t>)</w:t>
      </w:r>
      <w:r w:rsidR="000D5C15" w:rsidRPr="00E3331A">
        <w:rPr>
          <w:rStyle w:val="Hyperlink"/>
          <w:color w:val="auto"/>
          <w:u w:val="none"/>
        </w:rPr>
        <w:t>.</w:t>
      </w:r>
      <w:r w:rsidRPr="00E3331A">
        <w:rPr>
          <w:rStyle w:val="Hyperlink"/>
          <w:color w:val="auto"/>
          <w:u w:val="none"/>
        </w:rPr>
        <w:t xml:space="preserve"> </w:t>
      </w:r>
      <w:r w:rsidR="000D5C15" w:rsidRPr="00E3331A">
        <w:rPr>
          <w:rStyle w:val="Hyperlink"/>
          <w:color w:val="auto"/>
          <w:u w:val="none"/>
        </w:rPr>
        <w:t>P</w:t>
      </w:r>
      <w:r w:rsidR="00A37210" w:rsidRPr="00E3331A">
        <w:rPr>
          <w:rStyle w:val="Hyperlink"/>
          <w:color w:val="auto"/>
          <w:u w:val="none"/>
        </w:rPr>
        <w:t xml:space="preserve">atients </w:t>
      </w:r>
      <w:r w:rsidR="000145D9" w:rsidRPr="00E3331A">
        <w:rPr>
          <w:rStyle w:val="Hyperlink"/>
          <w:color w:val="auto"/>
          <w:u w:val="none"/>
        </w:rPr>
        <w:t xml:space="preserve">receiving </w:t>
      </w:r>
      <w:r w:rsidR="00A37210" w:rsidRPr="00E3331A">
        <w:rPr>
          <w:rStyle w:val="Hyperlink"/>
          <w:color w:val="auto"/>
          <w:u w:val="none"/>
        </w:rPr>
        <w:t xml:space="preserve">IVIg as </w:t>
      </w:r>
      <w:r w:rsidR="00923DB7" w:rsidRPr="00E3331A">
        <w:rPr>
          <w:rStyle w:val="Hyperlink"/>
          <w:color w:val="auto"/>
          <w:u w:val="none"/>
        </w:rPr>
        <w:t>first</w:t>
      </w:r>
      <w:r w:rsidR="000D5C15" w:rsidRPr="00E3331A">
        <w:rPr>
          <w:rStyle w:val="Hyperlink"/>
          <w:color w:val="auto"/>
          <w:u w:val="none"/>
        </w:rPr>
        <w:t>-</w:t>
      </w:r>
      <w:r w:rsidR="00923DB7" w:rsidRPr="00E3331A">
        <w:rPr>
          <w:rStyle w:val="Hyperlink"/>
          <w:color w:val="auto"/>
          <w:u w:val="none"/>
        </w:rPr>
        <w:t xml:space="preserve">line treatment </w:t>
      </w:r>
      <w:r w:rsidR="00A37210" w:rsidRPr="00E3331A">
        <w:rPr>
          <w:rStyle w:val="Hyperlink"/>
          <w:color w:val="auto"/>
          <w:u w:val="none"/>
        </w:rPr>
        <w:t xml:space="preserve">for CIDP </w:t>
      </w:r>
      <w:r w:rsidR="000D5C15" w:rsidRPr="00E3331A">
        <w:rPr>
          <w:rStyle w:val="Hyperlink"/>
          <w:color w:val="auto"/>
          <w:u w:val="none"/>
        </w:rPr>
        <w:t xml:space="preserve">or </w:t>
      </w:r>
      <w:r w:rsidR="00A37210" w:rsidRPr="00E3331A">
        <w:rPr>
          <w:rStyle w:val="Hyperlink"/>
          <w:color w:val="auto"/>
          <w:u w:val="none"/>
        </w:rPr>
        <w:t>following a CIDP relapse within six months of commenc</w:t>
      </w:r>
      <w:r w:rsidR="000D5C15" w:rsidRPr="00E3331A">
        <w:rPr>
          <w:rStyle w:val="Hyperlink"/>
          <w:color w:val="auto"/>
          <w:u w:val="none"/>
        </w:rPr>
        <w:t>ing</w:t>
      </w:r>
      <w:r w:rsidR="00A37210" w:rsidRPr="00E3331A">
        <w:rPr>
          <w:rStyle w:val="Hyperlink"/>
          <w:color w:val="auto"/>
          <w:u w:val="none"/>
        </w:rPr>
        <w:t xml:space="preserve"> a trial off Ig therapy</w:t>
      </w:r>
      <w:r w:rsidR="000D5C15" w:rsidRPr="00E3331A">
        <w:rPr>
          <w:rStyle w:val="Hyperlink"/>
          <w:color w:val="auto"/>
          <w:u w:val="none"/>
        </w:rPr>
        <w:t>,</w:t>
      </w:r>
      <w:r w:rsidR="00D23343" w:rsidRPr="00E3331A">
        <w:rPr>
          <w:rStyle w:val="Hyperlink"/>
          <w:color w:val="auto"/>
          <w:u w:val="none"/>
        </w:rPr>
        <w:t xml:space="preserve"> </w:t>
      </w:r>
      <w:r w:rsidR="000D5C15" w:rsidRPr="00E3331A">
        <w:rPr>
          <w:rStyle w:val="Hyperlink"/>
          <w:color w:val="auto"/>
          <w:u w:val="none"/>
        </w:rPr>
        <w:t>must be</w:t>
      </w:r>
      <w:r w:rsidR="00923DB7" w:rsidRPr="00E3331A">
        <w:rPr>
          <w:rStyle w:val="Hyperlink"/>
          <w:color w:val="auto"/>
          <w:u w:val="none"/>
        </w:rPr>
        <w:t xml:space="preserve"> review</w:t>
      </w:r>
      <w:r w:rsidR="006F01EE" w:rsidRPr="00E3331A">
        <w:rPr>
          <w:rStyle w:val="Hyperlink"/>
          <w:color w:val="auto"/>
          <w:u w:val="none"/>
        </w:rPr>
        <w:t>ed</w:t>
      </w:r>
      <w:r w:rsidR="00923DB7" w:rsidRPr="00E3331A">
        <w:rPr>
          <w:rStyle w:val="Hyperlink"/>
          <w:color w:val="auto"/>
          <w:u w:val="none"/>
        </w:rPr>
        <w:t xml:space="preserve"> by a neurologist after four months of Ig therapy to determine patient respon</w:t>
      </w:r>
      <w:r w:rsidR="006F01EE" w:rsidRPr="00E3331A">
        <w:rPr>
          <w:rStyle w:val="Hyperlink"/>
          <w:color w:val="auto"/>
          <w:u w:val="none"/>
        </w:rPr>
        <w:t>se</w:t>
      </w:r>
      <w:r w:rsidR="00923DB7" w:rsidRPr="00E3331A">
        <w:rPr>
          <w:rStyle w:val="Hyperlink"/>
          <w:color w:val="auto"/>
          <w:u w:val="none"/>
        </w:rPr>
        <w:t xml:space="preserve">. </w:t>
      </w:r>
      <w:r w:rsidR="00442C69" w:rsidRPr="00E3331A">
        <w:rPr>
          <w:rStyle w:val="Hyperlink"/>
          <w:color w:val="auto"/>
          <w:u w:val="none"/>
        </w:rPr>
        <w:t>T</w:t>
      </w:r>
      <w:r w:rsidR="000145D9" w:rsidRPr="00E3331A">
        <w:rPr>
          <w:rStyle w:val="Hyperlink"/>
          <w:color w:val="auto"/>
          <w:u w:val="none"/>
        </w:rPr>
        <w:t xml:space="preserve">hose </w:t>
      </w:r>
      <w:r w:rsidR="00923DB7" w:rsidRPr="00E3331A">
        <w:rPr>
          <w:rStyle w:val="Hyperlink"/>
          <w:color w:val="auto"/>
          <w:u w:val="none"/>
        </w:rPr>
        <w:t>who have</w:t>
      </w:r>
      <w:r w:rsidRPr="00E3331A">
        <w:rPr>
          <w:rStyle w:val="Hyperlink"/>
          <w:color w:val="auto"/>
          <w:u w:val="none"/>
        </w:rPr>
        <w:t xml:space="preserve"> </w:t>
      </w:r>
      <w:r w:rsidR="00923DB7" w:rsidRPr="00E3331A">
        <w:rPr>
          <w:rStyle w:val="Hyperlink"/>
          <w:color w:val="auto"/>
          <w:u w:val="none"/>
        </w:rPr>
        <w:t>responded to IVIg</w:t>
      </w:r>
      <w:r w:rsidR="00442C69" w:rsidRPr="00E3331A">
        <w:rPr>
          <w:rStyle w:val="Hyperlink"/>
          <w:color w:val="auto"/>
          <w:u w:val="none"/>
        </w:rPr>
        <w:t xml:space="preserve"> must be</w:t>
      </w:r>
      <w:r w:rsidR="00923DB7" w:rsidRPr="00E3331A">
        <w:rPr>
          <w:rStyle w:val="Hyperlink"/>
          <w:color w:val="auto"/>
          <w:u w:val="none"/>
        </w:rPr>
        <w:t xml:space="preserve"> review</w:t>
      </w:r>
      <w:r w:rsidR="00442C69" w:rsidRPr="00E3331A">
        <w:rPr>
          <w:rStyle w:val="Hyperlink"/>
          <w:color w:val="auto"/>
          <w:u w:val="none"/>
        </w:rPr>
        <w:t>ed</w:t>
      </w:r>
      <w:r w:rsidR="00923DB7" w:rsidRPr="00E3331A">
        <w:rPr>
          <w:rStyle w:val="Hyperlink"/>
          <w:color w:val="auto"/>
          <w:u w:val="none"/>
        </w:rPr>
        <w:t xml:space="preserve"> by a neurologist or general physician every 12 months. </w:t>
      </w:r>
      <w:r w:rsidR="006B0909" w:rsidRPr="00E3331A">
        <w:rPr>
          <w:rStyle w:val="Hyperlink"/>
          <w:color w:val="auto"/>
          <w:u w:val="none"/>
        </w:rPr>
        <w:t>R</w:t>
      </w:r>
      <w:r w:rsidR="0028710E" w:rsidRPr="00E3331A">
        <w:rPr>
          <w:rStyle w:val="Hyperlink"/>
          <w:color w:val="auto"/>
          <w:u w:val="none"/>
        </w:rPr>
        <w:t xml:space="preserve">epeat nerve conduction studies </w:t>
      </w:r>
      <w:r w:rsidR="006B0909" w:rsidRPr="00E3331A">
        <w:rPr>
          <w:rStyle w:val="Hyperlink"/>
          <w:color w:val="auto"/>
          <w:u w:val="none"/>
        </w:rPr>
        <w:t xml:space="preserve">must be </w:t>
      </w:r>
      <w:r w:rsidR="0028710E" w:rsidRPr="00E3331A">
        <w:rPr>
          <w:rStyle w:val="Hyperlink"/>
          <w:color w:val="auto"/>
          <w:u w:val="none"/>
        </w:rPr>
        <w:t xml:space="preserve">conducted at </w:t>
      </w:r>
      <w:r w:rsidR="000145D9" w:rsidRPr="00E3331A">
        <w:rPr>
          <w:rStyle w:val="Hyperlink"/>
          <w:color w:val="auto"/>
          <w:u w:val="none"/>
        </w:rPr>
        <w:t>four</w:t>
      </w:r>
      <w:r w:rsidR="0028710E" w:rsidRPr="00E3331A">
        <w:rPr>
          <w:rStyle w:val="Hyperlink"/>
          <w:color w:val="auto"/>
          <w:u w:val="none"/>
        </w:rPr>
        <w:t xml:space="preserve"> months to assess </w:t>
      </w:r>
      <w:r w:rsidR="006B0909" w:rsidRPr="00E3331A">
        <w:rPr>
          <w:rStyle w:val="Hyperlink"/>
          <w:color w:val="auto"/>
          <w:u w:val="none"/>
        </w:rPr>
        <w:t>patient</w:t>
      </w:r>
      <w:r w:rsidR="0028710E" w:rsidRPr="00E3331A">
        <w:rPr>
          <w:rStyle w:val="Hyperlink"/>
          <w:color w:val="auto"/>
          <w:u w:val="none"/>
        </w:rPr>
        <w:t xml:space="preserve"> respo</w:t>
      </w:r>
      <w:r w:rsidR="006B0909" w:rsidRPr="00E3331A">
        <w:rPr>
          <w:rStyle w:val="Hyperlink"/>
          <w:color w:val="auto"/>
          <w:u w:val="none"/>
        </w:rPr>
        <w:t xml:space="preserve">nse whilst undergoing IVIg treatment, </w:t>
      </w:r>
      <w:r w:rsidR="0028710E" w:rsidRPr="00E3331A">
        <w:rPr>
          <w:rStyle w:val="Hyperlink"/>
          <w:color w:val="auto"/>
          <w:u w:val="none"/>
        </w:rPr>
        <w:t xml:space="preserve">however </w:t>
      </w:r>
      <w:r w:rsidR="0031021B" w:rsidRPr="00E3331A">
        <w:rPr>
          <w:rStyle w:val="Hyperlink"/>
          <w:color w:val="auto"/>
          <w:u w:val="none"/>
        </w:rPr>
        <w:t>if patients</w:t>
      </w:r>
      <w:r w:rsidR="0028710E" w:rsidRPr="00E3331A">
        <w:rPr>
          <w:rStyle w:val="Hyperlink"/>
          <w:color w:val="auto"/>
          <w:u w:val="none"/>
        </w:rPr>
        <w:t xml:space="preserve"> </w:t>
      </w:r>
      <w:r w:rsidR="0031021B" w:rsidRPr="00E3331A">
        <w:rPr>
          <w:rStyle w:val="Hyperlink"/>
          <w:color w:val="auto"/>
          <w:u w:val="none"/>
        </w:rPr>
        <w:t xml:space="preserve">are </w:t>
      </w:r>
      <w:r w:rsidR="0028710E" w:rsidRPr="00E3331A">
        <w:rPr>
          <w:rStyle w:val="Hyperlink"/>
          <w:color w:val="auto"/>
          <w:u w:val="none"/>
        </w:rPr>
        <w:t>clinically improving</w:t>
      </w:r>
      <w:r w:rsidR="009B7044" w:rsidRPr="00E3331A">
        <w:rPr>
          <w:rStyle w:val="Hyperlink"/>
          <w:color w:val="auto"/>
          <w:u w:val="none"/>
        </w:rPr>
        <w:t>,</w:t>
      </w:r>
      <w:r w:rsidR="0028710E" w:rsidRPr="00E3331A">
        <w:rPr>
          <w:rStyle w:val="Hyperlink"/>
          <w:color w:val="auto"/>
          <w:u w:val="none"/>
        </w:rPr>
        <w:t xml:space="preserve"> th</w:t>
      </w:r>
      <w:r w:rsidR="0031021B" w:rsidRPr="00E3331A">
        <w:rPr>
          <w:rStyle w:val="Hyperlink"/>
          <w:color w:val="auto"/>
          <w:u w:val="none"/>
        </w:rPr>
        <w:t>ese tests</w:t>
      </w:r>
      <w:r w:rsidR="0028710E" w:rsidRPr="00E3331A">
        <w:rPr>
          <w:rStyle w:val="Hyperlink"/>
          <w:color w:val="auto"/>
          <w:u w:val="none"/>
        </w:rPr>
        <w:t xml:space="preserve"> may not be required. </w:t>
      </w:r>
      <w:r w:rsidR="009D0B2B" w:rsidRPr="00E3331A">
        <w:rPr>
          <w:rStyle w:val="Hyperlink"/>
          <w:color w:val="auto"/>
          <w:u w:val="none"/>
        </w:rPr>
        <w:t>B</w:t>
      </w:r>
      <w:r w:rsidR="0028710E" w:rsidRPr="00E3331A">
        <w:rPr>
          <w:rStyle w:val="Hyperlink"/>
          <w:color w:val="auto"/>
          <w:u w:val="none"/>
        </w:rPr>
        <w:t xml:space="preserve">lood tests for electrolytes, urea, creatinine, liver function and full blood counts may be ordered every four to six weeks during the first few months of treatment. </w:t>
      </w:r>
      <w:r w:rsidR="009D0B2B" w:rsidRPr="00E3331A">
        <w:rPr>
          <w:rStyle w:val="Hyperlink"/>
          <w:color w:val="auto"/>
          <w:u w:val="none"/>
        </w:rPr>
        <w:t>T</w:t>
      </w:r>
      <w:r w:rsidR="00201275" w:rsidRPr="00E3331A">
        <w:rPr>
          <w:rStyle w:val="Hyperlink"/>
          <w:color w:val="auto"/>
          <w:u w:val="none"/>
        </w:rPr>
        <w:t>hese parameters are more closely checked with steroid or adjuvant immunosuppression treatment than with IVIg</w:t>
      </w:r>
      <w:r w:rsidR="009D0B2B" w:rsidRPr="00E3331A">
        <w:rPr>
          <w:rStyle w:val="Hyperlink"/>
          <w:color w:val="auto"/>
          <w:u w:val="none"/>
        </w:rPr>
        <w:t xml:space="preserve"> </w:t>
      </w:r>
      <w:r w:rsidR="00B85C75">
        <w:rPr>
          <w:rStyle w:val="Hyperlink"/>
          <w:noProof/>
          <w:color w:val="auto"/>
          <w:u w:val="none"/>
        </w:rPr>
        <w:t>(</w:t>
      </w:r>
      <w:r w:rsidR="00B85C75" w:rsidRPr="007F6AA8">
        <w:rPr>
          <w:rStyle w:val="Hyperlink"/>
          <w:noProof/>
          <w:color w:val="auto"/>
          <w:u w:val="none"/>
        </w:rPr>
        <w:t>Expert Neurologist 2019</w:t>
      </w:r>
      <w:r w:rsidR="00B85C75">
        <w:rPr>
          <w:rStyle w:val="Hyperlink"/>
          <w:noProof/>
          <w:color w:val="auto"/>
          <w:u w:val="none"/>
        </w:rPr>
        <w:t>)</w:t>
      </w:r>
      <w:r w:rsidR="009D0B2B" w:rsidRPr="00E3331A">
        <w:rPr>
          <w:rStyle w:val="Hyperlink"/>
          <w:color w:val="auto"/>
          <w:u w:val="none"/>
        </w:rPr>
        <w:t>.</w:t>
      </w:r>
    </w:p>
    <w:p w:rsidR="00D8196C" w:rsidRPr="00E3331A" w:rsidRDefault="00D8196C" w:rsidP="002D645F">
      <w:pPr>
        <w:rPr>
          <w:i/>
        </w:rPr>
      </w:pPr>
      <w:r w:rsidRPr="00E3331A">
        <w:rPr>
          <w:i/>
        </w:rPr>
        <w:t>SCIg</w:t>
      </w:r>
    </w:p>
    <w:p w:rsidR="001C42E3" w:rsidRPr="00E3331A" w:rsidRDefault="00542307" w:rsidP="00DC49F4">
      <w:r w:rsidRPr="00E3331A">
        <w:t>T</w:t>
      </w:r>
      <w:r w:rsidR="00A10A3D" w:rsidRPr="00E3331A">
        <w:t>he Referral Form noted</w:t>
      </w:r>
      <w:r w:rsidRPr="00E3331A">
        <w:t xml:space="preserve"> (page 31) </w:t>
      </w:r>
      <w:r w:rsidR="00A10A3D" w:rsidRPr="00E3331A">
        <w:t>that whil</w:t>
      </w:r>
      <w:r w:rsidR="00417823">
        <w:t>e</w:t>
      </w:r>
      <w:r w:rsidR="00A10A3D" w:rsidRPr="00E3331A">
        <w:t xml:space="preserve"> SCIg is not currently funded under the National Blood Arrangements for CIDP</w:t>
      </w:r>
      <w:r w:rsidRPr="00E3331A">
        <w:t>,</w:t>
      </w:r>
      <w:r w:rsidR="00A10A3D" w:rsidRPr="00E3331A">
        <w:t xml:space="preserve"> clinicians believed that SCIg use will emerge if it is funded for this indication </w:t>
      </w:r>
      <w:r w:rsidR="00A10A3D" w:rsidRPr="00E3331A">
        <w:lastRenderedPageBreak/>
        <w:t xml:space="preserve">in future. The </w:t>
      </w:r>
      <w:r w:rsidR="00EE2429" w:rsidRPr="00E3331A">
        <w:t>NBA</w:t>
      </w:r>
      <w:r w:rsidR="00A10A3D" w:rsidRPr="00E3331A">
        <w:t xml:space="preserve"> advised that SCIg could be funded in the future</w:t>
      </w:r>
      <w:r w:rsidR="00F0719B">
        <w:rPr>
          <w:rStyle w:val="FootnoteReference"/>
        </w:rPr>
        <w:footnoteReference w:id="6"/>
      </w:r>
      <w:r w:rsidR="00A10A3D" w:rsidRPr="00E3331A">
        <w:t xml:space="preserve"> and th</w:t>
      </w:r>
      <w:r w:rsidRPr="00E3331A">
        <w:t>us</w:t>
      </w:r>
      <w:r w:rsidR="00A10A3D" w:rsidRPr="00E3331A">
        <w:t xml:space="preserve"> it should be investigated as part of this </w:t>
      </w:r>
      <w:r w:rsidR="007B1C86" w:rsidRPr="00E3331A">
        <w:t>Assessment and</w:t>
      </w:r>
      <w:r w:rsidRPr="00E3331A">
        <w:t xml:space="preserve"> is</w:t>
      </w:r>
      <w:r w:rsidR="0035648C" w:rsidRPr="00E3331A">
        <w:t xml:space="preserve"> </w:t>
      </w:r>
      <w:r w:rsidRPr="00E3331A">
        <w:t xml:space="preserve">here </w:t>
      </w:r>
      <w:r w:rsidR="0035648C" w:rsidRPr="00E3331A">
        <w:t xml:space="preserve">discussed </w:t>
      </w:r>
      <w:r w:rsidRPr="00E3331A">
        <w:t>accordingly</w:t>
      </w:r>
      <w:r w:rsidR="0035648C" w:rsidRPr="00E3331A">
        <w:t>.</w:t>
      </w:r>
      <w:r w:rsidR="00DC49F4" w:rsidRPr="00E3331A">
        <w:t xml:space="preserve"> </w:t>
      </w:r>
    </w:p>
    <w:p w:rsidR="00316EEF" w:rsidRPr="00E3331A" w:rsidRDefault="00316EEF" w:rsidP="00316EEF">
      <w:r w:rsidRPr="00E3331A">
        <w:t xml:space="preserve">SCIg </w:t>
      </w:r>
      <w:r w:rsidR="00542307" w:rsidRPr="00E3331A">
        <w:t xml:space="preserve">is </w:t>
      </w:r>
      <w:r w:rsidRPr="00E3331A">
        <w:t>administered by injecting purified Ig into fatty tissue underneath the skin in the abdomen, thighs or upper arms</w:t>
      </w:r>
      <w:r w:rsidR="00542307" w:rsidRPr="00E3331A">
        <w:t>.</w:t>
      </w:r>
      <w:r w:rsidRPr="00E3331A">
        <w:t xml:space="preserve"> </w:t>
      </w:r>
      <w:r w:rsidR="00542307" w:rsidRPr="00E3331A">
        <w:t>T</w:t>
      </w:r>
      <w:r w:rsidRPr="00E3331A">
        <w:t>he patient or carer at home us</w:t>
      </w:r>
      <w:r w:rsidR="00542307" w:rsidRPr="00E3331A">
        <w:t>es</w:t>
      </w:r>
      <w:r w:rsidRPr="00E3331A">
        <w:t xml:space="preserve"> an infusion pump (spring loaded or battery powered) or </w:t>
      </w:r>
      <w:r w:rsidR="00542307" w:rsidRPr="00E3331A">
        <w:t xml:space="preserve">injects </w:t>
      </w:r>
      <w:r w:rsidRPr="00E3331A">
        <w:t>by</w:t>
      </w:r>
      <w:r w:rsidR="00345C95" w:rsidRPr="00E3331A">
        <w:t xml:space="preserve"> </w:t>
      </w:r>
      <w:r w:rsidRPr="00E3331A">
        <w:t>hand using a syringe and a rapid push method</w:t>
      </w:r>
      <w:r w:rsidR="00542307" w:rsidRPr="00E3331A">
        <w:t xml:space="preserve"> </w:t>
      </w:r>
      <w:r w:rsidR="00B85C75">
        <w:rPr>
          <w:noProof/>
        </w:rPr>
        <w:t>(ASCIA 2018)</w:t>
      </w:r>
      <w:r w:rsidR="00542307" w:rsidRPr="00E3331A">
        <w:t>.</w:t>
      </w:r>
      <w:r w:rsidRPr="00E3331A">
        <w:t xml:space="preserve"> Unlike with IVIg the</w:t>
      </w:r>
      <w:r w:rsidR="00542307" w:rsidRPr="00E3331A">
        <w:t>re is no</w:t>
      </w:r>
      <w:r w:rsidRPr="00E3331A">
        <w:t xml:space="preserve"> need to travel to hospital or take time of</w:t>
      </w:r>
      <w:r w:rsidR="0022659F" w:rsidRPr="00E3331A">
        <w:t>f</w:t>
      </w:r>
      <w:r w:rsidRPr="00E3331A">
        <w:t xml:space="preserve"> school/work and the treatment </w:t>
      </w:r>
      <w:r w:rsidR="0022659F" w:rsidRPr="00E3331A">
        <w:t>can be taken along</w:t>
      </w:r>
      <w:r w:rsidRPr="00E3331A">
        <w:t xml:space="preserve"> when travelling</w:t>
      </w:r>
      <w:r w:rsidR="0022659F" w:rsidRPr="00E3331A">
        <w:t xml:space="preserve"> </w:t>
      </w:r>
      <w:r w:rsidR="00B85C75">
        <w:rPr>
          <w:noProof/>
        </w:rPr>
        <w:t>(ASCIA 2018)</w:t>
      </w:r>
      <w:r w:rsidR="0022659F" w:rsidRPr="00E3331A">
        <w:t>.</w:t>
      </w:r>
      <w:r w:rsidRPr="00E3331A">
        <w:t xml:space="preserve"> According to the </w:t>
      </w:r>
      <w:r w:rsidR="00EE2429" w:rsidRPr="00E3331A">
        <w:t>NBA</w:t>
      </w:r>
      <w:r w:rsidR="009015BF" w:rsidRPr="00E3331A">
        <w:t>,</w:t>
      </w:r>
      <w:r w:rsidRPr="00E3331A">
        <w:t xml:space="preserve"> SCIg is initially supplied monthly</w:t>
      </w:r>
      <w:r w:rsidR="003C5FB0" w:rsidRPr="00E3331A">
        <w:t>.</w:t>
      </w:r>
      <w:r w:rsidRPr="00E3331A">
        <w:t xml:space="preserve"> </w:t>
      </w:r>
      <w:r w:rsidR="003C5FB0" w:rsidRPr="00E3331A">
        <w:t>T</w:t>
      </w:r>
      <w:r w:rsidRPr="00E3331A">
        <w:t xml:space="preserve">he product can be collected at an agreed hospital pharmacy or medical centre </w:t>
      </w:r>
      <w:r w:rsidR="003C5FB0" w:rsidRPr="00E3331A">
        <w:t xml:space="preserve">that </w:t>
      </w:r>
      <w:r w:rsidRPr="00E3331A">
        <w:t>does not have to be the treating hospital</w:t>
      </w:r>
      <w:r w:rsidR="003C5FB0" w:rsidRPr="00E3331A">
        <w:t>, and repeat prescriptions can be a</w:t>
      </w:r>
      <w:r w:rsidR="00DB7718" w:rsidRPr="00E3331A">
        <w:t>ccessed without seeing a doctor</w:t>
      </w:r>
      <w:r w:rsidRPr="00E3331A">
        <w:t xml:space="preserve"> </w:t>
      </w:r>
      <w:r w:rsidR="00B85C75">
        <w:rPr>
          <w:noProof/>
        </w:rPr>
        <w:t>(NBA 2016a)</w:t>
      </w:r>
      <w:r w:rsidR="00DB7718" w:rsidRPr="00E3331A">
        <w:t>.</w:t>
      </w:r>
      <w:r w:rsidRPr="00E3331A">
        <w:t xml:space="preserve"> Some SCIg products require refrigerated transport and storage between 2</w:t>
      </w:r>
      <w:r w:rsidR="00DB7718" w:rsidRPr="00E3331A">
        <w:t>-</w:t>
      </w:r>
      <w:r w:rsidRPr="00E3331A">
        <w:t xml:space="preserve">8°C. Patients are required to use a diary to keep record of their treatments. </w:t>
      </w:r>
      <w:r w:rsidR="00B85C75">
        <w:rPr>
          <w:noProof/>
        </w:rPr>
        <w:t>(NBA 2016c)</w:t>
      </w:r>
    </w:p>
    <w:p w:rsidR="004D7CA2" w:rsidRPr="00E3331A" w:rsidRDefault="002670EF" w:rsidP="00DC49F4">
      <w:r w:rsidRPr="00E3331A">
        <w:t xml:space="preserve">Compared with IVIg, SCIg </w:t>
      </w:r>
      <w:r w:rsidR="00F51D13" w:rsidRPr="00E3331A">
        <w:t xml:space="preserve">is </w:t>
      </w:r>
      <w:r w:rsidRPr="00E3331A">
        <w:t xml:space="preserve">administered through several smaller doses delivered </w:t>
      </w:r>
      <w:r w:rsidR="00F51D13" w:rsidRPr="00E3331A">
        <w:t xml:space="preserve">via </w:t>
      </w:r>
      <w:r w:rsidRPr="00E3331A">
        <w:t>a series of injections</w:t>
      </w:r>
      <w:r w:rsidR="002A5EB6" w:rsidRPr="00E3331A">
        <w:t>. T</w:t>
      </w:r>
      <w:r w:rsidRPr="00E3331A">
        <w:t xml:space="preserve">he </w:t>
      </w:r>
      <w:r w:rsidR="002A5EB6" w:rsidRPr="00E3331A">
        <w:t>infusion</w:t>
      </w:r>
      <w:r w:rsidR="00F51D13" w:rsidRPr="00E3331A">
        <w:t xml:space="preserve"> schedule</w:t>
      </w:r>
      <w:r w:rsidRPr="00E3331A">
        <w:t xml:space="preserve"> depend</w:t>
      </w:r>
      <w:r w:rsidR="002A5EB6" w:rsidRPr="00E3331A">
        <w:t>s</w:t>
      </w:r>
      <w:r w:rsidRPr="00E3331A">
        <w:t xml:space="preserve"> on dosage and tolerance</w:t>
      </w:r>
      <w:r w:rsidR="002A5EB6" w:rsidRPr="00E3331A">
        <w:t xml:space="preserve">, but is more frequent than for IVIg (e.g. </w:t>
      </w:r>
      <w:r w:rsidR="00F51D13" w:rsidRPr="00E3331A">
        <w:t>1-3</w:t>
      </w:r>
      <w:r w:rsidR="002A5EB6" w:rsidRPr="00E3331A">
        <w:t xml:space="preserve"> times per week)</w:t>
      </w:r>
      <w:r w:rsidR="00F51D13" w:rsidRPr="00E3331A">
        <w:t xml:space="preserve"> </w:t>
      </w:r>
      <w:r w:rsidR="00B85C75">
        <w:rPr>
          <w:noProof/>
        </w:rPr>
        <w:t>(ASCIA 2018)</w:t>
      </w:r>
      <w:r w:rsidR="00F51D13" w:rsidRPr="00E3331A">
        <w:t>.</w:t>
      </w:r>
      <w:r w:rsidRPr="00E3331A">
        <w:t xml:space="preserve"> </w:t>
      </w:r>
      <w:r w:rsidR="00326D00" w:rsidRPr="00E3331A">
        <w:t xml:space="preserve">As </w:t>
      </w:r>
      <w:r w:rsidR="00CA49EE" w:rsidRPr="00E3331A">
        <w:t xml:space="preserve">treatment of CIDP with SCIg is not currently funded by the </w:t>
      </w:r>
      <w:r w:rsidR="00EE2429" w:rsidRPr="00E3331A">
        <w:t>NBA</w:t>
      </w:r>
      <w:r w:rsidR="00105F4B" w:rsidRPr="00E3331A">
        <w:t>,</w:t>
      </w:r>
      <w:r w:rsidR="00CA49EE" w:rsidRPr="00E3331A">
        <w:t xml:space="preserve"> there are no dosing guidelines provided in the current version of ‘</w:t>
      </w:r>
      <w:r w:rsidR="00CA49EE" w:rsidRPr="00E3331A">
        <w:rPr>
          <w:i/>
        </w:rPr>
        <w:t>the Criteria</w:t>
      </w:r>
      <w:r w:rsidR="00CA49EE" w:rsidRPr="00E3331A">
        <w:t>’ (</w:t>
      </w:r>
      <w:r w:rsidR="005767C6" w:rsidRPr="00E3331A">
        <w:t>V</w:t>
      </w:r>
      <w:r w:rsidR="00CA49EE" w:rsidRPr="00E3331A">
        <w:t>ersion 3)</w:t>
      </w:r>
      <w:r w:rsidRPr="00E3331A">
        <w:t xml:space="preserve"> nor</w:t>
      </w:r>
      <w:r w:rsidR="00105F4B" w:rsidRPr="00E3331A">
        <w:t xml:space="preserve"> </w:t>
      </w:r>
      <w:r w:rsidR="00CA49EE" w:rsidRPr="00E3331A">
        <w:t xml:space="preserve">in the </w:t>
      </w:r>
      <w:r w:rsidRPr="00E3331A">
        <w:t xml:space="preserve">most </w:t>
      </w:r>
      <w:r w:rsidR="00CA49EE" w:rsidRPr="00E3331A">
        <w:t>current EFNS/PNS guidelines on CIDP</w:t>
      </w:r>
      <w:r w:rsidR="00105F4B" w:rsidRPr="00E3331A">
        <w:t xml:space="preserve"> </w:t>
      </w:r>
      <w:r w:rsidR="00B85C75">
        <w:rPr>
          <w:noProof/>
        </w:rPr>
        <w:t>(Van den Bergh et al. 2010)</w:t>
      </w:r>
      <w:r w:rsidR="00105F4B" w:rsidRPr="00E3331A">
        <w:t>.</w:t>
      </w:r>
      <w:r w:rsidR="00345C95" w:rsidRPr="00E3331A">
        <w:t xml:space="preserve"> </w:t>
      </w:r>
      <w:r w:rsidR="00654B44" w:rsidRPr="00E3331A">
        <w:t>P</w:t>
      </w:r>
      <w:r w:rsidR="00CA49EE" w:rsidRPr="00E3331A">
        <w:t xml:space="preserve">harmokinetic </w:t>
      </w:r>
      <w:r w:rsidR="00E54DC9" w:rsidRPr="00E3331A">
        <w:t>differences between IVIg and SCIg</w:t>
      </w:r>
      <w:r w:rsidR="00654B44" w:rsidRPr="00E3331A">
        <w:t xml:space="preserve"> mean that</w:t>
      </w:r>
      <w:r w:rsidR="003F52F5" w:rsidRPr="00E3331A">
        <w:t xml:space="preserve"> </w:t>
      </w:r>
      <w:r w:rsidR="00E54DC9" w:rsidRPr="00E3331A">
        <w:t xml:space="preserve">bioavailability </w:t>
      </w:r>
      <w:r w:rsidR="00654B44" w:rsidRPr="00E3331A">
        <w:t xml:space="preserve">is </w:t>
      </w:r>
      <w:r w:rsidR="00E54DC9" w:rsidRPr="00E3331A">
        <w:t xml:space="preserve">lower after SCIg administration than after IVIg. For this reason, the </w:t>
      </w:r>
      <w:r w:rsidR="00BE54F2" w:rsidRPr="00BE54F2">
        <w:t xml:space="preserve">Food and Drug Administration </w:t>
      </w:r>
      <w:r w:rsidR="00BE54F2">
        <w:t>(</w:t>
      </w:r>
      <w:r w:rsidR="00E54DC9" w:rsidRPr="00E3331A">
        <w:t>FDA</w:t>
      </w:r>
      <w:r w:rsidR="00BE54F2">
        <w:t>)</w:t>
      </w:r>
      <w:r w:rsidR="00E54DC9" w:rsidRPr="00E3331A">
        <w:t xml:space="preserve"> requires manufacturers to calculate a dose-adjustment coefficient to achieve similar total exposure to Ig</w:t>
      </w:r>
      <w:r w:rsidR="00654B44" w:rsidRPr="00E3331A">
        <w:t xml:space="preserve"> </w:t>
      </w:r>
      <w:r w:rsidR="00B85C75">
        <w:rPr>
          <w:noProof/>
        </w:rPr>
        <w:t>(Fadeyi and Tran 2013)</w:t>
      </w:r>
      <w:r w:rsidR="003F52F5" w:rsidRPr="00E3331A">
        <w:t>.</w:t>
      </w:r>
      <w:r w:rsidRPr="00E3331A">
        <w:t xml:space="preserve"> </w:t>
      </w:r>
      <w:r w:rsidR="00654B44" w:rsidRPr="00E3331A">
        <w:t>CSL Behring advises that t</w:t>
      </w:r>
      <w:r w:rsidR="00EB6B35" w:rsidRPr="00E3331A">
        <w:t>he r</w:t>
      </w:r>
      <w:r w:rsidR="004D7CA2" w:rsidRPr="00E3331A">
        <w:t xml:space="preserve">ecommended dosage for </w:t>
      </w:r>
      <w:r w:rsidR="00EB6B35" w:rsidRPr="00E3331A">
        <w:t xml:space="preserve">SCIg </w:t>
      </w:r>
      <w:r w:rsidR="004D7CA2" w:rsidRPr="00E3331A">
        <w:t>Hizentra</w:t>
      </w:r>
      <w:r w:rsidR="00EB6B35" w:rsidRPr="00E3331A">
        <w:t xml:space="preserve"> maintenance therapy in adults with C</w:t>
      </w:r>
      <w:r w:rsidR="00BE54F2">
        <w:t>ID</w:t>
      </w:r>
      <w:r w:rsidR="00EB6B35" w:rsidRPr="00E3331A">
        <w:t xml:space="preserve">P is 0.2g/kg body weight </w:t>
      </w:r>
      <w:r w:rsidR="00654B44" w:rsidRPr="00E3331A">
        <w:t xml:space="preserve">(1ml/kg) </w:t>
      </w:r>
      <w:r w:rsidR="00EB6B35" w:rsidRPr="00E3331A">
        <w:t xml:space="preserve">per week, to be initiated one week after the last IVIg infusion. </w:t>
      </w:r>
      <w:r w:rsidR="00F64DF3" w:rsidRPr="00E3331A">
        <w:t>T</w:t>
      </w:r>
      <w:r w:rsidR="00EB6B35" w:rsidRPr="00E3331A">
        <w:t>he first infusion volume should be ≤20m</w:t>
      </w:r>
      <w:r w:rsidR="00F64DF3" w:rsidRPr="00E3331A">
        <w:t>l</w:t>
      </w:r>
      <w:r w:rsidR="00EB6B35" w:rsidRPr="00E3331A">
        <w:t>/site at a rate of ≤20m</w:t>
      </w:r>
      <w:r w:rsidR="00F64DF3" w:rsidRPr="00E3331A">
        <w:t>l</w:t>
      </w:r>
      <w:r w:rsidR="00EB6B35" w:rsidRPr="00E3331A">
        <w:t>/site/hour</w:t>
      </w:r>
      <w:r w:rsidR="00E003C2" w:rsidRPr="00E3331A">
        <w:t>.</w:t>
      </w:r>
      <w:r w:rsidR="00EB6B35" w:rsidRPr="00E3331A">
        <w:t xml:space="preserve"> </w:t>
      </w:r>
      <w:r w:rsidR="00E003C2" w:rsidRPr="00E3331A">
        <w:t>S</w:t>
      </w:r>
      <w:r w:rsidR="00EB6B35" w:rsidRPr="00E3331A">
        <w:t>ubsequent infusions can be up to ≤50m</w:t>
      </w:r>
      <w:r w:rsidR="00E003C2" w:rsidRPr="00E3331A">
        <w:t>l</w:t>
      </w:r>
      <w:r w:rsidR="00EB6B35" w:rsidRPr="00E3331A">
        <w:t>/site a</w:t>
      </w:r>
      <w:r w:rsidRPr="00E3331A">
        <w:t>t</w:t>
      </w:r>
      <w:r w:rsidR="00EB6B35" w:rsidRPr="00E3331A">
        <w:t xml:space="preserve"> a rate of ≤</w:t>
      </w:r>
      <w:r w:rsidR="00E003C2" w:rsidRPr="00E3331A">
        <w:t>50</w:t>
      </w:r>
      <w:r w:rsidR="00EB6B35" w:rsidRPr="00E3331A">
        <w:t>m</w:t>
      </w:r>
      <w:r w:rsidR="00E003C2" w:rsidRPr="00E3331A">
        <w:t>l</w:t>
      </w:r>
      <w:r w:rsidR="00EB6B35" w:rsidRPr="00E3331A">
        <w:t>/site/hour</w:t>
      </w:r>
      <w:r w:rsidR="00E003C2" w:rsidRPr="00E3331A">
        <w:t xml:space="preserve"> </w:t>
      </w:r>
      <w:r w:rsidR="00B85C75">
        <w:rPr>
          <w:noProof/>
        </w:rPr>
        <w:t>(CSL Behring 2019)</w:t>
      </w:r>
      <w:r w:rsidR="00E003C2" w:rsidRPr="00E3331A">
        <w:t>.</w:t>
      </w:r>
      <w:r w:rsidR="00EB6B35" w:rsidRPr="00E3331A">
        <w:t xml:space="preserve"> </w:t>
      </w:r>
      <w:r w:rsidRPr="00E3331A">
        <w:t>Hizentra may be infused into multiple injection sites at least two inches apart</w:t>
      </w:r>
      <w:r w:rsidR="00E003C2" w:rsidRPr="00E3331A">
        <w:t>.</w:t>
      </w:r>
      <w:r w:rsidRPr="00E3331A">
        <w:t xml:space="preserve"> </w:t>
      </w:r>
      <w:r w:rsidR="00E003C2" w:rsidRPr="00E3331A">
        <w:t>U</w:t>
      </w:r>
      <w:r w:rsidRPr="00E3331A">
        <w:t xml:space="preserve">p to eight infusion sites in parallel may be used </w:t>
      </w:r>
      <w:r w:rsidR="00E003C2" w:rsidRPr="00E3331A">
        <w:t>with multiple</w:t>
      </w:r>
      <w:r w:rsidRPr="00E3331A">
        <w:t xml:space="preserve"> infusion device</w:t>
      </w:r>
      <w:r w:rsidR="00540242" w:rsidRPr="00E3331A">
        <w:t>s</w:t>
      </w:r>
      <w:r w:rsidRPr="00E3331A">
        <w:t xml:space="preserve"> </w:t>
      </w:r>
      <w:r w:rsidR="00540242" w:rsidRPr="00E3331A">
        <w:t xml:space="preserve">in </w:t>
      </w:r>
      <w:r w:rsidRPr="00E3331A">
        <w:t>use simultaneously</w:t>
      </w:r>
      <w:r w:rsidR="00540242" w:rsidRPr="00E3331A">
        <w:t xml:space="preserve"> </w:t>
      </w:r>
      <w:r w:rsidR="00B85C75">
        <w:rPr>
          <w:noProof/>
        </w:rPr>
        <w:t>(CSL Behring 2019)</w:t>
      </w:r>
      <w:r w:rsidR="00540242" w:rsidRPr="00E3331A">
        <w:t>.</w:t>
      </w:r>
      <w:r w:rsidRPr="00E3331A">
        <w:t xml:space="preserve"> </w:t>
      </w:r>
      <w:r w:rsidR="00540242" w:rsidRPr="00E3331A">
        <w:t xml:space="preserve">Tolerance by the patient is the only limit to </w:t>
      </w:r>
      <w:r w:rsidR="007941B2" w:rsidRPr="00E3331A">
        <w:t>t</w:t>
      </w:r>
      <w:r w:rsidR="006E4873" w:rsidRPr="00E3331A">
        <w:t xml:space="preserve">he volume infused per site </w:t>
      </w:r>
      <w:r w:rsidR="00346B1F" w:rsidRPr="00E3331A">
        <w:t xml:space="preserve">and </w:t>
      </w:r>
      <w:r w:rsidR="006E4873" w:rsidRPr="00E3331A">
        <w:t xml:space="preserve">the number of </w:t>
      </w:r>
      <w:r w:rsidR="00B74F01" w:rsidRPr="00E3331A">
        <w:t>injection</w:t>
      </w:r>
      <w:r w:rsidR="007941B2" w:rsidRPr="00E3331A">
        <w:t xml:space="preserve"> </w:t>
      </w:r>
      <w:r w:rsidR="006E4873" w:rsidRPr="00E3331A">
        <w:t>sites per infusion</w:t>
      </w:r>
      <w:r w:rsidR="00B74F01" w:rsidRPr="00E3331A">
        <w:t>.</w:t>
      </w:r>
      <w:r w:rsidR="006E4873" w:rsidRPr="00E3331A">
        <w:t xml:space="preserve"> </w:t>
      </w:r>
      <w:r w:rsidR="00B74F01" w:rsidRPr="00E3331A">
        <w:t xml:space="preserve">Thus, </w:t>
      </w:r>
      <w:r w:rsidR="006E4873" w:rsidRPr="00E3331A">
        <w:t xml:space="preserve">SCIg offers </w:t>
      </w:r>
      <w:r w:rsidR="00B74F01" w:rsidRPr="00E3331A">
        <w:t xml:space="preserve">patients </w:t>
      </w:r>
      <w:r w:rsidR="006E4873" w:rsidRPr="00E3331A">
        <w:t>flexibility in infusion administration</w:t>
      </w:r>
      <w:r w:rsidR="00B74F01" w:rsidRPr="00E3331A">
        <w:t>, with a greater</w:t>
      </w:r>
      <w:r w:rsidR="006E4873" w:rsidRPr="00E3331A">
        <w:t xml:space="preserve"> number of needles and sites </w:t>
      </w:r>
      <w:r w:rsidR="00B74F01" w:rsidRPr="00E3331A">
        <w:t>per</w:t>
      </w:r>
      <w:r w:rsidR="006E4873" w:rsidRPr="00E3331A">
        <w:t xml:space="preserve"> session and fewer infusions </w:t>
      </w:r>
      <w:r w:rsidR="00346B1F" w:rsidRPr="00E3331A">
        <w:t xml:space="preserve">per week, </w:t>
      </w:r>
      <w:r w:rsidR="006E4873" w:rsidRPr="00E3331A">
        <w:t>or</w:t>
      </w:r>
      <w:r w:rsidR="00B468DD" w:rsidRPr="00E3331A">
        <w:t xml:space="preserve"> </w:t>
      </w:r>
      <w:r w:rsidR="00B74F01" w:rsidRPr="00E3331A">
        <w:t>fewer injections</w:t>
      </w:r>
      <w:r w:rsidR="00B468DD" w:rsidRPr="00E3331A">
        <w:t xml:space="preserve"> per infusion </w:t>
      </w:r>
      <w:r w:rsidR="00346B1F" w:rsidRPr="00E3331A">
        <w:t>and a greater number of</w:t>
      </w:r>
      <w:r w:rsidR="006E4873" w:rsidRPr="00E3331A">
        <w:t xml:space="preserve"> infusion</w:t>
      </w:r>
      <w:r w:rsidR="00B74F01" w:rsidRPr="00E3331A">
        <w:t>s</w:t>
      </w:r>
      <w:r w:rsidR="006E4873" w:rsidRPr="00E3331A">
        <w:t xml:space="preserve"> </w:t>
      </w:r>
      <w:r w:rsidR="00346B1F" w:rsidRPr="00E3331A">
        <w:t>per</w:t>
      </w:r>
      <w:r w:rsidR="006E4873" w:rsidRPr="00E3331A">
        <w:t xml:space="preserve"> week to meet the target dose</w:t>
      </w:r>
      <w:r w:rsidR="00983BA7">
        <w:t xml:space="preserve"> </w:t>
      </w:r>
      <w:r w:rsidR="00B85C75">
        <w:rPr>
          <w:noProof/>
        </w:rPr>
        <w:t>(Berman 2019)</w:t>
      </w:r>
      <w:r w:rsidR="00983BA7">
        <w:t>.</w:t>
      </w:r>
      <w:r w:rsidR="00B468DD" w:rsidRPr="00E3331A">
        <w:t xml:space="preserve"> </w:t>
      </w:r>
    </w:p>
    <w:p w:rsidR="00316EEF" w:rsidRPr="00E3331A" w:rsidRDefault="00316EEF" w:rsidP="00DC49F4">
      <w:r w:rsidRPr="00E3331A">
        <w:t xml:space="preserve">Patients can only source SCIg from a </w:t>
      </w:r>
      <w:r w:rsidR="00B3122E" w:rsidRPr="00E3331A">
        <w:t xml:space="preserve">public or private </w:t>
      </w:r>
      <w:r w:rsidRPr="00E3331A">
        <w:t xml:space="preserve">hospital that has </w:t>
      </w:r>
      <w:r w:rsidR="00DC49F4" w:rsidRPr="00E3331A">
        <w:t>establish</w:t>
      </w:r>
      <w:r w:rsidRPr="00E3331A">
        <w:t>ed</w:t>
      </w:r>
      <w:r w:rsidR="00DC49F4" w:rsidRPr="00E3331A">
        <w:t xml:space="preserve"> its capability and capacity to manage a hospital</w:t>
      </w:r>
      <w:r w:rsidR="00D45BCF" w:rsidRPr="00E3331A">
        <w:t>-</w:t>
      </w:r>
      <w:r w:rsidR="00DC49F4" w:rsidRPr="00E3331A">
        <w:t xml:space="preserve">based SCIg program within the governing requirements outlined by the </w:t>
      </w:r>
      <w:r w:rsidR="00EE2429" w:rsidRPr="00E3331A">
        <w:t>NBA</w:t>
      </w:r>
      <w:r w:rsidR="00B3122E" w:rsidRPr="00E3331A">
        <w:t xml:space="preserve"> </w:t>
      </w:r>
      <w:r w:rsidR="00B85C75">
        <w:rPr>
          <w:noProof/>
        </w:rPr>
        <w:t>(NBA 2019a)</w:t>
      </w:r>
      <w:r w:rsidR="00B3122E" w:rsidRPr="00E3331A">
        <w:t>.</w:t>
      </w:r>
      <w:r w:rsidR="00DC49F4" w:rsidRPr="00E3331A">
        <w:t xml:space="preserve"> A list of hospitals currently participating in the National SCIg Program </w:t>
      </w:r>
      <w:r w:rsidR="00081443" w:rsidRPr="00E3331A">
        <w:t xml:space="preserve">(updated 4 March 2019) </w:t>
      </w:r>
      <w:r w:rsidR="00DC49F4" w:rsidRPr="00E3331A">
        <w:t xml:space="preserve">and their contact details are provided on the </w:t>
      </w:r>
      <w:r w:rsidR="00EE2429" w:rsidRPr="00E3331A">
        <w:t>NBA</w:t>
      </w:r>
      <w:r w:rsidR="00DC49F4" w:rsidRPr="00E3331A">
        <w:t xml:space="preserve"> website </w:t>
      </w:r>
      <w:r w:rsidR="00B85C75">
        <w:rPr>
          <w:noProof/>
        </w:rPr>
        <w:t>(NBA 2019a)</w:t>
      </w:r>
      <w:r w:rsidR="00B3122E" w:rsidRPr="00E3331A">
        <w:t>.</w:t>
      </w:r>
    </w:p>
    <w:p w:rsidR="00316EEF" w:rsidRPr="00E3331A" w:rsidRDefault="00316EEF" w:rsidP="00316EEF">
      <w:r w:rsidRPr="00E3331A">
        <w:lastRenderedPageBreak/>
        <w:t>Prior to us</w:t>
      </w:r>
      <w:r w:rsidR="002D2A70" w:rsidRPr="00E3331A">
        <w:t>ing</w:t>
      </w:r>
      <w:r w:rsidRPr="00E3331A">
        <w:t xml:space="preserve"> SCIg</w:t>
      </w:r>
      <w:r w:rsidR="002D2A70" w:rsidRPr="00E3331A">
        <w:t>,</w:t>
      </w:r>
      <w:r w:rsidRPr="00E3331A">
        <w:t xml:space="preserve"> patients must participate in a hospital-based education and training program to ensure safe and effective treatment delivery. A training program checklist produced by the Sunshine Coast Hospital and Health Service notes the following with respect to patient </w:t>
      </w:r>
      <w:r w:rsidR="002D2A70" w:rsidRPr="00E3331A">
        <w:t xml:space="preserve">SCIg </w:t>
      </w:r>
      <w:r w:rsidRPr="00E3331A">
        <w:t>training:</w:t>
      </w:r>
    </w:p>
    <w:p w:rsidR="00316EEF" w:rsidRPr="00E3331A" w:rsidRDefault="00852C42" w:rsidP="001F5B33">
      <w:pPr>
        <w:pStyle w:val="ColorfulList-Accent11"/>
        <w:numPr>
          <w:ilvl w:val="0"/>
          <w:numId w:val="22"/>
        </w:numPr>
      </w:pPr>
      <w:r w:rsidRPr="00E3331A">
        <w:t>T</w:t>
      </w:r>
      <w:r w:rsidR="00316EEF" w:rsidRPr="00E3331A">
        <w:t xml:space="preserve">raining is weekly for the first </w:t>
      </w:r>
      <w:r w:rsidRPr="00E3331A">
        <w:t>2-4</w:t>
      </w:r>
      <w:r w:rsidR="00316EEF" w:rsidRPr="00E3331A">
        <w:t xml:space="preserve"> weeks (until the patient is confident and competent)</w:t>
      </w:r>
      <w:r w:rsidRPr="00E3331A">
        <w:t>,</w:t>
      </w:r>
      <w:r w:rsidR="00316EEF" w:rsidRPr="00E3331A">
        <w:t xml:space="preserve"> with the first training day requiring a </w:t>
      </w:r>
      <w:r w:rsidRPr="00E3331A">
        <w:t>3</w:t>
      </w:r>
      <w:r w:rsidR="00316EEF" w:rsidRPr="00E3331A">
        <w:t>-hour booking</w:t>
      </w:r>
    </w:p>
    <w:p w:rsidR="00316EEF" w:rsidRPr="00E3331A" w:rsidRDefault="00316EEF" w:rsidP="001F5B33">
      <w:pPr>
        <w:pStyle w:val="ColorfulList-Accent11"/>
        <w:numPr>
          <w:ilvl w:val="0"/>
          <w:numId w:val="22"/>
        </w:numPr>
      </w:pPr>
      <w:r w:rsidRPr="00E3331A">
        <w:t xml:space="preserve">Subsequent training may require </w:t>
      </w:r>
      <w:r w:rsidR="00852C42" w:rsidRPr="00E3331A">
        <w:t>2</w:t>
      </w:r>
      <w:r w:rsidRPr="00E3331A">
        <w:t>-hour sessions</w:t>
      </w:r>
    </w:p>
    <w:p w:rsidR="00316EEF" w:rsidRPr="00E3331A" w:rsidRDefault="00316EEF" w:rsidP="001F5B33">
      <w:pPr>
        <w:pStyle w:val="ColorfulList-Accent11"/>
        <w:numPr>
          <w:ilvl w:val="0"/>
          <w:numId w:val="22"/>
        </w:numPr>
      </w:pPr>
      <w:r w:rsidRPr="00E3331A">
        <w:t xml:space="preserve">Once training is complete the patient must be booked monthly for 15 to 30 minutes </w:t>
      </w:r>
      <w:r w:rsidR="00852C42" w:rsidRPr="00E3331A">
        <w:t xml:space="preserve">at </w:t>
      </w:r>
      <w:r w:rsidRPr="00E3331A">
        <w:t>an appropriate SCIg Infusion Clinic for collection of Ig product and disposables, documentation of previous infusions</w:t>
      </w:r>
      <w:r w:rsidR="00852C42" w:rsidRPr="00E3331A">
        <w:t>,</w:t>
      </w:r>
      <w:r w:rsidRPr="00E3331A">
        <w:t xml:space="preserve"> and completion of a treatment record sheet</w:t>
      </w:r>
      <w:r w:rsidR="00852C42" w:rsidRPr="00E3331A">
        <w:t xml:space="preserve"> </w:t>
      </w:r>
      <w:r w:rsidR="00B85C75">
        <w:rPr>
          <w:noProof/>
        </w:rPr>
        <w:t>(DHHS Vic 2019)</w:t>
      </w:r>
      <w:r w:rsidR="00852C42" w:rsidRPr="00E3331A">
        <w:t>.</w:t>
      </w:r>
    </w:p>
    <w:p w:rsidR="001C42E3" w:rsidRPr="00E3331A" w:rsidRDefault="001C42E3" w:rsidP="003C40A7">
      <w:r w:rsidRPr="00E3331A">
        <w:t xml:space="preserve">According to the </w:t>
      </w:r>
      <w:r w:rsidR="00EE2429" w:rsidRPr="00E3331A">
        <w:t>NBA</w:t>
      </w:r>
      <w:r w:rsidR="00906C9A" w:rsidRPr="00E3331A">
        <w:t>,</w:t>
      </w:r>
      <w:r w:rsidRPr="00E3331A">
        <w:t xml:space="preserve"> the responsibilities of hospitals participating in national SCIg programs </w:t>
      </w:r>
      <w:r w:rsidR="00316EEF" w:rsidRPr="00E3331A">
        <w:t>include</w:t>
      </w:r>
      <w:r w:rsidR="003C40A7" w:rsidRPr="00E3331A">
        <w:t xml:space="preserve"> </w:t>
      </w:r>
      <w:r w:rsidR="00B85C75">
        <w:rPr>
          <w:noProof/>
        </w:rPr>
        <w:t>(NBA 2019a)</w:t>
      </w:r>
      <w:r w:rsidRPr="00E3331A">
        <w:t>:</w:t>
      </w:r>
    </w:p>
    <w:p w:rsidR="001C42E3" w:rsidRPr="00E3331A" w:rsidRDefault="00906C9A" w:rsidP="001F5B33">
      <w:pPr>
        <w:pStyle w:val="ColorfulList-Accent11"/>
        <w:numPr>
          <w:ilvl w:val="0"/>
          <w:numId w:val="21"/>
        </w:numPr>
      </w:pPr>
      <w:r w:rsidRPr="00E3331A">
        <w:t>E</w:t>
      </w:r>
      <w:r w:rsidR="001C42E3" w:rsidRPr="00E3331A">
        <w:t xml:space="preserve">ducation and training of staff and patients to ensure appropriate management and use of SCIg, including transport, storage, </w:t>
      </w:r>
      <w:r w:rsidRPr="00E3331A">
        <w:t xml:space="preserve">equipment </w:t>
      </w:r>
      <w:r w:rsidR="001C42E3" w:rsidRPr="00E3331A">
        <w:t>use and infusion techniques</w:t>
      </w:r>
    </w:p>
    <w:p w:rsidR="001C42E3" w:rsidRPr="00E3331A" w:rsidRDefault="00906C9A" w:rsidP="001F5B33">
      <w:pPr>
        <w:pStyle w:val="ColorfulList-Accent11"/>
        <w:numPr>
          <w:ilvl w:val="0"/>
          <w:numId w:val="21"/>
        </w:numPr>
      </w:pPr>
      <w:r w:rsidRPr="00E3331A">
        <w:t>O</w:t>
      </w:r>
      <w:r w:rsidR="001C42E3" w:rsidRPr="00E3331A">
        <w:t xml:space="preserve">ngoing clinical oversight and </w:t>
      </w:r>
      <w:r w:rsidRPr="00E3331A">
        <w:t xml:space="preserve">patient </w:t>
      </w:r>
      <w:r w:rsidR="001C42E3" w:rsidRPr="00E3331A">
        <w:t>support, including community nursing, hospital in the home</w:t>
      </w:r>
      <w:r w:rsidRPr="00E3331A">
        <w:t>,</w:t>
      </w:r>
      <w:r w:rsidR="001C42E3" w:rsidRPr="00E3331A">
        <w:t xml:space="preserve"> or contact</w:t>
      </w:r>
      <w:r w:rsidRPr="00E3331A">
        <w:t>s</w:t>
      </w:r>
      <w:r w:rsidR="001C42E3" w:rsidRPr="00E3331A">
        <w:t xml:space="preserve"> for both routine and emergency support as required</w:t>
      </w:r>
    </w:p>
    <w:p w:rsidR="001C42E3" w:rsidRPr="00E3331A" w:rsidRDefault="004F20EE" w:rsidP="001F5B33">
      <w:pPr>
        <w:pStyle w:val="ColorfulList-Accent11"/>
        <w:numPr>
          <w:ilvl w:val="0"/>
          <w:numId w:val="21"/>
        </w:numPr>
      </w:pPr>
      <w:r w:rsidRPr="00E3331A">
        <w:t>E</w:t>
      </w:r>
      <w:r w:rsidR="001C42E3" w:rsidRPr="00E3331A">
        <w:t>nsuring patients have access to all necessary equipment and consumables at no additional cost to the patient</w:t>
      </w:r>
    </w:p>
    <w:p w:rsidR="001C42E3" w:rsidRPr="00E3331A" w:rsidRDefault="00CE5096" w:rsidP="001F5B33">
      <w:pPr>
        <w:pStyle w:val="ColorfulList-Accent11"/>
        <w:numPr>
          <w:ilvl w:val="0"/>
          <w:numId w:val="21"/>
        </w:numPr>
      </w:pPr>
      <w:r w:rsidRPr="00E3331A">
        <w:t>R</w:t>
      </w:r>
      <w:r w:rsidR="001C42E3" w:rsidRPr="00E3331A">
        <w:t>egular reviews to assess clinical benefit at periods specified by the responsible clinician in line with</w:t>
      </w:r>
      <w:r w:rsidR="00E4406C" w:rsidRPr="00E3331A">
        <w:rPr>
          <w:i/>
        </w:rPr>
        <w:t xml:space="preserve"> </w:t>
      </w:r>
      <w:r w:rsidR="005E4F8B" w:rsidRPr="00E3331A">
        <w:t>Version 3 of</w:t>
      </w:r>
      <w:r w:rsidR="00E4406C" w:rsidRPr="00E3331A">
        <w:rPr>
          <w:i/>
        </w:rPr>
        <w:t xml:space="preserve"> ‘the Criteria’</w:t>
      </w:r>
      <w:r w:rsidR="001C42E3" w:rsidRPr="00E3331A">
        <w:t>, and;</w:t>
      </w:r>
    </w:p>
    <w:p w:rsidR="003C40A7" w:rsidRPr="00E3331A" w:rsidRDefault="00CE5096" w:rsidP="001455C3">
      <w:pPr>
        <w:pStyle w:val="ColorfulList-Accent11"/>
        <w:numPr>
          <w:ilvl w:val="0"/>
          <w:numId w:val="21"/>
        </w:numPr>
      </w:pPr>
      <w:r w:rsidRPr="00E3331A">
        <w:t>E</w:t>
      </w:r>
      <w:r w:rsidR="001C42E3" w:rsidRPr="00E3331A">
        <w:t>ncouraging patients to maintain a diary to record SCIg use and any adverse reactions</w:t>
      </w:r>
      <w:r w:rsidR="003C40A7" w:rsidRPr="00E3331A">
        <w:t>.</w:t>
      </w:r>
    </w:p>
    <w:p w:rsidR="000507B7" w:rsidRPr="00E3331A" w:rsidRDefault="00AA723D" w:rsidP="003C40A7">
      <w:r w:rsidRPr="00E3331A">
        <w:t>The Australasian Society of Clinical Immunology and Allergy note</w:t>
      </w:r>
      <w:r w:rsidR="00CE5096" w:rsidRPr="00E3331A">
        <w:t>s</w:t>
      </w:r>
      <w:r w:rsidRPr="00E3331A">
        <w:t xml:space="preserve"> that monitoring, advice and clinical assessment of patients on SCIg should be equivalent to current IVIg therapy standards of deliver</w:t>
      </w:r>
      <w:r w:rsidR="00DE1E9F" w:rsidRPr="00E3331A">
        <w:t>y</w:t>
      </w:r>
      <w:r w:rsidRPr="00E3331A">
        <w:t>, which necessitate</w:t>
      </w:r>
      <w:r w:rsidR="00CE5096" w:rsidRPr="00E3331A">
        <w:t>s</w:t>
      </w:r>
      <w:r w:rsidRPr="00E3331A">
        <w:t xml:space="preserve"> regular contact with care</w:t>
      </w:r>
      <w:r w:rsidR="00417823">
        <w:t>givers</w:t>
      </w:r>
      <w:r w:rsidRPr="00E3331A">
        <w:t xml:space="preserve"> in specialist teams</w:t>
      </w:r>
      <w:r w:rsidR="00CE5096" w:rsidRPr="00E3331A">
        <w:t xml:space="preserve"> </w:t>
      </w:r>
      <w:r w:rsidR="00B85C75">
        <w:rPr>
          <w:noProof/>
        </w:rPr>
        <w:t>(ASCIA 2018)</w:t>
      </w:r>
      <w:r w:rsidR="00CE5096" w:rsidRPr="00E3331A">
        <w:t>.</w:t>
      </w:r>
    </w:p>
    <w:p w:rsidR="00315AFA" w:rsidRPr="00E3331A" w:rsidRDefault="00315AFA" w:rsidP="002D645F">
      <w:pPr>
        <w:rPr>
          <w:b/>
        </w:rPr>
      </w:pPr>
      <w:r w:rsidRPr="00E3331A">
        <w:rPr>
          <w:b/>
        </w:rPr>
        <w:t>Steroids</w:t>
      </w:r>
    </w:p>
    <w:p w:rsidR="004251FA" w:rsidRPr="00E3331A" w:rsidRDefault="00ED6D18" w:rsidP="00ED6D18">
      <w:r w:rsidRPr="00E3331A">
        <w:t xml:space="preserve">Steroid treatment for CIDP can be </w:t>
      </w:r>
      <w:r w:rsidR="00CD3880" w:rsidRPr="00E3331A">
        <w:t>via</w:t>
      </w:r>
      <w:r w:rsidRPr="00E3331A">
        <w:t xml:space="preserve"> oral tablets or </w:t>
      </w:r>
      <w:r w:rsidR="00CD3880" w:rsidRPr="00E3331A">
        <w:t xml:space="preserve">IV </w:t>
      </w:r>
      <w:r w:rsidRPr="00E3331A">
        <w:t>infusion</w:t>
      </w:r>
      <w:r w:rsidR="000F357F" w:rsidRPr="00E3331A">
        <w:t>.</w:t>
      </w:r>
      <w:r w:rsidR="00345C95" w:rsidRPr="00E3331A">
        <w:t xml:space="preserve"> </w:t>
      </w:r>
      <w:r w:rsidR="000F357F" w:rsidRPr="00E3331A">
        <w:t>Dosing regimens include daily and alternate</w:t>
      </w:r>
      <w:r w:rsidR="00952AB7" w:rsidRPr="00E3331A">
        <w:t>-</w:t>
      </w:r>
      <w:r w:rsidR="000F357F" w:rsidRPr="00E3331A">
        <w:t xml:space="preserve">day oral prednisone, weekly pulse oral methylprednisolone and weekly or monthly pulse </w:t>
      </w:r>
      <w:r w:rsidR="00A2767B" w:rsidRPr="00E3331A">
        <w:t xml:space="preserve">IV </w:t>
      </w:r>
      <w:r w:rsidR="000F357F" w:rsidRPr="00E3331A">
        <w:t>methylprednisolone</w:t>
      </w:r>
      <w:r w:rsidR="00A2767B" w:rsidRPr="00E3331A">
        <w:t xml:space="preserve"> </w:t>
      </w:r>
      <w:r w:rsidR="00B85C75">
        <w:rPr>
          <w:noProof/>
        </w:rPr>
        <w:t>(Lewis 2019b)</w:t>
      </w:r>
      <w:r w:rsidR="00A2767B" w:rsidRPr="00E3331A">
        <w:t>.</w:t>
      </w:r>
      <w:r w:rsidRPr="00E3331A">
        <w:t xml:space="preserve"> </w:t>
      </w:r>
      <w:r w:rsidR="00685FEA" w:rsidRPr="00E3331A">
        <w:t xml:space="preserve">According to the literature, and the opinion of a </w:t>
      </w:r>
      <w:r w:rsidRPr="00E3331A">
        <w:t>clinical expert</w:t>
      </w:r>
      <w:r w:rsidR="00685FEA" w:rsidRPr="00E3331A">
        <w:t xml:space="preserve"> as reported in the PICO, </w:t>
      </w:r>
      <w:r w:rsidR="000F357F" w:rsidRPr="00E3331A">
        <w:t xml:space="preserve">there are </w:t>
      </w:r>
      <w:r w:rsidRPr="00E3331A">
        <w:t>no standard dosing regimen</w:t>
      </w:r>
      <w:r w:rsidR="000F357F" w:rsidRPr="00E3331A">
        <w:t>s</w:t>
      </w:r>
      <w:r w:rsidRPr="00E3331A">
        <w:t xml:space="preserve"> for steroid</w:t>
      </w:r>
      <w:r w:rsidR="005D29A5" w:rsidRPr="00E3331A">
        <w:t xml:space="preserve"> treatment of CIDP</w:t>
      </w:r>
      <w:r w:rsidR="004A7077" w:rsidRPr="00E3331A">
        <w:t xml:space="preserve"> </w:t>
      </w:r>
      <w:r w:rsidR="00B85C75">
        <w:rPr>
          <w:noProof/>
        </w:rPr>
        <w:t>(DoH 2019a; Lewis 2019b)</w:t>
      </w:r>
      <w:r w:rsidR="004A7077" w:rsidRPr="00E3331A">
        <w:t>.</w:t>
      </w:r>
      <w:r w:rsidR="00685FEA" w:rsidRPr="00E3331A">
        <w:t xml:space="preserve"> </w:t>
      </w:r>
      <w:r w:rsidR="001F5434" w:rsidRPr="00E3331A">
        <w:t>The decision as to which regimen to use and how fast to taper is</w:t>
      </w:r>
      <w:r w:rsidR="005D29A5" w:rsidRPr="00E3331A">
        <w:t xml:space="preserve"> </w:t>
      </w:r>
      <w:r w:rsidR="001F5434" w:rsidRPr="00E3331A">
        <w:t xml:space="preserve">based on a variety of factors including </w:t>
      </w:r>
      <w:r w:rsidR="005D29A5" w:rsidRPr="00E3331A">
        <w:t>the patient’s health and the severity and pattern of CIDP</w:t>
      </w:r>
      <w:r w:rsidR="004A7077" w:rsidRPr="00E3331A">
        <w:t xml:space="preserve"> </w:t>
      </w:r>
      <w:r w:rsidR="00B85C75">
        <w:rPr>
          <w:noProof/>
        </w:rPr>
        <w:t>(Lewis 2019b)</w:t>
      </w:r>
      <w:r w:rsidR="00130F53">
        <w:t>.</w:t>
      </w:r>
    </w:p>
    <w:p w:rsidR="00315AFA" w:rsidRPr="00E3331A" w:rsidRDefault="00FE42FE" w:rsidP="00ED6D18">
      <w:r w:rsidRPr="00E3331A">
        <w:t xml:space="preserve">Oral steroids </w:t>
      </w:r>
      <w:r w:rsidR="003E4683" w:rsidRPr="00E3331A">
        <w:t>can</w:t>
      </w:r>
      <w:r w:rsidRPr="00E3331A">
        <w:t xml:space="preserve"> be administered by the patient at home and can be </w:t>
      </w:r>
      <w:r w:rsidR="004A7077" w:rsidRPr="00E3331A">
        <w:t>obtained with a script at any</w:t>
      </w:r>
      <w:r w:rsidRPr="00E3331A">
        <w:t xml:space="preserve"> </w:t>
      </w:r>
      <w:r w:rsidR="004A7077" w:rsidRPr="00E3331A">
        <w:t>pharmacy.</w:t>
      </w:r>
      <w:r w:rsidRPr="00E3331A">
        <w:t xml:space="preserve"> </w:t>
      </w:r>
      <w:r w:rsidR="00685FEA" w:rsidRPr="00E3331A">
        <w:t>A</w:t>
      </w:r>
      <w:r w:rsidR="00ED6D18" w:rsidRPr="00E3331A">
        <w:t xml:space="preserve">n example of </w:t>
      </w:r>
      <w:r w:rsidR="00BF56F0" w:rsidRPr="00E3331A">
        <w:t xml:space="preserve">an oral (daily) </w:t>
      </w:r>
      <w:r w:rsidR="00ED6D18" w:rsidRPr="00E3331A">
        <w:t xml:space="preserve">steroid prescription </w:t>
      </w:r>
      <w:r w:rsidR="00BF56F0" w:rsidRPr="00E3331A">
        <w:t>for</w:t>
      </w:r>
      <w:r w:rsidR="00ED6D18" w:rsidRPr="00E3331A">
        <w:t xml:space="preserve"> CIDP in Australia</w:t>
      </w:r>
      <w:r w:rsidR="00685FEA" w:rsidRPr="00E3331A">
        <w:t xml:space="preserve">, as provided by </w:t>
      </w:r>
      <w:r w:rsidR="002971EA" w:rsidRPr="00E3331A">
        <w:t>a</w:t>
      </w:r>
      <w:r w:rsidR="00685FEA" w:rsidRPr="00E3331A">
        <w:t xml:space="preserve"> clinical expert to the PICO, is</w:t>
      </w:r>
      <w:r w:rsidR="00ED6D18" w:rsidRPr="00E3331A">
        <w:t xml:space="preserve"> </w:t>
      </w:r>
      <w:r w:rsidR="00BF56F0" w:rsidRPr="00E3331A">
        <w:t xml:space="preserve">an </w:t>
      </w:r>
      <w:r w:rsidR="00ED6D18" w:rsidRPr="00E3331A">
        <w:t>initial high dose (e.g</w:t>
      </w:r>
      <w:r w:rsidR="004A7077" w:rsidRPr="00E3331A">
        <w:t>.</w:t>
      </w:r>
      <w:r w:rsidR="00ED6D18" w:rsidRPr="00E3331A">
        <w:t xml:space="preserve"> prednisone at 40mg</w:t>
      </w:r>
      <w:r w:rsidR="004A7077" w:rsidRPr="00E3331A">
        <w:t>/</w:t>
      </w:r>
      <w:r w:rsidR="00ED6D18" w:rsidRPr="00E3331A">
        <w:t>day for two months) with a gradual reduction in dose until the minimum effective dose is reached.</w:t>
      </w:r>
      <w:r w:rsidR="004251FA" w:rsidRPr="00E3331A">
        <w:t xml:space="preserve"> </w:t>
      </w:r>
      <w:r w:rsidR="00BF56F0" w:rsidRPr="00E3331A">
        <w:t xml:space="preserve">A second example, </w:t>
      </w:r>
      <w:r w:rsidR="007B672D" w:rsidRPr="00E3331A">
        <w:lastRenderedPageBreak/>
        <w:t xml:space="preserve">provided by </w:t>
      </w:r>
      <w:r w:rsidR="00BF56F0" w:rsidRPr="00E3331A">
        <w:t>another</w:t>
      </w:r>
      <w:r w:rsidR="004251FA" w:rsidRPr="00E3331A">
        <w:t xml:space="preserve"> clinical expert</w:t>
      </w:r>
      <w:r w:rsidR="007B672D" w:rsidRPr="00E3331A">
        <w:t xml:space="preserve"> is</w:t>
      </w:r>
      <w:r w:rsidR="004251FA" w:rsidRPr="00E3331A">
        <w:t xml:space="preserve"> 1mg/kg/day </w:t>
      </w:r>
      <w:r w:rsidR="007B672D" w:rsidRPr="00E3331A">
        <w:t xml:space="preserve">of prednisolone </w:t>
      </w:r>
      <w:r w:rsidR="004251FA" w:rsidRPr="00E3331A">
        <w:t>(capped at 100mg) continue</w:t>
      </w:r>
      <w:r w:rsidR="00BF56F0" w:rsidRPr="00E3331A">
        <w:t>d</w:t>
      </w:r>
      <w:r w:rsidR="004251FA" w:rsidRPr="00E3331A">
        <w:t xml:space="preserve"> for </w:t>
      </w:r>
      <w:r w:rsidR="004A7077" w:rsidRPr="00E3331A">
        <w:t>1-3</w:t>
      </w:r>
      <w:r w:rsidR="004251FA" w:rsidRPr="00E3331A">
        <w:t xml:space="preserve"> months</w:t>
      </w:r>
      <w:r w:rsidR="004A7077" w:rsidRPr="00E3331A">
        <w:t>,</w:t>
      </w:r>
      <w:r w:rsidR="004251FA" w:rsidRPr="00E3331A">
        <w:t xml:space="preserve"> </w:t>
      </w:r>
      <w:r w:rsidR="00BF56F0" w:rsidRPr="00E3331A">
        <w:t>followed by</w:t>
      </w:r>
      <w:r w:rsidR="004251FA" w:rsidRPr="00E3331A">
        <w:t xml:space="preserve"> </w:t>
      </w:r>
      <w:r w:rsidR="004A7077" w:rsidRPr="00E3331A">
        <w:t xml:space="preserve">slow </w:t>
      </w:r>
      <w:r w:rsidR="004251FA" w:rsidRPr="00E3331A">
        <w:t>taper</w:t>
      </w:r>
      <w:r w:rsidR="00BF56F0" w:rsidRPr="00E3331A">
        <w:t>ing of</w:t>
      </w:r>
      <w:r w:rsidR="004251FA" w:rsidRPr="00E3331A">
        <w:t xml:space="preserve"> the dos</w:t>
      </w:r>
      <w:r w:rsidR="007B672D" w:rsidRPr="00E3331A">
        <w:t xml:space="preserve">e if </w:t>
      </w:r>
      <w:r w:rsidR="004A7077" w:rsidRPr="00E3331A">
        <w:t xml:space="preserve">the patient is </w:t>
      </w:r>
      <w:r w:rsidR="007B672D" w:rsidRPr="00E3331A">
        <w:t>stable (e.g. 5</w:t>
      </w:r>
      <w:r w:rsidR="004A7077" w:rsidRPr="00E3331A">
        <w:t>-</w:t>
      </w:r>
      <w:r w:rsidR="007B672D" w:rsidRPr="00E3331A">
        <w:t>10mg every 2</w:t>
      </w:r>
      <w:r w:rsidR="004A7077" w:rsidRPr="00E3331A">
        <w:t>-</w:t>
      </w:r>
      <w:r w:rsidR="007B672D" w:rsidRPr="00E3331A">
        <w:t>4 weeks).</w:t>
      </w:r>
      <w:r w:rsidR="004251FA" w:rsidRPr="00E3331A">
        <w:t xml:space="preserve"> </w:t>
      </w:r>
      <w:r w:rsidR="00BF56F0" w:rsidRPr="00E3331A">
        <w:t>The</w:t>
      </w:r>
      <w:r w:rsidR="004A7077" w:rsidRPr="00E3331A">
        <w:t>se</w:t>
      </w:r>
      <w:r w:rsidR="00BF56F0" w:rsidRPr="00E3331A">
        <w:t xml:space="preserve"> example</w:t>
      </w:r>
      <w:r w:rsidR="004A7077" w:rsidRPr="00E3331A">
        <w:t>s</w:t>
      </w:r>
      <w:r w:rsidR="007B672D" w:rsidRPr="00E3331A">
        <w:t xml:space="preserve"> </w:t>
      </w:r>
      <w:r w:rsidR="004A7077" w:rsidRPr="00E3331A">
        <w:t xml:space="preserve">are </w:t>
      </w:r>
      <w:r w:rsidR="007B672D" w:rsidRPr="00E3331A">
        <w:t>for a ‘typical’ patient</w:t>
      </w:r>
      <w:r w:rsidR="004A7077" w:rsidRPr="00E3331A">
        <w:t>,</w:t>
      </w:r>
      <w:r w:rsidR="007B672D" w:rsidRPr="00E3331A">
        <w:t xml:space="preserve"> and </w:t>
      </w:r>
      <w:r w:rsidR="004251FA" w:rsidRPr="00E3331A">
        <w:t xml:space="preserve">the </w:t>
      </w:r>
      <w:r w:rsidR="00BF56F0" w:rsidRPr="00E3331A">
        <w:t xml:space="preserve">initial </w:t>
      </w:r>
      <w:r w:rsidR="004251FA" w:rsidRPr="00E3331A">
        <w:t>dose</w:t>
      </w:r>
      <w:r w:rsidR="00BF56F0" w:rsidRPr="00E3331A">
        <w:t xml:space="preserve"> and the level to which it can be tapered </w:t>
      </w:r>
      <w:r w:rsidR="004251FA" w:rsidRPr="00E3331A">
        <w:t>is affected by patient characteristics, clinical response, side effects and early use of steroid</w:t>
      </w:r>
      <w:r w:rsidR="00D45BCF" w:rsidRPr="00E3331A">
        <w:t>-</w:t>
      </w:r>
      <w:r w:rsidR="004251FA" w:rsidRPr="00E3331A">
        <w:t xml:space="preserve">sparing agents. </w:t>
      </w:r>
    </w:p>
    <w:p w:rsidR="003D282F" w:rsidRPr="00E3331A" w:rsidRDefault="00FE42FE" w:rsidP="003D282F">
      <w:r w:rsidRPr="00E3331A">
        <w:t xml:space="preserve">Patients on </w:t>
      </w:r>
      <w:r w:rsidR="004A7077" w:rsidRPr="00E3331A">
        <w:t xml:space="preserve">IV </w:t>
      </w:r>
      <w:r w:rsidRPr="00E3331A">
        <w:t>steroids must travel to a hospital to receive treatment</w:t>
      </w:r>
      <w:r w:rsidR="004A7077" w:rsidRPr="00E3331A">
        <w:t>, even</w:t>
      </w:r>
      <w:r w:rsidRPr="00E3331A">
        <w:t xml:space="preserve"> </w:t>
      </w:r>
      <w:r w:rsidR="004A7077" w:rsidRPr="00E3331A">
        <w:t>a</w:t>
      </w:r>
      <w:r w:rsidRPr="00E3331A">
        <w:t xml:space="preserve"> small hospital</w:t>
      </w:r>
      <w:r w:rsidR="004A7077" w:rsidRPr="00E3331A">
        <w:t xml:space="preserve"> will </w:t>
      </w:r>
      <w:r w:rsidR="00B00D17" w:rsidRPr="00E3331A">
        <w:t xml:space="preserve">usually </w:t>
      </w:r>
      <w:r w:rsidR="004A7077" w:rsidRPr="00E3331A">
        <w:t xml:space="preserve">suffice </w:t>
      </w:r>
      <w:r w:rsidR="00B85C75">
        <w:rPr>
          <w:noProof/>
        </w:rPr>
        <w:t>(Expert Neurologist 2019)</w:t>
      </w:r>
      <w:r w:rsidR="004A7077" w:rsidRPr="00E3331A">
        <w:t>.</w:t>
      </w:r>
      <w:r w:rsidRPr="00E3331A">
        <w:t xml:space="preserve"> E</w:t>
      </w:r>
      <w:r w:rsidR="009418B7" w:rsidRPr="00E3331A">
        <w:t xml:space="preserve">ach </w:t>
      </w:r>
      <w:r w:rsidRPr="00E3331A">
        <w:t xml:space="preserve">steroid </w:t>
      </w:r>
      <w:r w:rsidR="009418B7" w:rsidRPr="00E3331A">
        <w:t>infusion</w:t>
      </w:r>
      <w:r w:rsidR="00076EEF" w:rsidRPr="00E3331A">
        <w:t>, which occurs through a needle in the arm or hand,</w:t>
      </w:r>
      <w:r w:rsidR="009418B7" w:rsidRPr="00E3331A">
        <w:t xml:space="preserve"> takes approximately </w:t>
      </w:r>
      <w:r w:rsidR="00631B3D" w:rsidRPr="00E3331A">
        <w:t xml:space="preserve">30 to </w:t>
      </w:r>
      <w:r w:rsidR="00076EEF" w:rsidRPr="00E3331A">
        <w:t>45</w:t>
      </w:r>
      <w:r w:rsidR="00631B3D" w:rsidRPr="00E3331A">
        <w:t xml:space="preserve"> minutes</w:t>
      </w:r>
      <w:r w:rsidR="00076EEF" w:rsidRPr="00E3331A">
        <w:t>.</w:t>
      </w:r>
      <w:r w:rsidR="00631B3D" w:rsidRPr="00E3331A">
        <w:t xml:space="preserve"> </w:t>
      </w:r>
      <w:r w:rsidR="00076EEF" w:rsidRPr="00E3331A">
        <w:t>P</w:t>
      </w:r>
      <w:r w:rsidR="00631B3D" w:rsidRPr="00E3331A">
        <w:t xml:space="preserve">atients </w:t>
      </w:r>
      <w:r w:rsidR="00076EEF" w:rsidRPr="00E3331A">
        <w:t xml:space="preserve">need to </w:t>
      </w:r>
      <w:r w:rsidR="00631B3D" w:rsidRPr="00E3331A">
        <w:t xml:space="preserve">be at the hospital for approximately one hour </w:t>
      </w:r>
      <w:r w:rsidR="00B00D17" w:rsidRPr="00E3331A">
        <w:t xml:space="preserve">to allow </w:t>
      </w:r>
      <w:r w:rsidR="00631B3D" w:rsidRPr="00E3331A">
        <w:t xml:space="preserve">blood tests to be taken prior to infusion </w:t>
      </w:r>
      <w:r w:rsidR="00B00D17" w:rsidRPr="00E3331A">
        <w:t xml:space="preserve">for </w:t>
      </w:r>
      <w:r w:rsidR="00631B3D" w:rsidRPr="00E3331A">
        <w:t>monitor</w:t>
      </w:r>
      <w:r w:rsidR="00B00D17" w:rsidRPr="00E3331A">
        <w:t>ing of</w:t>
      </w:r>
      <w:r w:rsidR="00631B3D" w:rsidRPr="00E3331A">
        <w:t xml:space="preserve"> blood count, sodium and potassium levels.</w:t>
      </w:r>
      <w:r w:rsidR="00345C95" w:rsidRPr="00E3331A">
        <w:t xml:space="preserve"> </w:t>
      </w:r>
      <w:r w:rsidR="00631B3D" w:rsidRPr="00E3331A">
        <w:t>The patient’s blood pressure and pulse will also be checked. Patients are able to return to normal activities</w:t>
      </w:r>
      <w:r w:rsidR="00B00D17" w:rsidRPr="00E3331A">
        <w:t>, including driving,</w:t>
      </w:r>
      <w:r w:rsidR="00631B3D" w:rsidRPr="00E3331A">
        <w:t xml:space="preserve"> after treatment</w:t>
      </w:r>
      <w:r w:rsidR="00B00D17" w:rsidRPr="00E3331A">
        <w:t xml:space="preserve"> </w:t>
      </w:r>
      <w:r w:rsidR="00B85C75">
        <w:rPr>
          <w:noProof/>
        </w:rPr>
        <w:t>(GWH NHS 2014; WebMD 2017)</w:t>
      </w:r>
      <w:r w:rsidR="00B00D17" w:rsidRPr="00E3331A">
        <w:t>.</w:t>
      </w:r>
      <w:r w:rsidR="00076EEF" w:rsidRPr="00E3331A">
        <w:t xml:space="preserve"> </w:t>
      </w:r>
      <w:r w:rsidR="004246EE" w:rsidRPr="00E3331A">
        <w:t>As stated above, no standardised dosing regimen</w:t>
      </w:r>
      <w:r w:rsidR="00B00D17" w:rsidRPr="00E3331A">
        <w:t>s</w:t>
      </w:r>
      <w:r w:rsidR="004246EE" w:rsidRPr="00E3331A">
        <w:t xml:space="preserve"> exist for </w:t>
      </w:r>
      <w:r w:rsidR="00B00D17" w:rsidRPr="00E3331A">
        <w:t xml:space="preserve">IV </w:t>
      </w:r>
      <w:r w:rsidR="004246EE" w:rsidRPr="00E3331A">
        <w:t xml:space="preserve">steroid treatment of CIDP. </w:t>
      </w:r>
      <w:r w:rsidR="00B00D17" w:rsidRPr="00E3331A">
        <w:t xml:space="preserve">In Australia, </w:t>
      </w:r>
      <w:r w:rsidR="000A4F95" w:rsidRPr="00E3331A">
        <w:t xml:space="preserve">oral prednisolone comprises the </w:t>
      </w:r>
      <w:r w:rsidRPr="00E3331A">
        <w:t xml:space="preserve">typical dosing regimen for </w:t>
      </w:r>
      <w:r w:rsidR="000A4F95" w:rsidRPr="00E3331A">
        <w:t xml:space="preserve">IV </w:t>
      </w:r>
      <w:r w:rsidRPr="00E3331A">
        <w:t xml:space="preserve">steroid treatment of CIDP </w:t>
      </w:r>
      <w:r w:rsidR="00B85C75">
        <w:rPr>
          <w:noProof/>
        </w:rPr>
        <w:t>(Expert Neurologist 2019)</w:t>
      </w:r>
      <w:r w:rsidR="000A4F95" w:rsidRPr="00E3331A">
        <w:t>.</w:t>
      </w:r>
      <w:r w:rsidR="003D282F" w:rsidRPr="00E3331A">
        <w:t xml:space="preserve"> </w:t>
      </w:r>
      <w:r w:rsidR="000A4F95" w:rsidRPr="00E3331A">
        <w:t xml:space="preserve">A </w:t>
      </w:r>
      <w:r w:rsidR="004246EE" w:rsidRPr="00E3331A">
        <w:t>study</w:t>
      </w:r>
      <w:r w:rsidR="000A4F95" w:rsidRPr="00E3331A">
        <w:t xml:space="preserve"> by</w:t>
      </w:r>
      <w:r w:rsidR="004246EE" w:rsidRPr="00E3331A">
        <w:t xml:space="preserve"> </w:t>
      </w:r>
      <w:r w:rsidR="002145C8" w:rsidRPr="00E3331A">
        <w:t>Lopate et a. (2005)</w:t>
      </w:r>
      <w:r w:rsidR="002145C8" w:rsidRPr="00E3331A">
        <w:rPr>
          <w:rStyle w:val="CommentReference"/>
        </w:rPr>
        <w:t xml:space="preserve"> </w:t>
      </w:r>
      <w:r w:rsidR="004246EE" w:rsidRPr="00E3331A">
        <w:t>reviewing the retrospective medical records of patients undergoing IV methylprednisolone as an initial and long-term maintenance therapy for patients with CI</w:t>
      </w:r>
      <w:r w:rsidR="0047657E" w:rsidRPr="00E3331A">
        <w:t>DP</w:t>
      </w:r>
      <w:r w:rsidR="004437C4" w:rsidRPr="00E3331A">
        <w:t>,</w:t>
      </w:r>
      <w:r w:rsidR="0047657E" w:rsidRPr="00E3331A">
        <w:t xml:space="preserve"> </w:t>
      </w:r>
      <w:r w:rsidR="009418B7" w:rsidRPr="00E3331A">
        <w:t>reported that the most typical regimen was an initial dose of 1000mg/day of methylprednisolone on each of 3</w:t>
      </w:r>
      <w:r w:rsidR="004437C4" w:rsidRPr="00E3331A">
        <w:t>-</w:t>
      </w:r>
      <w:r w:rsidR="009418B7" w:rsidRPr="00E3331A">
        <w:t xml:space="preserve">5 consecutive days, followed by 1000mg on day </w:t>
      </w:r>
      <w:r w:rsidR="004437C4" w:rsidRPr="00E3331A">
        <w:t>one</w:t>
      </w:r>
      <w:r w:rsidR="009418B7" w:rsidRPr="00E3331A">
        <w:t xml:space="preserve"> each week for the next month. Dosage was then tapered in frequency and </w:t>
      </w:r>
      <w:r w:rsidR="001F5434" w:rsidRPr="00E3331A">
        <w:t>amount</w:t>
      </w:r>
      <w:r w:rsidR="009418B7" w:rsidRPr="00E3331A">
        <w:t xml:space="preserve"> over a period of </w:t>
      </w:r>
      <w:r w:rsidR="004437C4" w:rsidRPr="00E3331A">
        <w:t xml:space="preserve">two </w:t>
      </w:r>
      <w:r w:rsidR="009418B7" w:rsidRPr="00E3331A">
        <w:t xml:space="preserve">months to </w:t>
      </w:r>
      <w:r w:rsidR="004437C4" w:rsidRPr="00E3331A">
        <w:t xml:space="preserve">two </w:t>
      </w:r>
      <w:r w:rsidR="009418B7" w:rsidRPr="00E3331A">
        <w:t xml:space="preserve">years </w:t>
      </w:r>
      <w:r w:rsidR="00B85C75">
        <w:rPr>
          <w:noProof/>
        </w:rPr>
        <w:t>(Lopate et al. 2005)</w:t>
      </w:r>
      <w:r w:rsidR="009418B7" w:rsidRPr="00E3331A">
        <w:t>.</w:t>
      </w:r>
      <w:r w:rsidR="00345C95" w:rsidRPr="00E3331A">
        <w:t xml:space="preserve"> </w:t>
      </w:r>
    </w:p>
    <w:p w:rsidR="0069386D" w:rsidRPr="00E3331A" w:rsidRDefault="000C296F" w:rsidP="002D645F">
      <w:r w:rsidRPr="00E3331A">
        <w:t>Regular tests are required to monitor patients</w:t>
      </w:r>
      <w:r w:rsidRPr="00E3331A" w:rsidDel="000C296F">
        <w:t xml:space="preserve"> </w:t>
      </w:r>
      <w:r w:rsidR="00FF75B1" w:rsidRPr="00E3331A">
        <w:t>because of</w:t>
      </w:r>
      <w:r w:rsidR="00F146C3" w:rsidRPr="00E3331A">
        <w:t xml:space="preserve"> the potential adverse effects </w:t>
      </w:r>
      <w:r w:rsidR="00FF75B1" w:rsidRPr="00E3331A">
        <w:t xml:space="preserve">that </w:t>
      </w:r>
      <w:r w:rsidR="00F146C3" w:rsidRPr="00E3331A">
        <w:t>corticosteroids can have on multiple organs</w:t>
      </w:r>
      <w:r w:rsidR="00FF75B1" w:rsidRPr="00E3331A">
        <w:t xml:space="preserve"> </w:t>
      </w:r>
      <w:r w:rsidR="00B85C75">
        <w:rPr>
          <w:noProof/>
        </w:rPr>
        <w:t>(Hsu and Katelaris 2009)</w:t>
      </w:r>
      <w:r w:rsidR="00FF75B1" w:rsidRPr="00E3331A">
        <w:t>.</w:t>
      </w:r>
      <w:r w:rsidR="00FE42FE" w:rsidRPr="00E3331A">
        <w:t xml:space="preserve"> </w:t>
      </w:r>
      <w:r w:rsidR="00FF75B1" w:rsidRPr="00E3331A">
        <w:t>O</w:t>
      </w:r>
      <w:r w:rsidR="002773E7" w:rsidRPr="00E3331A">
        <w:t>wing</w:t>
      </w:r>
      <w:r w:rsidR="00FE42FE" w:rsidRPr="00E3331A">
        <w:t xml:space="preserve"> to the potential side effects</w:t>
      </w:r>
      <w:r w:rsidR="00FF75B1" w:rsidRPr="00E3331A">
        <w:t>,</w:t>
      </w:r>
      <w:r w:rsidR="00FE42FE" w:rsidRPr="00E3331A">
        <w:t xml:space="preserve"> patients on steroids need to be monitored more closely than </w:t>
      </w:r>
      <w:r w:rsidR="00FF75B1" w:rsidRPr="00E3331A">
        <w:t xml:space="preserve">do </w:t>
      </w:r>
      <w:r w:rsidR="00FE42FE" w:rsidRPr="00E3331A">
        <w:t xml:space="preserve">patients on Ig. </w:t>
      </w:r>
      <w:r w:rsidR="00FF75B1" w:rsidRPr="00E3331A">
        <w:t>A</w:t>
      </w:r>
      <w:r w:rsidR="002773E7" w:rsidRPr="00E3331A">
        <w:t xml:space="preserve"> patient on long</w:t>
      </w:r>
      <w:r w:rsidR="00D45BCF" w:rsidRPr="00E3331A">
        <w:t>-</w:t>
      </w:r>
      <w:r w:rsidR="002773E7" w:rsidRPr="00E3331A">
        <w:t>term steroids need</w:t>
      </w:r>
      <w:r w:rsidR="001F5E47" w:rsidRPr="00E3331A">
        <w:t>s</w:t>
      </w:r>
      <w:r w:rsidR="002773E7" w:rsidRPr="00E3331A">
        <w:t xml:space="preserve"> regular (at least 6</w:t>
      </w:r>
      <w:r w:rsidR="001F5E47" w:rsidRPr="00E3331A">
        <w:t>-</w:t>
      </w:r>
      <w:r w:rsidR="002773E7" w:rsidRPr="00E3331A">
        <w:t>monthly) reviews for blood pressure, blood sugar, weight, skin integrity, infectious complications</w:t>
      </w:r>
      <w:r w:rsidR="001F5E47" w:rsidRPr="00E3331A">
        <w:t xml:space="preserve"> and</w:t>
      </w:r>
      <w:r w:rsidR="002773E7" w:rsidRPr="00E3331A">
        <w:t xml:space="preserve"> dental review etc. </w:t>
      </w:r>
      <w:r w:rsidR="001F5E47" w:rsidRPr="00E3331A">
        <w:t>I</w:t>
      </w:r>
      <w:r w:rsidR="002773E7" w:rsidRPr="00E3331A">
        <w:t>f the</w:t>
      </w:r>
      <w:r w:rsidR="001F5E47" w:rsidRPr="00E3331A">
        <w:t xml:space="preserve"> patient is</w:t>
      </w:r>
      <w:r w:rsidR="002773E7" w:rsidRPr="00E3331A">
        <w:t xml:space="preserve"> on steroid</w:t>
      </w:r>
      <w:r w:rsidR="00D45BCF" w:rsidRPr="00E3331A">
        <w:t>-</w:t>
      </w:r>
      <w:r w:rsidR="002773E7" w:rsidRPr="00E3331A">
        <w:t xml:space="preserve">sparing agents, </w:t>
      </w:r>
      <w:r w:rsidR="001F5E47" w:rsidRPr="00E3331A">
        <w:t>further</w:t>
      </w:r>
      <w:r w:rsidR="002773E7" w:rsidRPr="00E3331A">
        <w:t xml:space="preserve"> regular blood tests </w:t>
      </w:r>
      <w:r w:rsidR="001F5E47" w:rsidRPr="00E3331A">
        <w:t xml:space="preserve">are required </w:t>
      </w:r>
      <w:r w:rsidR="00B85C75">
        <w:rPr>
          <w:noProof/>
        </w:rPr>
        <w:t>(Expert Neurologist 2019)</w:t>
      </w:r>
      <w:r w:rsidR="001F5E47" w:rsidRPr="00E3331A">
        <w:t>.</w:t>
      </w:r>
      <w:r w:rsidR="002773E7" w:rsidRPr="00E3331A">
        <w:t xml:space="preserve"> </w:t>
      </w:r>
      <w:r w:rsidR="001F5E47" w:rsidRPr="00E3331A">
        <w:t>S</w:t>
      </w:r>
      <w:r w:rsidR="002773E7" w:rsidRPr="00E3331A">
        <w:t>pecific tests and suggest</w:t>
      </w:r>
      <w:r w:rsidR="00CD7CD5" w:rsidRPr="00E3331A">
        <w:t>ed</w:t>
      </w:r>
      <w:r w:rsidR="002773E7" w:rsidRPr="00E3331A">
        <w:t xml:space="preserve"> frequenc</w:t>
      </w:r>
      <w:r w:rsidR="001F5E47" w:rsidRPr="00E3331A">
        <w:t>ies are</w:t>
      </w:r>
      <w:r w:rsidR="002773E7" w:rsidRPr="00E3331A">
        <w:t xml:space="preserve"> reported in </w:t>
      </w:r>
      <w:r w:rsidR="006F35B9" w:rsidRPr="00E3331A">
        <w:t xml:space="preserve">Table </w:t>
      </w:r>
      <w:r w:rsidR="006F35B9">
        <w:rPr>
          <w:noProof/>
        </w:rPr>
        <w:t>15</w:t>
      </w:r>
      <w:r w:rsidR="00F146C3" w:rsidRPr="00E3331A">
        <w:t xml:space="preserve">. </w:t>
      </w:r>
      <w:r w:rsidR="001F5E47" w:rsidRPr="00E3331A">
        <w:t>I</w:t>
      </w:r>
      <w:r w:rsidR="00F146C3" w:rsidRPr="00E3331A">
        <w:t xml:space="preserve">t is </w:t>
      </w:r>
      <w:r w:rsidR="00CD7CD5" w:rsidRPr="00E3331A">
        <w:t xml:space="preserve">also </w:t>
      </w:r>
      <w:r w:rsidR="00F146C3" w:rsidRPr="00E3331A">
        <w:t xml:space="preserve">recommended that baseline bone mineral density should be measured if corticosteroid therapy </w:t>
      </w:r>
      <w:r w:rsidR="00CD7CD5" w:rsidRPr="00E3331A">
        <w:t>is</w:t>
      </w:r>
      <w:r w:rsidR="00F146C3" w:rsidRPr="00E3331A">
        <w:t xml:space="preserve"> required for more than three months</w:t>
      </w:r>
      <w:r w:rsidR="003E600A" w:rsidRPr="00E3331A">
        <w:t>,</w:t>
      </w:r>
      <w:r w:rsidR="00CD7CD5" w:rsidRPr="00E3331A">
        <w:t xml:space="preserve"> and that it should be checked every </w:t>
      </w:r>
      <w:r w:rsidR="009D4917" w:rsidRPr="00E3331A">
        <w:t>1-2</w:t>
      </w:r>
      <w:r w:rsidR="00CD7CD5" w:rsidRPr="00E3331A">
        <w:t xml:space="preserve"> years</w:t>
      </w:r>
      <w:r w:rsidR="00DC4C7F" w:rsidRPr="00E3331A">
        <w:t xml:space="preserve"> </w:t>
      </w:r>
      <w:r w:rsidR="00B85C75">
        <w:rPr>
          <w:noProof/>
        </w:rPr>
        <w:t>(Expert Neurologist 2019; Hsu and Katelaris 2009)</w:t>
      </w:r>
      <w:r w:rsidR="00741107" w:rsidRPr="00E3331A">
        <w:t>.</w:t>
      </w:r>
      <w:r w:rsidR="00CD7CD5" w:rsidRPr="00E3331A">
        <w:t xml:space="preserve"> </w:t>
      </w:r>
      <w:r w:rsidR="000E1036" w:rsidRPr="00E3331A">
        <w:t>B</w:t>
      </w:r>
      <w:r w:rsidR="00F146C3" w:rsidRPr="00E3331A">
        <w:t xml:space="preserve">one protective therapy should </w:t>
      </w:r>
      <w:r w:rsidR="000E1036" w:rsidRPr="00E3331A">
        <w:t xml:space="preserve">also </w:t>
      </w:r>
      <w:r w:rsidR="00F146C3" w:rsidRPr="00E3331A">
        <w:t>be commenced at the time of starting steroid therapy in high-risk individuals (e.g. those aged 65 years or over</w:t>
      </w:r>
      <w:r w:rsidR="00CD7CD5" w:rsidRPr="00E3331A">
        <w:t>,</w:t>
      </w:r>
      <w:r w:rsidR="00F146C3" w:rsidRPr="00E3331A">
        <w:t xml:space="preserve"> those with prior bone fragility</w:t>
      </w:r>
      <w:r w:rsidR="000E1036" w:rsidRPr="00E3331A">
        <w:t>,</w:t>
      </w:r>
      <w:r w:rsidR="00F146C3" w:rsidRPr="00E3331A">
        <w:t xml:space="preserve"> and o</w:t>
      </w:r>
      <w:r w:rsidR="0084087A" w:rsidRPr="00E3331A">
        <w:t>s</w:t>
      </w:r>
      <w:r w:rsidR="00F146C3" w:rsidRPr="00E3331A">
        <w:t>teop</w:t>
      </w:r>
      <w:r w:rsidR="0084087A" w:rsidRPr="00E3331A">
        <w:t>a</w:t>
      </w:r>
      <w:r w:rsidR="00F146C3" w:rsidRPr="00E3331A">
        <w:t>enic patients)</w:t>
      </w:r>
      <w:r w:rsidR="000E1036" w:rsidRPr="00E3331A">
        <w:t xml:space="preserve"> </w:t>
      </w:r>
      <w:r w:rsidR="00B85C75">
        <w:rPr>
          <w:noProof/>
        </w:rPr>
        <w:t>(Hsu and Katelaris 2009)</w:t>
      </w:r>
      <w:r w:rsidR="000E1036" w:rsidRPr="00E3331A">
        <w:t>.</w:t>
      </w:r>
      <w:r w:rsidR="00CD7CD5" w:rsidRPr="00E3331A">
        <w:t xml:space="preserve"> </w:t>
      </w:r>
      <w:r w:rsidR="000E1036" w:rsidRPr="00E3331A">
        <w:t>C</w:t>
      </w:r>
      <w:r w:rsidR="00CD7CD5" w:rsidRPr="00E3331A">
        <w:t xml:space="preserve">linical </w:t>
      </w:r>
      <w:r w:rsidR="000E1036" w:rsidRPr="00E3331A">
        <w:t xml:space="preserve">advice </w:t>
      </w:r>
      <w:r w:rsidR="00CD7CD5" w:rsidRPr="00E3331A">
        <w:t xml:space="preserve">also </w:t>
      </w:r>
      <w:r w:rsidR="000E1036" w:rsidRPr="00E3331A">
        <w:t xml:space="preserve">recommends </w:t>
      </w:r>
      <w:r w:rsidR="00CD7CD5" w:rsidRPr="00E3331A">
        <w:t>that</w:t>
      </w:r>
      <w:r w:rsidR="00345C95" w:rsidRPr="00E3331A">
        <w:t xml:space="preserve"> </w:t>
      </w:r>
      <w:r w:rsidR="00CD7CD5" w:rsidRPr="00E3331A">
        <w:t>proton pump inhibitor therapy (pantoprazole 40mg daily) should be given to patients on long-term steroids for prevention of gastric ulcers</w:t>
      </w:r>
      <w:r w:rsidR="000E1036" w:rsidRPr="00E3331A">
        <w:t>,</w:t>
      </w:r>
      <w:r w:rsidR="00CD7CD5" w:rsidRPr="00E3331A">
        <w:t xml:space="preserve"> and patients on &gt;20mg prednisolone for more than </w:t>
      </w:r>
      <w:r w:rsidR="000E1036" w:rsidRPr="00E3331A">
        <w:t>two</w:t>
      </w:r>
      <w:r w:rsidR="00CD7CD5" w:rsidRPr="00E3331A">
        <w:t xml:space="preserve"> weeks </w:t>
      </w:r>
      <w:r w:rsidR="00796A3B" w:rsidRPr="00E3331A">
        <w:t xml:space="preserve">should receive </w:t>
      </w:r>
      <w:r w:rsidR="00CD7CD5" w:rsidRPr="00E3331A">
        <w:t>additional management for prevention of infectious complications</w:t>
      </w:r>
      <w:r w:rsidR="006F4027" w:rsidRPr="00E3331A">
        <w:t>,</w:t>
      </w:r>
      <w:r w:rsidR="00A24819" w:rsidRPr="00E3331A">
        <w:t xml:space="preserve"> includ</w:t>
      </w:r>
      <w:r w:rsidR="006F4027" w:rsidRPr="00E3331A">
        <w:t>ing</w:t>
      </w:r>
      <w:r w:rsidR="00A24819" w:rsidRPr="00E3331A">
        <w:t xml:space="preserve"> testing for latent infection and treatment if detected</w:t>
      </w:r>
      <w:r w:rsidR="006F4027" w:rsidRPr="00E3331A">
        <w:t xml:space="preserve"> </w:t>
      </w:r>
      <w:r w:rsidR="00B85C75">
        <w:rPr>
          <w:noProof/>
        </w:rPr>
        <w:t>(Expert Neurologist 2019)</w:t>
      </w:r>
      <w:r w:rsidR="006F4027" w:rsidRPr="00E3331A">
        <w:t>.</w:t>
      </w:r>
      <w:r w:rsidR="00345C95" w:rsidRPr="00E3331A">
        <w:t xml:space="preserve"> </w:t>
      </w:r>
      <w:r w:rsidR="006F4027" w:rsidRPr="00E3331A">
        <w:t>P</w:t>
      </w:r>
      <w:r w:rsidR="00A24819" w:rsidRPr="00E3331A">
        <w:t xml:space="preserve">atients </w:t>
      </w:r>
      <w:r w:rsidR="006F4027" w:rsidRPr="00E3331A">
        <w:t xml:space="preserve">should also </w:t>
      </w:r>
      <w:r w:rsidR="00CD7CD5" w:rsidRPr="00E3331A">
        <w:t xml:space="preserve">be screened </w:t>
      </w:r>
      <w:r w:rsidR="006F4027" w:rsidRPr="00E3331A">
        <w:t xml:space="preserve">periodically </w:t>
      </w:r>
      <w:r w:rsidR="00CD7CD5" w:rsidRPr="00E3331A">
        <w:t>for diabetes</w:t>
      </w:r>
      <w:r w:rsidR="00930FDC" w:rsidRPr="00E3331A">
        <w:t>,</w:t>
      </w:r>
      <w:r w:rsidR="00CD7CD5" w:rsidRPr="00E3331A">
        <w:t xml:space="preserve"> owing </w:t>
      </w:r>
      <w:r w:rsidR="006F4027" w:rsidRPr="00E3331A">
        <w:t xml:space="preserve">to </w:t>
      </w:r>
      <w:r w:rsidR="00CD7CD5" w:rsidRPr="00E3331A">
        <w:t xml:space="preserve">the effect of steroids on blood glucose </w:t>
      </w:r>
      <w:r w:rsidR="00B85C75">
        <w:rPr>
          <w:noProof/>
        </w:rPr>
        <w:t>(Hsu and Katelaris 2009)</w:t>
      </w:r>
      <w:r w:rsidR="006F4027" w:rsidRPr="00E3331A">
        <w:t>.</w:t>
      </w:r>
    </w:p>
    <w:p w:rsidR="00F146C3" w:rsidRPr="00E3331A" w:rsidRDefault="00F146C3" w:rsidP="00F146C3">
      <w:pPr>
        <w:pStyle w:val="Caption"/>
      </w:pPr>
      <w:bookmarkStart w:id="166" w:name="_Ref8216333"/>
      <w:bookmarkStart w:id="167" w:name="_Toc24103321"/>
      <w:r w:rsidRPr="00E3331A">
        <w:lastRenderedPageBreak/>
        <w:t xml:space="preserve">Table </w:t>
      </w:r>
      <w:r w:rsidR="006F35B9">
        <w:rPr>
          <w:noProof/>
        </w:rPr>
        <w:t>15</w:t>
      </w:r>
      <w:bookmarkEnd w:id="166"/>
      <w:r w:rsidRPr="00E3331A">
        <w:t xml:space="preserve"> </w:t>
      </w:r>
      <w:r w:rsidRPr="00E3331A">
        <w:tab/>
        <w:t>Suggested frequency of monitoring during treatment with corticosteroids</w:t>
      </w:r>
      <w:bookmarkEnd w:id="16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993"/>
        <w:gridCol w:w="1417"/>
        <w:gridCol w:w="992"/>
        <w:gridCol w:w="1276"/>
        <w:gridCol w:w="1276"/>
      </w:tblGrid>
      <w:tr w:rsidR="00F146C3" w:rsidRPr="00E3331A" w:rsidTr="00DC4C7F">
        <w:tc>
          <w:tcPr>
            <w:tcW w:w="1134" w:type="dxa"/>
          </w:tcPr>
          <w:p w:rsidR="00F146C3" w:rsidRPr="00E3331A" w:rsidRDefault="00F146C3" w:rsidP="0084087A">
            <w:pPr>
              <w:pStyle w:val="Tabletext1"/>
              <w:keepNext/>
            </w:pPr>
            <w:bookmarkStart w:id="168" w:name="_Hlk8906020"/>
            <w:r w:rsidRPr="00E3331A">
              <w:rPr>
                <w:b/>
              </w:rPr>
              <w:t>Full blood count</w:t>
            </w:r>
          </w:p>
        </w:tc>
        <w:tc>
          <w:tcPr>
            <w:tcW w:w="1701" w:type="dxa"/>
          </w:tcPr>
          <w:p w:rsidR="00F146C3" w:rsidRPr="00E3331A" w:rsidRDefault="00F146C3" w:rsidP="0084087A">
            <w:pPr>
              <w:pStyle w:val="Tabletext1"/>
              <w:keepNext/>
            </w:pPr>
            <w:r w:rsidRPr="00E3331A">
              <w:rPr>
                <w:b/>
              </w:rPr>
              <w:t>Electrolytes, urea, creatinine</w:t>
            </w:r>
            <w:r w:rsidR="00DC4C7F" w:rsidRPr="00E3331A">
              <w:rPr>
                <w:b/>
              </w:rPr>
              <w:t xml:space="preserve">, </w:t>
            </w:r>
            <w:r w:rsidRPr="00E3331A">
              <w:rPr>
                <w:b/>
              </w:rPr>
              <w:t>fasting glucose liver function tests</w:t>
            </w:r>
          </w:p>
        </w:tc>
        <w:tc>
          <w:tcPr>
            <w:tcW w:w="993" w:type="dxa"/>
          </w:tcPr>
          <w:p w:rsidR="00F146C3" w:rsidRPr="00E3331A" w:rsidRDefault="00F146C3" w:rsidP="0084087A">
            <w:pPr>
              <w:pStyle w:val="Tabletext1"/>
              <w:keepNext/>
            </w:pPr>
            <w:r w:rsidRPr="00E3331A">
              <w:rPr>
                <w:b/>
              </w:rPr>
              <w:t>Liver function tests</w:t>
            </w:r>
          </w:p>
        </w:tc>
        <w:tc>
          <w:tcPr>
            <w:tcW w:w="1417" w:type="dxa"/>
          </w:tcPr>
          <w:p w:rsidR="00F146C3" w:rsidRPr="00E3331A" w:rsidRDefault="00F146C3" w:rsidP="0084087A">
            <w:pPr>
              <w:pStyle w:val="Tabletext1"/>
              <w:keepNext/>
            </w:pPr>
            <w:r w:rsidRPr="00E3331A">
              <w:rPr>
                <w:b/>
              </w:rPr>
              <w:t>Calcium magnesium phosphate</w:t>
            </w:r>
          </w:p>
        </w:tc>
        <w:tc>
          <w:tcPr>
            <w:tcW w:w="992" w:type="dxa"/>
          </w:tcPr>
          <w:p w:rsidR="00F146C3" w:rsidRPr="00E3331A" w:rsidRDefault="00F146C3" w:rsidP="0084087A">
            <w:pPr>
              <w:pStyle w:val="Tabletext1"/>
              <w:keepNext/>
            </w:pPr>
            <w:r w:rsidRPr="00E3331A">
              <w:rPr>
                <w:b/>
              </w:rPr>
              <w:t>Fasting lipids</w:t>
            </w:r>
          </w:p>
        </w:tc>
        <w:tc>
          <w:tcPr>
            <w:tcW w:w="1276" w:type="dxa"/>
          </w:tcPr>
          <w:p w:rsidR="00F146C3" w:rsidRPr="00E3331A" w:rsidRDefault="00F146C3" w:rsidP="0084087A">
            <w:pPr>
              <w:pStyle w:val="Tabletext1"/>
              <w:keepNext/>
            </w:pPr>
            <w:r w:rsidRPr="00E3331A">
              <w:rPr>
                <w:b/>
              </w:rPr>
              <w:t>Eye review</w:t>
            </w:r>
          </w:p>
        </w:tc>
        <w:tc>
          <w:tcPr>
            <w:tcW w:w="1276" w:type="dxa"/>
          </w:tcPr>
          <w:p w:rsidR="00F146C3" w:rsidRPr="00E3331A" w:rsidRDefault="00F146C3" w:rsidP="0084087A">
            <w:pPr>
              <w:pStyle w:val="Tabletext1"/>
              <w:keepNext/>
            </w:pPr>
            <w:r w:rsidRPr="00E3331A">
              <w:rPr>
                <w:b/>
              </w:rPr>
              <w:t>Urinalysis</w:t>
            </w:r>
          </w:p>
        </w:tc>
      </w:tr>
      <w:tr w:rsidR="00F146C3" w:rsidRPr="00E3331A" w:rsidTr="00DC4C7F">
        <w:tc>
          <w:tcPr>
            <w:tcW w:w="1134" w:type="dxa"/>
          </w:tcPr>
          <w:p w:rsidR="00F146C3" w:rsidRPr="00E3331A" w:rsidRDefault="00F146C3" w:rsidP="00D8196C">
            <w:pPr>
              <w:pStyle w:val="Tabletext1"/>
            </w:pPr>
            <w:r w:rsidRPr="00E3331A">
              <w:t>3 monthly</w:t>
            </w:r>
          </w:p>
        </w:tc>
        <w:tc>
          <w:tcPr>
            <w:tcW w:w="1701" w:type="dxa"/>
          </w:tcPr>
          <w:p w:rsidR="00F146C3" w:rsidRPr="00E3331A" w:rsidRDefault="00F146C3" w:rsidP="00D8196C">
            <w:pPr>
              <w:pStyle w:val="Tabletext1"/>
            </w:pPr>
            <w:r w:rsidRPr="00E3331A">
              <w:t>3 monthly</w:t>
            </w:r>
          </w:p>
        </w:tc>
        <w:tc>
          <w:tcPr>
            <w:tcW w:w="993" w:type="dxa"/>
          </w:tcPr>
          <w:p w:rsidR="00F146C3" w:rsidRPr="00E3331A" w:rsidRDefault="00F146C3" w:rsidP="00D8196C">
            <w:pPr>
              <w:pStyle w:val="Tabletext1"/>
            </w:pPr>
            <w:r w:rsidRPr="00E3331A">
              <w:t>3 monthly</w:t>
            </w:r>
          </w:p>
        </w:tc>
        <w:tc>
          <w:tcPr>
            <w:tcW w:w="1417" w:type="dxa"/>
          </w:tcPr>
          <w:p w:rsidR="00F146C3" w:rsidRPr="00E3331A" w:rsidRDefault="00F146C3" w:rsidP="00D8196C">
            <w:pPr>
              <w:pStyle w:val="Tabletext1"/>
            </w:pPr>
            <w:r w:rsidRPr="00E3331A">
              <w:t>NR</w:t>
            </w:r>
          </w:p>
        </w:tc>
        <w:tc>
          <w:tcPr>
            <w:tcW w:w="992" w:type="dxa"/>
          </w:tcPr>
          <w:p w:rsidR="00F146C3" w:rsidRPr="00E3331A" w:rsidRDefault="00F146C3" w:rsidP="00D8196C">
            <w:pPr>
              <w:pStyle w:val="Tabletext1"/>
            </w:pPr>
            <w:r w:rsidRPr="00E3331A">
              <w:t>6 monthly</w:t>
            </w:r>
          </w:p>
        </w:tc>
        <w:tc>
          <w:tcPr>
            <w:tcW w:w="1276" w:type="dxa"/>
          </w:tcPr>
          <w:p w:rsidR="00F146C3" w:rsidRPr="00E3331A" w:rsidRDefault="00F146C3" w:rsidP="00D8196C">
            <w:pPr>
              <w:pStyle w:val="Tabletext1"/>
            </w:pPr>
            <w:r w:rsidRPr="00E3331A">
              <w:t>If symptomatic</w:t>
            </w:r>
          </w:p>
        </w:tc>
        <w:tc>
          <w:tcPr>
            <w:tcW w:w="1276" w:type="dxa"/>
          </w:tcPr>
          <w:p w:rsidR="00F146C3" w:rsidRPr="00E3331A" w:rsidRDefault="00F146C3" w:rsidP="00D8196C">
            <w:pPr>
              <w:pStyle w:val="Tabletext1"/>
            </w:pPr>
            <w:r w:rsidRPr="00E3331A">
              <w:t>NR</w:t>
            </w:r>
          </w:p>
        </w:tc>
      </w:tr>
    </w:tbl>
    <w:bookmarkEnd w:id="168"/>
    <w:p w:rsidR="00DC4C7F" w:rsidRPr="00E3331A" w:rsidRDefault="00DC4C7F" w:rsidP="00DC4C7F">
      <w:pPr>
        <w:pStyle w:val="Tablenotes1"/>
      </w:pPr>
      <w:r w:rsidRPr="00E3331A">
        <w:t xml:space="preserve">Source: </w:t>
      </w:r>
      <w:r w:rsidR="00B85C75">
        <w:rPr>
          <w:noProof/>
        </w:rPr>
        <w:t>(Hsu and Katelaris 2009)</w:t>
      </w:r>
    </w:p>
    <w:p w:rsidR="00F146C3" w:rsidRPr="00E3331A" w:rsidRDefault="00F146C3" w:rsidP="00DC4C7F">
      <w:pPr>
        <w:pStyle w:val="Tablenotes1"/>
      </w:pPr>
      <w:r w:rsidRPr="00E3331A">
        <w:t xml:space="preserve">NR: </w:t>
      </w:r>
      <w:r w:rsidR="00AC077B" w:rsidRPr="00E3331A">
        <w:t>n</w:t>
      </w:r>
      <w:r w:rsidRPr="00E3331A">
        <w:t>ot routinely recommended</w:t>
      </w:r>
    </w:p>
    <w:p w:rsidR="002D645F" w:rsidRPr="00E3331A" w:rsidRDefault="00315AFA" w:rsidP="00DC4C7F">
      <w:pPr>
        <w:keepNext/>
        <w:rPr>
          <w:b/>
        </w:rPr>
      </w:pPr>
      <w:r w:rsidRPr="00E3331A">
        <w:rPr>
          <w:b/>
        </w:rPr>
        <w:t xml:space="preserve">Plasma </w:t>
      </w:r>
      <w:r w:rsidR="005767C6" w:rsidRPr="00E3331A">
        <w:rPr>
          <w:b/>
        </w:rPr>
        <w:t>e</w:t>
      </w:r>
      <w:r w:rsidRPr="00E3331A">
        <w:rPr>
          <w:b/>
        </w:rPr>
        <w:t>xchange</w:t>
      </w:r>
    </w:p>
    <w:p w:rsidR="00D80477" w:rsidRPr="00E3331A" w:rsidRDefault="00DB7A64" w:rsidP="002D645F">
      <w:r w:rsidRPr="00E3331A">
        <w:t>Patients undergoing p</w:t>
      </w:r>
      <w:r w:rsidR="002D56C9" w:rsidRPr="00E3331A">
        <w:t>lasma exchange</w:t>
      </w:r>
      <w:r w:rsidR="00E770D6" w:rsidRPr="00E3331A">
        <w:t xml:space="preserve"> </w:t>
      </w:r>
      <w:r w:rsidRPr="00E3331A">
        <w:t>must</w:t>
      </w:r>
      <w:r w:rsidR="00315AFA" w:rsidRPr="00E3331A">
        <w:t xml:space="preserve"> </w:t>
      </w:r>
      <w:r w:rsidRPr="00E3331A">
        <w:t xml:space="preserve">visit a hospital </w:t>
      </w:r>
      <w:r w:rsidR="000057AE" w:rsidRPr="00E3331A">
        <w:t>licensed and accredited</w:t>
      </w:r>
      <w:r w:rsidRPr="00E3331A">
        <w:t xml:space="preserve"> </w:t>
      </w:r>
      <w:r w:rsidR="000D6DB4" w:rsidRPr="00E3331A">
        <w:t xml:space="preserve">to </w:t>
      </w:r>
      <w:r w:rsidRPr="00E3331A">
        <w:t>perform</w:t>
      </w:r>
      <w:r w:rsidR="00504669" w:rsidRPr="00E3331A">
        <w:t xml:space="preserve"> </w:t>
      </w:r>
      <w:r w:rsidR="000057AE" w:rsidRPr="00E3331A">
        <w:t>apheresis</w:t>
      </w:r>
      <w:r w:rsidR="00504669" w:rsidRPr="00E3331A">
        <w:t xml:space="preserve">. </w:t>
      </w:r>
      <w:r w:rsidR="00AC077B" w:rsidRPr="00E3331A">
        <w:t>In</w:t>
      </w:r>
      <w:r w:rsidRPr="00E3331A">
        <w:t xml:space="preserve"> Australia</w:t>
      </w:r>
      <w:r w:rsidR="00AC077B" w:rsidRPr="00E3331A">
        <w:t>,</w:t>
      </w:r>
      <w:r w:rsidRPr="00E3331A">
        <w:t xml:space="preserve"> </w:t>
      </w:r>
      <w:r w:rsidR="00504669" w:rsidRPr="00E3331A">
        <w:t>plasma exchange</w:t>
      </w:r>
      <w:r w:rsidRPr="00E3331A">
        <w:t xml:space="preserve"> </w:t>
      </w:r>
      <w:r w:rsidR="005821EF" w:rsidRPr="00E3331A">
        <w:t xml:space="preserve">is only provided in major teaching hospitals </w:t>
      </w:r>
      <w:r w:rsidR="00AC077B" w:rsidRPr="00E3331A">
        <w:t xml:space="preserve">in </w:t>
      </w:r>
      <w:r w:rsidR="00504669" w:rsidRPr="00E3331A">
        <w:t xml:space="preserve">an </w:t>
      </w:r>
      <w:r w:rsidRPr="00E3331A">
        <w:t>outpatient, day stay or inpatient setting</w:t>
      </w:r>
      <w:r w:rsidR="00AC077B" w:rsidRPr="00E3331A">
        <w:t xml:space="preserve"> </w:t>
      </w:r>
      <w:r w:rsidR="00B85C75">
        <w:rPr>
          <w:noProof/>
        </w:rPr>
        <w:t>(DoH 2019a)</w:t>
      </w:r>
      <w:r w:rsidR="00AC077B" w:rsidRPr="00E3331A">
        <w:t>.</w:t>
      </w:r>
    </w:p>
    <w:p w:rsidR="003B1A86" w:rsidRPr="00E3331A" w:rsidRDefault="005852BF" w:rsidP="002D645F">
      <w:r w:rsidRPr="00E3331A">
        <w:t>L</w:t>
      </w:r>
      <w:r w:rsidR="00D80477" w:rsidRPr="00E3331A">
        <w:t>aboratory tests</w:t>
      </w:r>
      <w:r w:rsidRPr="00E3331A">
        <w:t xml:space="preserve"> to be conducted</w:t>
      </w:r>
      <w:r w:rsidR="00D80477" w:rsidRPr="00E3331A">
        <w:t xml:space="preserve"> </w:t>
      </w:r>
      <w:r w:rsidRPr="00E3331A">
        <w:t xml:space="preserve">prior to the first apheresis treatment </w:t>
      </w:r>
      <w:r w:rsidR="00D80477" w:rsidRPr="00E3331A">
        <w:t>includ</w:t>
      </w:r>
      <w:r w:rsidRPr="00E3331A">
        <w:t>e</w:t>
      </w:r>
      <w:r w:rsidR="00D80477" w:rsidRPr="00E3331A">
        <w:t xml:space="preserve"> a complete blood count</w:t>
      </w:r>
      <w:r w:rsidRPr="00E3331A">
        <w:t>,</w:t>
      </w:r>
      <w:r w:rsidR="00D80477" w:rsidRPr="00E3331A">
        <w:t xml:space="preserve"> electrolytes and creatinine</w:t>
      </w:r>
      <w:r w:rsidRPr="00E3331A">
        <w:t>,</w:t>
      </w:r>
      <w:r w:rsidR="00D80477" w:rsidRPr="00E3331A">
        <w:t xml:space="preserve"> calcium, magnesium, phosphate and albumin </w:t>
      </w:r>
      <w:r w:rsidR="00B85C75">
        <w:rPr>
          <w:noProof/>
        </w:rPr>
        <w:t>(Pavenski 2018)</w:t>
      </w:r>
      <w:r w:rsidRPr="00E3331A">
        <w:t>.</w:t>
      </w:r>
      <w:r w:rsidR="005821EF" w:rsidRPr="00E3331A">
        <w:t xml:space="preserve"> </w:t>
      </w:r>
      <w:r w:rsidR="00504669" w:rsidRPr="00E3331A">
        <w:t>At the hospital</w:t>
      </w:r>
      <w:r w:rsidRPr="00E3331A">
        <w:t>,</w:t>
      </w:r>
      <w:r w:rsidR="00504669" w:rsidRPr="00E3331A">
        <w:t xml:space="preserve"> the patient is</w:t>
      </w:r>
      <w:r w:rsidR="00DB7A64" w:rsidRPr="00E3331A">
        <w:t xml:space="preserve"> connected to a cell separator</w:t>
      </w:r>
      <w:r w:rsidRPr="00E3331A">
        <w:t xml:space="preserve"> via two large-bore needles inserted into the patient’s arms.</w:t>
      </w:r>
      <w:r w:rsidR="00DB7A64" w:rsidRPr="00E3331A">
        <w:t xml:space="preserve"> </w:t>
      </w:r>
      <w:r w:rsidR="005B6FD0" w:rsidRPr="00E3331A">
        <w:t xml:space="preserve">Whole blood is removed from one arm, </w:t>
      </w:r>
      <w:r w:rsidRPr="00E3331A">
        <w:t xml:space="preserve">blood cells are </w:t>
      </w:r>
      <w:r w:rsidR="005B6FD0" w:rsidRPr="00E3331A">
        <w:t xml:space="preserve">separated </w:t>
      </w:r>
      <w:r w:rsidRPr="00E3331A">
        <w:t xml:space="preserve">from the plasma </w:t>
      </w:r>
      <w:r w:rsidR="005B6FD0" w:rsidRPr="00E3331A">
        <w:t>in the cell separator, and the</w:t>
      </w:r>
      <w:r w:rsidR="00315AFA" w:rsidRPr="00E3331A">
        <w:t xml:space="preserve"> blood cells </w:t>
      </w:r>
      <w:r w:rsidRPr="00E3331A">
        <w:t xml:space="preserve">plus </w:t>
      </w:r>
      <w:r w:rsidR="00315AFA" w:rsidRPr="00E3331A">
        <w:t>albumin and saline</w:t>
      </w:r>
      <w:r w:rsidR="005B6FD0" w:rsidRPr="00E3331A">
        <w:t xml:space="preserve"> </w:t>
      </w:r>
      <w:r w:rsidRPr="00E3331A">
        <w:t xml:space="preserve">are </w:t>
      </w:r>
      <w:r w:rsidR="005B6FD0" w:rsidRPr="00E3331A">
        <w:t xml:space="preserve">returned to the patient via </w:t>
      </w:r>
      <w:r w:rsidRPr="00E3331A">
        <w:t xml:space="preserve">a </w:t>
      </w:r>
      <w:r w:rsidR="005B6FD0" w:rsidRPr="00E3331A">
        <w:t>needle in the other arm</w:t>
      </w:r>
      <w:r w:rsidR="00315AFA" w:rsidRPr="00E3331A">
        <w:t xml:space="preserve">. </w:t>
      </w:r>
      <w:r w:rsidRPr="00E3331A">
        <w:t>P</w:t>
      </w:r>
      <w:r w:rsidR="00315AFA" w:rsidRPr="00E3331A">
        <w:t>atient</w:t>
      </w:r>
      <w:r w:rsidRPr="00E3331A">
        <w:t>s</w:t>
      </w:r>
      <w:r w:rsidR="00315AFA" w:rsidRPr="00E3331A">
        <w:t xml:space="preserve"> must </w:t>
      </w:r>
      <w:r w:rsidRPr="00E3331A">
        <w:t xml:space="preserve">endure </w:t>
      </w:r>
      <w:r w:rsidR="00315AFA" w:rsidRPr="00E3331A">
        <w:t>repeated needle insertions each time they undergo the procedure</w:t>
      </w:r>
      <w:r w:rsidRPr="00E3331A">
        <w:t>,</w:t>
      </w:r>
      <w:r w:rsidR="00315AFA" w:rsidRPr="00E3331A">
        <w:t xml:space="preserve"> </w:t>
      </w:r>
      <w:r w:rsidR="00192CC3" w:rsidRPr="00E3331A">
        <w:t>unless they have poor peripheral venous access</w:t>
      </w:r>
      <w:r w:rsidR="00315AFA" w:rsidRPr="00E3331A">
        <w:t xml:space="preserve"> for repeated insertions</w:t>
      </w:r>
      <w:r w:rsidRPr="00E3331A">
        <w:t>,</w:t>
      </w:r>
      <w:r w:rsidR="00315AFA" w:rsidRPr="00E3331A">
        <w:t xml:space="preserve"> in which case they will be required to have a double-lumen</w:t>
      </w:r>
      <w:r w:rsidR="00192CC3" w:rsidRPr="00E3331A">
        <w:t>, central</w:t>
      </w:r>
      <w:r w:rsidR="00D45BCF" w:rsidRPr="00E3331A">
        <w:t xml:space="preserve"> </w:t>
      </w:r>
      <w:r w:rsidR="00192CC3" w:rsidRPr="00E3331A">
        <w:t>venous</w:t>
      </w:r>
      <w:r w:rsidR="00315AFA" w:rsidRPr="00E3331A">
        <w:t xml:space="preserve"> catheter placed</w:t>
      </w:r>
      <w:r w:rsidRPr="00E3331A">
        <w:t xml:space="preserve"> (</w:t>
      </w:r>
      <w:r w:rsidR="00315AFA" w:rsidRPr="00E3331A">
        <w:t xml:space="preserve">temporary catheter </w:t>
      </w:r>
      <w:r w:rsidRPr="00E3331A">
        <w:t>installed</w:t>
      </w:r>
      <w:r w:rsidR="00315AFA" w:rsidRPr="00E3331A">
        <w:t xml:space="preserve"> for a few weeks</w:t>
      </w:r>
      <w:r w:rsidRPr="00E3331A">
        <w:t>,</w:t>
      </w:r>
      <w:r w:rsidR="00315AFA" w:rsidRPr="00E3331A">
        <w:t xml:space="preserve"> or a permanent catheter</w:t>
      </w:r>
      <w:r w:rsidRPr="00E3331A">
        <w:t xml:space="preserve">) </w:t>
      </w:r>
      <w:r w:rsidR="00B85C75">
        <w:rPr>
          <w:noProof/>
        </w:rPr>
        <w:t>(Lewis 2018)</w:t>
      </w:r>
      <w:r w:rsidR="00130F53">
        <w:t>.</w:t>
      </w:r>
      <w:r w:rsidR="004130B7">
        <w:t xml:space="preserve"> </w:t>
      </w:r>
      <w:r w:rsidRPr="00E3331A">
        <w:t>P</w:t>
      </w:r>
      <w:r w:rsidR="00192CC3" w:rsidRPr="00E3331A">
        <w:t xml:space="preserve">lacement of a central venous catheter comes with associated risks including pneumothorax, catheter site infection and venous thrombosis. </w:t>
      </w:r>
    </w:p>
    <w:p w:rsidR="00902EF6" w:rsidRPr="00E3331A" w:rsidRDefault="00192CC3" w:rsidP="005821EF">
      <w:r w:rsidRPr="00E3331A">
        <w:t xml:space="preserve">There are no specific guidelines outlining the frequency or schedule of treatment </w:t>
      </w:r>
      <w:r w:rsidR="008C1256" w:rsidRPr="00E3331A">
        <w:t xml:space="preserve">with plasma exchange for </w:t>
      </w:r>
      <w:r w:rsidRPr="00E3331A">
        <w:t>CIDP patients</w:t>
      </w:r>
      <w:r w:rsidR="008C1256" w:rsidRPr="00E3331A">
        <w:t xml:space="preserve"> </w:t>
      </w:r>
      <w:r w:rsidR="00B85C75">
        <w:rPr>
          <w:noProof/>
        </w:rPr>
        <w:t>(Gorson 2012)</w:t>
      </w:r>
      <w:r w:rsidR="008C1256" w:rsidRPr="00E3331A">
        <w:t>.</w:t>
      </w:r>
      <w:r w:rsidRPr="00E3331A">
        <w:t xml:space="preserve"> E</w:t>
      </w:r>
      <w:r w:rsidR="003B1A86" w:rsidRPr="00E3331A">
        <w:t xml:space="preserve">xpert opinion provided to the PICO noted </w:t>
      </w:r>
      <w:r w:rsidR="008C1256" w:rsidRPr="00E3331A">
        <w:t xml:space="preserve">that </w:t>
      </w:r>
      <w:r w:rsidR="003B1A86" w:rsidRPr="00E3331A">
        <w:t>five exchanges over 7</w:t>
      </w:r>
      <w:r w:rsidR="008C1256" w:rsidRPr="00E3331A">
        <w:t>-</w:t>
      </w:r>
      <w:r w:rsidR="003B1A86" w:rsidRPr="00E3331A">
        <w:t xml:space="preserve">11 days would be the most common approach. This is similar to </w:t>
      </w:r>
      <w:r w:rsidR="008C1256" w:rsidRPr="00E3331A">
        <w:t>t</w:t>
      </w:r>
      <w:r w:rsidR="003B1A86" w:rsidRPr="00E3331A">
        <w:t>hat reported by the Guillain</w:t>
      </w:r>
      <w:r w:rsidR="000C0E99">
        <w:t>-</w:t>
      </w:r>
      <w:r w:rsidR="003B1A86" w:rsidRPr="00E3331A">
        <w:t xml:space="preserve">Barré Association of </w:t>
      </w:r>
      <w:r w:rsidR="008C1256" w:rsidRPr="00E3331A">
        <w:t>NSW,</w:t>
      </w:r>
      <w:r w:rsidR="003B1A86" w:rsidRPr="00E3331A">
        <w:t xml:space="preserve"> </w:t>
      </w:r>
      <w:r w:rsidR="008C1256" w:rsidRPr="00E3331A">
        <w:t xml:space="preserve">which </w:t>
      </w:r>
      <w:r w:rsidR="003B1A86" w:rsidRPr="00E3331A">
        <w:t>note</w:t>
      </w:r>
      <w:r w:rsidR="008C1256" w:rsidRPr="00E3331A">
        <w:t>s that</w:t>
      </w:r>
      <w:r w:rsidR="003B1A86" w:rsidRPr="00E3331A">
        <w:t xml:space="preserve"> plasma exchange for CIDP is usually repeated several times over about two weeks</w:t>
      </w:r>
      <w:r w:rsidR="00950346" w:rsidRPr="00E3331A">
        <w:t>,</w:t>
      </w:r>
      <w:r w:rsidR="003B1A86" w:rsidRPr="00E3331A">
        <w:t xml:space="preserve"> </w:t>
      </w:r>
      <w:r w:rsidR="00554B37" w:rsidRPr="00E3331A">
        <w:t xml:space="preserve">with </w:t>
      </w:r>
      <w:r w:rsidR="00950346" w:rsidRPr="00E3331A">
        <w:t>approximately 2-3</w:t>
      </w:r>
      <w:r w:rsidR="00554B37" w:rsidRPr="00E3331A">
        <w:t xml:space="preserve"> litres of plasma exchanged at each</w:t>
      </w:r>
      <w:r w:rsidR="003B1A86" w:rsidRPr="00E3331A">
        <w:t xml:space="preserve"> session</w:t>
      </w:r>
      <w:r w:rsidR="00950346" w:rsidRPr="00E3331A">
        <w:t xml:space="preserve"> </w:t>
      </w:r>
      <w:r w:rsidR="00B85C75">
        <w:rPr>
          <w:noProof/>
        </w:rPr>
        <w:t>(GBS NSW 2019)</w:t>
      </w:r>
      <w:r w:rsidR="00950346" w:rsidRPr="00E3331A">
        <w:t>.</w:t>
      </w:r>
      <w:r w:rsidR="003B1A86" w:rsidRPr="00E3331A">
        <w:t xml:space="preserve"> </w:t>
      </w:r>
      <w:r w:rsidR="00554B37" w:rsidRPr="00E3331A">
        <w:t xml:space="preserve">The American Society for Apheresis </w:t>
      </w:r>
      <w:r w:rsidR="00950346" w:rsidRPr="00E3331A">
        <w:t>g</w:t>
      </w:r>
      <w:r w:rsidR="00554B37" w:rsidRPr="00E3331A">
        <w:t>uidelines recommend 1</w:t>
      </w:r>
      <w:r w:rsidR="00950346" w:rsidRPr="00E3331A">
        <w:t>-</w:t>
      </w:r>
      <w:r w:rsidR="00554B37" w:rsidRPr="00E3331A">
        <w:t xml:space="preserve">1.5 total plasma volume exchanges </w:t>
      </w:r>
      <w:r w:rsidR="00950346" w:rsidRPr="00E3331A">
        <w:t>2-3</w:t>
      </w:r>
      <w:r w:rsidR="00554B37" w:rsidRPr="00E3331A">
        <w:t xml:space="preserve"> times per week until improvement</w:t>
      </w:r>
      <w:r w:rsidR="00950346" w:rsidRPr="00E3331A">
        <w:t xml:space="preserve"> </w:t>
      </w:r>
      <w:r w:rsidR="00B85C75">
        <w:rPr>
          <w:noProof/>
        </w:rPr>
        <w:t>(Schwartz et al. 2016)</w:t>
      </w:r>
      <w:r w:rsidR="00950346" w:rsidRPr="00E3331A">
        <w:t>.</w:t>
      </w:r>
      <w:r w:rsidR="00345C95" w:rsidRPr="00E3331A">
        <w:t xml:space="preserve"> </w:t>
      </w:r>
      <w:r w:rsidR="005D29A5" w:rsidRPr="00E3331A">
        <w:t>P</w:t>
      </w:r>
      <w:r w:rsidR="00554B37" w:rsidRPr="00E3331A">
        <w:t xml:space="preserve">lasma volume </w:t>
      </w:r>
      <w:r w:rsidR="005D29A5" w:rsidRPr="00E3331A">
        <w:t xml:space="preserve">is </w:t>
      </w:r>
      <w:r w:rsidR="00554B37" w:rsidRPr="00E3331A">
        <w:t xml:space="preserve">calculated </w:t>
      </w:r>
      <w:r w:rsidR="00950346" w:rsidRPr="00E3331A">
        <w:t>using a standardised formula for</w:t>
      </w:r>
      <w:r w:rsidR="00554B37" w:rsidRPr="00E3331A">
        <w:t xml:space="preserve"> sex, height, weight and haematocrit</w:t>
      </w:r>
      <w:r w:rsidR="00950346" w:rsidRPr="00E3331A">
        <w:t xml:space="preserve"> </w:t>
      </w:r>
      <w:r w:rsidR="00B85C75">
        <w:rPr>
          <w:noProof/>
        </w:rPr>
        <w:t>(Pavenski 2018)</w:t>
      </w:r>
      <w:r w:rsidR="00950346" w:rsidRPr="00E3331A">
        <w:t>.</w:t>
      </w:r>
      <w:r w:rsidR="005D29A5" w:rsidRPr="00E3331A">
        <w:t xml:space="preserve"> </w:t>
      </w:r>
      <w:r w:rsidR="00950346" w:rsidRPr="00E3331A">
        <w:t>T</w:t>
      </w:r>
      <w:r w:rsidR="00720B97" w:rsidRPr="00E3331A">
        <w:t xml:space="preserve">he British Committee for Standards in Haematology </w:t>
      </w:r>
      <w:r w:rsidR="00950346" w:rsidRPr="00E3331A">
        <w:t>g</w:t>
      </w:r>
      <w:r w:rsidR="00720B97" w:rsidRPr="00E3331A">
        <w:t xml:space="preserve">uidelines also state that </w:t>
      </w:r>
      <w:r w:rsidR="00950346" w:rsidRPr="00E3331A">
        <w:t xml:space="preserve">the </w:t>
      </w:r>
      <w:r w:rsidR="00720B97" w:rsidRPr="00E3331A">
        <w:t>optimum treatment volume for each procedure is 100</w:t>
      </w:r>
      <w:r w:rsidR="00950346" w:rsidRPr="00E3331A">
        <w:t>-</w:t>
      </w:r>
      <w:r w:rsidR="00720B97" w:rsidRPr="00E3331A">
        <w:t>150</w:t>
      </w:r>
      <w:r w:rsidR="00950346" w:rsidRPr="00E3331A">
        <w:t>%</w:t>
      </w:r>
      <w:r w:rsidR="00720B97" w:rsidRPr="00E3331A">
        <w:t xml:space="preserve"> of the patient’s plasma volume. Th</w:t>
      </w:r>
      <w:r w:rsidR="00950346" w:rsidRPr="00E3331A">
        <w:t>is committee</w:t>
      </w:r>
      <w:r w:rsidR="00720B97" w:rsidRPr="00E3331A">
        <w:t xml:space="preserve"> further note</w:t>
      </w:r>
      <w:r w:rsidR="00950346" w:rsidRPr="00E3331A">
        <w:t>s</w:t>
      </w:r>
      <w:r w:rsidR="00720B97" w:rsidRPr="00E3331A">
        <w:t xml:space="preserve"> that to avoid excessive hypofibrinogenaemia whil</w:t>
      </w:r>
      <w:r w:rsidR="00591599" w:rsidRPr="00E3331A">
        <w:t>e</w:t>
      </w:r>
      <w:r w:rsidR="00720B97" w:rsidRPr="00E3331A">
        <w:t xml:space="preserve"> maximising removal of the target macromolecule, many centres initially perform a run of five exchanges at 100% plasma volume at daily or alternate-day intervals for the majority of indications</w:t>
      </w:r>
      <w:r w:rsidR="00E758B0" w:rsidRPr="00E3331A">
        <w:t xml:space="preserve"> </w:t>
      </w:r>
      <w:r w:rsidR="00B85C75">
        <w:rPr>
          <w:noProof/>
        </w:rPr>
        <w:t>(Howell et al. 2015)</w:t>
      </w:r>
      <w:r w:rsidR="00E758B0" w:rsidRPr="00E3331A">
        <w:t>.</w:t>
      </w:r>
      <w:r w:rsidR="00720B97" w:rsidRPr="00E3331A">
        <w:t xml:space="preserve"> For indications where maintenance</w:t>
      </w:r>
      <w:r w:rsidR="00345C95" w:rsidRPr="00E3331A">
        <w:t xml:space="preserve"> </w:t>
      </w:r>
      <w:r w:rsidR="00720B97" w:rsidRPr="00E3331A">
        <w:t>of plasma exchange is required the frequency of exchanges may vary from once every two weeks to once every six weeks, guided by symptoms</w:t>
      </w:r>
      <w:r w:rsidR="00E758B0" w:rsidRPr="00E3331A">
        <w:t xml:space="preserve"> </w:t>
      </w:r>
      <w:r w:rsidR="00B85C75">
        <w:rPr>
          <w:noProof/>
        </w:rPr>
        <w:t>(Howell et al. 2015)</w:t>
      </w:r>
      <w:r w:rsidR="00E758B0" w:rsidRPr="00E3331A">
        <w:t>.</w:t>
      </w:r>
    </w:p>
    <w:p w:rsidR="005821EF" w:rsidRPr="00E3331A" w:rsidRDefault="00314716" w:rsidP="005821EF">
      <w:r w:rsidRPr="00E3331A">
        <w:lastRenderedPageBreak/>
        <w:t xml:space="preserve">Each </w:t>
      </w:r>
      <w:r w:rsidR="00ED6D18" w:rsidRPr="00E3331A">
        <w:t xml:space="preserve">plasma exchange </w:t>
      </w:r>
      <w:r w:rsidRPr="00E3331A">
        <w:t xml:space="preserve">session </w:t>
      </w:r>
      <w:r w:rsidR="00215DBC" w:rsidRPr="00E3331A">
        <w:t>takes</w:t>
      </w:r>
      <w:r w:rsidRPr="00E3331A">
        <w:t xml:space="preserve"> around two hours</w:t>
      </w:r>
      <w:r w:rsidR="00787F5E" w:rsidRPr="00E3331A">
        <w:t>, depending on the amount of plasma exchanged</w:t>
      </w:r>
      <w:r w:rsidR="00215DBC" w:rsidRPr="00E3331A">
        <w:t xml:space="preserve"> </w:t>
      </w:r>
      <w:r w:rsidR="00B85C75">
        <w:rPr>
          <w:noProof/>
        </w:rPr>
        <w:t>(American Society for Apheresis 2019)</w:t>
      </w:r>
      <w:r w:rsidR="00215DBC" w:rsidRPr="00E3331A">
        <w:t>.</w:t>
      </w:r>
      <w:r w:rsidR="00787F5E" w:rsidRPr="00E3331A">
        <w:t xml:space="preserve"> It is recommended </w:t>
      </w:r>
      <w:r w:rsidR="00215DBC" w:rsidRPr="00E3331A">
        <w:t xml:space="preserve">that </w:t>
      </w:r>
      <w:r w:rsidR="00787F5E" w:rsidRPr="00E3331A">
        <w:t xml:space="preserve">patients do not drive after the procedure </w:t>
      </w:r>
      <w:r w:rsidR="00215DBC" w:rsidRPr="00E3331A">
        <w:t>n</w:t>
      </w:r>
      <w:r w:rsidR="00787F5E" w:rsidRPr="00E3331A">
        <w:t>or do any hard physical exercise for the re</w:t>
      </w:r>
      <w:r w:rsidR="00215DBC" w:rsidRPr="00E3331A">
        <w:t>mainder</w:t>
      </w:r>
      <w:r w:rsidR="00787F5E" w:rsidRPr="00E3331A">
        <w:t xml:space="preserve"> of the day</w:t>
      </w:r>
      <w:r w:rsidR="00215DBC" w:rsidRPr="00E3331A">
        <w:t>,</w:t>
      </w:r>
      <w:r w:rsidR="00787F5E" w:rsidRPr="00E3331A">
        <w:t xml:space="preserve"> as the procedure generally makes people feel tired</w:t>
      </w:r>
      <w:r w:rsidR="00215DBC" w:rsidRPr="00E3331A">
        <w:t xml:space="preserve"> </w:t>
      </w:r>
      <w:r w:rsidR="00B85C75">
        <w:rPr>
          <w:noProof/>
        </w:rPr>
        <w:t>(NHS 2014)</w:t>
      </w:r>
      <w:r w:rsidR="00215DBC" w:rsidRPr="00E3331A">
        <w:t xml:space="preserve">. </w:t>
      </w:r>
      <w:r w:rsidR="005821EF" w:rsidRPr="00E3331A">
        <w:t>Following plasma exchange, patient</w:t>
      </w:r>
      <w:r w:rsidR="00215DBC" w:rsidRPr="00E3331A">
        <w:t>s</w:t>
      </w:r>
      <w:r w:rsidR="005821EF" w:rsidRPr="00E3331A">
        <w:t xml:space="preserve"> </w:t>
      </w:r>
      <w:r w:rsidR="00215DBC" w:rsidRPr="00E3331A">
        <w:t xml:space="preserve">should </w:t>
      </w:r>
      <w:r w:rsidR="005821EF" w:rsidRPr="00E3331A">
        <w:t xml:space="preserve">be clinically </w:t>
      </w:r>
      <w:r w:rsidR="009D0338" w:rsidRPr="00E3331A">
        <w:t>assessed,</w:t>
      </w:r>
      <w:r w:rsidR="005821EF" w:rsidRPr="00E3331A">
        <w:t xml:space="preserve"> and post-treatment blood results reviewed. </w:t>
      </w:r>
      <w:r w:rsidR="00215DBC" w:rsidRPr="00E3331A">
        <w:t>F</w:t>
      </w:r>
      <w:r w:rsidR="005821EF" w:rsidRPr="00E3331A">
        <w:t xml:space="preserve">ibrinogen levels </w:t>
      </w:r>
      <w:r w:rsidR="00215DBC" w:rsidRPr="00E3331A">
        <w:t xml:space="preserve">should also be </w:t>
      </w:r>
      <w:r w:rsidR="005821EF" w:rsidRPr="00E3331A">
        <w:t>monitored</w:t>
      </w:r>
      <w:r w:rsidR="00215DBC" w:rsidRPr="00E3331A">
        <w:t xml:space="preserve"> </w:t>
      </w:r>
      <w:r w:rsidR="00B85C75">
        <w:rPr>
          <w:noProof/>
        </w:rPr>
        <w:t>(Howell et al. 2015)</w:t>
      </w:r>
      <w:r w:rsidR="00215DBC" w:rsidRPr="00E3331A">
        <w:t>.</w:t>
      </w:r>
    </w:p>
    <w:p w:rsidR="008D3233" w:rsidRPr="00E3331A" w:rsidRDefault="008D3233" w:rsidP="008D3233">
      <w:pPr>
        <w:rPr>
          <w:b/>
        </w:rPr>
      </w:pPr>
      <w:r w:rsidRPr="00E3331A">
        <w:rPr>
          <w:b/>
        </w:rPr>
        <w:t>Immunosuppressants and/or immunomodulatory drugs (other than steroids)</w:t>
      </w:r>
    </w:p>
    <w:p w:rsidR="00CF201D" w:rsidRPr="00E3331A" w:rsidRDefault="00F760F6" w:rsidP="002D645F">
      <w:r w:rsidRPr="00E3331A">
        <w:t>Immunosuppressants can be delivered in the form of table</w:t>
      </w:r>
      <w:r w:rsidR="00AC14C1" w:rsidRPr="00E3331A">
        <w:t>t</w:t>
      </w:r>
      <w:r w:rsidRPr="00E3331A">
        <w:t xml:space="preserve">s or </w:t>
      </w:r>
      <w:r w:rsidR="0078144B" w:rsidRPr="00E3331A">
        <w:t>intravenously</w:t>
      </w:r>
      <w:r w:rsidRPr="00E3331A">
        <w:t xml:space="preserve">. </w:t>
      </w:r>
      <w:r w:rsidR="00F57ED0" w:rsidRPr="00E3331A">
        <w:t>Cyclophosphamide and rituximab are used in aggressive, steroid-refractory cases</w:t>
      </w:r>
      <w:r w:rsidR="00482165" w:rsidRPr="00E3331A">
        <w:t xml:space="preserve"> </w:t>
      </w:r>
      <w:r w:rsidR="00B85C75">
        <w:rPr>
          <w:noProof/>
        </w:rPr>
        <w:t>(Expert Neurologist 2019)</w:t>
      </w:r>
      <w:r w:rsidR="00482165" w:rsidRPr="00E3331A">
        <w:t xml:space="preserve">. </w:t>
      </w:r>
      <w:r w:rsidR="00231320" w:rsidRPr="00E3331A">
        <w:t xml:space="preserve">A list of immunosuppressants relevant to this Assessment was provided in the Referral Form and </w:t>
      </w:r>
      <w:r w:rsidR="00482165" w:rsidRPr="00E3331A">
        <w:t xml:space="preserve">is here </w:t>
      </w:r>
      <w:r w:rsidR="00231320" w:rsidRPr="00E3331A">
        <w:t xml:space="preserve">described in </w:t>
      </w:r>
      <w:r w:rsidR="006F35B9" w:rsidRPr="00E3331A">
        <w:t xml:space="preserve">Table </w:t>
      </w:r>
      <w:r w:rsidR="006F35B9">
        <w:rPr>
          <w:noProof/>
        </w:rPr>
        <w:t>13</w:t>
      </w:r>
      <w:r w:rsidR="00231320" w:rsidRPr="00E3331A">
        <w:t xml:space="preserve"> (</w:t>
      </w:r>
      <w:r w:rsidR="005541CA" w:rsidRPr="00E3331A">
        <w:t>S</w:t>
      </w:r>
      <w:r w:rsidR="00231320" w:rsidRPr="00E3331A">
        <w:t xml:space="preserve">ection A.5.) </w:t>
      </w:r>
      <w:r w:rsidR="00482165" w:rsidRPr="00E3331A">
        <w:t>P</w:t>
      </w:r>
      <w:r w:rsidR="00231320" w:rsidRPr="00E3331A">
        <w:t xml:space="preserve">ossible dosage regimens </w:t>
      </w:r>
      <w:r w:rsidR="00C36C13" w:rsidRPr="00E3331A">
        <w:t>for some of the</w:t>
      </w:r>
      <w:r w:rsidR="00482165" w:rsidRPr="00E3331A">
        <w:t>se</w:t>
      </w:r>
      <w:r w:rsidR="00C36C13" w:rsidRPr="00E3331A">
        <w:t xml:space="preserve"> immunosuppressants </w:t>
      </w:r>
      <w:r w:rsidR="00482165" w:rsidRPr="00E3331A">
        <w:t>are</w:t>
      </w:r>
      <w:r w:rsidR="00231320" w:rsidRPr="00E3331A">
        <w:t xml:space="preserve"> provided in </w:t>
      </w:r>
      <w:r w:rsidR="006F35B9" w:rsidRPr="00E3331A">
        <w:t xml:space="preserve">Table </w:t>
      </w:r>
      <w:r w:rsidR="006F35B9">
        <w:rPr>
          <w:noProof/>
        </w:rPr>
        <w:t>16</w:t>
      </w:r>
      <w:r w:rsidR="00AC14C1" w:rsidRPr="00E3331A">
        <w:t>.</w:t>
      </w:r>
    </w:p>
    <w:p w:rsidR="0078144B" w:rsidRPr="00E3331A" w:rsidRDefault="0078144B" w:rsidP="0078144B">
      <w:pPr>
        <w:pStyle w:val="Caption"/>
        <w:ind w:left="1134" w:hanging="1134"/>
      </w:pPr>
      <w:bookmarkStart w:id="169" w:name="_Ref8212186"/>
      <w:bookmarkStart w:id="170" w:name="_Toc24103322"/>
      <w:r w:rsidRPr="00E3331A">
        <w:t xml:space="preserve">Table </w:t>
      </w:r>
      <w:r w:rsidR="006F35B9">
        <w:rPr>
          <w:noProof/>
        </w:rPr>
        <w:t>16</w:t>
      </w:r>
      <w:bookmarkEnd w:id="169"/>
      <w:r w:rsidRPr="00E3331A">
        <w:t xml:space="preserve"> </w:t>
      </w:r>
      <w:r w:rsidRPr="00E3331A">
        <w:tab/>
        <w:t>Recommended dosages for immunosuppressants used to treat CIDP</w:t>
      </w:r>
      <w:bookmarkEnd w:id="17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074"/>
        <w:gridCol w:w="6008"/>
      </w:tblGrid>
      <w:tr w:rsidR="00BD6DEF" w:rsidRPr="00E3331A" w:rsidTr="00BD6DEF">
        <w:trPr>
          <w:trHeight w:val="335"/>
        </w:trPr>
        <w:tc>
          <w:tcPr>
            <w:tcW w:w="1669" w:type="dxa"/>
          </w:tcPr>
          <w:p w:rsidR="00BD6DEF" w:rsidRPr="00E3331A" w:rsidRDefault="00BD6DEF" w:rsidP="00D8196C">
            <w:pPr>
              <w:pStyle w:val="Tabletext1"/>
              <w:rPr>
                <w:b/>
              </w:rPr>
            </w:pPr>
            <w:r w:rsidRPr="00E3331A">
              <w:rPr>
                <w:b/>
              </w:rPr>
              <w:t>Immunosuppressant</w:t>
            </w:r>
          </w:p>
        </w:tc>
        <w:tc>
          <w:tcPr>
            <w:tcW w:w="1025" w:type="dxa"/>
          </w:tcPr>
          <w:p w:rsidR="00BD6DEF" w:rsidRPr="00E3331A" w:rsidRDefault="00BD6DEF" w:rsidP="00D8196C">
            <w:pPr>
              <w:pStyle w:val="Tabletext1"/>
              <w:rPr>
                <w:b/>
              </w:rPr>
            </w:pPr>
            <w:r w:rsidRPr="00E3331A">
              <w:rPr>
                <w:b/>
              </w:rPr>
              <w:t>Form</w:t>
            </w:r>
          </w:p>
        </w:tc>
        <w:tc>
          <w:tcPr>
            <w:tcW w:w="6095" w:type="dxa"/>
          </w:tcPr>
          <w:p w:rsidR="00BD6DEF" w:rsidRPr="00E3331A" w:rsidRDefault="00BD6DEF" w:rsidP="00D8196C">
            <w:pPr>
              <w:pStyle w:val="Tabletext1"/>
              <w:rPr>
                <w:b/>
              </w:rPr>
            </w:pPr>
            <w:r w:rsidRPr="00E3331A">
              <w:rPr>
                <w:b/>
              </w:rPr>
              <w:t>Dosage</w:t>
            </w:r>
          </w:p>
        </w:tc>
      </w:tr>
      <w:tr w:rsidR="00BD6DEF" w:rsidRPr="00E3331A" w:rsidTr="00BD6DEF">
        <w:tc>
          <w:tcPr>
            <w:tcW w:w="1669" w:type="dxa"/>
            <w:vMerge w:val="restart"/>
          </w:tcPr>
          <w:p w:rsidR="00BD6DEF" w:rsidRPr="00E3331A" w:rsidRDefault="00BD6DEF" w:rsidP="00C36C13">
            <w:pPr>
              <w:pStyle w:val="Tabletext1"/>
            </w:pPr>
            <w:r w:rsidRPr="00E3331A">
              <w:t>Azathioprine</w:t>
            </w:r>
          </w:p>
        </w:tc>
        <w:tc>
          <w:tcPr>
            <w:tcW w:w="1025" w:type="dxa"/>
          </w:tcPr>
          <w:p w:rsidR="00BD6DEF" w:rsidRPr="00E3331A" w:rsidRDefault="00BD6DEF" w:rsidP="00C36C13">
            <w:pPr>
              <w:pStyle w:val="Tabletext1"/>
            </w:pPr>
            <w:r w:rsidRPr="00E3331A">
              <w:t>Oral</w:t>
            </w:r>
          </w:p>
        </w:tc>
        <w:tc>
          <w:tcPr>
            <w:tcW w:w="6095" w:type="dxa"/>
          </w:tcPr>
          <w:p w:rsidR="00BD6DEF" w:rsidRPr="00E3331A" w:rsidRDefault="00BD6DEF" w:rsidP="00C36C13">
            <w:pPr>
              <w:pStyle w:val="Tabletext1"/>
            </w:pPr>
            <w:r w:rsidRPr="00E3331A">
              <w:t xml:space="preserve">2.0 to 3.0mg/kg/day </w:t>
            </w:r>
          </w:p>
        </w:tc>
      </w:tr>
      <w:tr w:rsidR="00BD6DEF" w:rsidRPr="00E3331A" w:rsidTr="00BD6DEF">
        <w:tc>
          <w:tcPr>
            <w:tcW w:w="1669" w:type="dxa"/>
            <w:vMerge/>
          </w:tcPr>
          <w:p w:rsidR="00BD6DEF" w:rsidRPr="00E3331A" w:rsidRDefault="00BD6DEF" w:rsidP="00C36C13">
            <w:pPr>
              <w:pStyle w:val="Tabletext1"/>
            </w:pPr>
          </w:p>
        </w:tc>
        <w:tc>
          <w:tcPr>
            <w:tcW w:w="1025" w:type="dxa"/>
          </w:tcPr>
          <w:p w:rsidR="00BD6DEF" w:rsidRPr="00E3331A" w:rsidRDefault="00BD6DEF" w:rsidP="00C36C13">
            <w:pPr>
              <w:pStyle w:val="Tabletext1"/>
            </w:pPr>
            <w:r w:rsidRPr="00E3331A">
              <w:t>Oral</w:t>
            </w:r>
          </w:p>
        </w:tc>
        <w:tc>
          <w:tcPr>
            <w:tcW w:w="6095" w:type="dxa"/>
          </w:tcPr>
          <w:p w:rsidR="00BD6DEF" w:rsidRPr="00E3331A" w:rsidRDefault="00BD6DEF" w:rsidP="00C36C13">
            <w:pPr>
              <w:pStyle w:val="Tabletext1"/>
            </w:pPr>
            <w:r w:rsidRPr="00E3331A">
              <w:t>Started at 1 mg/kg/day and then titrated up to achieve a response (up to 2.5mg/kg/</w:t>
            </w:r>
            <w:r w:rsidR="000A1BD4">
              <w:t>day).</w:t>
            </w:r>
          </w:p>
        </w:tc>
      </w:tr>
      <w:tr w:rsidR="00BD6DEF" w:rsidRPr="00E3331A" w:rsidTr="00BD6DEF">
        <w:tc>
          <w:tcPr>
            <w:tcW w:w="1669" w:type="dxa"/>
          </w:tcPr>
          <w:p w:rsidR="00BD6DEF" w:rsidRPr="00E3331A" w:rsidRDefault="00BD6DEF" w:rsidP="00C36C13">
            <w:pPr>
              <w:pStyle w:val="Tabletext1"/>
            </w:pPr>
            <w:r w:rsidRPr="00E3331A">
              <w:t>Cyclosporine A</w:t>
            </w:r>
          </w:p>
        </w:tc>
        <w:tc>
          <w:tcPr>
            <w:tcW w:w="1025" w:type="dxa"/>
          </w:tcPr>
          <w:p w:rsidR="00BD6DEF" w:rsidRPr="00E3331A" w:rsidRDefault="00BD6DEF" w:rsidP="00C36C13">
            <w:pPr>
              <w:pStyle w:val="Tabletext1"/>
            </w:pPr>
            <w:r w:rsidRPr="00E3331A">
              <w:t>Oral</w:t>
            </w:r>
          </w:p>
        </w:tc>
        <w:tc>
          <w:tcPr>
            <w:tcW w:w="6095" w:type="dxa"/>
          </w:tcPr>
          <w:p w:rsidR="00BD6DEF" w:rsidRPr="00E3331A" w:rsidRDefault="00BD6DEF" w:rsidP="00BD6DEF">
            <w:pPr>
              <w:pStyle w:val="Tabletext1"/>
            </w:pPr>
            <w:r w:rsidRPr="00E3331A">
              <w:t xml:space="preserve">5.0mg/kg/day. Provided as </w:t>
            </w:r>
            <w:r w:rsidR="00591599" w:rsidRPr="00E3331A">
              <w:t>two</w:t>
            </w:r>
            <w:r w:rsidRPr="00E3331A">
              <w:t xml:space="preserve"> dosages, 12 hours apart. Dose adjustment is made following target blood levels. Once the patient has stabilised the dosage should be titrated to the lowest dose required to maintain improvement.</w:t>
            </w:r>
          </w:p>
        </w:tc>
      </w:tr>
      <w:tr w:rsidR="00BD6DEF" w:rsidRPr="00E3331A" w:rsidTr="00BD6DEF">
        <w:tc>
          <w:tcPr>
            <w:tcW w:w="1669" w:type="dxa"/>
            <w:vMerge w:val="restart"/>
          </w:tcPr>
          <w:p w:rsidR="00BD6DEF" w:rsidRPr="00E3331A" w:rsidRDefault="00BD6DEF" w:rsidP="00C36C13">
            <w:pPr>
              <w:pStyle w:val="Tabletext1"/>
            </w:pPr>
            <w:r w:rsidRPr="00E3331A">
              <w:t>Cyclophosphamide</w:t>
            </w:r>
          </w:p>
        </w:tc>
        <w:tc>
          <w:tcPr>
            <w:tcW w:w="1025" w:type="dxa"/>
          </w:tcPr>
          <w:p w:rsidR="00BD6DEF" w:rsidRPr="00E3331A" w:rsidRDefault="00BD6DEF" w:rsidP="00C36C13">
            <w:pPr>
              <w:pStyle w:val="Tabletext1"/>
            </w:pPr>
            <w:r w:rsidRPr="00E3331A">
              <w:t>Intravenous</w:t>
            </w:r>
          </w:p>
        </w:tc>
        <w:tc>
          <w:tcPr>
            <w:tcW w:w="6095" w:type="dxa"/>
          </w:tcPr>
          <w:p w:rsidR="00BD6DEF" w:rsidRPr="00E3331A" w:rsidRDefault="00BD6DEF" w:rsidP="00C36C13">
            <w:pPr>
              <w:pStyle w:val="Tabletext1"/>
            </w:pPr>
            <w:r w:rsidRPr="00E3331A">
              <w:t>1.0g/m</w:t>
            </w:r>
            <w:r w:rsidRPr="00E3331A">
              <w:rPr>
                <w:vertAlign w:val="superscript"/>
              </w:rPr>
              <w:t xml:space="preserve">2 </w:t>
            </w:r>
            <w:r w:rsidRPr="00E3331A">
              <w:t>administered monthly for 6 to 12 months</w:t>
            </w:r>
            <w:r w:rsidR="000A1BD4">
              <w:t>.</w:t>
            </w:r>
          </w:p>
        </w:tc>
      </w:tr>
      <w:tr w:rsidR="00BD6DEF" w:rsidRPr="00E3331A" w:rsidTr="00BD6DEF">
        <w:tc>
          <w:tcPr>
            <w:tcW w:w="1669" w:type="dxa"/>
            <w:vMerge/>
          </w:tcPr>
          <w:p w:rsidR="00BD6DEF" w:rsidRPr="00E3331A" w:rsidRDefault="00BD6DEF" w:rsidP="00C36C13">
            <w:pPr>
              <w:pStyle w:val="Tabletext1"/>
            </w:pPr>
          </w:p>
        </w:tc>
        <w:tc>
          <w:tcPr>
            <w:tcW w:w="1025" w:type="dxa"/>
          </w:tcPr>
          <w:p w:rsidR="00BD6DEF" w:rsidRPr="00E3331A" w:rsidRDefault="00BD6DEF" w:rsidP="00C36C13">
            <w:pPr>
              <w:pStyle w:val="Tabletext1"/>
            </w:pPr>
            <w:r w:rsidRPr="00E3331A">
              <w:t>Oral</w:t>
            </w:r>
          </w:p>
        </w:tc>
        <w:tc>
          <w:tcPr>
            <w:tcW w:w="6095" w:type="dxa"/>
          </w:tcPr>
          <w:p w:rsidR="00BD6DEF" w:rsidRPr="00E3331A" w:rsidRDefault="00BD6DEF" w:rsidP="00C36C13">
            <w:pPr>
              <w:pStyle w:val="Tabletext1"/>
            </w:pPr>
            <w:r w:rsidRPr="00E3331A">
              <w:t>2.0mg/kg/day</w:t>
            </w:r>
            <w:r w:rsidR="000A1BD4">
              <w:t>.</w:t>
            </w:r>
          </w:p>
        </w:tc>
      </w:tr>
      <w:tr w:rsidR="00BD6DEF" w:rsidRPr="00E3331A" w:rsidTr="00BD6DEF">
        <w:tc>
          <w:tcPr>
            <w:tcW w:w="1669" w:type="dxa"/>
            <w:vMerge w:val="restart"/>
          </w:tcPr>
          <w:p w:rsidR="00BD6DEF" w:rsidRPr="00E3331A" w:rsidRDefault="00BD6DEF" w:rsidP="00C36C13">
            <w:pPr>
              <w:pStyle w:val="Tabletext1"/>
            </w:pPr>
            <w:r w:rsidRPr="00E3331A">
              <w:t>Mycophenolate mofetil</w:t>
            </w:r>
          </w:p>
        </w:tc>
        <w:tc>
          <w:tcPr>
            <w:tcW w:w="1025" w:type="dxa"/>
          </w:tcPr>
          <w:p w:rsidR="00BD6DEF" w:rsidRPr="00E3331A" w:rsidRDefault="00BD6DEF" w:rsidP="00C36C13">
            <w:pPr>
              <w:pStyle w:val="Tabletext1"/>
            </w:pPr>
            <w:r w:rsidRPr="00E3331A">
              <w:t>Oral</w:t>
            </w:r>
          </w:p>
        </w:tc>
        <w:tc>
          <w:tcPr>
            <w:tcW w:w="6095" w:type="dxa"/>
          </w:tcPr>
          <w:p w:rsidR="00BD6DEF" w:rsidRPr="00E3331A" w:rsidRDefault="00BD6DEF" w:rsidP="00C36C13">
            <w:pPr>
              <w:pStyle w:val="Tabletext1"/>
            </w:pPr>
            <w:r w:rsidRPr="00E3331A">
              <w:t>1.0g twice per day</w:t>
            </w:r>
            <w:r w:rsidR="000A1BD4">
              <w:t>.</w:t>
            </w:r>
          </w:p>
        </w:tc>
      </w:tr>
      <w:tr w:rsidR="00BD6DEF" w:rsidRPr="00E3331A" w:rsidTr="00BD6DEF">
        <w:tc>
          <w:tcPr>
            <w:tcW w:w="1669" w:type="dxa"/>
            <w:vMerge/>
          </w:tcPr>
          <w:p w:rsidR="00BD6DEF" w:rsidRPr="00E3331A" w:rsidRDefault="00BD6DEF" w:rsidP="00C36C13">
            <w:pPr>
              <w:pStyle w:val="Tabletext1"/>
            </w:pPr>
          </w:p>
        </w:tc>
        <w:tc>
          <w:tcPr>
            <w:tcW w:w="1025" w:type="dxa"/>
          </w:tcPr>
          <w:p w:rsidR="00BD6DEF" w:rsidRPr="00E3331A" w:rsidRDefault="00BD6DEF" w:rsidP="00C36C13">
            <w:pPr>
              <w:pStyle w:val="Tabletext1"/>
            </w:pPr>
            <w:r w:rsidRPr="00E3331A">
              <w:t>Oral</w:t>
            </w:r>
          </w:p>
        </w:tc>
        <w:tc>
          <w:tcPr>
            <w:tcW w:w="6095" w:type="dxa"/>
          </w:tcPr>
          <w:p w:rsidR="00BD6DEF" w:rsidRPr="00E3331A" w:rsidRDefault="00BD6DEF" w:rsidP="00C36C13">
            <w:pPr>
              <w:pStyle w:val="Tabletext1"/>
            </w:pPr>
            <w:r w:rsidRPr="00E3331A">
              <w:t xml:space="preserve">500mg twice per day and titrated up to achieve a response (up to 1500mg twice per </w:t>
            </w:r>
            <w:r w:rsidR="000A1BD4">
              <w:t>day).</w:t>
            </w:r>
          </w:p>
        </w:tc>
      </w:tr>
    </w:tbl>
    <w:p w:rsidR="00AC14C1" w:rsidRPr="00E3331A" w:rsidRDefault="00945E0D" w:rsidP="00FA20E2">
      <w:pPr>
        <w:pStyle w:val="TableNotes2"/>
      </w:pPr>
      <w:r w:rsidRPr="00E3331A">
        <w:t>Source: as derived from the literature</w:t>
      </w:r>
      <w:r w:rsidR="00130F53">
        <w:t xml:space="preserve"> </w:t>
      </w:r>
      <w:r w:rsidR="00B85C75">
        <w:rPr>
          <w:noProof/>
        </w:rPr>
        <w:t>(Gorson 2012)</w:t>
      </w:r>
      <w:r w:rsidRPr="00E3331A">
        <w:t xml:space="preserve"> and from advice provided by a clinical expert</w:t>
      </w:r>
      <w:r w:rsidR="00FA20E2" w:rsidRPr="00E3331A">
        <w:t>.</w:t>
      </w:r>
    </w:p>
    <w:p w:rsidR="00A469AB" w:rsidRPr="00E3331A" w:rsidRDefault="000D1FEF" w:rsidP="002D645F">
      <w:r w:rsidRPr="00E3331A">
        <w:t xml:space="preserve">Owing to the </w:t>
      </w:r>
      <w:r w:rsidR="00337193" w:rsidRPr="00E3331A">
        <w:t>significant adverse effects and toxicity</w:t>
      </w:r>
      <w:r w:rsidRPr="00E3331A">
        <w:t xml:space="preserve"> of immunosuppressants</w:t>
      </w:r>
      <w:r w:rsidR="00CE3948" w:rsidRPr="00E3331A">
        <w:t xml:space="preserve">, patients need to be under constant surveillance </w:t>
      </w:r>
      <w:r w:rsidR="00337193" w:rsidRPr="00E3331A">
        <w:t>including undergoing various tests</w:t>
      </w:r>
      <w:r w:rsidR="008A3C4E" w:rsidRPr="00E3331A">
        <w:t>,</w:t>
      </w:r>
      <w:r w:rsidR="00337193" w:rsidRPr="00E3331A">
        <w:t xml:space="preserve"> </w:t>
      </w:r>
      <w:r w:rsidR="008A3C4E" w:rsidRPr="00E3331A">
        <w:t>necessitating</w:t>
      </w:r>
      <w:r w:rsidR="00CE3948" w:rsidRPr="00E3331A">
        <w:t xml:space="preserve"> a partnership between the specialist and a general practitioner</w:t>
      </w:r>
      <w:r w:rsidR="008A3C4E" w:rsidRPr="00E3331A">
        <w:t xml:space="preserve"> </w:t>
      </w:r>
      <w:r w:rsidR="00B85C75">
        <w:rPr>
          <w:noProof/>
        </w:rPr>
        <w:t>(Trevillian 2006)</w:t>
      </w:r>
      <w:r w:rsidR="008A3C4E" w:rsidRPr="00E3331A">
        <w:t>.</w:t>
      </w:r>
      <w:r w:rsidR="00CE3948" w:rsidRPr="00E3331A">
        <w:t xml:space="preserve"> </w:t>
      </w:r>
      <w:r w:rsidR="008A3C4E" w:rsidRPr="00E3331A">
        <w:t>P</w:t>
      </w:r>
      <w:r w:rsidR="00BD6DEF" w:rsidRPr="00E3331A">
        <w:t>atients on azathioprine require blood tests every week for two months, then every month thereafter</w:t>
      </w:r>
      <w:r w:rsidR="008A3C4E" w:rsidRPr="00E3331A">
        <w:t>.</w:t>
      </w:r>
      <w:r w:rsidR="003E4683" w:rsidRPr="00E3331A">
        <w:t xml:space="preserve"> </w:t>
      </w:r>
      <w:r w:rsidR="008A3C4E" w:rsidRPr="00E3331A">
        <w:t>T</w:t>
      </w:r>
      <w:r w:rsidR="00BD6DEF" w:rsidRPr="00E3331A">
        <w:t>hose on mycophenolate mofetil require blood test</w:t>
      </w:r>
      <w:r w:rsidR="003E4683" w:rsidRPr="00E3331A">
        <w:t>s</w:t>
      </w:r>
      <w:r w:rsidR="00BD6DEF" w:rsidRPr="00E3331A">
        <w:t xml:space="preserve"> week</w:t>
      </w:r>
      <w:r w:rsidR="008A3C4E" w:rsidRPr="00E3331A">
        <w:t>ly</w:t>
      </w:r>
      <w:r w:rsidR="00BD6DEF" w:rsidRPr="00E3331A">
        <w:t xml:space="preserve"> for one month, twice a month for two mo</w:t>
      </w:r>
      <w:r w:rsidR="003E4683" w:rsidRPr="00E3331A">
        <w:t xml:space="preserve">nths, </w:t>
      </w:r>
      <w:r w:rsidR="008A3C4E" w:rsidRPr="00E3331A">
        <w:t xml:space="preserve">and </w:t>
      </w:r>
      <w:r w:rsidR="003E4683" w:rsidRPr="00E3331A">
        <w:t xml:space="preserve">then every </w:t>
      </w:r>
      <w:r w:rsidR="00757ECB" w:rsidRPr="00E3331A">
        <w:t>1-3</w:t>
      </w:r>
      <w:r w:rsidR="003E4683" w:rsidRPr="00E3331A">
        <w:t xml:space="preserve"> months</w:t>
      </w:r>
      <w:r w:rsidR="008A3C4E" w:rsidRPr="00E3331A">
        <w:t xml:space="preserve"> </w:t>
      </w:r>
      <w:r w:rsidR="00B85C75">
        <w:rPr>
          <w:noProof/>
        </w:rPr>
        <w:t>(Expert Neurologist 2019)</w:t>
      </w:r>
      <w:r w:rsidR="008A3C4E" w:rsidRPr="00E3331A">
        <w:t>.</w:t>
      </w:r>
      <w:r w:rsidR="003E4683" w:rsidRPr="00E3331A">
        <w:t xml:space="preserve"> </w:t>
      </w:r>
      <w:r w:rsidR="00ED3B5C" w:rsidRPr="00E3331A">
        <w:t>T</w:t>
      </w:r>
      <w:r w:rsidR="007B6301" w:rsidRPr="00E3331A">
        <w:t xml:space="preserve">he </w:t>
      </w:r>
      <w:r w:rsidR="003E4683" w:rsidRPr="00E3331A">
        <w:t>specific test</w:t>
      </w:r>
      <w:r w:rsidR="00ED3B5C" w:rsidRPr="00E3331A">
        <w:t>s</w:t>
      </w:r>
      <w:r w:rsidR="007B6301" w:rsidRPr="00E3331A">
        <w:t xml:space="preserve"> </w:t>
      </w:r>
      <w:r w:rsidR="00ED3B5C" w:rsidRPr="00E3331A">
        <w:t xml:space="preserve">that </w:t>
      </w:r>
      <w:r w:rsidR="003E4683" w:rsidRPr="00E3331A">
        <w:t xml:space="preserve">patients should undergo when on different immunosuppressants, </w:t>
      </w:r>
      <w:r w:rsidR="007B6301" w:rsidRPr="00E3331A">
        <w:t xml:space="preserve">and </w:t>
      </w:r>
      <w:r w:rsidR="003E4683" w:rsidRPr="00E3331A">
        <w:t xml:space="preserve">their </w:t>
      </w:r>
      <w:r w:rsidR="007B6301" w:rsidRPr="00E3331A">
        <w:t>recommended frequency</w:t>
      </w:r>
      <w:r w:rsidR="003E4683" w:rsidRPr="00E3331A">
        <w:t>,</w:t>
      </w:r>
      <w:r w:rsidR="007B6301" w:rsidRPr="00E3331A">
        <w:t xml:space="preserve"> </w:t>
      </w:r>
      <w:r w:rsidR="00ED3B5C" w:rsidRPr="00E3331A">
        <w:t xml:space="preserve">are shown in </w:t>
      </w:r>
      <w:r w:rsidR="006F35B9" w:rsidRPr="00E3331A">
        <w:t xml:space="preserve">Table </w:t>
      </w:r>
      <w:r w:rsidR="006F35B9">
        <w:rPr>
          <w:noProof/>
        </w:rPr>
        <w:t>17</w:t>
      </w:r>
      <w:r w:rsidR="00256EC8" w:rsidRPr="00E3331A">
        <w:t xml:space="preserve">. </w:t>
      </w:r>
      <w:r w:rsidR="00ED3B5C" w:rsidRPr="00E3331A">
        <w:t>S</w:t>
      </w:r>
      <w:r w:rsidR="00337193" w:rsidRPr="00E3331A">
        <w:t>urveillance may need to continue long after the</w:t>
      </w:r>
      <w:r w:rsidR="003E4683" w:rsidRPr="00E3331A">
        <w:t xml:space="preserve"> </w:t>
      </w:r>
      <w:r w:rsidR="00256EC8" w:rsidRPr="00E3331A">
        <w:t xml:space="preserve">treatment with </w:t>
      </w:r>
      <w:r w:rsidR="003E4683" w:rsidRPr="00E3331A">
        <w:t>immunosuppressive</w:t>
      </w:r>
      <w:r w:rsidR="00337193" w:rsidRPr="00E3331A">
        <w:t xml:space="preserve"> drugs </w:t>
      </w:r>
      <w:r w:rsidR="00256EC8" w:rsidRPr="00E3331A">
        <w:t xml:space="preserve">has ceased </w:t>
      </w:r>
      <w:r w:rsidR="00B85C75">
        <w:rPr>
          <w:noProof/>
        </w:rPr>
        <w:t>(Hsu and Katelaris 2009)</w:t>
      </w:r>
      <w:r w:rsidR="00256EC8" w:rsidRPr="00E3331A">
        <w:t xml:space="preserve">. For patients receiving </w:t>
      </w:r>
      <w:r w:rsidR="00A625A1" w:rsidRPr="00E3331A">
        <w:t xml:space="preserve">cyclophosphamide, </w:t>
      </w:r>
      <w:r w:rsidR="00256EC8" w:rsidRPr="00E3331A">
        <w:t xml:space="preserve">for example, </w:t>
      </w:r>
      <w:r w:rsidR="00A625A1" w:rsidRPr="00E3331A">
        <w:t xml:space="preserve">it is necessary to monitor for haematuria and check urine cytology </w:t>
      </w:r>
      <w:r w:rsidR="00543140" w:rsidRPr="00E3331A">
        <w:t xml:space="preserve">every </w:t>
      </w:r>
      <w:r w:rsidR="00A625A1" w:rsidRPr="00E3331A">
        <w:t>6</w:t>
      </w:r>
      <w:r w:rsidR="00543140" w:rsidRPr="00E3331A">
        <w:t>-</w:t>
      </w:r>
      <w:r w:rsidR="00A625A1" w:rsidRPr="00E3331A">
        <w:t>12 month</w:t>
      </w:r>
      <w:r w:rsidR="00543140" w:rsidRPr="00E3331A">
        <w:t>s</w:t>
      </w:r>
      <w:r w:rsidR="00A625A1" w:rsidRPr="00E3331A">
        <w:t xml:space="preserve"> after discontinu</w:t>
      </w:r>
      <w:r w:rsidR="00744797" w:rsidRPr="00E3331A">
        <w:t>ation</w:t>
      </w:r>
      <w:r w:rsidR="00A625A1" w:rsidRPr="00E3331A">
        <w:t xml:space="preserve"> as bladder transitional cell carcinomas can develop up to 15 years after treatment</w:t>
      </w:r>
      <w:r w:rsidR="00744797" w:rsidRPr="00E3331A">
        <w:t xml:space="preserve"> has </w:t>
      </w:r>
      <w:r w:rsidR="00757ECB" w:rsidRPr="00E3331A">
        <w:t>stopped</w:t>
      </w:r>
      <w:r w:rsidR="00744797" w:rsidRPr="00E3331A">
        <w:t xml:space="preserve"> </w:t>
      </w:r>
      <w:r w:rsidR="00B85C75">
        <w:rPr>
          <w:noProof/>
        </w:rPr>
        <w:t>(Hsu and Katelaris 2009)</w:t>
      </w:r>
      <w:r w:rsidR="00744797" w:rsidRPr="00E3331A">
        <w:t>.</w:t>
      </w:r>
    </w:p>
    <w:p w:rsidR="009E6E08" w:rsidRPr="00E3331A" w:rsidRDefault="009E6E08" w:rsidP="009E6E08">
      <w:pPr>
        <w:pStyle w:val="Caption"/>
        <w:ind w:left="1134" w:hanging="1134"/>
      </w:pPr>
      <w:bookmarkStart w:id="171" w:name="_Ref8214036"/>
      <w:bookmarkStart w:id="172" w:name="_Toc24103323"/>
      <w:r w:rsidRPr="00E3331A">
        <w:lastRenderedPageBreak/>
        <w:t xml:space="preserve">Table </w:t>
      </w:r>
      <w:r w:rsidR="006F35B9">
        <w:rPr>
          <w:noProof/>
        </w:rPr>
        <w:t>17</w:t>
      </w:r>
      <w:bookmarkEnd w:id="171"/>
      <w:r w:rsidRPr="00E3331A">
        <w:t xml:space="preserve"> </w:t>
      </w:r>
      <w:r w:rsidRPr="00E3331A">
        <w:tab/>
        <w:t>Suggested frequency of monitoring during treatment with immunosuppressive drugs</w:t>
      </w:r>
      <w:bookmarkEnd w:id="17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034"/>
        <w:gridCol w:w="1320"/>
        <w:gridCol w:w="919"/>
        <w:gridCol w:w="1229"/>
        <w:gridCol w:w="831"/>
        <w:gridCol w:w="749"/>
        <w:gridCol w:w="1000"/>
      </w:tblGrid>
      <w:tr w:rsidR="004130B7" w:rsidRPr="00E3331A" w:rsidTr="00304276">
        <w:trPr>
          <w:trHeight w:val="335"/>
          <w:tblHeader/>
        </w:trPr>
        <w:tc>
          <w:tcPr>
            <w:tcW w:w="0" w:type="auto"/>
            <w:vMerge w:val="restart"/>
          </w:tcPr>
          <w:p w:rsidR="004130B7" w:rsidRPr="00E3331A" w:rsidRDefault="004130B7" w:rsidP="007B6301">
            <w:pPr>
              <w:pStyle w:val="Tabletext1"/>
              <w:rPr>
                <w:b/>
              </w:rPr>
            </w:pPr>
            <w:bookmarkStart w:id="173" w:name="_Hlk8216040"/>
            <w:r w:rsidRPr="00E3331A">
              <w:rPr>
                <w:b/>
              </w:rPr>
              <w:t>Immunosuppressant</w:t>
            </w:r>
          </w:p>
        </w:tc>
        <w:tc>
          <w:tcPr>
            <w:tcW w:w="0" w:type="auto"/>
            <w:gridSpan w:val="7"/>
          </w:tcPr>
          <w:p w:rsidR="004130B7" w:rsidRPr="00E3331A" w:rsidRDefault="004130B7" w:rsidP="007B6301">
            <w:pPr>
              <w:pStyle w:val="Tabletext1"/>
              <w:rPr>
                <w:b/>
              </w:rPr>
            </w:pPr>
            <w:r w:rsidRPr="00E3331A">
              <w:rPr>
                <w:b/>
              </w:rPr>
              <w:t>Recommended frequency of monitoring</w:t>
            </w:r>
          </w:p>
        </w:tc>
      </w:tr>
      <w:tr w:rsidR="004130B7" w:rsidRPr="00E3331A" w:rsidTr="002145C8">
        <w:tc>
          <w:tcPr>
            <w:tcW w:w="0" w:type="auto"/>
            <w:vMerge/>
          </w:tcPr>
          <w:p w:rsidR="004130B7" w:rsidRPr="00E3331A" w:rsidRDefault="004130B7" w:rsidP="007B6301">
            <w:pPr>
              <w:pStyle w:val="Tabletext1"/>
            </w:pPr>
          </w:p>
        </w:tc>
        <w:tc>
          <w:tcPr>
            <w:tcW w:w="0" w:type="auto"/>
          </w:tcPr>
          <w:p w:rsidR="004130B7" w:rsidRPr="00E3331A" w:rsidRDefault="004130B7" w:rsidP="007B6301">
            <w:pPr>
              <w:pStyle w:val="Tabletext1"/>
            </w:pPr>
            <w:r w:rsidRPr="00E3331A">
              <w:rPr>
                <w:b/>
              </w:rPr>
              <w:t>Full blood count</w:t>
            </w:r>
          </w:p>
        </w:tc>
        <w:tc>
          <w:tcPr>
            <w:tcW w:w="0" w:type="auto"/>
          </w:tcPr>
          <w:p w:rsidR="004130B7" w:rsidRPr="00E3331A" w:rsidRDefault="004130B7" w:rsidP="007B6301">
            <w:pPr>
              <w:pStyle w:val="Tabletext1"/>
            </w:pPr>
            <w:r w:rsidRPr="00E3331A">
              <w:rPr>
                <w:b/>
              </w:rPr>
              <w:t>Electrolytes, urea, creatinine, FG, LFT</w:t>
            </w:r>
          </w:p>
        </w:tc>
        <w:tc>
          <w:tcPr>
            <w:tcW w:w="0" w:type="auto"/>
          </w:tcPr>
          <w:p w:rsidR="004130B7" w:rsidRPr="00E3331A" w:rsidRDefault="004130B7" w:rsidP="007B6301">
            <w:pPr>
              <w:pStyle w:val="Tabletext1"/>
            </w:pPr>
            <w:r w:rsidRPr="00E3331A">
              <w:rPr>
                <w:b/>
              </w:rPr>
              <w:t>Liver function tests</w:t>
            </w:r>
          </w:p>
        </w:tc>
        <w:tc>
          <w:tcPr>
            <w:tcW w:w="0" w:type="auto"/>
          </w:tcPr>
          <w:p w:rsidR="004130B7" w:rsidRPr="00E3331A" w:rsidRDefault="004130B7" w:rsidP="007B6301">
            <w:pPr>
              <w:pStyle w:val="Tabletext1"/>
            </w:pPr>
            <w:r w:rsidRPr="00E3331A">
              <w:rPr>
                <w:b/>
              </w:rPr>
              <w:t>Calcium magnesium phosphate</w:t>
            </w:r>
          </w:p>
        </w:tc>
        <w:tc>
          <w:tcPr>
            <w:tcW w:w="0" w:type="auto"/>
          </w:tcPr>
          <w:p w:rsidR="004130B7" w:rsidRPr="00E3331A" w:rsidRDefault="004130B7" w:rsidP="007B6301">
            <w:pPr>
              <w:pStyle w:val="Tabletext1"/>
            </w:pPr>
            <w:r w:rsidRPr="00E3331A">
              <w:rPr>
                <w:b/>
              </w:rPr>
              <w:t>Fasting lipids</w:t>
            </w:r>
          </w:p>
        </w:tc>
        <w:tc>
          <w:tcPr>
            <w:tcW w:w="0" w:type="auto"/>
          </w:tcPr>
          <w:p w:rsidR="004130B7" w:rsidRPr="00E3331A" w:rsidRDefault="004130B7" w:rsidP="007B6301">
            <w:pPr>
              <w:pStyle w:val="Tabletext1"/>
            </w:pPr>
            <w:r w:rsidRPr="00E3331A">
              <w:rPr>
                <w:b/>
              </w:rPr>
              <w:t>Eye review</w:t>
            </w:r>
          </w:p>
        </w:tc>
        <w:tc>
          <w:tcPr>
            <w:tcW w:w="0" w:type="auto"/>
          </w:tcPr>
          <w:p w:rsidR="004130B7" w:rsidRPr="00E3331A" w:rsidRDefault="004130B7" w:rsidP="007B6301">
            <w:pPr>
              <w:pStyle w:val="Tabletext1"/>
            </w:pPr>
            <w:r w:rsidRPr="00E3331A">
              <w:rPr>
                <w:b/>
              </w:rPr>
              <w:t>Urinalysis</w:t>
            </w:r>
          </w:p>
        </w:tc>
      </w:tr>
      <w:tr w:rsidR="00C36C13" w:rsidRPr="00E3331A" w:rsidTr="002145C8">
        <w:tc>
          <w:tcPr>
            <w:tcW w:w="0" w:type="auto"/>
          </w:tcPr>
          <w:p w:rsidR="00C36C13" w:rsidRPr="00E3331A" w:rsidRDefault="00C36C13" w:rsidP="007B6301">
            <w:pPr>
              <w:pStyle w:val="Tabletext1"/>
            </w:pPr>
            <w:r w:rsidRPr="00E3331A">
              <w:t>Azathioprine</w:t>
            </w:r>
          </w:p>
        </w:tc>
        <w:tc>
          <w:tcPr>
            <w:tcW w:w="0" w:type="auto"/>
          </w:tcPr>
          <w:p w:rsidR="00C36C13" w:rsidRPr="00E3331A" w:rsidRDefault="000A4157" w:rsidP="007B6301">
            <w:pPr>
              <w:pStyle w:val="Tabletext1"/>
            </w:pPr>
            <w:r w:rsidRPr="00E3331A">
              <w:t>1-3 monthly</w:t>
            </w:r>
          </w:p>
        </w:tc>
        <w:tc>
          <w:tcPr>
            <w:tcW w:w="0" w:type="auto"/>
          </w:tcPr>
          <w:p w:rsidR="00C36C13" w:rsidRPr="00E3331A" w:rsidRDefault="000A4157" w:rsidP="007B6301">
            <w:pPr>
              <w:pStyle w:val="Tabletext1"/>
            </w:pPr>
            <w:r w:rsidRPr="00E3331A">
              <w:t>1-3 monthly</w:t>
            </w:r>
          </w:p>
        </w:tc>
        <w:tc>
          <w:tcPr>
            <w:tcW w:w="0" w:type="auto"/>
          </w:tcPr>
          <w:p w:rsidR="00C36C13" w:rsidRPr="00E3331A" w:rsidRDefault="000A4157" w:rsidP="007B6301">
            <w:pPr>
              <w:pStyle w:val="Tabletext1"/>
            </w:pPr>
            <w:r w:rsidRPr="00E3331A">
              <w:t>1-3 monthly</w:t>
            </w:r>
          </w:p>
        </w:tc>
        <w:tc>
          <w:tcPr>
            <w:tcW w:w="0" w:type="auto"/>
          </w:tcPr>
          <w:p w:rsidR="00C36C13" w:rsidRPr="00E3331A" w:rsidRDefault="000A4157" w:rsidP="007B6301">
            <w:pPr>
              <w:pStyle w:val="Tabletext1"/>
            </w:pPr>
            <w:r w:rsidRPr="00E3331A">
              <w:t>NR</w:t>
            </w:r>
          </w:p>
        </w:tc>
        <w:tc>
          <w:tcPr>
            <w:tcW w:w="0" w:type="auto"/>
          </w:tcPr>
          <w:p w:rsidR="00C36C13" w:rsidRPr="00E3331A" w:rsidRDefault="000A4157" w:rsidP="007B6301">
            <w:pPr>
              <w:pStyle w:val="Tabletext1"/>
            </w:pPr>
            <w:r w:rsidRPr="00E3331A">
              <w:t>6 monthly</w:t>
            </w:r>
          </w:p>
        </w:tc>
        <w:tc>
          <w:tcPr>
            <w:tcW w:w="0" w:type="auto"/>
          </w:tcPr>
          <w:p w:rsidR="00C36C13" w:rsidRPr="00E3331A" w:rsidRDefault="000A4157" w:rsidP="007B6301">
            <w:pPr>
              <w:pStyle w:val="Tabletext1"/>
            </w:pPr>
            <w:r w:rsidRPr="00E3331A">
              <w:t>NR</w:t>
            </w:r>
          </w:p>
        </w:tc>
        <w:tc>
          <w:tcPr>
            <w:tcW w:w="0" w:type="auto"/>
          </w:tcPr>
          <w:p w:rsidR="00C36C13" w:rsidRPr="00E3331A" w:rsidRDefault="000A4157" w:rsidP="007B6301">
            <w:pPr>
              <w:pStyle w:val="Tabletext1"/>
            </w:pPr>
            <w:r w:rsidRPr="00E3331A">
              <w:t>NR</w:t>
            </w:r>
          </w:p>
        </w:tc>
      </w:tr>
      <w:bookmarkEnd w:id="173"/>
      <w:tr w:rsidR="00C36C13" w:rsidRPr="00E3331A" w:rsidTr="002145C8">
        <w:tc>
          <w:tcPr>
            <w:tcW w:w="0" w:type="auto"/>
          </w:tcPr>
          <w:p w:rsidR="00C36C13" w:rsidRPr="00E3331A" w:rsidRDefault="000A4157" w:rsidP="007B6301">
            <w:pPr>
              <w:pStyle w:val="Tabletext1"/>
            </w:pPr>
            <w:r w:rsidRPr="00E3331A">
              <w:t>C</w:t>
            </w:r>
            <w:r w:rsidR="00D15EC7" w:rsidRPr="00E3331A">
              <w:t>iclosporin/tacrolimus</w:t>
            </w:r>
          </w:p>
        </w:tc>
        <w:tc>
          <w:tcPr>
            <w:tcW w:w="0" w:type="auto"/>
          </w:tcPr>
          <w:p w:rsidR="00C36C13" w:rsidRPr="00E3331A" w:rsidRDefault="00D15EC7" w:rsidP="007B6301">
            <w:pPr>
              <w:pStyle w:val="Tabletext1"/>
            </w:pPr>
            <w:r w:rsidRPr="00E3331A">
              <w:t>1-3 monthly</w:t>
            </w:r>
          </w:p>
        </w:tc>
        <w:tc>
          <w:tcPr>
            <w:tcW w:w="0" w:type="auto"/>
          </w:tcPr>
          <w:p w:rsidR="00C36C13" w:rsidRPr="00E3331A" w:rsidRDefault="00D15EC7" w:rsidP="007B6301">
            <w:pPr>
              <w:pStyle w:val="Tabletext1"/>
            </w:pPr>
            <w:r w:rsidRPr="00E3331A">
              <w:t>1-3 monthly</w:t>
            </w:r>
          </w:p>
        </w:tc>
        <w:tc>
          <w:tcPr>
            <w:tcW w:w="0" w:type="auto"/>
          </w:tcPr>
          <w:p w:rsidR="00C36C13" w:rsidRPr="00E3331A" w:rsidRDefault="00D15EC7" w:rsidP="007B6301">
            <w:pPr>
              <w:pStyle w:val="Tabletext1"/>
            </w:pPr>
            <w:r w:rsidRPr="00E3331A">
              <w:t>1-3 monthly</w:t>
            </w:r>
          </w:p>
        </w:tc>
        <w:tc>
          <w:tcPr>
            <w:tcW w:w="0" w:type="auto"/>
          </w:tcPr>
          <w:p w:rsidR="00C36C13" w:rsidRPr="00E3331A" w:rsidRDefault="00D15EC7" w:rsidP="007B6301">
            <w:pPr>
              <w:pStyle w:val="Tabletext1"/>
            </w:pPr>
            <w:r w:rsidRPr="00E3331A">
              <w:t>1-3 monthly</w:t>
            </w:r>
          </w:p>
        </w:tc>
        <w:tc>
          <w:tcPr>
            <w:tcW w:w="0" w:type="auto"/>
          </w:tcPr>
          <w:p w:rsidR="00C36C13" w:rsidRPr="00E3331A" w:rsidRDefault="00D15EC7" w:rsidP="007B6301">
            <w:pPr>
              <w:pStyle w:val="Tabletext1"/>
            </w:pPr>
            <w:r w:rsidRPr="00E3331A">
              <w:t>6 monthly</w:t>
            </w:r>
          </w:p>
        </w:tc>
        <w:tc>
          <w:tcPr>
            <w:tcW w:w="0" w:type="auto"/>
          </w:tcPr>
          <w:p w:rsidR="00C36C13" w:rsidRPr="00E3331A" w:rsidRDefault="00D15EC7" w:rsidP="007B6301">
            <w:pPr>
              <w:pStyle w:val="Tabletext1"/>
            </w:pPr>
            <w:r w:rsidRPr="00E3331A">
              <w:t>NR</w:t>
            </w:r>
          </w:p>
        </w:tc>
        <w:tc>
          <w:tcPr>
            <w:tcW w:w="0" w:type="auto"/>
          </w:tcPr>
          <w:p w:rsidR="00C36C13" w:rsidRPr="00E3331A" w:rsidRDefault="00D15EC7" w:rsidP="007B6301">
            <w:pPr>
              <w:pStyle w:val="Tabletext1"/>
            </w:pPr>
            <w:r w:rsidRPr="00E3331A">
              <w:t>NR</w:t>
            </w:r>
          </w:p>
        </w:tc>
      </w:tr>
      <w:tr w:rsidR="00C36C13" w:rsidRPr="00E3331A" w:rsidTr="002145C8">
        <w:tc>
          <w:tcPr>
            <w:tcW w:w="0" w:type="auto"/>
          </w:tcPr>
          <w:p w:rsidR="00C36C13" w:rsidRPr="00E3331A" w:rsidRDefault="00D15EC7" w:rsidP="007B6301">
            <w:pPr>
              <w:pStyle w:val="Tabletext1"/>
            </w:pPr>
            <w:r w:rsidRPr="00E3331A">
              <w:t>Methotrexate</w:t>
            </w:r>
          </w:p>
        </w:tc>
        <w:tc>
          <w:tcPr>
            <w:tcW w:w="0" w:type="auto"/>
          </w:tcPr>
          <w:p w:rsidR="00C36C13" w:rsidRPr="00E3331A" w:rsidRDefault="00D15EC7" w:rsidP="007B6301">
            <w:pPr>
              <w:pStyle w:val="Tabletext1"/>
            </w:pPr>
            <w:r w:rsidRPr="00E3331A">
              <w:t>1-3 monthly</w:t>
            </w:r>
          </w:p>
        </w:tc>
        <w:tc>
          <w:tcPr>
            <w:tcW w:w="0" w:type="auto"/>
          </w:tcPr>
          <w:p w:rsidR="00C36C13" w:rsidRPr="00E3331A" w:rsidRDefault="00D15EC7" w:rsidP="007B6301">
            <w:pPr>
              <w:pStyle w:val="Tabletext1"/>
            </w:pPr>
            <w:r w:rsidRPr="00E3331A">
              <w:t>1-3 monthly</w:t>
            </w:r>
          </w:p>
        </w:tc>
        <w:tc>
          <w:tcPr>
            <w:tcW w:w="0" w:type="auto"/>
          </w:tcPr>
          <w:p w:rsidR="00C36C13" w:rsidRPr="00E3331A" w:rsidRDefault="00D15EC7" w:rsidP="007B6301">
            <w:pPr>
              <w:pStyle w:val="Tabletext1"/>
            </w:pPr>
            <w:r w:rsidRPr="00E3331A">
              <w:t>1-3 monthly</w:t>
            </w:r>
          </w:p>
        </w:tc>
        <w:tc>
          <w:tcPr>
            <w:tcW w:w="0" w:type="auto"/>
          </w:tcPr>
          <w:p w:rsidR="00C36C13" w:rsidRPr="00E3331A" w:rsidRDefault="00D15EC7" w:rsidP="007B6301">
            <w:pPr>
              <w:pStyle w:val="Tabletext1"/>
            </w:pPr>
            <w:r w:rsidRPr="00E3331A">
              <w:t>NR</w:t>
            </w:r>
          </w:p>
        </w:tc>
        <w:tc>
          <w:tcPr>
            <w:tcW w:w="0" w:type="auto"/>
          </w:tcPr>
          <w:p w:rsidR="00C36C13" w:rsidRPr="00E3331A" w:rsidRDefault="00D15EC7" w:rsidP="007B6301">
            <w:pPr>
              <w:pStyle w:val="Tabletext1"/>
            </w:pPr>
            <w:r w:rsidRPr="00E3331A">
              <w:t>12 monthly</w:t>
            </w:r>
          </w:p>
        </w:tc>
        <w:tc>
          <w:tcPr>
            <w:tcW w:w="0" w:type="auto"/>
          </w:tcPr>
          <w:p w:rsidR="00C36C13" w:rsidRPr="00E3331A" w:rsidRDefault="00D15EC7" w:rsidP="007B6301">
            <w:pPr>
              <w:pStyle w:val="Tabletext1"/>
            </w:pPr>
            <w:r w:rsidRPr="00E3331A">
              <w:t>NR</w:t>
            </w:r>
          </w:p>
        </w:tc>
        <w:tc>
          <w:tcPr>
            <w:tcW w:w="0" w:type="auto"/>
          </w:tcPr>
          <w:p w:rsidR="00C36C13" w:rsidRPr="00E3331A" w:rsidRDefault="00D15EC7" w:rsidP="007B6301">
            <w:pPr>
              <w:pStyle w:val="Tabletext1"/>
            </w:pPr>
            <w:r w:rsidRPr="00E3331A">
              <w:t>NR</w:t>
            </w:r>
          </w:p>
        </w:tc>
      </w:tr>
      <w:tr w:rsidR="00D15EC7" w:rsidRPr="00E3331A" w:rsidTr="002145C8">
        <w:tc>
          <w:tcPr>
            <w:tcW w:w="0" w:type="auto"/>
          </w:tcPr>
          <w:p w:rsidR="00D15EC7" w:rsidRPr="00E3331A" w:rsidRDefault="00D15EC7" w:rsidP="007B6301">
            <w:pPr>
              <w:pStyle w:val="Tabletext1"/>
            </w:pPr>
            <w:r w:rsidRPr="00E3331A">
              <w:t>Mycophenolate</w:t>
            </w:r>
          </w:p>
        </w:tc>
        <w:tc>
          <w:tcPr>
            <w:tcW w:w="0" w:type="auto"/>
          </w:tcPr>
          <w:p w:rsidR="00D15EC7" w:rsidRPr="00E3331A" w:rsidRDefault="00D15EC7" w:rsidP="007B6301">
            <w:pPr>
              <w:pStyle w:val="Tabletext1"/>
            </w:pPr>
            <w:r w:rsidRPr="00E3331A">
              <w:t>1-3 monthly</w:t>
            </w:r>
          </w:p>
        </w:tc>
        <w:tc>
          <w:tcPr>
            <w:tcW w:w="0" w:type="auto"/>
          </w:tcPr>
          <w:p w:rsidR="00D15EC7" w:rsidRPr="00E3331A" w:rsidRDefault="00D15EC7" w:rsidP="007B6301">
            <w:pPr>
              <w:pStyle w:val="Tabletext1"/>
            </w:pPr>
            <w:r w:rsidRPr="00E3331A">
              <w:t>1-3 monthly</w:t>
            </w:r>
          </w:p>
        </w:tc>
        <w:tc>
          <w:tcPr>
            <w:tcW w:w="0" w:type="auto"/>
          </w:tcPr>
          <w:p w:rsidR="00D15EC7" w:rsidRPr="00E3331A" w:rsidRDefault="00D15EC7" w:rsidP="007B6301">
            <w:pPr>
              <w:pStyle w:val="Tabletext1"/>
            </w:pPr>
            <w:r w:rsidRPr="00E3331A">
              <w:t>1-3 monthly</w:t>
            </w:r>
          </w:p>
        </w:tc>
        <w:tc>
          <w:tcPr>
            <w:tcW w:w="0" w:type="auto"/>
          </w:tcPr>
          <w:p w:rsidR="00D15EC7" w:rsidRPr="00E3331A" w:rsidRDefault="00D15EC7" w:rsidP="007B6301">
            <w:pPr>
              <w:pStyle w:val="Tabletext1"/>
            </w:pPr>
            <w:r w:rsidRPr="00E3331A">
              <w:t>NR</w:t>
            </w:r>
          </w:p>
        </w:tc>
        <w:tc>
          <w:tcPr>
            <w:tcW w:w="0" w:type="auto"/>
          </w:tcPr>
          <w:p w:rsidR="00D15EC7" w:rsidRPr="00E3331A" w:rsidRDefault="00D15EC7" w:rsidP="007B6301">
            <w:pPr>
              <w:pStyle w:val="Tabletext1"/>
            </w:pPr>
            <w:r w:rsidRPr="00E3331A">
              <w:t>12 monthly</w:t>
            </w:r>
          </w:p>
        </w:tc>
        <w:tc>
          <w:tcPr>
            <w:tcW w:w="0" w:type="auto"/>
          </w:tcPr>
          <w:p w:rsidR="00D15EC7" w:rsidRPr="00E3331A" w:rsidRDefault="00D15EC7" w:rsidP="007B6301">
            <w:pPr>
              <w:pStyle w:val="Tabletext1"/>
            </w:pPr>
            <w:r w:rsidRPr="00E3331A">
              <w:t>NR</w:t>
            </w:r>
          </w:p>
        </w:tc>
        <w:tc>
          <w:tcPr>
            <w:tcW w:w="0" w:type="auto"/>
          </w:tcPr>
          <w:p w:rsidR="00D15EC7" w:rsidRPr="00E3331A" w:rsidRDefault="00D15EC7" w:rsidP="007B6301">
            <w:pPr>
              <w:pStyle w:val="Tabletext1"/>
            </w:pPr>
            <w:r w:rsidRPr="00E3331A">
              <w:t>NR</w:t>
            </w:r>
          </w:p>
        </w:tc>
      </w:tr>
      <w:tr w:rsidR="00D15EC7" w:rsidRPr="00E3331A" w:rsidTr="002145C8">
        <w:tc>
          <w:tcPr>
            <w:tcW w:w="0" w:type="auto"/>
          </w:tcPr>
          <w:p w:rsidR="00D15EC7" w:rsidRPr="00E3331A" w:rsidRDefault="00D15EC7" w:rsidP="007B6301">
            <w:pPr>
              <w:pStyle w:val="Tabletext1"/>
            </w:pPr>
            <w:r w:rsidRPr="00E3331A">
              <w:t>Cyclophosphamide</w:t>
            </w:r>
          </w:p>
        </w:tc>
        <w:tc>
          <w:tcPr>
            <w:tcW w:w="0" w:type="auto"/>
          </w:tcPr>
          <w:p w:rsidR="00D15EC7" w:rsidRPr="00E3331A" w:rsidRDefault="00D15EC7" w:rsidP="007B6301">
            <w:pPr>
              <w:pStyle w:val="Tabletext1"/>
            </w:pPr>
            <w:r w:rsidRPr="00E3331A">
              <w:t>Fortnightly to monthly</w:t>
            </w:r>
          </w:p>
        </w:tc>
        <w:tc>
          <w:tcPr>
            <w:tcW w:w="0" w:type="auto"/>
          </w:tcPr>
          <w:p w:rsidR="00D15EC7" w:rsidRPr="00E3331A" w:rsidRDefault="00D15EC7" w:rsidP="007B6301">
            <w:pPr>
              <w:pStyle w:val="Tabletext1"/>
            </w:pPr>
            <w:r w:rsidRPr="00E3331A">
              <w:t>monthly</w:t>
            </w:r>
          </w:p>
        </w:tc>
        <w:tc>
          <w:tcPr>
            <w:tcW w:w="0" w:type="auto"/>
          </w:tcPr>
          <w:p w:rsidR="00D15EC7" w:rsidRPr="00E3331A" w:rsidRDefault="00D15EC7" w:rsidP="007B6301">
            <w:pPr>
              <w:pStyle w:val="Tabletext1"/>
            </w:pPr>
            <w:r w:rsidRPr="00E3331A">
              <w:t>monthly</w:t>
            </w:r>
          </w:p>
        </w:tc>
        <w:tc>
          <w:tcPr>
            <w:tcW w:w="0" w:type="auto"/>
          </w:tcPr>
          <w:p w:rsidR="00D15EC7" w:rsidRPr="00E3331A" w:rsidRDefault="00D15EC7" w:rsidP="007B6301">
            <w:pPr>
              <w:pStyle w:val="Tabletext1"/>
            </w:pPr>
            <w:r w:rsidRPr="00E3331A">
              <w:t>NR</w:t>
            </w:r>
          </w:p>
        </w:tc>
        <w:tc>
          <w:tcPr>
            <w:tcW w:w="0" w:type="auto"/>
          </w:tcPr>
          <w:p w:rsidR="00D15EC7" w:rsidRPr="00E3331A" w:rsidRDefault="00D15EC7" w:rsidP="007B6301">
            <w:pPr>
              <w:pStyle w:val="Tabletext1"/>
            </w:pPr>
            <w:r w:rsidRPr="00E3331A">
              <w:t>12 monthly</w:t>
            </w:r>
          </w:p>
        </w:tc>
        <w:tc>
          <w:tcPr>
            <w:tcW w:w="0" w:type="auto"/>
          </w:tcPr>
          <w:p w:rsidR="00D15EC7" w:rsidRPr="00E3331A" w:rsidRDefault="00D15EC7" w:rsidP="007B6301">
            <w:pPr>
              <w:pStyle w:val="Tabletext1"/>
            </w:pPr>
            <w:r w:rsidRPr="00E3331A">
              <w:t>NR</w:t>
            </w:r>
          </w:p>
        </w:tc>
        <w:tc>
          <w:tcPr>
            <w:tcW w:w="0" w:type="auto"/>
          </w:tcPr>
          <w:p w:rsidR="00D15EC7" w:rsidRPr="00E3331A" w:rsidRDefault="00D15EC7" w:rsidP="007B6301">
            <w:pPr>
              <w:pStyle w:val="Tabletext1"/>
            </w:pPr>
            <w:r w:rsidRPr="00E3331A">
              <w:t>6 monthly</w:t>
            </w:r>
          </w:p>
        </w:tc>
      </w:tr>
    </w:tbl>
    <w:p w:rsidR="005A33B4" w:rsidRPr="00E3331A" w:rsidRDefault="00DD2242" w:rsidP="00FA20E2">
      <w:pPr>
        <w:pStyle w:val="Tablenotes1"/>
      </w:pPr>
      <w:r w:rsidRPr="00E3331A">
        <w:t xml:space="preserve">FG = fasting glucose; LFT = liver function tests; </w:t>
      </w:r>
      <w:r w:rsidR="000A4157" w:rsidRPr="00E3331A">
        <w:t>NR</w:t>
      </w:r>
      <w:r w:rsidRPr="00E3331A">
        <w:t xml:space="preserve"> = </w:t>
      </w:r>
      <w:r w:rsidR="000A4157" w:rsidRPr="00E3331A">
        <w:t>not routinely required</w:t>
      </w:r>
      <w:r w:rsidRPr="00E3331A">
        <w:t xml:space="preserve">. </w:t>
      </w:r>
    </w:p>
    <w:p w:rsidR="00FA20E2" w:rsidRPr="00E3331A" w:rsidRDefault="00FA20E2" w:rsidP="00FA20E2">
      <w:pPr>
        <w:pStyle w:val="Tablenotes1"/>
      </w:pPr>
      <w:r w:rsidRPr="00E3331A">
        <w:t xml:space="preserve">Source: </w:t>
      </w:r>
      <w:r w:rsidR="00B85C75">
        <w:rPr>
          <w:noProof/>
        </w:rPr>
        <w:t>(Hsu and Katelaris 2009)</w:t>
      </w:r>
    </w:p>
    <w:p w:rsidR="003E4683" w:rsidRPr="00E3331A" w:rsidRDefault="00137789" w:rsidP="003E4683">
      <w:r w:rsidRPr="00E3331A">
        <w:t>Like</w:t>
      </w:r>
      <w:r w:rsidR="003E4683" w:rsidRPr="00E3331A">
        <w:t xml:space="preserve"> oral steroids, oral immunosuppressants can be administered by the patient at home and </w:t>
      </w:r>
      <w:r w:rsidRPr="00E3331A">
        <w:t>obtained with a script</w:t>
      </w:r>
      <w:r w:rsidRPr="00E3331A" w:rsidDel="00137789">
        <w:t xml:space="preserve"> </w:t>
      </w:r>
      <w:r w:rsidRPr="00E3331A">
        <w:t>at</w:t>
      </w:r>
      <w:r w:rsidR="003E4683" w:rsidRPr="00E3331A">
        <w:t xml:space="preserve"> any pharmacy. </w:t>
      </w:r>
    </w:p>
    <w:p w:rsidR="005354F8" w:rsidRPr="00E3331A" w:rsidRDefault="005354F8" w:rsidP="003E4E1F">
      <w:pPr>
        <w:pStyle w:val="Heading2"/>
        <w:numPr>
          <w:ilvl w:val="0"/>
          <w:numId w:val="8"/>
        </w:numPr>
      </w:pPr>
      <w:bookmarkStart w:id="174" w:name="_Toc24103444"/>
      <w:r w:rsidRPr="00E3331A">
        <w:t>Clinical Claim</w:t>
      </w:r>
      <w:bookmarkEnd w:id="174"/>
    </w:p>
    <w:p w:rsidR="002F1EB7" w:rsidRPr="00E3331A" w:rsidRDefault="002F1EB7" w:rsidP="008E7FD9">
      <w:r w:rsidRPr="00E3331A">
        <w:t xml:space="preserve">The following clinical claims have been made </w:t>
      </w:r>
      <w:r w:rsidR="00537B6D" w:rsidRPr="00E3331A">
        <w:t>regarding</w:t>
      </w:r>
      <w:r w:rsidRPr="00E3331A">
        <w:t xml:space="preserve"> Ig</w:t>
      </w:r>
      <w:r w:rsidR="00324873" w:rsidRPr="00E3331A">
        <w:t xml:space="preserve"> use for the management of CIDP</w:t>
      </w:r>
      <w:r w:rsidRPr="00E3331A">
        <w:t>:</w:t>
      </w:r>
    </w:p>
    <w:p w:rsidR="002F1EB7" w:rsidRPr="00E3331A" w:rsidRDefault="002F1EB7" w:rsidP="002F1EB7">
      <w:pPr>
        <w:pStyle w:val="ColorfulList-Accent11"/>
        <w:numPr>
          <w:ilvl w:val="0"/>
          <w:numId w:val="44"/>
        </w:numPr>
      </w:pPr>
      <w:r w:rsidRPr="00E3331A">
        <w:t>Ig has superior effectiveness but inferior safety to the comparator treatment of no active treatment</w:t>
      </w:r>
    </w:p>
    <w:p w:rsidR="002F1EB7" w:rsidRPr="00E3331A" w:rsidRDefault="002F1EB7" w:rsidP="002F1EB7">
      <w:pPr>
        <w:pStyle w:val="ColorfulList-Accent11"/>
        <w:numPr>
          <w:ilvl w:val="0"/>
          <w:numId w:val="44"/>
        </w:numPr>
      </w:pPr>
      <w:r w:rsidRPr="00E3331A">
        <w:t>Ig ha</w:t>
      </w:r>
      <w:r w:rsidR="00537B6D" w:rsidRPr="00E3331A">
        <w:t>s</w:t>
      </w:r>
      <w:r w:rsidRPr="00E3331A">
        <w:t xml:space="preserve"> non-inferior effectiveness and superior safety than the comparator intervention of steroids</w:t>
      </w:r>
    </w:p>
    <w:p w:rsidR="002F1EB7" w:rsidRPr="00E3331A" w:rsidRDefault="002F1EB7" w:rsidP="002F1EB7">
      <w:pPr>
        <w:pStyle w:val="ColorfulList-Accent11"/>
        <w:numPr>
          <w:ilvl w:val="0"/>
          <w:numId w:val="44"/>
        </w:numPr>
      </w:pPr>
      <w:r w:rsidRPr="00E3331A">
        <w:t>Ig ha</w:t>
      </w:r>
      <w:r w:rsidR="00537B6D" w:rsidRPr="00E3331A">
        <w:t>s</w:t>
      </w:r>
      <w:r w:rsidRPr="00E3331A">
        <w:t xml:space="preserve"> non-inferior effectiveness and superior safety than the comparator intervention of plasma exchange</w:t>
      </w:r>
    </w:p>
    <w:p w:rsidR="002F1EB7" w:rsidRPr="00E3331A" w:rsidRDefault="002F1EB7" w:rsidP="002F1EB7">
      <w:pPr>
        <w:pStyle w:val="ColorfulList-Accent11"/>
        <w:numPr>
          <w:ilvl w:val="0"/>
          <w:numId w:val="44"/>
        </w:numPr>
      </w:pPr>
      <w:r w:rsidRPr="00E3331A">
        <w:t>Ig ha</w:t>
      </w:r>
      <w:r w:rsidR="00537B6D" w:rsidRPr="00E3331A">
        <w:t>s</w:t>
      </w:r>
      <w:r w:rsidRPr="00E3331A">
        <w:t xml:space="preserve"> non-inferior effectiveness and superior safety than the comparator intervention of immunosuppressant and/or immunomodulatory drugs and therapies (other than steroids)</w:t>
      </w:r>
    </w:p>
    <w:p w:rsidR="002F1EB7" w:rsidRPr="00E3331A" w:rsidRDefault="002F1EB7" w:rsidP="003840DD">
      <w:pPr>
        <w:pStyle w:val="ColorfulList-Accent11"/>
        <w:numPr>
          <w:ilvl w:val="0"/>
          <w:numId w:val="44"/>
        </w:numPr>
      </w:pPr>
      <w:r w:rsidRPr="00E3331A">
        <w:t>Ig ha</w:t>
      </w:r>
      <w:r w:rsidR="005C1EA5" w:rsidRPr="00E3331A">
        <w:t>s</w:t>
      </w:r>
      <w:r w:rsidRPr="00E3331A">
        <w:t xml:space="preserve"> non-inferior effectiveness and superior safety than the comparator intervention of a combination of two or more of the previously mentioned therapies</w:t>
      </w:r>
    </w:p>
    <w:p w:rsidR="00903492" w:rsidRPr="00E3331A" w:rsidRDefault="00D461C4" w:rsidP="003E4E1F">
      <w:pPr>
        <w:pStyle w:val="Heading2"/>
        <w:numPr>
          <w:ilvl w:val="0"/>
          <w:numId w:val="8"/>
        </w:numPr>
      </w:pPr>
      <w:bookmarkStart w:id="175" w:name="_Toc24103445"/>
      <w:bookmarkEnd w:id="135"/>
      <w:bookmarkEnd w:id="136"/>
      <w:r w:rsidRPr="00E3331A">
        <w:t>Summary of the PICO</w:t>
      </w:r>
      <w:bookmarkEnd w:id="175"/>
    </w:p>
    <w:p w:rsidR="004F36F1" w:rsidRPr="00E3331A" w:rsidRDefault="006C5B34" w:rsidP="004F36F1">
      <w:pPr>
        <w:spacing w:before="240"/>
        <w:jc w:val="both"/>
      </w:pPr>
      <w:r w:rsidRPr="00E3331A">
        <w:t xml:space="preserve">The guiding framework of </w:t>
      </w:r>
      <w:r w:rsidR="00783C0F" w:rsidRPr="00E3331A">
        <w:t>a</w:t>
      </w:r>
      <w:r w:rsidRPr="00E3331A">
        <w:t xml:space="preserve"> </w:t>
      </w:r>
      <w:r w:rsidR="0088661A" w:rsidRPr="00E3331A">
        <w:t>PICO Confirmation</w:t>
      </w:r>
      <w:r w:rsidRPr="00E3331A">
        <w:t xml:space="preserve"> </w:t>
      </w:r>
      <w:r w:rsidR="00783C0F" w:rsidRPr="00E3331A">
        <w:t>i</w:t>
      </w:r>
      <w:r w:rsidRPr="00E3331A">
        <w:t xml:space="preserve">s </w:t>
      </w:r>
      <w:r w:rsidR="007822AD" w:rsidRPr="00E3331A">
        <w:t xml:space="preserve">recommended </w:t>
      </w:r>
      <w:r w:rsidR="00783C0F" w:rsidRPr="00E3331A">
        <w:t xml:space="preserve">by MSAC </w:t>
      </w:r>
      <w:r w:rsidR="007822AD" w:rsidRPr="00E3331A">
        <w:t>for</w:t>
      </w:r>
      <w:r w:rsidRPr="00E3331A">
        <w:t xml:space="preserve"> </w:t>
      </w:r>
      <w:r w:rsidR="00783C0F" w:rsidRPr="00E3331A">
        <w:t>each</w:t>
      </w:r>
      <w:r w:rsidRPr="00E3331A">
        <w:t xml:space="preserve"> </w:t>
      </w:r>
      <w:r w:rsidR="00BE54F2">
        <w:t>A</w:t>
      </w:r>
      <w:r w:rsidRPr="00E3331A">
        <w:t xml:space="preserve">ssessment. </w:t>
      </w:r>
      <w:r w:rsidR="00E511FF" w:rsidRPr="00E3331A">
        <w:t>The</w:t>
      </w:r>
      <w:r w:rsidR="00D52A25" w:rsidRPr="00E3331A">
        <w:t xml:space="preserve"> </w:t>
      </w:r>
      <w:r w:rsidR="0088661A" w:rsidRPr="00E3331A">
        <w:t>PICO Confirmation</w:t>
      </w:r>
      <w:r w:rsidRPr="00E3331A">
        <w:t xml:space="preserve"> </w:t>
      </w:r>
      <w:r w:rsidR="00E511FF" w:rsidRPr="00E3331A">
        <w:t>describ</w:t>
      </w:r>
      <w:r w:rsidRPr="00E3331A">
        <w:t>es current clinical practice and reflects likely future practice with the medical service.</w:t>
      </w:r>
      <w:r w:rsidR="00EA39D2" w:rsidRPr="00E3331A">
        <w:t xml:space="preserve"> </w:t>
      </w:r>
    </w:p>
    <w:p w:rsidR="004F36F1" w:rsidRPr="00E3331A" w:rsidRDefault="004F36F1" w:rsidP="004F36F1">
      <w:pPr>
        <w:spacing w:before="240"/>
        <w:jc w:val="both"/>
        <w:rPr>
          <w:sz w:val="24"/>
        </w:rPr>
      </w:pPr>
      <w:r w:rsidRPr="00E3331A">
        <w:t xml:space="preserve">The Population, Intervention, Comparator and Outcomes (PICO) </w:t>
      </w:r>
      <w:r w:rsidR="00BB381C" w:rsidRPr="00E3331A">
        <w:t xml:space="preserve">that were pre-specified to guide the </w:t>
      </w:r>
      <w:r w:rsidR="001A5EF8" w:rsidRPr="00E3331A">
        <w:t>systematic literature review</w:t>
      </w:r>
      <w:r w:rsidR="00F9372D" w:rsidRPr="00E3331A">
        <w:t xml:space="preserve"> </w:t>
      </w:r>
      <w:r w:rsidR="00BB381C" w:rsidRPr="00E3331A">
        <w:t xml:space="preserve">are presented </w:t>
      </w:r>
      <w:r w:rsidRPr="00E3331A">
        <w:rPr>
          <w:sz w:val="24"/>
        </w:rPr>
        <w:t xml:space="preserve">in </w:t>
      </w:r>
      <w:r w:rsidR="006F35B9" w:rsidRPr="00E3331A">
        <w:t xml:space="preserve">Box </w:t>
      </w:r>
      <w:r w:rsidR="006F35B9">
        <w:rPr>
          <w:noProof/>
        </w:rPr>
        <w:t>1</w:t>
      </w:r>
      <w:r w:rsidR="000D3317" w:rsidRPr="00E3331A">
        <w:t xml:space="preserve"> and </w:t>
      </w:r>
      <w:r w:rsidR="006F35B9" w:rsidRPr="00E3331A">
        <w:t xml:space="preserve">Box </w:t>
      </w:r>
      <w:r w:rsidR="006F35B9">
        <w:rPr>
          <w:noProof/>
        </w:rPr>
        <w:t>2</w:t>
      </w:r>
      <w:r w:rsidRPr="00E3331A">
        <w:t>.</w:t>
      </w:r>
    </w:p>
    <w:p w:rsidR="004F36F1" w:rsidRPr="00E3331A" w:rsidRDefault="00255B28" w:rsidP="00255B28">
      <w:pPr>
        <w:pStyle w:val="Caption"/>
      </w:pPr>
      <w:bookmarkStart w:id="176" w:name="_Ref395200496"/>
      <w:bookmarkStart w:id="177" w:name="_Toc393378291"/>
      <w:bookmarkStart w:id="178" w:name="_Toc23767041"/>
      <w:r w:rsidRPr="00E3331A">
        <w:lastRenderedPageBreak/>
        <w:t xml:space="preserve">Box </w:t>
      </w:r>
      <w:r w:rsidR="006F35B9">
        <w:rPr>
          <w:noProof/>
        </w:rPr>
        <w:t>1</w:t>
      </w:r>
      <w:bookmarkEnd w:id="176"/>
      <w:r w:rsidR="004F36F1" w:rsidRPr="00E3331A">
        <w:tab/>
      </w:r>
      <w:r w:rsidR="001A5EF8" w:rsidRPr="00E3331A">
        <w:t>Criteria</w:t>
      </w:r>
      <w:r w:rsidR="004F36F1" w:rsidRPr="00E3331A">
        <w:t xml:space="preserve"> for </w:t>
      </w:r>
      <w:r w:rsidR="001A5EF8" w:rsidRPr="00E3331A">
        <w:t xml:space="preserve">identifying and selecting studies to </w:t>
      </w:r>
      <w:r w:rsidR="00BB381C" w:rsidRPr="00E3331A">
        <w:t>determin</w:t>
      </w:r>
      <w:r w:rsidR="001A5EF8" w:rsidRPr="00E3331A">
        <w:t>e</w:t>
      </w:r>
      <w:r w:rsidR="00BB381C" w:rsidRPr="00E3331A">
        <w:t xml:space="preserve"> </w:t>
      </w:r>
      <w:r w:rsidR="004F36F1" w:rsidRPr="00E3331A">
        <w:t>the safety of</w:t>
      </w:r>
      <w:r w:rsidR="00FC5203" w:rsidRPr="00E3331A">
        <w:t xml:space="preserve"> Ig</w:t>
      </w:r>
      <w:r w:rsidR="004F36F1" w:rsidRPr="00E3331A">
        <w:t xml:space="preserve"> in patients with </w:t>
      </w:r>
      <w:bookmarkEnd w:id="177"/>
      <w:r w:rsidR="00FC5203" w:rsidRPr="00E3331A">
        <w:t>CIDP</w:t>
      </w:r>
      <w:bookmarkEnd w:id="178"/>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6"/>
        <w:gridCol w:w="6953"/>
      </w:tblGrid>
      <w:tr w:rsidR="004F36F1" w:rsidRPr="00E3331A" w:rsidTr="00C771BF">
        <w:trPr>
          <w:trHeight w:val="261"/>
        </w:trPr>
        <w:tc>
          <w:tcPr>
            <w:tcW w:w="2068" w:type="dxa"/>
            <w:shd w:val="clear" w:color="auto" w:fill="auto"/>
          </w:tcPr>
          <w:p w:rsidR="004F36F1" w:rsidRPr="00E3331A" w:rsidRDefault="004F36F1" w:rsidP="00DD2242">
            <w:pPr>
              <w:pStyle w:val="Tabletext1"/>
              <w:keepNext/>
              <w:rPr>
                <w:b/>
              </w:rPr>
            </w:pPr>
            <w:r w:rsidRPr="00E3331A">
              <w:rPr>
                <w:b/>
              </w:rPr>
              <w:t>Selection criteria</w:t>
            </w:r>
          </w:p>
        </w:tc>
        <w:tc>
          <w:tcPr>
            <w:tcW w:w="6965" w:type="dxa"/>
            <w:shd w:val="clear" w:color="auto" w:fill="auto"/>
          </w:tcPr>
          <w:p w:rsidR="004F36F1" w:rsidRPr="00E3331A" w:rsidRDefault="001A5EF8" w:rsidP="00DD2242">
            <w:pPr>
              <w:pStyle w:val="Tabletext1"/>
              <w:keepNext/>
              <w:jc w:val="center"/>
              <w:rPr>
                <w:rFonts w:cs="Arial"/>
                <w:b/>
              </w:rPr>
            </w:pPr>
            <w:r w:rsidRPr="00E3331A">
              <w:rPr>
                <w:rFonts w:cs="Arial"/>
                <w:b/>
              </w:rPr>
              <w:t>Description</w:t>
            </w:r>
          </w:p>
        </w:tc>
      </w:tr>
      <w:tr w:rsidR="004F36F1" w:rsidRPr="00E3331A" w:rsidTr="00C771BF">
        <w:trPr>
          <w:trHeight w:val="247"/>
        </w:trPr>
        <w:tc>
          <w:tcPr>
            <w:tcW w:w="2068" w:type="dxa"/>
            <w:shd w:val="clear" w:color="auto" w:fill="auto"/>
          </w:tcPr>
          <w:p w:rsidR="004F36F1" w:rsidRPr="00E3331A" w:rsidRDefault="004F36F1" w:rsidP="00716EBD">
            <w:pPr>
              <w:pStyle w:val="Tabletext1"/>
            </w:pPr>
            <w:r w:rsidRPr="00E3331A">
              <w:t>Population</w:t>
            </w:r>
          </w:p>
        </w:tc>
        <w:tc>
          <w:tcPr>
            <w:tcW w:w="6965" w:type="dxa"/>
            <w:shd w:val="clear" w:color="auto" w:fill="auto"/>
          </w:tcPr>
          <w:p w:rsidR="004F36F1" w:rsidRPr="00E3331A" w:rsidRDefault="006A7C13" w:rsidP="00716EBD">
            <w:pPr>
              <w:pStyle w:val="Tabletext1"/>
              <w:rPr>
                <w:rFonts w:cs="Arial"/>
              </w:rPr>
            </w:pPr>
            <w:r w:rsidRPr="00E3331A">
              <w:rPr>
                <w:rFonts w:cs="Arial"/>
              </w:rPr>
              <w:t>Patients with chronic inflammatory demyelinating neuropathy (CIDP)</w:t>
            </w:r>
          </w:p>
        </w:tc>
      </w:tr>
      <w:tr w:rsidR="004F36F1" w:rsidRPr="00E3331A" w:rsidTr="00C771BF">
        <w:trPr>
          <w:trHeight w:val="224"/>
        </w:trPr>
        <w:tc>
          <w:tcPr>
            <w:tcW w:w="2068" w:type="dxa"/>
            <w:shd w:val="clear" w:color="auto" w:fill="auto"/>
          </w:tcPr>
          <w:p w:rsidR="004F36F1" w:rsidRPr="00E3331A" w:rsidRDefault="004F36F1" w:rsidP="00716EBD">
            <w:pPr>
              <w:pStyle w:val="Tabletext1"/>
            </w:pPr>
            <w:r w:rsidRPr="00E3331A">
              <w:t>Intervention</w:t>
            </w:r>
          </w:p>
        </w:tc>
        <w:tc>
          <w:tcPr>
            <w:tcW w:w="6965" w:type="dxa"/>
            <w:shd w:val="clear" w:color="auto" w:fill="auto"/>
          </w:tcPr>
          <w:p w:rsidR="004F36F1" w:rsidRPr="00E3331A" w:rsidRDefault="006A7C13" w:rsidP="00716EBD">
            <w:pPr>
              <w:pStyle w:val="Tabletext1"/>
            </w:pPr>
            <w:r w:rsidRPr="00E3331A">
              <w:t>Intravenous and subcutaneous immunoglobulin (IVIg and SCIg)</w:t>
            </w:r>
          </w:p>
        </w:tc>
      </w:tr>
      <w:tr w:rsidR="004F36F1" w:rsidRPr="00E3331A" w:rsidTr="00C771BF">
        <w:trPr>
          <w:trHeight w:val="612"/>
        </w:trPr>
        <w:tc>
          <w:tcPr>
            <w:tcW w:w="2068" w:type="dxa"/>
            <w:shd w:val="clear" w:color="auto" w:fill="auto"/>
          </w:tcPr>
          <w:p w:rsidR="004F36F1" w:rsidRPr="00E3331A" w:rsidRDefault="004F36F1" w:rsidP="00716EBD">
            <w:pPr>
              <w:pStyle w:val="Tabletext1"/>
            </w:pPr>
            <w:r w:rsidRPr="00E3331A">
              <w:t>Comparator</w:t>
            </w:r>
            <w:r w:rsidR="00FC5203" w:rsidRPr="00E3331A">
              <w:t>s</w:t>
            </w:r>
          </w:p>
        </w:tc>
        <w:tc>
          <w:tcPr>
            <w:tcW w:w="6965" w:type="dxa"/>
            <w:shd w:val="clear" w:color="auto" w:fill="auto"/>
          </w:tcPr>
          <w:p w:rsidR="004F36F1" w:rsidRPr="00E3331A" w:rsidRDefault="006A7C13" w:rsidP="001F5B33">
            <w:pPr>
              <w:pStyle w:val="Tabletext1"/>
              <w:numPr>
                <w:ilvl w:val="0"/>
                <w:numId w:val="16"/>
              </w:numPr>
            </w:pPr>
            <w:bookmarkStart w:id="179" w:name="_Hlk5868566"/>
            <w:r w:rsidRPr="00E3331A">
              <w:t>Steroids (oral and intravenous)</w:t>
            </w:r>
          </w:p>
          <w:p w:rsidR="006A7C13" w:rsidRPr="00E3331A" w:rsidRDefault="006A7C13" w:rsidP="001F5B33">
            <w:pPr>
              <w:pStyle w:val="Tabletext1"/>
              <w:numPr>
                <w:ilvl w:val="0"/>
                <w:numId w:val="16"/>
              </w:numPr>
            </w:pPr>
            <w:r w:rsidRPr="00E3331A">
              <w:t>Plasma exchange</w:t>
            </w:r>
          </w:p>
          <w:p w:rsidR="006A7C13" w:rsidRPr="00E3331A" w:rsidRDefault="006A7C13" w:rsidP="001F5B33">
            <w:pPr>
              <w:pStyle w:val="Tabletext1"/>
              <w:numPr>
                <w:ilvl w:val="0"/>
                <w:numId w:val="16"/>
              </w:numPr>
            </w:pPr>
            <w:r w:rsidRPr="00E3331A">
              <w:t>Immunosuppressant and/or immunomodulatory drugs and therapies (not includ</w:t>
            </w:r>
            <w:r w:rsidR="00D67E17" w:rsidRPr="00E3331A">
              <w:t>ing</w:t>
            </w:r>
            <w:r w:rsidRPr="00E3331A">
              <w:t xml:space="preserve"> steroids)</w:t>
            </w:r>
          </w:p>
          <w:p w:rsidR="006A7C13" w:rsidRPr="00E3331A" w:rsidRDefault="006A7C13" w:rsidP="001F5B33">
            <w:pPr>
              <w:pStyle w:val="Tabletext1"/>
              <w:numPr>
                <w:ilvl w:val="0"/>
                <w:numId w:val="16"/>
              </w:numPr>
            </w:pPr>
            <w:r w:rsidRPr="00E3331A">
              <w:t>A combination of two or more of the above therapies</w:t>
            </w:r>
          </w:p>
          <w:p w:rsidR="006A7C13" w:rsidRPr="00E3331A" w:rsidRDefault="006A7C13" w:rsidP="001F5B33">
            <w:pPr>
              <w:pStyle w:val="Tabletext1"/>
              <w:numPr>
                <w:ilvl w:val="0"/>
                <w:numId w:val="16"/>
              </w:numPr>
            </w:pPr>
            <w:r w:rsidRPr="00E3331A">
              <w:t>No active treatment</w:t>
            </w:r>
            <w:bookmarkEnd w:id="179"/>
          </w:p>
        </w:tc>
      </w:tr>
      <w:tr w:rsidR="004F36F1" w:rsidRPr="00E3331A" w:rsidTr="00C771BF">
        <w:trPr>
          <w:trHeight w:val="547"/>
        </w:trPr>
        <w:tc>
          <w:tcPr>
            <w:tcW w:w="2068" w:type="dxa"/>
            <w:shd w:val="clear" w:color="auto" w:fill="auto"/>
          </w:tcPr>
          <w:p w:rsidR="004F36F1" w:rsidRPr="00E3331A" w:rsidRDefault="004F36F1" w:rsidP="00716EBD">
            <w:pPr>
              <w:pStyle w:val="Tabletext1"/>
            </w:pPr>
            <w:r w:rsidRPr="00E3331A">
              <w:t>Outcomes</w:t>
            </w:r>
          </w:p>
        </w:tc>
        <w:tc>
          <w:tcPr>
            <w:tcW w:w="6965" w:type="dxa"/>
            <w:shd w:val="clear" w:color="auto" w:fill="auto"/>
          </w:tcPr>
          <w:p w:rsidR="004F36F1" w:rsidRPr="00E3331A" w:rsidRDefault="00907C6E" w:rsidP="00716EBD">
            <w:pPr>
              <w:pStyle w:val="Tabletext1"/>
              <w:rPr>
                <w:rFonts w:cs="Arial"/>
              </w:rPr>
            </w:pPr>
            <w:r w:rsidRPr="00E3331A">
              <w:rPr>
                <w:rFonts w:cs="Arial"/>
              </w:rPr>
              <w:t>Critical for decision making:</w:t>
            </w:r>
          </w:p>
          <w:p w:rsidR="00907C6E" w:rsidRPr="00E3331A" w:rsidRDefault="00DD2242" w:rsidP="00716EBD">
            <w:pPr>
              <w:pStyle w:val="Tabletext1"/>
              <w:rPr>
                <w:rFonts w:cs="Arial"/>
              </w:rPr>
            </w:pPr>
            <w:r w:rsidRPr="00E3331A">
              <w:rPr>
                <w:rFonts w:cs="Arial"/>
              </w:rPr>
              <w:t>Any a</w:t>
            </w:r>
            <w:r w:rsidR="00FC5203" w:rsidRPr="00E3331A">
              <w:rPr>
                <w:rFonts w:cs="Arial"/>
              </w:rPr>
              <w:t>dverse events including the development of disease</w:t>
            </w:r>
            <w:r w:rsidR="00FD160D" w:rsidRPr="00E3331A">
              <w:rPr>
                <w:rFonts w:cs="Arial"/>
              </w:rPr>
              <w:t xml:space="preserve"> or side effects (e.g. infections, diabetes, hypertension, cardiovascular disease, prolonged ventilation in ICU)</w:t>
            </w:r>
            <w:r w:rsidRPr="00E3331A">
              <w:rPr>
                <w:rFonts w:cs="Arial"/>
              </w:rPr>
              <w:t>.</w:t>
            </w:r>
          </w:p>
        </w:tc>
      </w:tr>
      <w:tr w:rsidR="004F36F1" w:rsidRPr="00E3331A" w:rsidTr="00140E14">
        <w:trPr>
          <w:trHeight w:val="493"/>
        </w:trPr>
        <w:tc>
          <w:tcPr>
            <w:tcW w:w="2068" w:type="dxa"/>
            <w:tcBorders>
              <w:top w:val="single" w:sz="4" w:space="0" w:color="auto"/>
              <w:bottom w:val="single" w:sz="4" w:space="0" w:color="auto"/>
            </w:tcBorders>
            <w:shd w:val="clear" w:color="auto" w:fill="auto"/>
          </w:tcPr>
          <w:p w:rsidR="004F36F1" w:rsidRPr="00E3331A" w:rsidRDefault="004F36F1" w:rsidP="00716EBD">
            <w:pPr>
              <w:pStyle w:val="Tabletext1"/>
              <w:rPr>
                <w:b/>
              </w:rPr>
            </w:pPr>
            <w:r w:rsidRPr="00E3331A">
              <w:rPr>
                <w:b/>
              </w:rPr>
              <w:t>Systematic review question</w:t>
            </w:r>
          </w:p>
        </w:tc>
        <w:tc>
          <w:tcPr>
            <w:tcW w:w="6965" w:type="dxa"/>
            <w:tcBorders>
              <w:top w:val="single" w:sz="4" w:space="0" w:color="auto"/>
              <w:bottom w:val="single" w:sz="4" w:space="0" w:color="auto"/>
            </w:tcBorders>
            <w:shd w:val="clear" w:color="auto" w:fill="auto"/>
          </w:tcPr>
          <w:p w:rsidR="004F36F1" w:rsidRPr="00E3331A" w:rsidRDefault="00FD160D" w:rsidP="00716EBD">
            <w:pPr>
              <w:pStyle w:val="Tabletext1"/>
              <w:rPr>
                <w:rFonts w:cs="Arial"/>
              </w:rPr>
            </w:pPr>
            <w:r w:rsidRPr="00E3331A">
              <w:rPr>
                <w:rFonts w:cs="Arial"/>
              </w:rPr>
              <w:t xml:space="preserve">What is the </w:t>
            </w:r>
            <w:r w:rsidR="00DD2242" w:rsidRPr="00E3331A">
              <w:rPr>
                <w:rFonts w:cs="Arial"/>
              </w:rPr>
              <w:t xml:space="preserve">relative </w:t>
            </w:r>
            <w:r w:rsidRPr="00E3331A">
              <w:rPr>
                <w:rFonts w:cs="Arial"/>
              </w:rPr>
              <w:t xml:space="preserve">safety of Ig </w:t>
            </w:r>
            <w:r w:rsidR="000742E5" w:rsidRPr="00E3331A">
              <w:rPr>
                <w:rFonts w:cs="Arial"/>
              </w:rPr>
              <w:t xml:space="preserve">(IVIg and SCIg) </w:t>
            </w:r>
            <w:r w:rsidRPr="00E3331A">
              <w:rPr>
                <w:rFonts w:cs="Arial"/>
              </w:rPr>
              <w:t>for the management of CIDP?</w:t>
            </w:r>
          </w:p>
        </w:tc>
      </w:tr>
    </w:tbl>
    <w:p w:rsidR="004F36F1" w:rsidRPr="00E3331A" w:rsidRDefault="00FC5203" w:rsidP="00DF343F">
      <w:pPr>
        <w:jc w:val="both"/>
        <w:rPr>
          <w:rFonts w:ascii="Arial Narrow" w:hAnsi="Arial Narrow"/>
          <w:sz w:val="18"/>
          <w:szCs w:val="18"/>
        </w:rPr>
      </w:pPr>
      <w:r w:rsidRPr="00E3331A">
        <w:rPr>
          <w:rFonts w:ascii="Arial Narrow" w:hAnsi="Arial Narrow"/>
          <w:sz w:val="18"/>
          <w:szCs w:val="18"/>
        </w:rPr>
        <w:t xml:space="preserve">CIDP: chronic inflammatory demyelinating neuropathy; </w:t>
      </w:r>
      <w:r w:rsidR="00FD160D" w:rsidRPr="00E3331A">
        <w:rPr>
          <w:rFonts w:ascii="Arial Narrow" w:hAnsi="Arial Narrow"/>
          <w:sz w:val="18"/>
          <w:szCs w:val="18"/>
        </w:rPr>
        <w:t xml:space="preserve">ICU: intensive care unit; </w:t>
      </w:r>
      <w:r w:rsidRPr="00E3331A">
        <w:rPr>
          <w:rFonts w:ascii="Arial Narrow" w:hAnsi="Arial Narrow"/>
          <w:sz w:val="18"/>
          <w:szCs w:val="18"/>
        </w:rPr>
        <w:t>Ig: immunoglobulin</w:t>
      </w:r>
    </w:p>
    <w:p w:rsidR="00716EBD" w:rsidRPr="00E3331A" w:rsidRDefault="00255B28" w:rsidP="00255B28">
      <w:pPr>
        <w:pStyle w:val="Caption"/>
      </w:pPr>
      <w:bookmarkStart w:id="180" w:name="_Ref395200521"/>
      <w:bookmarkStart w:id="181" w:name="_Toc23767042"/>
      <w:bookmarkStart w:id="182" w:name="_Toc393378292"/>
      <w:r w:rsidRPr="00E3331A">
        <w:t xml:space="preserve">Box </w:t>
      </w:r>
      <w:r w:rsidR="006F35B9">
        <w:rPr>
          <w:noProof/>
        </w:rPr>
        <w:t>2</w:t>
      </w:r>
      <w:bookmarkEnd w:id="180"/>
      <w:r w:rsidR="00BB381C" w:rsidRPr="00E3331A">
        <w:rPr>
          <w:szCs w:val="20"/>
        </w:rPr>
        <w:tab/>
      </w:r>
      <w:r w:rsidR="00716EBD" w:rsidRPr="00E3331A">
        <w:t xml:space="preserve">Criteria for identifying and selecting studies to determine the </w:t>
      </w:r>
      <w:r w:rsidR="00492E2D" w:rsidRPr="00E3331A">
        <w:t xml:space="preserve">efficacy </w:t>
      </w:r>
      <w:r w:rsidR="00716EBD" w:rsidRPr="00E3331A">
        <w:t xml:space="preserve">of </w:t>
      </w:r>
      <w:r w:rsidR="00FC5203" w:rsidRPr="00E3331A">
        <w:t>Ig</w:t>
      </w:r>
      <w:r w:rsidR="00716EBD" w:rsidRPr="00E3331A">
        <w:t xml:space="preserve"> in patients with </w:t>
      </w:r>
      <w:r w:rsidR="00FC5203" w:rsidRPr="00E3331A">
        <w:t>CIDP</w:t>
      </w:r>
      <w:bookmarkEnd w:id="181"/>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48"/>
        <w:gridCol w:w="7071"/>
      </w:tblGrid>
      <w:tr w:rsidR="00BB381C" w:rsidRPr="00E3331A" w:rsidTr="00716EBD">
        <w:trPr>
          <w:trHeight w:val="263"/>
        </w:trPr>
        <w:tc>
          <w:tcPr>
            <w:tcW w:w="1951" w:type="dxa"/>
            <w:shd w:val="clear" w:color="auto" w:fill="auto"/>
          </w:tcPr>
          <w:bookmarkEnd w:id="182"/>
          <w:p w:rsidR="00BB381C" w:rsidRPr="00E3331A" w:rsidRDefault="00BB381C" w:rsidP="00716EBD">
            <w:pPr>
              <w:pStyle w:val="Tabletext1"/>
              <w:rPr>
                <w:b/>
              </w:rPr>
            </w:pPr>
            <w:r w:rsidRPr="00E3331A">
              <w:rPr>
                <w:b/>
              </w:rPr>
              <w:t>Selection criteria</w:t>
            </w:r>
          </w:p>
        </w:tc>
        <w:tc>
          <w:tcPr>
            <w:tcW w:w="7088" w:type="dxa"/>
            <w:shd w:val="clear" w:color="auto" w:fill="auto"/>
          </w:tcPr>
          <w:p w:rsidR="00BB381C" w:rsidRPr="00E3331A" w:rsidRDefault="00716EBD" w:rsidP="00716EBD">
            <w:pPr>
              <w:pStyle w:val="Tabletext1"/>
              <w:jc w:val="center"/>
              <w:rPr>
                <w:rFonts w:cs="Arial"/>
                <w:b/>
              </w:rPr>
            </w:pPr>
            <w:r w:rsidRPr="00E3331A">
              <w:rPr>
                <w:rFonts w:cs="Arial"/>
                <w:b/>
              </w:rPr>
              <w:t>Description</w:t>
            </w:r>
          </w:p>
        </w:tc>
      </w:tr>
      <w:tr w:rsidR="006A7C13" w:rsidRPr="00E3331A" w:rsidTr="00716EBD">
        <w:tc>
          <w:tcPr>
            <w:tcW w:w="1951" w:type="dxa"/>
            <w:shd w:val="clear" w:color="auto" w:fill="auto"/>
          </w:tcPr>
          <w:p w:rsidR="006A7C13" w:rsidRPr="00E3331A" w:rsidRDefault="006A7C13" w:rsidP="006A7C13">
            <w:pPr>
              <w:pStyle w:val="Tabletext1"/>
            </w:pPr>
            <w:r w:rsidRPr="00E3331A">
              <w:t>Population</w:t>
            </w:r>
          </w:p>
        </w:tc>
        <w:tc>
          <w:tcPr>
            <w:tcW w:w="7088" w:type="dxa"/>
            <w:shd w:val="clear" w:color="auto" w:fill="auto"/>
          </w:tcPr>
          <w:p w:rsidR="006A7C13" w:rsidRPr="00E3331A" w:rsidRDefault="006A7C13" w:rsidP="006A7C13">
            <w:pPr>
              <w:pStyle w:val="Tabletext1"/>
              <w:rPr>
                <w:rFonts w:cs="Arial"/>
              </w:rPr>
            </w:pPr>
            <w:r w:rsidRPr="00E3331A">
              <w:rPr>
                <w:rFonts w:cs="Arial"/>
              </w:rPr>
              <w:t>Patients with chronic inflammatory demyelinating neuropathy (CIDP)</w:t>
            </w:r>
          </w:p>
        </w:tc>
      </w:tr>
      <w:tr w:rsidR="006A7C13" w:rsidRPr="00E3331A" w:rsidTr="00716EBD">
        <w:tc>
          <w:tcPr>
            <w:tcW w:w="1951" w:type="dxa"/>
            <w:shd w:val="clear" w:color="auto" w:fill="auto"/>
          </w:tcPr>
          <w:p w:rsidR="006A7C13" w:rsidRPr="00E3331A" w:rsidRDefault="006A7C13" w:rsidP="006A7C13">
            <w:pPr>
              <w:pStyle w:val="Tabletext1"/>
            </w:pPr>
            <w:r w:rsidRPr="00E3331A">
              <w:t>Intervention</w:t>
            </w:r>
          </w:p>
        </w:tc>
        <w:tc>
          <w:tcPr>
            <w:tcW w:w="7088" w:type="dxa"/>
            <w:shd w:val="clear" w:color="auto" w:fill="auto"/>
          </w:tcPr>
          <w:p w:rsidR="006A7C13" w:rsidRPr="00E3331A" w:rsidRDefault="006A7C13" w:rsidP="006A7C13">
            <w:pPr>
              <w:pStyle w:val="Tabletext1"/>
            </w:pPr>
            <w:r w:rsidRPr="00E3331A">
              <w:t>Intravenous and subcutaneous immunoglobulin (IVIg and SCIg)</w:t>
            </w:r>
          </w:p>
        </w:tc>
      </w:tr>
      <w:tr w:rsidR="006A7C13" w:rsidRPr="00E3331A" w:rsidTr="00716EBD">
        <w:tc>
          <w:tcPr>
            <w:tcW w:w="1951" w:type="dxa"/>
            <w:shd w:val="clear" w:color="auto" w:fill="auto"/>
          </w:tcPr>
          <w:p w:rsidR="006A7C13" w:rsidRPr="00E3331A" w:rsidRDefault="006A7C13" w:rsidP="006A7C13">
            <w:pPr>
              <w:pStyle w:val="Tabletext1"/>
            </w:pPr>
            <w:r w:rsidRPr="00E3331A">
              <w:t>Comparato</w:t>
            </w:r>
            <w:r w:rsidR="00FC5203" w:rsidRPr="00E3331A">
              <w:t>rs</w:t>
            </w:r>
          </w:p>
        </w:tc>
        <w:tc>
          <w:tcPr>
            <w:tcW w:w="7088" w:type="dxa"/>
            <w:shd w:val="clear" w:color="auto" w:fill="auto"/>
          </w:tcPr>
          <w:p w:rsidR="006A7C13" w:rsidRPr="00E3331A" w:rsidRDefault="006A7C13" w:rsidP="001F5B33">
            <w:pPr>
              <w:pStyle w:val="Tabletext1"/>
              <w:numPr>
                <w:ilvl w:val="0"/>
                <w:numId w:val="17"/>
              </w:numPr>
            </w:pPr>
            <w:r w:rsidRPr="00E3331A">
              <w:t>Steroids (oral and intravenous)</w:t>
            </w:r>
          </w:p>
          <w:p w:rsidR="006A7C13" w:rsidRPr="00E3331A" w:rsidRDefault="006A7C13" w:rsidP="001F5B33">
            <w:pPr>
              <w:pStyle w:val="Tabletext1"/>
              <w:numPr>
                <w:ilvl w:val="0"/>
                <w:numId w:val="17"/>
              </w:numPr>
            </w:pPr>
            <w:r w:rsidRPr="00E3331A">
              <w:t>Plasma exchange</w:t>
            </w:r>
          </w:p>
          <w:p w:rsidR="006A7C13" w:rsidRPr="00E3331A" w:rsidRDefault="006A7C13" w:rsidP="001F5B33">
            <w:pPr>
              <w:pStyle w:val="Tabletext1"/>
              <w:numPr>
                <w:ilvl w:val="0"/>
                <w:numId w:val="17"/>
              </w:numPr>
            </w:pPr>
            <w:r w:rsidRPr="00E3331A">
              <w:t>Immunosuppressant and/or immunomodulatory drugs and therapies (not includ</w:t>
            </w:r>
            <w:r w:rsidR="00D67E17" w:rsidRPr="00E3331A">
              <w:t>ing</w:t>
            </w:r>
            <w:r w:rsidRPr="00E3331A">
              <w:t xml:space="preserve"> steroids)</w:t>
            </w:r>
          </w:p>
          <w:p w:rsidR="006A7C13" w:rsidRPr="00E3331A" w:rsidRDefault="006A7C13" w:rsidP="001F5B33">
            <w:pPr>
              <w:pStyle w:val="Tabletext1"/>
              <w:numPr>
                <w:ilvl w:val="0"/>
                <w:numId w:val="17"/>
              </w:numPr>
            </w:pPr>
            <w:r w:rsidRPr="00E3331A">
              <w:t>A combination of two or more of the above therapies</w:t>
            </w:r>
          </w:p>
          <w:p w:rsidR="006A7C13" w:rsidRPr="00E3331A" w:rsidRDefault="006A7C13" w:rsidP="001F5B33">
            <w:pPr>
              <w:pStyle w:val="Tabletext1"/>
              <w:numPr>
                <w:ilvl w:val="0"/>
                <w:numId w:val="17"/>
              </w:numPr>
            </w:pPr>
            <w:r w:rsidRPr="00E3331A">
              <w:t>No active treatment</w:t>
            </w:r>
          </w:p>
        </w:tc>
      </w:tr>
      <w:tr w:rsidR="006A7C13" w:rsidRPr="00E3331A" w:rsidTr="00716EBD">
        <w:tc>
          <w:tcPr>
            <w:tcW w:w="1951" w:type="dxa"/>
            <w:shd w:val="clear" w:color="auto" w:fill="auto"/>
          </w:tcPr>
          <w:p w:rsidR="006A7C13" w:rsidRPr="00E3331A" w:rsidRDefault="006A7C13" w:rsidP="006A7C13">
            <w:pPr>
              <w:pStyle w:val="Tabletext1"/>
            </w:pPr>
            <w:r w:rsidRPr="00E3331A">
              <w:t>Outcomes</w:t>
            </w:r>
          </w:p>
        </w:tc>
        <w:tc>
          <w:tcPr>
            <w:tcW w:w="7088" w:type="dxa"/>
            <w:shd w:val="clear" w:color="auto" w:fill="auto"/>
          </w:tcPr>
          <w:p w:rsidR="006A7C13" w:rsidRPr="00E3331A" w:rsidRDefault="006A7C13" w:rsidP="006A7C13">
            <w:pPr>
              <w:pStyle w:val="Tabletext1"/>
              <w:rPr>
                <w:rFonts w:cs="Arial"/>
              </w:rPr>
            </w:pPr>
            <w:r w:rsidRPr="00E3331A">
              <w:rPr>
                <w:rFonts w:cs="Arial"/>
              </w:rPr>
              <w:t>Critical for decision making:</w:t>
            </w:r>
          </w:p>
          <w:p w:rsidR="00FD160D" w:rsidRPr="00E3331A" w:rsidRDefault="00C63ECB" w:rsidP="001F5B33">
            <w:pPr>
              <w:pStyle w:val="Tabletext1"/>
              <w:numPr>
                <w:ilvl w:val="0"/>
                <w:numId w:val="18"/>
              </w:numPr>
              <w:rPr>
                <w:rFonts w:cs="Arial"/>
              </w:rPr>
            </w:pPr>
            <w:r w:rsidRPr="00E3331A">
              <w:rPr>
                <w:rFonts w:cs="Arial"/>
              </w:rPr>
              <w:t>Change in disability (e.g. Overall Neuropathy Limitations Scale (ONLS) score, Six-Minute Walk Test (6MWT) in children only)</w:t>
            </w:r>
          </w:p>
          <w:p w:rsidR="00C63ECB" w:rsidRPr="00E3331A" w:rsidRDefault="00C63ECB" w:rsidP="001F5B33">
            <w:pPr>
              <w:pStyle w:val="Tabletext1"/>
              <w:numPr>
                <w:ilvl w:val="0"/>
                <w:numId w:val="18"/>
              </w:numPr>
              <w:rPr>
                <w:rFonts w:cs="Arial"/>
              </w:rPr>
            </w:pPr>
            <w:r w:rsidRPr="00E3331A">
              <w:rPr>
                <w:rFonts w:cs="Arial"/>
              </w:rPr>
              <w:t>Change in muscle strength (e.g. Medical Research Council (MRC) Sum (12) in adults, Modified Ranking Scale (MRS) in children)</w:t>
            </w:r>
          </w:p>
          <w:p w:rsidR="00C63ECB" w:rsidRPr="00E3331A" w:rsidRDefault="00C63ECB" w:rsidP="001F5B33">
            <w:pPr>
              <w:pStyle w:val="Tabletext1"/>
              <w:numPr>
                <w:ilvl w:val="0"/>
                <w:numId w:val="18"/>
              </w:numPr>
              <w:rPr>
                <w:rFonts w:cs="Arial"/>
              </w:rPr>
            </w:pPr>
            <w:r w:rsidRPr="00E3331A">
              <w:rPr>
                <w:rFonts w:cs="Arial"/>
              </w:rPr>
              <w:t>Change in quality of life</w:t>
            </w:r>
          </w:p>
          <w:p w:rsidR="006A7C13" w:rsidRPr="00E3331A" w:rsidRDefault="00C63ECB" w:rsidP="006A7C13">
            <w:pPr>
              <w:pStyle w:val="Tabletext1"/>
              <w:numPr>
                <w:ilvl w:val="0"/>
                <w:numId w:val="18"/>
              </w:numPr>
              <w:rPr>
                <w:rFonts w:cs="Arial"/>
              </w:rPr>
            </w:pPr>
            <w:r w:rsidRPr="00E3331A">
              <w:rPr>
                <w:rFonts w:cs="Arial"/>
              </w:rPr>
              <w:t>Mortality</w:t>
            </w:r>
          </w:p>
        </w:tc>
      </w:tr>
      <w:tr w:rsidR="006A7C13" w:rsidRPr="00E3331A" w:rsidTr="00716EBD">
        <w:tc>
          <w:tcPr>
            <w:tcW w:w="1951" w:type="dxa"/>
            <w:tcBorders>
              <w:top w:val="single" w:sz="4" w:space="0" w:color="auto"/>
              <w:bottom w:val="single" w:sz="4" w:space="0" w:color="auto"/>
            </w:tcBorders>
            <w:shd w:val="clear" w:color="auto" w:fill="auto"/>
          </w:tcPr>
          <w:p w:rsidR="006A7C13" w:rsidRPr="00E3331A" w:rsidRDefault="006A7C13" w:rsidP="006A7C13">
            <w:pPr>
              <w:tabs>
                <w:tab w:val="left" w:pos="0"/>
              </w:tabs>
              <w:spacing w:before="40" w:after="40" w:line="240" w:lineRule="auto"/>
              <w:ind w:right="62"/>
              <w:rPr>
                <w:rFonts w:ascii="Arial Narrow" w:hAnsi="Arial Narrow" w:cs="Arial"/>
                <w:b/>
                <w:sz w:val="20"/>
              </w:rPr>
            </w:pPr>
            <w:r w:rsidRPr="00E3331A">
              <w:rPr>
                <w:rFonts w:ascii="Arial Narrow" w:hAnsi="Arial Narrow" w:cs="Arial Narrow"/>
                <w:b/>
                <w:bCs/>
                <w:sz w:val="20"/>
              </w:rPr>
              <w:t>Systematic review question</w:t>
            </w:r>
          </w:p>
        </w:tc>
        <w:tc>
          <w:tcPr>
            <w:tcW w:w="7088" w:type="dxa"/>
            <w:tcBorders>
              <w:top w:val="single" w:sz="4" w:space="0" w:color="auto"/>
              <w:bottom w:val="single" w:sz="4" w:space="0" w:color="auto"/>
            </w:tcBorders>
            <w:shd w:val="clear" w:color="auto" w:fill="auto"/>
          </w:tcPr>
          <w:p w:rsidR="006A7C13" w:rsidRPr="00E3331A" w:rsidRDefault="00FD160D" w:rsidP="006A7C13">
            <w:pPr>
              <w:tabs>
                <w:tab w:val="left" w:pos="0"/>
              </w:tabs>
              <w:spacing w:before="40" w:after="40" w:line="240" w:lineRule="auto"/>
              <w:ind w:right="62"/>
              <w:rPr>
                <w:rFonts w:ascii="Arial Narrow" w:hAnsi="Arial Narrow" w:cs="Arial"/>
                <w:sz w:val="20"/>
              </w:rPr>
            </w:pPr>
            <w:r w:rsidRPr="00E3331A">
              <w:rPr>
                <w:rFonts w:ascii="Arial Narrow" w:hAnsi="Arial Narrow" w:cs="Arial"/>
                <w:sz w:val="20"/>
              </w:rPr>
              <w:t>What is the</w:t>
            </w:r>
            <w:r w:rsidR="00DD2242" w:rsidRPr="00E3331A">
              <w:rPr>
                <w:rFonts w:ascii="Arial Narrow" w:hAnsi="Arial Narrow" w:cs="Arial"/>
                <w:sz w:val="20"/>
              </w:rPr>
              <w:t xml:space="preserve"> relative</w:t>
            </w:r>
            <w:r w:rsidRPr="00E3331A">
              <w:rPr>
                <w:rFonts w:ascii="Arial Narrow" w:hAnsi="Arial Narrow" w:cs="Arial"/>
                <w:sz w:val="20"/>
              </w:rPr>
              <w:t xml:space="preserve"> </w:t>
            </w:r>
            <w:r w:rsidR="00492E2D" w:rsidRPr="00E3331A">
              <w:rPr>
                <w:rFonts w:ascii="Arial Narrow" w:hAnsi="Arial Narrow" w:cs="Arial"/>
                <w:sz w:val="20"/>
              </w:rPr>
              <w:t>efficacy</w:t>
            </w:r>
            <w:r w:rsidRPr="00E3331A">
              <w:rPr>
                <w:rFonts w:ascii="Arial Narrow" w:hAnsi="Arial Narrow" w:cs="Arial"/>
                <w:sz w:val="20"/>
              </w:rPr>
              <w:t xml:space="preserve"> of Ig </w:t>
            </w:r>
            <w:r w:rsidR="000742E5" w:rsidRPr="00E3331A">
              <w:rPr>
                <w:rFonts w:ascii="Arial Narrow" w:hAnsi="Arial Narrow" w:cs="Arial"/>
                <w:sz w:val="20"/>
              </w:rPr>
              <w:t xml:space="preserve">(IVIg and SCIg) </w:t>
            </w:r>
            <w:r w:rsidRPr="00E3331A">
              <w:rPr>
                <w:rFonts w:ascii="Arial Narrow" w:hAnsi="Arial Narrow" w:cs="Arial"/>
                <w:sz w:val="20"/>
              </w:rPr>
              <w:t xml:space="preserve">for the management of CIDP? </w:t>
            </w:r>
          </w:p>
        </w:tc>
      </w:tr>
    </w:tbl>
    <w:p w:rsidR="00FC5203" w:rsidRPr="00E3331A" w:rsidRDefault="00FC5203" w:rsidP="00FC5203">
      <w:pPr>
        <w:jc w:val="both"/>
        <w:rPr>
          <w:rFonts w:ascii="Arial Narrow" w:hAnsi="Arial Narrow"/>
          <w:sz w:val="18"/>
          <w:szCs w:val="18"/>
        </w:rPr>
      </w:pPr>
      <w:r w:rsidRPr="00E3331A">
        <w:rPr>
          <w:rFonts w:ascii="Arial Narrow" w:hAnsi="Arial Narrow"/>
          <w:sz w:val="18"/>
          <w:szCs w:val="18"/>
        </w:rPr>
        <w:t>CIDP: chronic inflammatory demyelinating neuropathy; Ig: immunoglobulin</w:t>
      </w:r>
    </w:p>
    <w:p w:rsidR="00C33F2C" w:rsidRPr="00E3331A" w:rsidRDefault="00C33F2C" w:rsidP="003E4E1F">
      <w:pPr>
        <w:pStyle w:val="Heading2"/>
        <w:numPr>
          <w:ilvl w:val="0"/>
          <w:numId w:val="8"/>
        </w:numPr>
      </w:pPr>
      <w:bookmarkStart w:id="183" w:name="_Toc426968125"/>
      <w:bookmarkStart w:id="184" w:name="_Toc24103446"/>
      <w:r w:rsidRPr="00E3331A">
        <w:t>Consumer impact statement</w:t>
      </w:r>
      <w:bookmarkEnd w:id="183"/>
      <w:bookmarkEnd w:id="184"/>
    </w:p>
    <w:p w:rsidR="005D560F" w:rsidRPr="00E3331A" w:rsidRDefault="005D560F" w:rsidP="003840DD">
      <w:r w:rsidRPr="00E3331A">
        <w:t>All feedback was broadly supportive of Ig use for CIDP.</w:t>
      </w:r>
    </w:p>
    <w:p w:rsidR="00B92DBF" w:rsidRPr="00E3331A" w:rsidRDefault="00B92DBF" w:rsidP="00C84382">
      <w:pPr>
        <w:pStyle w:val="Heading3"/>
      </w:pPr>
      <w:bookmarkStart w:id="185" w:name="_Toc24103447"/>
      <w:r w:rsidRPr="00E3331A">
        <w:t xml:space="preserve">Targeted Consultation Survey </w:t>
      </w:r>
      <w:r w:rsidR="001B576E">
        <w:t>f</w:t>
      </w:r>
      <w:r w:rsidRPr="00E3331A">
        <w:t>eedback</w:t>
      </w:r>
      <w:bookmarkEnd w:id="185"/>
    </w:p>
    <w:p w:rsidR="00C33F2C" w:rsidRPr="00E3331A" w:rsidRDefault="00BC71A6" w:rsidP="00DD2242">
      <w:r w:rsidRPr="00E3331A">
        <w:t xml:space="preserve">Feedback </w:t>
      </w:r>
      <w:r w:rsidR="00A519B7" w:rsidRPr="00E3331A">
        <w:t xml:space="preserve">to the </w:t>
      </w:r>
      <w:r w:rsidR="00E813BE" w:rsidRPr="00E3331A">
        <w:t>T</w:t>
      </w:r>
      <w:r w:rsidR="00A519B7" w:rsidRPr="00E3331A">
        <w:t>argeted Consu</w:t>
      </w:r>
      <w:r w:rsidR="00E813BE" w:rsidRPr="00E3331A">
        <w:t>l</w:t>
      </w:r>
      <w:r w:rsidR="00A519B7" w:rsidRPr="00E3331A">
        <w:t>tation Survey</w:t>
      </w:r>
      <w:r w:rsidR="001E06B5" w:rsidRPr="00E3331A">
        <w:t xml:space="preserve"> w</w:t>
      </w:r>
      <w:r w:rsidRPr="00E3331A">
        <w:t>as received from</w:t>
      </w:r>
      <w:r w:rsidR="00A519B7" w:rsidRPr="00E3331A">
        <w:t xml:space="preserve"> a </w:t>
      </w:r>
      <w:r w:rsidR="00E813BE" w:rsidRPr="00E3331A">
        <w:t>s</w:t>
      </w:r>
      <w:r w:rsidR="00A519B7" w:rsidRPr="00E3331A">
        <w:t xml:space="preserve">pecialist </w:t>
      </w:r>
      <w:r w:rsidR="00E813BE" w:rsidRPr="00E3331A">
        <w:t>n</w:t>
      </w:r>
      <w:r w:rsidR="00A519B7" w:rsidRPr="00E3331A">
        <w:t>eurologist and a manufacture</w:t>
      </w:r>
      <w:r w:rsidR="00E813BE" w:rsidRPr="00E3331A">
        <w:t>r</w:t>
      </w:r>
      <w:r w:rsidR="00A519B7" w:rsidRPr="00E3331A">
        <w:t xml:space="preserve"> of therapeutic plasma exchange devices.</w:t>
      </w:r>
    </w:p>
    <w:p w:rsidR="00A519B7" w:rsidRPr="00E3331A" w:rsidRDefault="00A519B7" w:rsidP="00DD2242">
      <w:r w:rsidRPr="00E3331A">
        <w:lastRenderedPageBreak/>
        <w:t>All feedback noted the advantages associated with Ig</w:t>
      </w:r>
      <w:r w:rsidR="00E813BE" w:rsidRPr="00E3331A">
        <w:t>,</w:t>
      </w:r>
      <w:r w:rsidRPr="00E3331A">
        <w:t xml:space="preserve"> highlighting high response rates to treatment and generally high tolerability of the tre</w:t>
      </w:r>
      <w:r w:rsidR="00E813BE" w:rsidRPr="00E3331A">
        <w:t>at</w:t>
      </w:r>
      <w:r w:rsidRPr="00E3331A">
        <w:t>ment.</w:t>
      </w:r>
    </w:p>
    <w:p w:rsidR="001E06B5" w:rsidRPr="00E3331A" w:rsidRDefault="00A519B7" w:rsidP="001E06B5">
      <w:r w:rsidRPr="00E3331A">
        <w:t>Disadvantages included adverse events associated with treatment, requirement for in-hospital treatment</w:t>
      </w:r>
      <w:r w:rsidR="0062084B" w:rsidRPr="00E3331A">
        <w:t>,</w:t>
      </w:r>
      <w:r w:rsidRPr="00E3331A">
        <w:t xml:space="preserve"> and issues with acess</w:t>
      </w:r>
      <w:r w:rsidR="000C0E99">
        <w:t>-</w:t>
      </w:r>
      <w:r w:rsidRPr="00E3331A">
        <w:t>to</w:t>
      </w:r>
      <w:r w:rsidR="000C0E99">
        <w:t>-</w:t>
      </w:r>
      <w:r w:rsidRPr="00E3331A">
        <w:t xml:space="preserve">treatment </w:t>
      </w:r>
      <w:r w:rsidR="0062084B" w:rsidRPr="00E3331A">
        <w:t xml:space="preserve">arising from </w:t>
      </w:r>
      <w:r w:rsidRPr="00E3331A">
        <w:t>increasing demand for Ig. It was noted that S</w:t>
      </w:r>
      <w:r w:rsidR="0062084B" w:rsidRPr="00E3331A">
        <w:t>C</w:t>
      </w:r>
      <w:r w:rsidRPr="00E3331A">
        <w:t>Ig may negate the disadvantage of hospital at</w:t>
      </w:r>
      <w:r w:rsidR="00AD6EA5" w:rsidRPr="00E3331A">
        <w:t>t</w:t>
      </w:r>
      <w:r w:rsidRPr="00E3331A">
        <w:t>endance.</w:t>
      </w:r>
      <w:r w:rsidR="001E06B5" w:rsidRPr="00E3331A">
        <w:t xml:space="preserve"> Both</w:t>
      </w:r>
      <w:r w:rsidR="00AD6EA5" w:rsidRPr="00E3331A">
        <w:t xml:space="preserve"> feedback </w:t>
      </w:r>
      <w:r w:rsidR="001E06B5" w:rsidRPr="00E3331A">
        <w:t>responses noted the financial burden associated with Ig therapy.</w:t>
      </w:r>
    </w:p>
    <w:p w:rsidR="00A519B7" w:rsidRPr="00E3331A" w:rsidRDefault="00A519B7" w:rsidP="00DD2242">
      <w:r w:rsidRPr="00E3331A">
        <w:t xml:space="preserve">The </w:t>
      </w:r>
      <w:r w:rsidR="00AD6EA5" w:rsidRPr="00E3331A">
        <w:t>the</w:t>
      </w:r>
      <w:r w:rsidR="0089651B" w:rsidRPr="00E3331A">
        <w:t>rapeutic plasma exchange device</w:t>
      </w:r>
      <w:r w:rsidR="00AD6EA5" w:rsidRPr="00E3331A">
        <w:t xml:space="preserve"> manufacturer recommended</w:t>
      </w:r>
      <w:r w:rsidRPr="00E3331A">
        <w:t xml:space="preserve"> that plasma exchange sho</w:t>
      </w:r>
      <w:r w:rsidR="001E06B5" w:rsidRPr="00E3331A">
        <w:t>ul</w:t>
      </w:r>
      <w:r w:rsidRPr="00E3331A">
        <w:t>d be co</w:t>
      </w:r>
      <w:r w:rsidR="001E06B5" w:rsidRPr="00E3331A">
        <w:t>n</w:t>
      </w:r>
      <w:r w:rsidR="0089651B" w:rsidRPr="00E3331A">
        <w:t>si</w:t>
      </w:r>
      <w:r w:rsidRPr="00E3331A">
        <w:t>dered a first</w:t>
      </w:r>
      <w:r w:rsidR="0089651B" w:rsidRPr="00E3331A">
        <w:t>-</w:t>
      </w:r>
      <w:r w:rsidRPr="00E3331A">
        <w:t>line treatment for CIDP</w:t>
      </w:r>
      <w:r w:rsidR="0089651B" w:rsidRPr="00E3331A">
        <w:t>,</w:t>
      </w:r>
      <w:r w:rsidRPr="00E3331A">
        <w:t xml:space="preserve"> not</w:t>
      </w:r>
      <w:r w:rsidR="0089651B" w:rsidRPr="00E3331A">
        <w:t>ing</w:t>
      </w:r>
      <w:r w:rsidRPr="00E3331A">
        <w:t xml:space="preserve"> evidence that Ig and therapeutic plasma exchange are therapeutically equivalent.</w:t>
      </w:r>
    </w:p>
    <w:p w:rsidR="00DB223B" w:rsidRPr="00E3331A" w:rsidRDefault="00DB223B" w:rsidP="00C84382">
      <w:pPr>
        <w:pStyle w:val="Heading3"/>
      </w:pPr>
      <w:bookmarkStart w:id="186" w:name="_Toc24103448"/>
      <w:r w:rsidRPr="00E3331A">
        <w:t xml:space="preserve">Sponsor </w:t>
      </w:r>
      <w:r w:rsidR="001B576E">
        <w:t>c</w:t>
      </w:r>
      <w:r w:rsidRPr="00E3331A">
        <w:t>omments</w:t>
      </w:r>
      <w:r w:rsidR="001E06B5" w:rsidRPr="00E3331A">
        <w:t xml:space="preserve"> on the PICO </w:t>
      </w:r>
      <w:r w:rsidR="001B576E">
        <w:t>c</w:t>
      </w:r>
      <w:r w:rsidR="001E06B5" w:rsidRPr="00E3331A">
        <w:t>onfirmation</w:t>
      </w:r>
      <w:bookmarkEnd w:id="186"/>
    </w:p>
    <w:p w:rsidR="001E06B5" w:rsidRPr="00E3331A" w:rsidRDefault="00993BF0" w:rsidP="00DD2242">
      <w:r w:rsidRPr="0081135A">
        <w:t xml:space="preserve">On 21 May 2019, sponsors of Ig were contacted and given an opportunity to provide input to the development of this contracted assessment, specifically information relevant to the utilisation, efficacy, safety and cost-effectiveness of Ig. </w:t>
      </w:r>
      <w:r w:rsidR="00902B49">
        <w:t>The s</w:t>
      </w:r>
      <w:r>
        <w:t xml:space="preserve">ubmissions received from four companies were provided to the contracted HTA group for consideration in the development of this report. </w:t>
      </w:r>
      <w:r w:rsidR="001E06B5" w:rsidRPr="00E3331A">
        <w:t>Much of this feedback i</w:t>
      </w:r>
      <w:r w:rsidR="00902B49">
        <w:t xml:space="preserve">ncluded </w:t>
      </w:r>
      <w:r w:rsidR="001E06B5" w:rsidRPr="00E3331A">
        <w:t xml:space="preserve">key trials </w:t>
      </w:r>
      <w:r w:rsidR="00A35B17" w:rsidRPr="00E3331A">
        <w:t xml:space="preserve">already </w:t>
      </w:r>
      <w:r w:rsidR="001E06B5" w:rsidRPr="00E3331A">
        <w:t>identified in this Assessment</w:t>
      </w:r>
      <w:r w:rsidR="00902B49">
        <w:t xml:space="preserve"> Report</w:t>
      </w:r>
      <w:r w:rsidR="001E06B5" w:rsidRPr="00E3331A">
        <w:t>.</w:t>
      </w:r>
      <w:r>
        <w:t xml:space="preserve"> </w:t>
      </w:r>
      <w:r w:rsidRPr="0081135A">
        <w:t>Sponsors did not provide any unpublished clinical trial data that would</w:t>
      </w:r>
      <w:r w:rsidR="00902B49">
        <w:t xml:space="preserve"> furhter</w:t>
      </w:r>
      <w:r w:rsidRPr="0081135A">
        <w:t xml:space="preserve"> inform the </w:t>
      </w:r>
      <w:r>
        <w:t xml:space="preserve">contracted </w:t>
      </w:r>
      <w:r w:rsidRPr="0081135A">
        <w:t>assessment.</w:t>
      </w:r>
      <w:r>
        <w:t xml:space="preserve"> </w:t>
      </w:r>
      <w:r w:rsidRPr="0081135A">
        <w:t>Sponsors also provided comments on management of the Ig supply and access to SCIg, and the process for the Ig Review</w:t>
      </w:r>
      <w:r w:rsidR="00902B49">
        <w:t>s in general</w:t>
      </w:r>
      <w:r w:rsidRPr="0081135A">
        <w:t xml:space="preserve">. </w:t>
      </w:r>
      <w:r w:rsidR="001E06B5" w:rsidRPr="00E3331A">
        <w:t xml:space="preserve">Other feedback </w:t>
      </w:r>
      <w:r w:rsidR="004D5B59" w:rsidRPr="00E3331A">
        <w:t xml:space="preserve">advised </w:t>
      </w:r>
      <w:r w:rsidR="00DC60BB" w:rsidRPr="00E3331A">
        <w:t>amend</w:t>
      </w:r>
      <w:r w:rsidR="004D5B59" w:rsidRPr="00E3331A">
        <w:t>ing</w:t>
      </w:r>
      <w:r w:rsidR="00DC60BB" w:rsidRPr="00E3331A">
        <w:t xml:space="preserve"> aspect</w:t>
      </w:r>
      <w:r w:rsidR="00487D02" w:rsidRPr="00E3331A">
        <w:t>s</w:t>
      </w:r>
      <w:r w:rsidR="00DC60BB" w:rsidRPr="00E3331A">
        <w:t xml:space="preserve"> of the PICO </w:t>
      </w:r>
      <w:r w:rsidR="00487D02" w:rsidRPr="00E3331A">
        <w:t>C</w:t>
      </w:r>
      <w:r w:rsidR="00DC60BB" w:rsidRPr="00E3331A">
        <w:t>onfirmation</w:t>
      </w:r>
      <w:r w:rsidR="004D5B59" w:rsidRPr="00E3331A">
        <w:t>.</w:t>
      </w:r>
      <w:r w:rsidR="00DC60BB" w:rsidRPr="00E3331A">
        <w:t xml:space="preserve"> </w:t>
      </w:r>
      <w:r w:rsidR="004D5B59" w:rsidRPr="00E3331A">
        <w:t>S</w:t>
      </w:r>
      <w:r w:rsidR="00DC60BB" w:rsidRPr="00E3331A">
        <w:t>ince this has been ratified and cannot be changed</w:t>
      </w:r>
      <w:r w:rsidR="004D5B59" w:rsidRPr="00E3331A">
        <w:t>,</w:t>
      </w:r>
      <w:r w:rsidR="00DC60BB" w:rsidRPr="00E3331A">
        <w:t xml:space="preserve"> this feedback was noted </w:t>
      </w:r>
      <w:r w:rsidR="00B92DBF" w:rsidRPr="00E3331A">
        <w:t xml:space="preserve">by the Assessment Group </w:t>
      </w:r>
      <w:r w:rsidR="00E85532">
        <w:t>but not reproduced here</w:t>
      </w:r>
      <w:r w:rsidR="00DC60BB" w:rsidRPr="00E3331A">
        <w:t>.</w:t>
      </w:r>
    </w:p>
    <w:p w:rsidR="001E06B5" w:rsidRPr="00E3331A" w:rsidRDefault="001E06B5" w:rsidP="00DD2242">
      <w:r w:rsidRPr="00E3331A">
        <w:t xml:space="preserve">Specific feedback relevant to the Contracted </w:t>
      </w:r>
      <w:r w:rsidR="00DC60BB" w:rsidRPr="00E3331A">
        <w:t>Assessment was</w:t>
      </w:r>
      <w:r w:rsidRPr="00E3331A">
        <w:t>:</w:t>
      </w:r>
    </w:p>
    <w:p w:rsidR="001E06B5" w:rsidRPr="00E3331A" w:rsidRDefault="008840DC" w:rsidP="001E06B5">
      <w:pPr>
        <w:pStyle w:val="ColorfulList-Accent11"/>
        <w:numPr>
          <w:ilvl w:val="0"/>
          <w:numId w:val="46"/>
        </w:numPr>
      </w:pPr>
      <w:r w:rsidRPr="00E3331A">
        <w:t>M</w:t>
      </w:r>
      <w:r w:rsidR="001E06B5" w:rsidRPr="00E3331A">
        <w:t>aximum benefit of Ig treatment may occur at 24 weeks</w:t>
      </w:r>
    </w:p>
    <w:p w:rsidR="001E06B5" w:rsidRPr="00E3331A" w:rsidRDefault="001E06B5" w:rsidP="001E06B5">
      <w:pPr>
        <w:pStyle w:val="ColorfulList-Accent11"/>
        <w:numPr>
          <w:ilvl w:val="0"/>
          <w:numId w:val="46"/>
        </w:numPr>
      </w:pPr>
      <w:r w:rsidRPr="00E3331A">
        <w:t>Diagnosis of CIDP should include testing of four motor nerves and four sensory nerves</w:t>
      </w:r>
    </w:p>
    <w:p w:rsidR="001E06B5" w:rsidRPr="00E3331A" w:rsidRDefault="001E06B5" w:rsidP="001E06B5">
      <w:pPr>
        <w:pStyle w:val="ColorfulList-Accent11"/>
        <w:numPr>
          <w:ilvl w:val="0"/>
          <w:numId w:val="46"/>
        </w:numPr>
      </w:pPr>
      <w:r w:rsidRPr="00E3331A">
        <w:t>Evidence on the effectiveness of second-line immunomodulatory agents is limited</w:t>
      </w:r>
    </w:p>
    <w:p w:rsidR="001E06B5" w:rsidRPr="00E3331A" w:rsidRDefault="00DC60BB" w:rsidP="001E06B5">
      <w:pPr>
        <w:pStyle w:val="ColorfulList-Accent11"/>
        <w:numPr>
          <w:ilvl w:val="0"/>
          <w:numId w:val="46"/>
        </w:numPr>
      </w:pPr>
      <w:r w:rsidRPr="00E3331A">
        <w:t>Occa</w:t>
      </w:r>
      <w:r w:rsidR="008840DC" w:rsidRPr="00E3331A">
        <w:t>si</w:t>
      </w:r>
      <w:r w:rsidRPr="00E3331A">
        <w:t>onal steroids may be used to manage headaches associated with Ig</w:t>
      </w:r>
    </w:p>
    <w:p w:rsidR="00971058" w:rsidRPr="00E3331A" w:rsidRDefault="00971058" w:rsidP="00971058">
      <w:pPr>
        <w:pStyle w:val="ColorfulList-Accent11"/>
        <w:numPr>
          <w:ilvl w:val="0"/>
          <w:numId w:val="46"/>
        </w:numPr>
      </w:pPr>
      <w:r w:rsidRPr="00E3331A">
        <w:t>EFNS/PNS guidelines are currently being updated and are expected to list SCIg as an alternative to IVIg for maintenance treatment of CIDP</w:t>
      </w:r>
    </w:p>
    <w:p w:rsidR="00971058" w:rsidRPr="00E3331A" w:rsidRDefault="00971058" w:rsidP="00971058">
      <w:pPr>
        <w:pStyle w:val="ColorfulList-Accent11"/>
        <w:numPr>
          <w:ilvl w:val="0"/>
          <w:numId w:val="46"/>
        </w:numPr>
      </w:pPr>
      <w:r w:rsidRPr="00E3331A">
        <w:t>Published prevalence data should be interpreted with caution as studies used different classification criteria to estimate CIDP prevalence</w:t>
      </w:r>
    </w:p>
    <w:p w:rsidR="00E85532" w:rsidRPr="00E3331A" w:rsidRDefault="00971058" w:rsidP="00E85532">
      <w:pPr>
        <w:pStyle w:val="ColorfulList-Accent11"/>
        <w:numPr>
          <w:ilvl w:val="0"/>
          <w:numId w:val="46"/>
        </w:numPr>
      </w:pPr>
      <w:r w:rsidRPr="00E3331A">
        <w:t>The</w:t>
      </w:r>
      <w:r w:rsidR="00714BEA">
        <w:t xml:space="preserve"> NBA</w:t>
      </w:r>
      <w:r w:rsidRPr="00E3331A">
        <w:t xml:space="preserve"> reported average dose of Ig used by patients with CIDP is low</w:t>
      </w:r>
      <w:r w:rsidR="003629C7" w:rsidRPr="00E3331A">
        <w:t>,</w:t>
      </w:r>
      <w:r w:rsidRPr="00E3331A">
        <w:t xml:space="preserve"> suggesting </w:t>
      </w:r>
      <w:r w:rsidR="003629C7" w:rsidRPr="00E3331A">
        <w:t xml:space="preserve">that </w:t>
      </w:r>
      <w:r w:rsidRPr="00E3331A">
        <w:t>neu</w:t>
      </w:r>
      <w:r w:rsidR="00993BF0">
        <w:t>r</w:t>
      </w:r>
      <w:r w:rsidRPr="00E3331A">
        <w:t>ologists are using the lowest pos</w:t>
      </w:r>
      <w:r w:rsidR="00E85532">
        <w:t>sible dose to achieve remission</w:t>
      </w:r>
      <w:r w:rsidR="00D40E70">
        <w:t>.</w:t>
      </w:r>
    </w:p>
    <w:p w:rsidR="00C9014F" w:rsidRPr="00E3331A" w:rsidRDefault="00C9014F" w:rsidP="00DF343F">
      <w:pPr>
        <w:jc w:val="both"/>
      </w:pPr>
    </w:p>
    <w:p w:rsidR="00C9014F" w:rsidRPr="00E3331A" w:rsidRDefault="00C9014F" w:rsidP="00DF343F">
      <w:pPr>
        <w:jc w:val="both"/>
        <w:sectPr w:rsidR="00C9014F" w:rsidRPr="00E3331A" w:rsidSect="0080059D">
          <w:pgSz w:w="11909" w:h="16834" w:code="9"/>
          <w:pgMar w:top="1440" w:right="1440" w:bottom="1440" w:left="1440" w:header="709" w:footer="709" w:gutter="0"/>
          <w:cols w:space="720"/>
        </w:sectPr>
      </w:pPr>
      <w:bookmarkStart w:id="187" w:name="_Ref124760357"/>
    </w:p>
    <w:p w:rsidR="008F59A8" w:rsidRPr="00E3331A" w:rsidRDefault="00AA708D" w:rsidP="00DF343F">
      <w:pPr>
        <w:pStyle w:val="Heading1"/>
        <w:jc w:val="both"/>
      </w:pPr>
      <w:bookmarkStart w:id="188" w:name="_Toc24103449"/>
      <w:bookmarkEnd w:id="187"/>
      <w:r w:rsidRPr="00E3331A">
        <w:lastRenderedPageBreak/>
        <w:t>Section B</w:t>
      </w:r>
      <w:r w:rsidRPr="00E3331A">
        <w:tab/>
        <w:t>Clinical Evaluation</w:t>
      </w:r>
      <w:bookmarkEnd w:id="188"/>
      <w:r w:rsidR="008F59A8" w:rsidRPr="00E3331A">
        <w:t xml:space="preserve"> </w:t>
      </w:r>
    </w:p>
    <w:p w:rsidR="00AA708D" w:rsidRPr="00E3331A" w:rsidRDefault="00AA708D" w:rsidP="003E4E1F">
      <w:pPr>
        <w:pStyle w:val="Heading2"/>
        <w:numPr>
          <w:ilvl w:val="1"/>
          <w:numId w:val="9"/>
        </w:numPr>
      </w:pPr>
      <w:bookmarkStart w:id="189" w:name="_Toc381796460"/>
      <w:bookmarkStart w:id="190" w:name="_Toc24103450"/>
      <w:bookmarkStart w:id="191" w:name="_Toc381796462"/>
      <w:bookmarkStart w:id="192" w:name="_Toc381796467"/>
      <w:bookmarkStart w:id="193" w:name="_Toc379118083"/>
      <w:r w:rsidRPr="00E3331A">
        <w:t>Literature</w:t>
      </w:r>
      <w:r w:rsidR="00D5489B" w:rsidRPr="00E3331A">
        <w:t xml:space="preserve"> Sources and Search S</w:t>
      </w:r>
      <w:r w:rsidRPr="00E3331A">
        <w:t>trategies</w:t>
      </w:r>
      <w:bookmarkEnd w:id="189"/>
      <w:bookmarkEnd w:id="190"/>
    </w:p>
    <w:p w:rsidR="00AA708D" w:rsidRPr="00E3331A" w:rsidRDefault="00AA708D" w:rsidP="00AA708D">
      <w:pPr>
        <w:jc w:val="both"/>
      </w:pPr>
      <w:r w:rsidRPr="00E3331A">
        <w:t xml:space="preserve">The medical literature was searched </w:t>
      </w:r>
      <w:r w:rsidR="00D5489B" w:rsidRPr="00E3331A">
        <w:t xml:space="preserve">on </w:t>
      </w:r>
      <w:r w:rsidR="00CF70CD" w:rsidRPr="00E3331A">
        <w:t>25 March 2019</w:t>
      </w:r>
      <w:r w:rsidR="00D5489B" w:rsidRPr="00E3331A">
        <w:t xml:space="preserve"> </w:t>
      </w:r>
      <w:r w:rsidRPr="00E3331A">
        <w:t xml:space="preserve">to identify </w:t>
      </w:r>
      <w:r w:rsidR="005A73A4" w:rsidRPr="00E3331A">
        <w:t xml:space="preserve">all </w:t>
      </w:r>
      <w:r w:rsidRPr="00E3331A">
        <w:t>relevant studies</w:t>
      </w:r>
      <w:r w:rsidR="005A73A4" w:rsidRPr="00E3331A">
        <w:t xml:space="preserve"> </w:t>
      </w:r>
      <w:r w:rsidR="00A93236" w:rsidRPr="00E3331A">
        <w:t xml:space="preserve">published to date </w:t>
      </w:r>
      <w:r w:rsidR="005A73A4" w:rsidRPr="00E3331A">
        <w:t>on the treatment of CIDP</w:t>
      </w:r>
      <w:r w:rsidRPr="00E3331A">
        <w:t>. Searches were conducted of the databases</w:t>
      </w:r>
      <w:r w:rsidR="00D5489B" w:rsidRPr="00E3331A">
        <w:t xml:space="preserve"> and sources</w:t>
      </w:r>
      <w:r w:rsidRPr="00E3331A">
        <w:t xml:space="preserve"> described in Appendix </w:t>
      </w:r>
      <w:r w:rsidR="009D44E4" w:rsidRPr="00E3331A">
        <w:t>B</w:t>
      </w:r>
      <w:r w:rsidRPr="00E3331A">
        <w:t>.</w:t>
      </w:r>
      <w:r w:rsidR="00D5489B" w:rsidRPr="00E3331A">
        <w:t xml:space="preserve"> </w:t>
      </w:r>
      <w:r w:rsidRPr="00E3331A">
        <w:t xml:space="preserve">Search terms are described in </w:t>
      </w:r>
      <w:r w:rsidR="006F35B9" w:rsidRPr="00E3331A">
        <w:t xml:space="preserve">Table </w:t>
      </w:r>
      <w:r w:rsidR="006F35B9">
        <w:rPr>
          <w:noProof/>
        </w:rPr>
        <w:t>18</w:t>
      </w:r>
      <w:r w:rsidRPr="00E3331A">
        <w:t xml:space="preserve">. </w:t>
      </w:r>
    </w:p>
    <w:p w:rsidR="00AA708D" w:rsidRPr="00E3331A" w:rsidRDefault="00AA708D" w:rsidP="00AA708D">
      <w:pPr>
        <w:pStyle w:val="Caption"/>
        <w:tabs>
          <w:tab w:val="left" w:pos="851"/>
        </w:tabs>
        <w:jc w:val="both"/>
      </w:pPr>
      <w:bookmarkStart w:id="194" w:name="_Ref363722464"/>
      <w:bookmarkStart w:id="195" w:name="_Ref379483486"/>
      <w:bookmarkStart w:id="196" w:name="_Toc381969863"/>
      <w:bookmarkStart w:id="197" w:name="_Toc24103324"/>
      <w:r w:rsidRPr="00E3331A">
        <w:t xml:space="preserve">Table </w:t>
      </w:r>
      <w:r w:rsidR="006F35B9">
        <w:rPr>
          <w:noProof/>
        </w:rPr>
        <w:t>18</w:t>
      </w:r>
      <w:bookmarkEnd w:id="194"/>
      <w:bookmarkEnd w:id="195"/>
      <w:r w:rsidRPr="00E3331A">
        <w:tab/>
        <w:t>Search terms used</w:t>
      </w:r>
      <w:bookmarkEnd w:id="196"/>
      <w:r w:rsidRPr="00E3331A">
        <w:t xml:space="preserve"> </w:t>
      </w:r>
      <w:r w:rsidR="000C0FE1" w:rsidRPr="00E3331A">
        <w:t>in PubMed (adapted for Embase)</w:t>
      </w:r>
      <w:bookmarkEnd w:id="1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503"/>
      </w:tblGrid>
      <w:tr w:rsidR="00AA708D" w:rsidRPr="00E3331A" w:rsidTr="00FC79BA">
        <w:trPr>
          <w:tblHeader/>
        </w:trPr>
        <w:tc>
          <w:tcPr>
            <w:tcW w:w="2410" w:type="dxa"/>
          </w:tcPr>
          <w:p w:rsidR="00AA708D" w:rsidRPr="00E3331A" w:rsidRDefault="00AA708D" w:rsidP="00FC79BA">
            <w:pPr>
              <w:pStyle w:val="TableHeading"/>
              <w:jc w:val="both"/>
            </w:pPr>
            <w:r w:rsidRPr="00E3331A">
              <w:t>Element of clinical question</w:t>
            </w:r>
          </w:p>
        </w:tc>
        <w:tc>
          <w:tcPr>
            <w:tcW w:w="6521" w:type="dxa"/>
          </w:tcPr>
          <w:p w:rsidR="00AA708D" w:rsidRPr="00E3331A" w:rsidRDefault="00AA708D" w:rsidP="00FC79BA">
            <w:pPr>
              <w:pStyle w:val="TableHeading"/>
              <w:jc w:val="both"/>
            </w:pPr>
            <w:r w:rsidRPr="00E3331A">
              <w:t>Search terms</w:t>
            </w:r>
          </w:p>
        </w:tc>
      </w:tr>
      <w:tr w:rsidR="00AA708D" w:rsidRPr="00E3331A" w:rsidTr="00FC79BA">
        <w:tc>
          <w:tcPr>
            <w:tcW w:w="2410" w:type="dxa"/>
          </w:tcPr>
          <w:p w:rsidR="00AA708D" w:rsidRPr="00E3331A" w:rsidRDefault="00AA708D" w:rsidP="00147F55">
            <w:pPr>
              <w:pStyle w:val="Tablecontents"/>
            </w:pPr>
            <w:r w:rsidRPr="00E3331A">
              <w:t>Population</w:t>
            </w:r>
          </w:p>
        </w:tc>
        <w:tc>
          <w:tcPr>
            <w:tcW w:w="6521" w:type="dxa"/>
          </w:tcPr>
          <w:p w:rsidR="00AA708D" w:rsidRPr="00E3331A" w:rsidRDefault="005A73A4" w:rsidP="00147F55">
            <w:pPr>
              <w:pStyle w:val="Tablecontents"/>
            </w:pPr>
            <w:r w:rsidRPr="00E3331A">
              <w:t>CIDP, Chronic inflammatory demyelinating polyneuropathy, chronic inflammatory demyelinating polyradiculoneuropathy [MeSH Terms]</w:t>
            </w:r>
          </w:p>
        </w:tc>
      </w:tr>
      <w:tr w:rsidR="00AA708D" w:rsidRPr="00E3331A" w:rsidTr="00FC79BA">
        <w:tc>
          <w:tcPr>
            <w:tcW w:w="2410" w:type="dxa"/>
          </w:tcPr>
          <w:p w:rsidR="00AA708D" w:rsidRPr="00E3331A" w:rsidRDefault="00AA708D" w:rsidP="00147F55">
            <w:pPr>
              <w:pStyle w:val="Tablecontents"/>
            </w:pPr>
            <w:r w:rsidRPr="00E3331A">
              <w:t>Limits</w:t>
            </w:r>
          </w:p>
        </w:tc>
        <w:tc>
          <w:tcPr>
            <w:tcW w:w="6521" w:type="dxa"/>
          </w:tcPr>
          <w:p w:rsidR="00AA708D" w:rsidRPr="00E3331A" w:rsidRDefault="005A73A4" w:rsidP="00147F55">
            <w:pPr>
              <w:pStyle w:val="Tablecontents"/>
            </w:pPr>
            <w:r w:rsidRPr="00E3331A">
              <w:t>No limits were applied</w:t>
            </w:r>
          </w:p>
        </w:tc>
      </w:tr>
    </w:tbl>
    <w:p w:rsidR="00AA708D" w:rsidRPr="00E3331A" w:rsidRDefault="005A73A4" w:rsidP="0037150F">
      <w:pPr>
        <w:pStyle w:val="Tablenotes0"/>
      </w:pPr>
      <w:r w:rsidRPr="00E3331A">
        <w:t>To ensure all relevant data on treatment of CIDP was identified a broad search strategy was employed; including only terms for the population of interest.</w:t>
      </w:r>
    </w:p>
    <w:p w:rsidR="00833909" w:rsidRPr="00E3331A" w:rsidRDefault="004F7887" w:rsidP="00833909">
      <w:r w:rsidRPr="00E3331A">
        <w:t>Our search strategy was deliberately broad to identify all studies on the treatment of CIDP</w:t>
      </w:r>
      <w:r w:rsidR="00A93236" w:rsidRPr="00E3331A">
        <w:t>. O</w:t>
      </w:r>
      <w:r w:rsidRPr="00E3331A">
        <w:t>nly terms relating to the population were included and no limits were used.</w:t>
      </w:r>
    </w:p>
    <w:p w:rsidR="00D5489B" w:rsidRPr="00E3331A" w:rsidRDefault="00D5489B" w:rsidP="003E4E1F">
      <w:pPr>
        <w:pStyle w:val="Heading2"/>
        <w:numPr>
          <w:ilvl w:val="1"/>
          <w:numId w:val="9"/>
        </w:numPr>
      </w:pPr>
      <w:bookmarkStart w:id="198" w:name="_Toc24103451"/>
      <w:r w:rsidRPr="00E3331A">
        <w:t>Results of Literature Search</w:t>
      </w:r>
      <w:bookmarkEnd w:id="198"/>
    </w:p>
    <w:p w:rsidR="0019059F" w:rsidRPr="00E3331A" w:rsidRDefault="0019059F" w:rsidP="00BA514C">
      <w:r w:rsidRPr="00E3331A">
        <w:t xml:space="preserve">A PRISMA flowchart (Figure </w:t>
      </w:r>
      <w:r w:rsidR="00907E62" w:rsidRPr="00E3331A">
        <w:t>3</w:t>
      </w:r>
      <w:r w:rsidRPr="00E3331A">
        <w:t>) provides a graphic depiction of the results of the literature search and the application of the study selection criteria (listed in Box 1 and Box 2)</w:t>
      </w:r>
      <w:r w:rsidR="00A93236" w:rsidRPr="00E3331A">
        <w:t xml:space="preserve"> </w:t>
      </w:r>
      <w:r w:rsidR="00B85C75">
        <w:rPr>
          <w:noProof/>
        </w:rPr>
        <w:t>(Liberati et al. 2009)</w:t>
      </w:r>
      <w:r w:rsidR="00A93236" w:rsidRPr="00E3331A">
        <w:t>.</w:t>
      </w:r>
      <w:r w:rsidR="00907DF6" w:rsidRPr="00E3331A">
        <w:t xml:space="preserve"> </w:t>
      </w:r>
      <w:r w:rsidR="00907E62" w:rsidRPr="00E3331A">
        <w:t xml:space="preserve">A total of 20 </w:t>
      </w:r>
      <w:r w:rsidR="002D3966" w:rsidRPr="00E3331A">
        <w:t>randomised controlled trials (RCTs)</w:t>
      </w:r>
      <w:r w:rsidR="00907E62" w:rsidRPr="00E3331A">
        <w:t xml:space="preserve"> reported in 28 studies were identified to inform on relative safety and effectiveness</w:t>
      </w:r>
      <w:r w:rsidR="00A93236" w:rsidRPr="00E3331A">
        <w:t>.</w:t>
      </w:r>
      <w:r w:rsidR="00907E62" w:rsidRPr="00E3331A">
        <w:t xml:space="preserve"> </w:t>
      </w:r>
      <w:r w:rsidR="00A93236" w:rsidRPr="00E3331A">
        <w:t>A</w:t>
      </w:r>
      <w:r w:rsidR="00907E62" w:rsidRPr="00E3331A">
        <w:t xml:space="preserve">n additional 36 non-randomised comparative and single-arm studies </w:t>
      </w:r>
      <w:r w:rsidR="000E74BC" w:rsidRPr="00E3331A">
        <w:t xml:space="preserve">were </w:t>
      </w:r>
      <w:r w:rsidR="00907E62" w:rsidRPr="00E3331A">
        <w:t xml:space="preserve">included in the extended assessment of harms. </w:t>
      </w:r>
    </w:p>
    <w:p w:rsidR="0019059F" w:rsidRPr="00E3331A" w:rsidRDefault="0019059F" w:rsidP="00BA514C">
      <w:r w:rsidRPr="00E3331A">
        <w:t>Studies were screened by title and abstract by a single reviewer</w:t>
      </w:r>
      <w:r w:rsidR="000E74BC" w:rsidRPr="00E3331A">
        <w:t>,</w:t>
      </w:r>
      <w:r w:rsidRPr="00E3331A">
        <w:t xml:space="preserve"> with all exclusions checked by a second reviewer. Full</w:t>
      </w:r>
      <w:r w:rsidR="00D45BCF" w:rsidRPr="00E3331A">
        <w:t>-</w:t>
      </w:r>
      <w:r w:rsidRPr="00E3331A">
        <w:t>text selection was performed independently by two reviewers.</w:t>
      </w:r>
    </w:p>
    <w:p w:rsidR="0019059F" w:rsidRPr="00E3331A" w:rsidRDefault="0019059F" w:rsidP="00BA514C">
      <w:r w:rsidRPr="00E3331A">
        <w:t xml:space="preserve">Additional pre-specified criteria for excluding studies are detailed in </w:t>
      </w:r>
      <w:r w:rsidR="006F35B9" w:rsidRPr="00E3331A">
        <w:t xml:space="preserve">Table </w:t>
      </w:r>
      <w:r w:rsidR="006F35B9">
        <w:rPr>
          <w:noProof/>
        </w:rPr>
        <w:t>19</w:t>
      </w:r>
      <w:r w:rsidR="004F7887" w:rsidRPr="00E3331A">
        <w:t xml:space="preserve">. It was our intention to perform a network meta-analysis on all treatments for CIDP relevant to this Assessment: Ig, steroids, plasma exchange, immunosuppressants, any combinations of these treatments (combination therapy) and no treatment (including placebo). With this in mind we included any RCT on the intervention or any of the </w:t>
      </w:r>
      <w:r w:rsidR="00E5760F" w:rsidRPr="00E3331A">
        <w:t xml:space="preserve">included </w:t>
      </w:r>
      <w:r w:rsidR="004F7887" w:rsidRPr="00E3331A">
        <w:t xml:space="preserve">comparators. </w:t>
      </w:r>
      <w:r w:rsidR="000E74BC" w:rsidRPr="00E3331A">
        <w:t>Studies with a l</w:t>
      </w:r>
      <w:r w:rsidR="004F7887" w:rsidRPr="00E3331A">
        <w:t>ower level of evidence (non-randomised comparative studies and single</w:t>
      </w:r>
      <w:r w:rsidR="00D45BCF" w:rsidRPr="00E3331A">
        <w:t>-</w:t>
      </w:r>
      <w:r w:rsidR="004F7887" w:rsidRPr="00E3331A">
        <w:t>arm studies) were included for the extended assessment of harms.</w:t>
      </w:r>
    </w:p>
    <w:p w:rsidR="0019059F" w:rsidRPr="00E3331A" w:rsidRDefault="004F7887" w:rsidP="004F7887">
      <w:pPr>
        <w:pStyle w:val="Caption"/>
      </w:pPr>
      <w:bookmarkStart w:id="199" w:name="_Ref9847419"/>
      <w:bookmarkStart w:id="200" w:name="_Toc24103325"/>
      <w:r w:rsidRPr="00E3331A">
        <w:lastRenderedPageBreak/>
        <w:t xml:space="preserve">Table </w:t>
      </w:r>
      <w:r w:rsidR="006F35B9">
        <w:rPr>
          <w:noProof/>
        </w:rPr>
        <w:t>19</w:t>
      </w:r>
      <w:bookmarkEnd w:id="199"/>
      <w:r w:rsidRPr="00E3331A">
        <w:tab/>
        <w:t>Study selection criteria</w:t>
      </w:r>
      <w:bookmarkEnd w:id="2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3046"/>
        <w:gridCol w:w="2990"/>
      </w:tblGrid>
      <w:tr w:rsidR="004F7887" w:rsidRPr="00E3331A" w:rsidTr="0007007F">
        <w:trPr>
          <w:cantSplit/>
          <w:tblHeader/>
        </w:trPr>
        <w:tc>
          <w:tcPr>
            <w:tcW w:w="3080" w:type="dxa"/>
            <w:shd w:val="clear" w:color="auto" w:fill="auto"/>
          </w:tcPr>
          <w:p w:rsidR="004F7887" w:rsidRPr="00E3331A" w:rsidRDefault="004130B7" w:rsidP="004F7887">
            <w:pPr>
              <w:pStyle w:val="TableHeading"/>
            </w:pPr>
            <w:r>
              <w:t>Selection criteria</w:t>
            </w:r>
          </w:p>
        </w:tc>
        <w:tc>
          <w:tcPr>
            <w:tcW w:w="3081" w:type="dxa"/>
            <w:shd w:val="clear" w:color="auto" w:fill="auto"/>
          </w:tcPr>
          <w:p w:rsidR="004F7887" w:rsidRPr="00E3331A" w:rsidRDefault="004F7887" w:rsidP="004F7887">
            <w:pPr>
              <w:pStyle w:val="TableHeading"/>
            </w:pPr>
            <w:r w:rsidRPr="00E3331A">
              <w:t>Inclusion criteria</w:t>
            </w:r>
          </w:p>
        </w:tc>
        <w:tc>
          <w:tcPr>
            <w:tcW w:w="3081" w:type="dxa"/>
            <w:shd w:val="clear" w:color="auto" w:fill="auto"/>
          </w:tcPr>
          <w:p w:rsidR="004F7887" w:rsidRPr="00E3331A" w:rsidRDefault="004F7887" w:rsidP="004F7887">
            <w:pPr>
              <w:pStyle w:val="TableHeading"/>
            </w:pPr>
            <w:r w:rsidRPr="00E3331A">
              <w:t>Exclusion criteria</w:t>
            </w:r>
          </w:p>
        </w:tc>
      </w:tr>
      <w:tr w:rsidR="004F7887" w:rsidRPr="00E3331A" w:rsidTr="0007007F">
        <w:trPr>
          <w:cantSplit/>
        </w:trPr>
        <w:tc>
          <w:tcPr>
            <w:tcW w:w="3080" w:type="dxa"/>
            <w:shd w:val="clear" w:color="auto" w:fill="auto"/>
          </w:tcPr>
          <w:p w:rsidR="004F7887" w:rsidRPr="00E3331A" w:rsidRDefault="004F7887" w:rsidP="004F7887">
            <w:pPr>
              <w:pStyle w:val="Tabletext1"/>
            </w:pPr>
            <w:r w:rsidRPr="00E3331A">
              <w:t>Population</w:t>
            </w:r>
          </w:p>
        </w:tc>
        <w:tc>
          <w:tcPr>
            <w:tcW w:w="3081" w:type="dxa"/>
            <w:shd w:val="clear" w:color="auto" w:fill="auto"/>
          </w:tcPr>
          <w:p w:rsidR="004F7887" w:rsidRPr="00E3331A" w:rsidRDefault="004F7887" w:rsidP="004F7887">
            <w:pPr>
              <w:pStyle w:val="Tabletext1"/>
            </w:pPr>
            <w:r w:rsidRPr="00E3331A">
              <w:t>Any patients with CIDP or IgA and IgG para</w:t>
            </w:r>
            <w:r w:rsidR="00D45BCF" w:rsidRPr="00E3331A">
              <w:t>protein</w:t>
            </w:r>
            <w:r w:rsidRPr="00E3331A">
              <w:t xml:space="preserve"> neuropathies</w:t>
            </w:r>
          </w:p>
        </w:tc>
        <w:tc>
          <w:tcPr>
            <w:tcW w:w="3081" w:type="dxa"/>
            <w:shd w:val="clear" w:color="auto" w:fill="auto"/>
          </w:tcPr>
          <w:p w:rsidR="004F7887" w:rsidRPr="00E3331A" w:rsidRDefault="004F7887" w:rsidP="004F7887">
            <w:pPr>
              <w:pStyle w:val="Tabletext1"/>
            </w:pPr>
            <w:r w:rsidRPr="00E3331A">
              <w:t>Other related immunological conditions (GBS, MS, IgM paraprotein neuropathy)</w:t>
            </w:r>
          </w:p>
          <w:p w:rsidR="004F7887" w:rsidRPr="00E3331A" w:rsidRDefault="004F7887" w:rsidP="004F7887">
            <w:pPr>
              <w:pStyle w:val="Tabletext1"/>
            </w:pPr>
            <w:r w:rsidRPr="00E3331A">
              <w:t>Studies reporting on more than one type of immune condition where CIDP results were not reported separately.</w:t>
            </w:r>
          </w:p>
        </w:tc>
      </w:tr>
      <w:tr w:rsidR="004F7887" w:rsidRPr="00E3331A" w:rsidTr="0007007F">
        <w:trPr>
          <w:cantSplit/>
        </w:trPr>
        <w:tc>
          <w:tcPr>
            <w:tcW w:w="3080" w:type="dxa"/>
            <w:shd w:val="clear" w:color="auto" w:fill="auto"/>
          </w:tcPr>
          <w:p w:rsidR="004F7887" w:rsidRPr="00E3331A" w:rsidRDefault="004F7887" w:rsidP="004F7887">
            <w:pPr>
              <w:pStyle w:val="Tabletext1"/>
            </w:pPr>
            <w:r w:rsidRPr="00E3331A">
              <w:t>Intervention</w:t>
            </w:r>
          </w:p>
        </w:tc>
        <w:tc>
          <w:tcPr>
            <w:tcW w:w="3081" w:type="dxa"/>
            <w:shd w:val="clear" w:color="auto" w:fill="auto"/>
          </w:tcPr>
          <w:p w:rsidR="004F7887" w:rsidRPr="00E3331A" w:rsidRDefault="004F7887" w:rsidP="004F7887">
            <w:pPr>
              <w:pStyle w:val="Tabletext1"/>
            </w:pPr>
            <w:r w:rsidRPr="00E3331A">
              <w:t>Any Ig treatment for CIDP</w:t>
            </w:r>
          </w:p>
        </w:tc>
        <w:tc>
          <w:tcPr>
            <w:tcW w:w="3081" w:type="dxa"/>
            <w:shd w:val="clear" w:color="auto" w:fill="auto"/>
          </w:tcPr>
          <w:p w:rsidR="004F7887" w:rsidRPr="00E3331A" w:rsidRDefault="004130B7" w:rsidP="004F7887">
            <w:pPr>
              <w:pStyle w:val="Tabletext1"/>
            </w:pPr>
            <w:r>
              <w:t>Nil</w:t>
            </w:r>
          </w:p>
        </w:tc>
      </w:tr>
      <w:tr w:rsidR="004F7887" w:rsidRPr="00E3331A" w:rsidTr="0007007F">
        <w:trPr>
          <w:cantSplit/>
        </w:trPr>
        <w:tc>
          <w:tcPr>
            <w:tcW w:w="3080" w:type="dxa"/>
            <w:shd w:val="clear" w:color="auto" w:fill="auto"/>
          </w:tcPr>
          <w:p w:rsidR="004F7887" w:rsidRPr="00E3331A" w:rsidRDefault="004F7887" w:rsidP="004F7887">
            <w:pPr>
              <w:pStyle w:val="Tabletext1"/>
            </w:pPr>
            <w:r w:rsidRPr="00E3331A">
              <w:t>Comparator</w:t>
            </w:r>
          </w:p>
        </w:tc>
        <w:tc>
          <w:tcPr>
            <w:tcW w:w="3081" w:type="dxa"/>
            <w:shd w:val="clear" w:color="auto" w:fill="auto"/>
          </w:tcPr>
          <w:p w:rsidR="00E5760F" w:rsidRPr="00E3331A" w:rsidRDefault="00E5760F" w:rsidP="004F7887">
            <w:pPr>
              <w:pStyle w:val="Tabletext1"/>
            </w:pPr>
            <w:r w:rsidRPr="00E3331A">
              <w:t>Active comparators:</w:t>
            </w:r>
          </w:p>
          <w:p w:rsidR="00E5760F" w:rsidRPr="00E3331A" w:rsidRDefault="00D1131D" w:rsidP="0007007F">
            <w:pPr>
              <w:pStyle w:val="Tabletext1"/>
              <w:numPr>
                <w:ilvl w:val="0"/>
                <w:numId w:val="32"/>
              </w:numPr>
            </w:pPr>
            <w:r w:rsidRPr="00E3331A">
              <w:t>p</w:t>
            </w:r>
            <w:r w:rsidR="004F7887" w:rsidRPr="00E3331A">
              <w:t>lasma exchange</w:t>
            </w:r>
          </w:p>
          <w:p w:rsidR="00E5760F" w:rsidRPr="00E3331A" w:rsidRDefault="00D1131D" w:rsidP="0007007F">
            <w:pPr>
              <w:pStyle w:val="Tabletext1"/>
              <w:numPr>
                <w:ilvl w:val="0"/>
                <w:numId w:val="32"/>
              </w:numPr>
            </w:pPr>
            <w:r w:rsidRPr="00E3331A">
              <w:t>c</w:t>
            </w:r>
            <w:r w:rsidR="004F7887" w:rsidRPr="00E3331A">
              <w:t>orticosteroids</w:t>
            </w:r>
          </w:p>
          <w:p w:rsidR="00E5760F" w:rsidRPr="00E3331A" w:rsidRDefault="004F7887" w:rsidP="00FA20E2">
            <w:pPr>
              <w:pStyle w:val="Tabletext1"/>
              <w:numPr>
                <w:ilvl w:val="0"/>
                <w:numId w:val="32"/>
              </w:numPr>
              <w:ind w:left="612" w:hanging="252"/>
            </w:pPr>
            <w:r w:rsidRPr="00E3331A">
              <w:t xml:space="preserve">immunosuppressants including autologous transfer) </w:t>
            </w:r>
          </w:p>
          <w:p w:rsidR="004F7887" w:rsidRPr="00E3331A" w:rsidRDefault="004F7887" w:rsidP="0007007F">
            <w:pPr>
              <w:pStyle w:val="Tabletext1"/>
              <w:numPr>
                <w:ilvl w:val="0"/>
                <w:numId w:val="32"/>
              </w:numPr>
            </w:pPr>
            <w:r w:rsidRPr="00E3331A">
              <w:t>any combination of these.</w:t>
            </w:r>
          </w:p>
          <w:p w:rsidR="00E5760F" w:rsidRPr="00E3331A" w:rsidRDefault="004F7887" w:rsidP="004F7887">
            <w:pPr>
              <w:pStyle w:val="Tabletext1"/>
            </w:pPr>
            <w:r w:rsidRPr="00E3331A">
              <w:t>No treatment</w:t>
            </w:r>
            <w:r w:rsidR="00E5760F" w:rsidRPr="00E3331A">
              <w:t>:</w:t>
            </w:r>
          </w:p>
          <w:p w:rsidR="004F7887" w:rsidRPr="00E3331A" w:rsidRDefault="00CA0936" w:rsidP="0007007F">
            <w:pPr>
              <w:pStyle w:val="Tabletext1"/>
              <w:numPr>
                <w:ilvl w:val="0"/>
                <w:numId w:val="33"/>
              </w:numPr>
            </w:pPr>
            <w:r w:rsidRPr="00E3331A">
              <w:t>n</w:t>
            </w:r>
            <w:r w:rsidR="00E5760F" w:rsidRPr="00E3331A">
              <w:t>o active treatment</w:t>
            </w:r>
          </w:p>
          <w:p w:rsidR="00E5760F" w:rsidRPr="00E3331A" w:rsidRDefault="00E5760F" w:rsidP="0007007F">
            <w:pPr>
              <w:pStyle w:val="Tabletext1"/>
              <w:numPr>
                <w:ilvl w:val="0"/>
                <w:numId w:val="33"/>
              </w:numPr>
            </w:pPr>
            <w:r w:rsidRPr="00E3331A">
              <w:t>placebo</w:t>
            </w:r>
          </w:p>
        </w:tc>
        <w:tc>
          <w:tcPr>
            <w:tcW w:w="3081" w:type="dxa"/>
            <w:shd w:val="clear" w:color="auto" w:fill="auto"/>
          </w:tcPr>
          <w:p w:rsidR="004F7887" w:rsidRPr="00E3331A" w:rsidRDefault="004F7887" w:rsidP="004F7887">
            <w:pPr>
              <w:pStyle w:val="Tabletext1"/>
            </w:pPr>
            <w:r w:rsidRPr="00E3331A">
              <w:t>Etanercept, Interferons, Fc receptor inhibitors</w:t>
            </w:r>
            <w:r w:rsidR="00E5760F" w:rsidRPr="00E3331A">
              <w:t>, Ig capture columns</w:t>
            </w:r>
            <w:r w:rsidRPr="00E3331A">
              <w:t>.</w:t>
            </w:r>
          </w:p>
          <w:p w:rsidR="00906817" w:rsidRPr="00E3331A" w:rsidRDefault="00906817" w:rsidP="004F7887">
            <w:pPr>
              <w:pStyle w:val="Tabletext1"/>
            </w:pPr>
            <w:r w:rsidRPr="00E3331A">
              <w:t xml:space="preserve">Note: studies comparing </w:t>
            </w:r>
            <w:r w:rsidR="00A26427" w:rsidRPr="00E3331A">
              <w:t>these</w:t>
            </w:r>
            <w:r w:rsidRPr="00E3331A">
              <w:t xml:space="preserve"> excluded comparator</w:t>
            </w:r>
            <w:r w:rsidR="00A26427" w:rsidRPr="00E3331A">
              <w:t>s</w:t>
            </w:r>
            <w:r w:rsidRPr="00E3331A">
              <w:t xml:space="preserve"> to </w:t>
            </w:r>
            <w:r w:rsidR="00A26427" w:rsidRPr="00E3331A">
              <w:t xml:space="preserve">either </w:t>
            </w:r>
            <w:r w:rsidRPr="00E3331A">
              <w:t xml:space="preserve">Ig or another active comparator were </w:t>
            </w:r>
            <w:r w:rsidR="00A26427" w:rsidRPr="00E3331A">
              <w:t xml:space="preserve">selected for possible inclusion in the network meta-analysis. </w:t>
            </w:r>
          </w:p>
        </w:tc>
      </w:tr>
      <w:tr w:rsidR="004F7887" w:rsidRPr="00E3331A" w:rsidTr="0007007F">
        <w:trPr>
          <w:cantSplit/>
        </w:trPr>
        <w:tc>
          <w:tcPr>
            <w:tcW w:w="3080" w:type="dxa"/>
            <w:shd w:val="clear" w:color="auto" w:fill="auto"/>
          </w:tcPr>
          <w:p w:rsidR="004F7887" w:rsidRPr="00E3331A" w:rsidRDefault="004F7887" w:rsidP="004F7887">
            <w:pPr>
              <w:pStyle w:val="Tabletext1"/>
            </w:pPr>
            <w:r w:rsidRPr="00E3331A">
              <w:t>Outcomes</w:t>
            </w:r>
          </w:p>
        </w:tc>
        <w:tc>
          <w:tcPr>
            <w:tcW w:w="3081" w:type="dxa"/>
            <w:shd w:val="clear" w:color="auto" w:fill="auto"/>
          </w:tcPr>
          <w:p w:rsidR="004F7887" w:rsidRPr="00E3331A" w:rsidRDefault="004F7887" w:rsidP="004F7887">
            <w:pPr>
              <w:pStyle w:val="Tabletext1"/>
            </w:pPr>
            <w:r w:rsidRPr="00E3331A">
              <w:t>Any treatment effect measured</w:t>
            </w:r>
          </w:p>
          <w:p w:rsidR="004F7887" w:rsidRPr="00E3331A" w:rsidRDefault="004F7887" w:rsidP="004F7887">
            <w:pPr>
              <w:pStyle w:val="Tabletext1"/>
            </w:pPr>
            <w:r w:rsidRPr="00E3331A">
              <w:t>Any safety outcomes</w:t>
            </w:r>
          </w:p>
        </w:tc>
        <w:tc>
          <w:tcPr>
            <w:tcW w:w="3081" w:type="dxa"/>
            <w:shd w:val="clear" w:color="auto" w:fill="auto"/>
          </w:tcPr>
          <w:p w:rsidR="004F7887" w:rsidRPr="00E3331A" w:rsidRDefault="004F7887" w:rsidP="004F7887">
            <w:pPr>
              <w:pStyle w:val="Tabletext1"/>
            </w:pPr>
            <w:r w:rsidRPr="00E3331A">
              <w:t>Outcomes not related to effectiveness or safety</w:t>
            </w:r>
            <w:r w:rsidR="000A1BD4">
              <w:t>.</w:t>
            </w:r>
          </w:p>
        </w:tc>
      </w:tr>
      <w:tr w:rsidR="004F7887" w:rsidRPr="00E3331A" w:rsidTr="0007007F">
        <w:trPr>
          <w:cantSplit/>
        </w:trPr>
        <w:tc>
          <w:tcPr>
            <w:tcW w:w="3080" w:type="dxa"/>
            <w:shd w:val="clear" w:color="auto" w:fill="auto"/>
          </w:tcPr>
          <w:p w:rsidR="004F7887" w:rsidRPr="00E3331A" w:rsidRDefault="004F7887" w:rsidP="004F7887">
            <w:pPr>
              <w:pStyle w:val="Tabletext1"/>
            </w:pPr>
            <w:r w:rsidRPr="00E3331A">
              <w:t>Study type</w:t>
            </w:r>
          </w:p>
        </w:tc>
        <w:tc>
          <w:tcPr>
            <w:tcW w:w="3081" w:type="dxa"/>
            <w:shd w:val="clear" w:color="auto" w:fill="auto"/>
          </w:tcPr>
          <w:p w:rsidR="004F7887" w:rsidRPr="00E3331A" w:rsidRDefault="004F7887" w:rsidP="004F7887">
            <w:pPr>
              <w:pStyle w:val="Tabletext1"/>
            </w:pPr>
            <w:r w:rsidRPr="00E3331A">
              <w:t>Comparative safety and effectiveness:</w:t>
            </w:r>
          </w:p>
          <w:p w:rsidR="004F7887" w:rsidRPr="00E3331A" w:rsidRDefault="004F7887" w:rsidP="004F7887">
            <w:pPr>
              <w:pStyle w:val="Tabletext1"/>
            </w:pPr>
            <w:r w:rsidRPr="00E3331A">
              <w:t>Any RCT on the intervention or any comparators</w:t>
            </w:r>
          </w:p>
          <w:p w:rsidR="004F7887" w:rsidRPr="00E3331A" w:rsidRDefault="004F7887" w:rsidP="004F7887">
            <w:pPr>
              <w:pStyle w:val="Tabletext1"/>
            </w:pPr>
            <w:r w:rsidRPr="00E3331A">
              <w:t>Extended assessment of harms:</w:t>
            </w:r>
          </w:p>
          <w:p w:rsidR="004F7887" w:rsidRPr="00E3331A" w:rsidRDefault="004F7887" w:rsidP="004F7887">
            <w:pPr>
              <w:pStyle w:val="Tabletext1"/>
            </w:pPr>
            <w:r w:rsidRPr="00E3331A">
              <w:t>Any non-randomised comparative study or case series study on the intervention and/or any comparators</w:t>
            </w:r>
          </w:p>
        </w:tc>
        <w:tc>
          <w:tcPr>
            <w:tcW w:w="3081" w:type="dxa"/>
            <w:shd w:val="clear" w:color="auto" w:fill="auto"/>
          </w:tcPr>
          <w:p w:rsidR="004F7887" w:rsidRPr="00E3331A" w:rsidRDefault="004F7887" w:rsidP="004F7887">
            <w:pPr>
              <w:pStyle w:val="Tabletext1"/>
            </w:pPr>
            <w:r w:rsidRPr="00E3331A">
              <w:t>Case reports (&lt;10 patients)</w:t>
            </w:r>
          </w:p>
          <w:p w:rsidR="004F7887" w:rsidRPr="00E3331A" w:rsidRDefault="004F7887" w:rsidP="004F7887">
            <w:pPr>
              <w:pStyle w:val="Tabletext1"/>
            </w:pPr>
            <w:r w:rsidRPr="00E3331A">
              <w:t>Narrative reviews</w:t>
            </w:r>
          </w:p>
          <w:p w:rsidR="004F7887" w:rsidRPr="00E3331A" w:rsidRDefault="004F7887" w:rsidP="004F7887">
            <w:pPr>
              <w:pStyle w:val="Tabletext1"/>
            </w:pPr>
            <w:r w:rsidRPr="00E3331A">
              <w:t>Opinion pieces</w:t>
            </w:r>
          </w:p>
          <w:p w:rsidR="004F7887" w:rsidRPr="00E3331A" w:rsidRDefault="004F7887" w:rsidP="004F7887">
            <w:pPr>
              <w:pStyle w:val="Tabletext1"/>
            </w:pPr>
            <w:r w:rsidRPr="00E3331A">
              <w:t>Letters</w:t>
            </w:r>
          </w:p>
        </w:tc>
      </w:tr>
    </w:tbl>
    <w:p w:rsidR="004F7887" w:rsidRPr="00E3331A" w:rsidRDefault="00147F55" w:rsidP="0037150F">
      <w:pPr>
        <w:pStyle w:val="Tablenotes1"/>
      </w:pPr>
      <w:r w:rsidRPr="00E3331A">
        <w:t>Abbreviations</w:t>
      </w:r>
      <w:r w:rsidR="003D5FA7">
        <w:t xml:space="preserve">: CIDP = </w:t>
      </w:r>
      <w:r w:rsidR="003D5FA7" w:rsidRPr="003D5FA7">
        <w:t>Chronic inflammatory demyelinating polyneuropathy</w:t>
      </w:r>
      <w:r w:rsidR="003D5FA7">
        <w:t xml:space="preserve">, Ig = immunoglobulin, GBS = </w:t>
      </w:r>
      <w:r w:rsidR="003D5FA7" w:rsidRPr="003D5FA7">
        <w:t>Guillain-Barre Syndrome</w:t>
      </w:r>
      <w:r w:rsidR="003D5FA7">
        <w:t xml:space="preserve">, </w:t>
      </w:r>
      <w:r w:rsidR="0062264E">
        <w:t xml:space="preserve">MS = </w:t>
      </w:r>
      <w:r w:rsidR="0062264E" w:rsidRPr="0062264E">
        <w:t>Multiple sclerosis</w:t>
      </w:r>
      <w:r w:rsidR="0062264E">
        <w:t>, RCT = randomised controlled trial.</w:t>
      </w:r>
    </w:p>
    <w:p w:rsidR="00FB71F6" w:rsidRPr="00E3331A" w:rsidRDefault="0019059F" w:rsidP="00BA514C">
      <w:r w:rsidRPr="00E3331A">
        <w:t>Studies excluded following full-text review are listed as Excluded Studies in Appendix D. All other studies that met the inclusion criteria are listed in Appendix C.</w:t>
      </w:r>
    </w:p>
    <w:p w:rsidR="00FB71F6" w:rsidRPr="00E3331A" w:rsidRDefault="00FB71F6" w:rsidP="00FB71F6">
      <w:pPr>
        <w:pStyle w:val="Caption"/>
      </w:pPr>
      <w:bookmarkStart w:id="201" w:name="_Toc23767045"/>
      <w:r w:rsidRPr="00E3331A">
        <w:lastRenderedPageBreak/>
        <w:t xml:space="preserve">Figure </w:t>
      </w:r>
      <w:r w:rsidR="006F35B9">
        <w:rPr>
          <w:noProof/>
        </w:rPr>
        <w:t>3</w:t>
      </w:r>
      <w:r w:rsidRPr="00E3331A">
        <w:t xml:space="preserve"> </w:t>
      </w:r>
      <w:r w:rsidRPr="00E3331A">
        <w:tab/>
        <w:t xml:space="preserve">Summary of the process used to identify and select studies for the </w:t>
      </w:r>
      <w:r w:rsidR="005541CA" w:rsidRPr="00E3331A">
        <w:t>A</w:t>
      </w:r>
      <w:r w:rsidRPr="00E3331A">
        <w:t>ssessment</w:t>
      </w:r>
      <w:bookmarkEnd w:id="201"/>
      <w:r w:rsidRPr="00E3331A">
        <w:t xml:space="preserve"> </w:t>
      </w:r>
    </w:p>
    <w:p w:rsidR="00182C18" w:rsidRPr="00E3331A" w:rsidRDefault="00D21A82" w:rsidP="00BA514C">
      <w:r>
        <w:pict>
          <v:shape id="_x0000_i1027" type="#_x0000_t75" alt="PRISMA diagram detailing study selection. A total of 28 RCTs and 36 non-randomised studies were included from 7,839 hits identified." style="width:452.25pt;height:513pt">
            <v:imagedata r:id="rId20" o:title=""/>
          </v:shape>
        </w:pict>
      </w:r>
    </w:p>
    <w:p w:rsidR="00147F55" w:rsidRPr="00E3331A" w:rsidRDefault="00147F55" w:rsidP="0037150F">
      <w:pPr>
        <w:pStyle w:val="Tablenotes1"/>
      </w:pPr>
      <w:r w:rsidRPr="00E3331A">
        <w:t>Abbreviations</w:t>
      </w:r>
      <w:r w:rsidR="003C40A7" w:rsidRPr="00E3331A">
        <w:t>: CIDP = Chronic inflammatory demyelinating polyneuropathy; RCT = randomised controlled trial.</w:t>
      </w:r>
    </w:p>
    <w:p w:rsidR="00FA20E2" w:rsidRPr="00E3331A" w:rsidRDefault="00FA20E2" w:rsidP="0037150F">
      <w:pPr>
        <w:pStyle w:val="Tablenotes1"/>
      </w:pPr>
      <w:r w:rsidRPr="00E3331A">
        <w:t xml:space="preserve">A: eg refers to narrative reviews, editorials, letters and case reports of ≤ 10 patients. </w:t>
      </w:r>
    </w:p>
    <w:p w:rsidR="00B435E9" w:rsidRPr="00E3331A" w:rsidRDefault="00B435E9" w:rsidP="00AA708D">
      <w:pPr>
        <w:jc w:val="both"/>
        <w:rPr>
          <w:color w:val="000000"/>
        </w:rPr>
      </w:pPr>
      <w:r w:rsidRPr="00E3331A">
        <w:t xml:space="preserve">A profile of each included study is </w:t>
      </w:r>
      <w:r w:rsidR="00661C3D" w:rsidRPr="00E3331A">
        <w:t xml:space="preserve">provided </w:t>
      </w:r>
      <w:r w:rsidRPr="00E3331A">
        <w:t xml:space="preserve">in </w:t>
      </w:r>
      <w:r w:rsidR="006F35B9" w:rsidRPr="00E3331A">
        <w:t xml:space="preserve">Appendix </w:t>
      </w:r>
      <w:r w:rsidR="006F35B9">
        <w:t>C</w:t>
      </w:r>
      <w:r w:rsidR="00661C3D" w:rsidRPr="00E3331A">
        <w:t>,</w:t>
      </w:r>
      <w:r w:rsidRPr="00E3331A">
        <w:t xml:space="preserve"> </w:t>
      </w:r>
      <w:r w:rsidRPr="00E3331A">
        <w:rPr>
          <w:color w:val="000000"/>
        </w:rPr>
        <w:t>describ</w:t>
      </w:r>
      <w:r w:rsidR="00661C3D" w:rsidRPr="00E3331A">
        <w:rPr>
          <w:color w:val="000000"/>
        </w:rPr>
        <w:t>ing</w:t>
      </w:r>
      <w:r w:rsidRPr="00E3331A">
        <w:rPr>
          <w:color w:val="000000"/>
        </w:rPr>
        <w:t xml:space="preserve"> the authors, study ID, publication year, study design and quality (risk of bias), study location, setting, length of follow-up of patients, study population characteristics, description of the intervention, description of the comparator</w:t>
      </w:r>
      <w:r w:rsidR="00661C3D" w:rsidRPr="00E3331A">
        <w:rPr>
          <w:color w:val="000000"/>
        </w:rPr>
        <w:t>,</w:t>
      </w:r>
      <w:r w:rsidRPr="00E3331A">
        <w:rPr>
          <w:color w:val="000000"/>
        </w:rPr>
        <w:t xml:space="preserve"> and relevant outcomes assessed. </w:t>
      </w:r>
      <w:r w:rsidR="001B6A91" w:rsidRPr="00E3331A">
        <w:rPr>
          <w:color w:val="000000"/>
        </w:rPr>
        <w:t xml:space="preserve">Study characteristics are also summarised in a shorter format in Section B.4. </w:t>
      </w:r>
    </w:p>
    <w:p w:rsidR="0019059F" w:rsidRPr="00E3331A" w:rsidRDefault="0019059F" w:rsidP="0019059F">
      <w:pPr>
        <w:pStyle w:val="Heading3"/>
        <w:jc w:val="both"/>
      </w:pPr>
      <w:bookmarkStart w:id="202" w:name="_Toc395200773"/>
      <w:bookmarkStart w:id="203" w:name="_Toc24103452"/>
      <w:bookmarkStart w:id="204" w:name="_Toc381796464"/>
      <w:r w:rsidRPr="00E3331A">
        <w:lastRenderedPageBreak/>
        <w:t>Appraisal of the evidence</w:t>
      </w:r>
      <w:bookmarkEnd w:id="202"/>
      <w:bookmarkEnd w:id="203"/>
    </w:p>
    <w:p w:rsidR="0019059F" w:rsidRPr="00E3331A" w:rsidRDefault="0019059F" w:rsidP="0019059F">
      <w:pPr>
        <w:jc w:val="both"/>
      </w:pPr>
      <w:r w:rsidRPr="00E3331A">
        <w:t xml:space="preserve">Appraisal of the evidence was conducted in </w:t>
      </w:r>
      <w:r w:rsidR="00591599" w:rsidRPr="00E3331A">
        <w:t>three</w:t>
      </w:r>
      <w:r w:rsidRPr="00E3331A">
        <w:t xml:space="preserve"> stages:</w:t>
      </w:r>
    </w:p>
    <w:p w:rsidR="0019059F" w:rsidRPr="00E3331A" w:rsidRDefault="0019059F" w:rsidP="0019059F">
      <w:pPr>
        <w:jc w:val="both"/>
      </w:pPr>
      <w:r w:rsidRPr="00E3331A">
        <w:t>Stage 1: Appraisal of the risk of bias within individual RCTs included in the review (Section B.3).</w:t>
      </w:r>
    </w:p>
    <w:p w:rsidR="0019059F" w:rsidRPr="00E3331A" w:rsidRDefault="0019059F" w:rsidP="0019059F">
      <w:pPr>
        <w:jc w:val="both"/>
      </w:pPr>
      <w:r w:rsidRPr="00E3331A">
        <w:t xml:space="preserve">Stage 2: Extraction of the pre-specified outcomes for this </w:t>
      </w:r>
      <w:r w:rsidR="005541CA" w:rsidRPr="00E3331A">
        <w:t>A</w:t>
      </w:r>
      <w:r w:rsidRPr="00E3331A">
        <w:t xml:space="preserve">ssessment, synthesising to determine an estimate of effect per outcome. </w:t>
      </w:r>
    </w:p>
    <w:p w:rsidR="0019059F" w:rsidRPr="00E3331A" w:rsidRDefault="0019059F" w:rsidP="0019059F">
      <w:pPr>
        <w:jc w:val="both"/>
      </w:pPr>
      <w:r w:rsidRPr="00E3331A">
        <w:t xml:space="preserve">Stage 3: Rating the overall quality of the evidence per outcome, across studies, based on the study limitations (risk of bias), imprecision, inconsistency of results, indirectness of evidence, and the likelihood of publication bias. This was done to provide an indication of the confidence in the estimate of effect in the context of Australian clinical practice (Evidence profile tables, </w:t>
      </w:r>
      <w:r w:rsidR="006F35B9" w:rsidRPr="00E3331A">
        <w:t xml:space="preserve">Appendix </w:t>
      </w:r>
      <w:r w:rsidR="006F35B9">
        <w:rPr>
          <w:noProof/>
        </w:rPr>
        <w:t>D</w:t>
      </w:r>
      <w:r w:rsidRPr="00E3331A">
        <w:t xml:space="preserve">). </w:t>
      </w:r>
    </w:p>
    <w:p w:rsidR="0019059F" w:rsidRPr="00E3331A" w:rsidRDefault="0019059F" w:rsidP="0019059F">
      <w:pPr>
        <w:jc w:val="both"/>
      </w:pPr>
      <w:r w:rsidRPr="00E3331A">
        <w:t>Stage 4: Integration of this evidence for conclusions about the net clinical benefit of the intervention in the context of Australian clinical practice (Sections B.6-8)</w:t>
      </w:r>
      <w:r w:rsidR="001A4B24" w:rsidRPr="00E3331A">
        <w:t>.</w:t>
      </w:r>
    </w:p>
    <w:p w:rsidR="009A76F8" w:rsidRPr="00E3331A" w:rsidRDefault="009A76F8" w:rsidP="003E4E1F">
      <w:pPr>
        <w:pStyle w:val="Heading2"/>
        <w:numPr>
          <w:ilvl w:val="1"/>
          <w:numId w:val="9"/>
        </w:numPr>
      </w:pPr>
      <w:bookmarkStart w:id="205" w:name="_Toc24103453"/>
      <w:r w:rsidRPr="00E3331A">
        <w:t>Risk of Bias</w:t>
      </w:r>
      <w:r w:rsidR="00B435E9" w:rsidRPr="00E3331A">
        <w:t xml:space="preserve"> Assessment</w:t>
      </w:r>
      <w:bookmarkEnd w:id="205"/>
    </w:p>
    <w:p w:rsidR="00907DF6" w:rsidRPr="00E3331A" w:rsidRDefault="00CD0563" w:rsidP="00907DF6">
      <w:pPr>
        <w:pStyle w:val="Heading3"/>
      </w:pPr>
      <w:bookmarkStart w:id="206" w:name="_Toc24103454"/>
      <w:bookmarkEnd w:id="204"/>
      <w:r w:rsidRPr="00E3331A">
        <w:t>Risk of bias in the r</w:t>
      </w:r>
      <w:r w:rsidR="00907DF6" w:rsidRPr="00E3331A">
        <w:t>andomised controlled trials</w:t>
      </w:r>
      <w:bookmarkEnd w:id="206"/>
    </w:p>
    <w:p w:rsidR="00A51241" w:rsidRPr="00E3331A" w:rsidRDefault="00A40637" w:rsidP="00A40637">
      <w:r w:rsidRPr="00E3331A">
        <w:t xml:space="preserve">The </w:t>
      </w:r>
      <w:r w:rsidR="00DD3274" w:rsidRPr="00E3331A">
        <w:t>risk</w:t>
      </w:r>
      <w:r w:rsidRPr="00E3331A">
        <w:t xml:space="preserve"> of </w:t>
      </w:r>
      <w:r w:rsidR="00DD3274" w:rsidRPr="00E3331A">
        <w:t>bias in the</w:t>
      </w:r>
      <w:r w:rsidR="00A51241" w:rsidRPr="00E3331A">
        <w:t xml:space="preserve"> </w:t>
      </w:r>
      <w:r w:rsidRPr="00E3331A">
        <w:t xml:space="preserve">included </w:t>
      </w:r>
      <w:r w:rsidR="002D3966" w:rsidRPr="00E3331A">
        <w:t>RCTs</w:t>
      </w:r>
      <w:r w:rsidRPr="00E3331A">
        <w:t xml:space="preserve"> was assessed using the Revised Cochrane Risk</w:t>
      </w:r>
      <w:r w:rsidR="00D45BCF" w:rsidRPr="00E3331A">
        <w:t xml:space="preserve"> </w:t>
      </w:r>
      <w:r w:rsidRPr="00E3331A">
        <w:t>of</w:t>
      </w:r>
      <w:r w:rsidR="00D45BCF" w:rsidRPr="00E3331A">
        <w:t xml:space="preserve"> </w:t>
      </w:r>
      <w:r w:rsidRPr="00E3331A">
        <w:t>Bias Tool for Randomi</w:t>
      </w:r>
      <w:r w:rsidR="001A4B24" w:rsidRPr="00E3331A">
        <w:t>s</w:t>
      </w:r>
      <w:r w:rsidRPr="00E3331A">
        <w:t>ed Trials (RoB 2)</w:t>
      </w:r>
      <w:r w:rsidR="00484A9F" w:rsidRPr="00E3331A">
        <w:t xml:space="preserve"> </w:t>
      </w:r>
      <w:r w:rsidR="00B85C75">
        <w:rPr>
          <w:noProof/>
        </w:rPr>
        <w:t>(Higgins et al. 2016)</w:t>
      </w:r>
      <w:r w:rsidR="00484A9F" w:rsidRPr="00E3331A">
        <w:t>.</w:t>
      </w:r>
      <w:r w:rsidR="00A51241" w:rsidRPr="00E3331A">
        <w:t xml:space="preserve"> </w:t>
      </w:r>
      <w:r w:rsidR="00DD3274" w:rsidRPr="00E3331A">
        <w:t xml:space="preserve">Studies were assessed by a single reviewer and checked by a second reviewer. </w:t>
      </w:r>
      <w:r w:rsidR="00A51241" w:rsidRPr="00E3331A">
        <w:t>Th</w:t>
      </w:r>
      <w:r w:rsidR="00DD3274" w:rsidRPr="00E3331A">
        <w:t xml:space="preserve">e Cochrane </w:t>
      </w:r>
      <w:r w:rsidR="00BE54F2">
        <w:t>risk of bias (</w:t>
      </w:r>
      <w:r w:rsidR="00484A9F" w:rsidRPr="00E3331A">
        <w:t>ROB</w:t>
      </w:r>
      <w:r w:rsidR="00BE54F2">
        <w:t>)</w:t>
      </w:r>
      <w:r w:rsidR="00A51241" w:rsidRPr="00E3331A">
        <w:t xml:space="preserve"> tool assesses bias in five domains:</w:t>
      </w:r>
    </w:p>
    <w:p w:rsidR="00A51241" w:rsidRPr="00E3331A" w:rsidRDefault="00A51241" w:rsidP="001F5B33">
      <w:pPr>
        <w:pStyle w:val="ColorfulList-Accent11"/>
        <w:numPr>
          <w:ilvl w:val="0"/>
          <w:numId w:val="25"/>
        </w:numPr>
      </w:pPr>
      <w:r w:rsidRPr="00E3331A">
        <w:t>Bias arising from the randomi</w:t>
      </w:r>
      <w:r w:rsidR="00591599" w:rsidRPr="00E3331A">
        <w:t>s</w:t>
      </w:r>
      <w:r w:rsidRPr="00E3331A">
        <w:t>ation process</w:t>
      </w:r>
    </w:p>
    <w:p w:rsidR="00A51241" w:rsidRPr="00E3331A" w:rsidRDefault="00A51241" w:rsidP="001F5B33">
      <w:pPr>
        <w:pStyle w:val="ColorfulList-Accent11"/>
        <w:numPr>
          <w:ilvl w:val="0"/>
          <w:numId w:val="25"/>
        </w:numPr>
      </w:pPr>
      <w:r w:rsidRPr="00E3331A">
        <w:t>Bias due to deviation from intended interventions</w:t>
      </w:r>
    </w:p>
    <w:p w:rsidR="00C53513" w:rsidRPr="00E3331A" w:rsidRDefault="00C53513" w:rsidP="001F5B33">
      <w:pPr>
        <w:pStyle w:val="ColorfulList-Accent11"/>
        <w:numPr>
          <w:ilvl w:val="0"/>
          <w:numId w:val="25"/>
        </w:numPr>
      </w:pPr>
      <w:r w:rsidRPr="00E3331A">
        <w:t>Bias due to missing outcome data</w:t>
      </w:r>
    </w:p>
    <w:p w:rsidR="00C53513" w:rsidRPr="00E3331A" w:rsidRDefault="00C53513" w:rsidP="001F5B33">
      <w:pPr>
        <w:pStyle w:val="ColorfulList-Accent11"/>
        <w:numPr>
          <w:ilvl w:val="0"/>
          <w:numId w:val="25"/>
        </w:numPr>
      </w:pPr>
      <w:r w:rsidRPr="00E3331A">
        <w:t>Bias in measurement of the outcome</w:t>
      </w:r>
    </w:p>
    <w:p w:rsidR="00C53513" w:rsidRPr="00E3331A" w:rsidRDefault="00C53513" w:rsidP="001F5B33">
      <w:pPr>
        <w:pStyle w:val="ColorfulList-Accent11"/>
        <w:numPr>
          <w:ilvl w:val="0"/>
          <w:numId w:val="25"/>
        </w:numPr>
      </w:pPr>
      <w:r w:rsidRPr="00E3331A">
        <w:t>Bias in selection of the reported result</w:t>
      </w:r>
    </w:p>
    <w:p w:rsidR="00BD6340" w:rsidRPr="00E3331A" w:rsidRDefault="00C62376" w:rsidP="00A40637">
      <w:r w:rsidRPr="00E3331A">
        <w:t xml:space="preserve">The overall risk of bias was deemed to be </w:t>
      </w:r>
      <w:r w:rsidR="00602E45" w:rsidRPr="00E3331A">
        <w:t>low</w:t>
      </w:r>
      <w:r w:rsidR="006E2494" w:rsidRPr="00E3331A">
        <w:t xml:space="preserve"> </w:t>
      </w:r>
      <w:r w:rsidR="00602E45" w:rsidRPr="00E3331A">
        <w:t xml:space="preserve">in </w:t>
      </w:r>
      <w:r w:rsidR="006E2494" w:rsidRPr="00E3331A">
        <w:t>30</w:t>
      </w:r>
      <w:r w:rsidR="00484A9F" w:rsidRPr="00E3331A">
        <w:t>%</w:t>
      </w:r>
      <w:r w:rsidR="006E2494" w:rsidRPr="00E3331A">
        <w:t xml:space="preserve"> of the </w:t>
      </w:r>
      <w:r w:rsidR="00602E45" w:rsidRPr="00E3331A">
        <w:t xml:space="preserve">studies, of some concern in </w:t>
      </w:r>
      <w:r w:rsidR="006E2494" w:rsidRPr="00E3331A">
        <w:t>15</w:t>
      </w:r>
      <w:r w:rsidR="00484A9F" w:rsidRPr="00E3331A">
        <w:t>%,</w:t>
      </w:r>
      <w:r w:rsidR="006E2494" w:rsidRPr="00E3331A">
        <w:t xml:space="preserve"> </w:t>
      </w:r>
      <w:r w:rsidR="00602E45" w:rsidRPr="00E3331A">
        <w:t>and high</w:t>
      </w:r>
      <w:r w:rsidR="006E2494" w:rsidRPr="00E3331A">
        <w:t xml:space="preserve"> in </w:t>
      </w:r>
      <w:r w:rsidR="00602E45" w:rsidRPr="00E3331A">
        <w:t xml:space="preserve">in </w:t>
      </w:r>
      <w:r w:rsidR="006E2494" w:rsidRPr="00E3331A">
        <w:t>55</w:t>
      </w:r>
      <w:r w:rsidR="00484A9F" w:rsidRPr="00E3331A">
        <w:t>%</w:t>
      </w:r>
      <w:r w:rsidR="006E2494" w:rsidRPr="00E3331A">
        <w:t xml:space="preserve"> of </w:t>
      </w:r>
      <w:r w:rsidR="00602E45" w:rsidRPr="00E3331A">
        <w:t xml:space="preserve">studies. </w:t>
      </w:r>
      <w:r w:rsidR="00DD3274" w:rsidRPr="00E3331A">
        <w:t>A summary of the assessment is present</w:t>
      </w:r>
      <w:r w:rsidR="00907E62" w:rsidRPr="00E3331A">
        <w:t>ed</w:t>
      </w:r>
      <w:r w:rsidR="00DD3274" w:rsidRPr="00E3331A">
        <w:t xml:space="preserve"> in</w:t>
      </w:r>
      <w:r w:rsidR="00716308" w:rsidRPr="00E3331A">
        <w:t xml:space="preserve"> </w:t>
      </w:r>
      <w:r w:rsidR="006F35B9" w:rsidRPr="00E3331A">
        <w:t xml:space="preserve">Table </w:t>
      </w:r>
      <w:r w:rsidR="006F35B9">
        <w:rPr>
          <w:noProof/>
        </w:rPr>
        <w:t>20</w:t>
      </w:r>
      <w:r w:rsidR="00DD3274" w:rsidRPr="00E3331A">
        <w:t>.</w:t>
      </w:r>
    </w:p>
    <w:p w:rsidR="00BD6340" w:rsidRPr="00E3331A" w:rsidRDefault="00BD6340" w:rsidP="00BD6340">
      <w:pPr>
        <w:pStyle w:val="Caption"/>
      </w:pPr>
      <w:bookmarkStart w:id="207" w:name="_Ref9321807"/>
      <w:bookmarkStart w:id="208" w:name="_Toc24103326"/>
      <w:r w:rsidRPr="00E3331A">
        <w:lastRenderedPageBreak/>
        <w:t xml:space="preserve">Table </w:t>
      </w:r>
      <w:r w:rsidR="006F35B9">
        <w:rPr>
          <w:noProof/>
        </w:rPr>
        <w:t>20</w:t>
      </w:r>
      <w:bookmarkEnd w:id="207"/>
      <w:r w:rsidRPr="00E3331A">
        <w:t xml:space="preserve"> </w:t>
      </w:r>
      <w:r w:rsidRPr="00E3331A">
        <w:tab/>
        <w:t>Summary of Cochrane Risk</w:t>
      </w:r>
      <w:r w:rsidR="00D45BCF" w:rsidRPr="00E3331A">
        <w:t xml:space="preserve"> </w:t>
      </w:r>
      <w:r w:rsidRPr="00E3331A">
        <w:t>of</w:t>
      </w:r>
      <w:r w:rsidR="00D45BCF" w:rsidRPr="00E3331A">
        <w:t xml:space="preserve"> </w:t>
      </w:r>
      <w:r w:rsidRPr="00E3331A">
        <w:t>Bias assessment of the included randomised controlled trials</w:t>
      </w:r>
      <w:bookmarkEnd w:id="208"/>
    </w:p>
    <w:p w:rsidR="00921FC0" w:rsidRPr="00E3331A" w:rsidRDefault="000D2C4E" w:rsidP="00A40637">
      <w:r w:rsidRPr="00E3331A">
        <w:rPr>
          <w:noProof/>
        </w:rPr>
        <w:drawing>
          <wp:inline distT="0" distB="0" distL="0" distR="0" wp14:anchorId="2FFBFEE4" wp14:editId="3AC6DD03">
            <wp:extent cx="5734050" cy="7000875"/>
            <wp:effectExtent l="0" t="0" r="0" b="0"/>
            <wp:docPr id="4" name="Picture 1" descr="Quality appraisal of RCTs using Cochran RoB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7000875"/>
                    </a:xfrm>
                    <a:prstGeom prst="rect">
                      <a:avLst/>
                    </a:prstGeom>
                    <a:noFill/>
                    <a:ln>
                      <a:noFill/>
                    </a:ln>
                  </pic:spPr>
                </pic:pic>
              </a:graphicData>
            </a:graphic>
          </wp:inline>
        </w:drawing>
      </w:r>
    </w:p>
    <w:p w:rsidR="00A40637" w:rsidRPr="00E3331A" w:rsidRDefault="00C53513" w:rsidP="00A40637">
      <w:r w:rsidRPr="00E3331A">
        <w:t xml:space="preserve">With respect to the randomisation process, just over half of the studies were deemed to have low risk </w:t>
      </w:r>
      <w:r w:rsidR="00602E45" w:rsidRPr="00E3331A">
        <w:t>of bias</w:t>
      </w:r>
      <w:r w:rsidR="006E2494" w:rsidRPr="00E3331A">
        <w:t xml:space="preserve"> (55%)</w:t>
      </w:r>
      <w:r w:rsidR="00602E45" w:rsidRPr="00E3331A">
        <w:t xml:space="preserve"> </w:t>
      </w:r>
      <w:r w:rsidR="00BC5514" w:rsidRPr="00E3331A">
        <w:t>and just under half were deemed to have some concerns (40%). Th</w:t>
      </w:r>
      <w:r w:rsidR="00D962C6" w:rsidRPr="00E3331A">
        <w:t>e concerns</w:t>
      </w:r>
      <w:r w:rsidR="00BC5514" w:rsidRPr="00E3331A">
        <w:t xml:space="preserve"> w</w:t>
      </w:r>
      <w:r w:rsidR="00D962C6" w:rsidRPr="00E3331A">
        <w:t>ere</w:t>
      </w:r>
      <w:r w:rsidR="00BC5514" w:rsidRPr="00E3331A">
        <w:t xml:space="preserve"> attributable to </w:t>
      </w:r>
      <w:r w:rsidR="00D962C6" w:rsidRPr="00E3331A">
        <w:t>the</w:t>
      </w:r>
      <w:r w:rsidR="00BC5514" w:rsidRPr="00E3331A">
        <w:t xml:space="preserve"> lack of reporting regarding both concealment and/or randomisation. One study </w:t>
      </w:r>
      <w:r w:rsidR="00B85C75">
        <w:rPr>
          <w:noProof/>
        </w:rPr>
        <w:t>(Zinman et al. 2005)</w:t>
      </w:r>
      <w:r w:rsidR="00DC2C6A" w:rsidRPr="00E3331A">
        <w:t xml:space="preserve"> </w:t>
      </w:r>
      <w:r w:rsidR="00BC5514" w:rsidRPr="00E3331A">
        <w:t xml:space="preserve">scored a high risk of bias for this domain </w:t>
      </w:r>
      <w:r w:rsidR="000C36C4" w:rsidRPr="00E3331A">
        <w:t>due</w:t>
      </w:r>
      <w:r w:rsidR="009D05DC" w:rsidRPr="00E3331A">
        <w:t xml:space="preserve"> to</w:t>
      </w:r>
      <w:r w:rsidR="000C36C4" w:rsidRPr="00E3331A">
        <w:t xml:space="preserve"> concerns over the differences in one of the baseline characteristics (duration of disease) </w:t>
      </w:r>
      <w:r w:rsidR="00DC2C6A" w:rsidRPr="00E3331A">
        <w:t>being</w:t>
      </w:r>
      <w:r w:rsidR="000C36C4" w:rsidRPr="00E3331A">
        <w:t xml:space="preserve"> higher in the IVIg</w:t>
      </w:r>
      <w:r w:rsidR="00DC2C6A" w:rsidRPr="00E3331A">
        <w:t>-</w:t>
      </w:r>
      <w:r w:rsidR="000C36C4" w:rsidRPr="00E3331A">
        <w:t>treated group</w:t>
      </w:r>
      <w:r w:rsidR="009D05DC" w:rsidRPr="00E3331A">
        <w:t xml:space="preserve">. The </w:t>
      </w:r>
      <w:r w:rsidR="009D05DC" w:rsidRPr="00E3331A">
        <w:lastRenderedPageBreak/>
        <w:t xml:space="preserve">authors noted that owing to the small numbers of patients in the study, </w:t>
      </w:r>
      <w:r w:rsidR="00D32BE8" w:rsidRPr="00E3331A">
        <w:t>“</w:t>
      </w:r>
      <w:r w:rsidR="009D05DC" w:rsidRPr="00E3331A">
        <w:t>the randomisation process may have resulted in important baseline differences</w:t>
      </w:r>
      <w:r w:rsidR="00D32BE8" w:rsidRPr="00E3331A">
        <w:t>”.</w:t>
      </w:r>
    </w:p>
    <w:p w:rsidR="007E4689" w:rsidRPr="00E3331A" w:rsidRDefault="00773A24" w:rsidP="007E4689">
      <w:pPr>
        <w:rPr>
          <w:rFonts w:eastAsia="Calibri" w:cs="Times New Roman"/>
          <w:lang w:eastAsia="en-US"/>
        </w:rPr>
      </w:pPr>
      <w:r w:rsidRPr="00E3331A">
        <w:t>For the domain ‘bias due to deviation from intended interventions</w:t>
      </w:r>
      <w:r w:rsidR="00716308" w:rsidRPr="00E3331A">
        <w:t>’</w:t>
      </w:r>
      <w:r w:rsidR="00BC09DF" w:rsidRPr="00E3331A">
        <w:t>,</w:t>
      </w:r>
      <w:r w:rsidRPr="00E3331A">
        <w:t xml:space="preserve"> half of the studies </w:t>
      </w:r>
      <w:r w:rsidR="00602E45" w:rsidRPr="00E3331A">
        <w:t>had</w:t>
      </w:r>
      <w:r w:rsidR="00BC09DF" w:rsidRPr="00E3331A">
        <w:t xml:space="preserve"> a</w:t>
      </w:r>
      <w:r w:rsidRPr="00E3331A">
        <w:t xml:space="preserve"> low risk of bias</w:t>
      </w:r>
      <w:r w:rsidR="000576CC" w:rsidRPr="00E3331A">
        <w:t>.</w:t>
      </w:r>
      <w:r w:rsidRPr="00E3331A">
        <w:t xml:space="preserve"> </w:t>
      </w:r>
      <w:r w:rsidR="000576CC" w:rsidRPr="00E3331A">
        <w:t>There were ‘</w:t>
      </w:r>
      <w:r w:rsidRPr="00E3331A">
        <w:t>some concerns</w:t>
      </w:r>
      <w:r w:rsidR="000576CC" w:rsidRPr="00E3331A">
        <w:t xml:space="preserve">’ in </w:t>
      </w:r>
      <w:r w:rsidR="007E4689" w:rsidRPr="00E3331A">
        <w:t>15</w:t>
      </w:r>
      <w:r w:rsidR="00BC09DF" w:rsidRPr="00E3331A">
        <w:t>%</w:t>
      </w:r>
      <w:r w:rsidRPr="00E3331A">
        <w:t xml:space="preserve"> </w:t>
      </w:r>
      <w:r w:rsidR="007E4689" w:rsidRPr="00E3331A">
        <w:t>of the studies</w:t>
      </w:r>
      <w:r w:rsidR="00BC09DF" w:rsidRPr="00E3331A">
        <w:t xml:space="preserve"> </w:t>
      </w:r>
      <w:r w:rsidR="00716308" w:rsidRPr="00E3331A">
        <w:t>due</w:t>
      </w:r>
      <w:r w:rsidR="007E4689" w:rsidRPr="00E3331A">
        <w:t xml:space="preserve"> to three studies not conducting ‘intention-to-treat’ analyses. They were</w:t>
      </w:r>
      <w:r w:rsidR="00470AA5" w:rsidRPr="00E3331A">
        <w:t xml:space="preserve"> not</w:t>
      </w:r>
      <w:r w:rsidR="007E4689" w:rsidRPr="00E3331A">
        <w:t xml:space="preserve"> graded as ‘high risk’ </w:t>
      </w:r>
      <w:r w:rsidR="00716308" w:rsidRPr="00E3331A">
        <w:t xml:space="preserve">of bias </w:t>
      </w:r>
      <w:r w:rsidR="007E4689" w:rsidRPr="00E3331A">
        <w:t>as it</w:t>
      </w:r>
      <w:r w:rsidR="007E4689" w:rsidRPr="00E3331A">
        <w:rPr>
          <w:rFonts w:eastAsia="Calibri" w:cs="Times New Roman"/>
          <w:lang w:eastAsia="en-US"/>
        </w:rPr>
        <w:t xml:space="preserve"> was deemed unlikely that failure to analyse participants in the group to which they were randomi</w:t>
      </w:r>
      <w:r w:rsidR="00716308" w:rsidRPr="00E3331A">
        <w:rPr>
          <w:rFonts w:eastAsia="Calibri" w:cs="Times New Roman"/>
          <w:lang w:eastAsia="en-US"/>
        </w:rPr>
        <w:t>s</w:t>
      </w:r>
      <w:r w:rsidR="007E4689" w:rsidRPr="00E3331A">
        <w:rPr>
          <w:rFonts w:eastAsia="Calibri" w:cs="Times New Roman"/>
          <w:lang w:eastAsia="en-US"/>
        </w:rPr>
        <w:t xml:space="preserve">ed would have </w:t>
      </w:r>
      <w:r w:rsidR="00470AA5" w:rsidRPr="00E3331A">
        <w:rPr>
          <w:rFonts w:eastAsia="Calibri" w:cs="Times New Roman"/>
          <w:lang w:eastAsia="en-US"/>
        </w:rPr>
        <w:t xml:space="preserve">had </w:t>
      </w:r>
      <w:r w:rsidR="007E4689" w:rsidRPr="00E3331A">
        <w:rPr>
          <w:rFonts w:eastAsia="Calibri" w:cs="Times New Roman"/>
          <w:lang w:eastAsia="en-US"/>
        </w:rPr>
        <w:t>a substantial impact on the results. The remaining seven studies (35%) were all assessed as having a ‘high risk’ of bias</w:t>
      </w:r>
      <w:r w:rsidR="00BC09DF" w:rsidRPr="00E3331A">
        <w:rPr>
          <w:rFonts w:eastAsia="Calibri" w:cs="Times New Roman"/>
          <w:lang w:eastAsia="en-US"/>
        </w:rPr>
        <w:t>. These studies</w:t>
      </w:r>
      <w:r w:rsidR="007E4689" w:rsidRPr="00E3331A">
        <w:rPr>
          <w:rFonts w:eastAsia="Calibri" w:cs="Times New Roman"/>
          <w:lang w:eastAsia="en-US"/>
        </w:rPr>
        <w:t xml:space="preserve"> </w:t>
      </w:r>
      <w:r w:rsidR="00470AA5" w:rsidRPr="00E3331A">
        <w:rPr>
          <w:rFonts w:eastAsia="Calibri" w:cs="Times New Roman"/>
          <w:lang w:eastAsia="en-US"/>
        </w:rPr>
        <w:t>also failed to do ‘intention-to-treat</w:t>
      </w:r>
      <w:r w:rsidR="00BC09DF" w:rsidRPr="00E3331A">
        <w:rPr>
          <w:rFonts w:eastAsia="Calibri" w:cs="Times New Roman"/>
          <w:lang w:eastAsia="en-US"/>
        </w:rPr>
        <w:t xml:space="preserve">’ </w:t>
      </w:r>
      <w:r w:rsidR="00470AA5" w:rsidRPr="00E3331A">
        <w:rPr>
          <w:rFonts w:eastAsia="Calibri" w:cs="Times New Roman"/>
          <w:lang w:eastAsia="en-US"/>
        </w:rPr>
        <w:t>analyses and it was deemed that this possibly could have had a substantial impact on the results.</w:t>
      </w:r>
      <w:r w:rsidR="00345C95" w:rsidRPr="00E3331A">
        <w:rPr>
          <w:rFonts w:eastAsia="Calibri" w:cs="Times New Roman"/>
          <w:lang w:eastAsia="en-US"/>
        </w:rPr>
        <w:t xml:space="preserve"> </w:t>
      </w:r>
      <w:r w:rsidR="00BB2F7C" w:rsidRPr="00E3331A">
        <w:rPr>
          <w:rFonts w:eastAsia="Calibri" w:cs="Times New Roman"/>
          <w:lang w:eastAsia="en-US"/>
        </w:rPr>
        <w:t>S</w:t>
      </w:r>
      <w:r w:rsidR="00470AA5" w:rsidRPr="00E3331A">
        <w:rPr>
          <w:rFonts w:eastAsia="Calibri" w:cs="Times New Roman"/>
          <w:lang w:eastAsia="en-US"/>
        </w:rPr>
        <w:t xml:space="preserve">tudies varied </w:t>
      </w:r>
      <w:r w:rsidR="00027CAF" w:rsidRPr="00E3331A">
        <w:rPr>
          <w:rFonts w:eastAsia="Calibri" w:cs="Times New Roman"/>
          <w:lang w:eastAsia="en-US"/>
        </w:rPr>
        <w:t>in terms of blinding of patients and carers. In 11 studies</w:t>
      </w:r>
      <w:r w:rsidR="00BB2F7C" w:rsidRPr="00E3331A">
        <w:rPr>
          <w:rFonts w:eastAsia="Calibri" w:cs="Times New Roman"/>
          <w:lang w:eastAsia="en-US"/>
        </w:rPr>
        <w:t xml:space="preserve"> (55%) </w:t>
      </w:r>
      <w:r w:rsidR="00027CAF" w:rsidRPr="00E3331A">
        <w:rPr>
          <w:rFonts w:eastAsia="Calibri" w:cs="Times New Roman"/>
          <w:lang w:eastAsia="en-US"/>
        </w:rPr>
        <w:t>both the patient and carer were blinded to the assigned intervention</w:t>
      </w:r>
      <w:r w:rsidR="00BB2F7C" w:rsidRPr="00E3331A">
        <w:rPr>
          <w:rFonts w:eastAsia="Calibri" w:cs="Times New Roman"/>
          <w:lang w:eastAsia="en-US"/>
        </w:rPr>
        <w:t>.</w:t>
      </w:r>
      <w:r w:rsidR="00027CAF" w:rsidRPr="00E3331A">
        <w:rPr>
          <w:rFonts w:eastAsia="Calibri" w:cs="Times New Roman"/>
          <w:lang w:eastAsia="en-US"/>
        </w:rPr>
        <w:t xml:space="preserve"> </w:t>
      </w:r>
      <w:r w:rsidR="00BB2F7C" w:rsidRPr="00E3331A">
        <w:rPr>
          <w:rFonts w:eastAsia="Calibri" w:cs="Times New Roman"/>
          <w:lang w:eastAsia="en-US"/>
        </w:rPr>
        <w:t>I</w:t>
      </w:r>
      <w:r w:rsidR="00027CAF" w:rsidRPr="00E3331A">
        <w:rPr>
          <w:rFonts w:eastAsia="Calibri" w:cs="Times New Roman"/>
          <w:lang w:eastAsia="en-US"/>
        </w:rPr>
        <w:t xml:space="preserve">n </w:t>
      </w:r>
      <w:r w:rsidR="00BB2F7C" w:rsidRPr="00E3331A">
        <w:rPr>
          <w:rFonts w:eastAsia="Calibri" w:cs="Times New Roman"/>
          <w:lang w:eastAsia="en-US"/>
        </w:rPr>
        <w:t xml:space="preserve">five </w:t>
      </w:r>
      <w:r w:rsidR="00027CAF" w:rsidRPr="00E3331A">
        <w:rPr>
          <w:rFonts w:eastAsia="Calibri" w:cs="Times New Roman"/>
          <w:lang w:eastAsia="en-US"/>
        </w:rPr>
        <w:t>studies</w:t>
      </w:r>
      <w:r w:rsidR="00BB2F7C" w:rsidRPr="00E3331A">
        <w:rPr>
          <w:rFonts w:eastAsia="Calibri" w:cs="Times New Roman"/>
          <w:lang w:eastAsia="en-US"/>
        </w:rPr>
        <w:t xml:space="preserve"> (25%)</w:t>
      </w:r>
      <w:r w:rsidR="00027CAF" w:rsidRPr="00E3331A">
        <w:rPr>
          <w:rFonts w:eastAsia="Calibri" w:cs="Times New Roman"/>
          <w:lang w:eastAsia="en-US"/>
        </w:rPr>
        <w:t xml:space="preserve"> both the patient and carer were either probably aware, or were aware</w:t>
      </w:r>
      <w:r w:rsidR="00716308" w:rsidRPr="00E3331A">
        <w:rPr>
          <w:rFonts w:eastAsia="Calibri" w:cs="Times New Roman"/>
          <w:lang w:eastAsia="en-US"/>
        </w:rPr>
        <w:t>,</w:t>
      </w:r>
      <w:r w:rsidR="00027CAF" w:rsidRPr="00E3331A">
        <w:rPr>
          <w:rFonts w:eastAsia="Calibri" w:cs="Times New Roman"/>
          <w:lang w:eastAsia="en-US"/>
        </w:rPr>
        <w:t xml:space="preserve"> of the assigned intervention. </w:t>
      </w:r>
    </w:p>
    <w:p w:rsidR="00434BF0" w:rsidRPr="00E3331A" w:rsidRDefault="002D3661" w:rsidP="007E4689">
      <w:pPr>
        <w:rPr>
          <w:rFonts w:eastAsia="Calibri" w:cs="Times New Roman"/>
          <w:lang w:eastAsia="en-US"/>
        </w:rPr>
      </w:pPr>
      <w:r w:rsidRPr="00E3331A">
        <w:rPr>
          <w:rFonts w:eastAsia="Calibri" w:cs="Times New Roman"/>
          <w:lang w:eastAsia="en-US"/>
        </w:rPr>
        <w:t xml:space="preserve">Missing outcome data was the domain </w:t>
      </w:r>
      <w:r w:rsidR="00BA608C" w:rsidRPr="00E3331A">
        <w:rPr>
          <w:rFonts w:eastAsia="Calibri" w:cs="Times New Roman"/>
          <w:lang w:eastAsia="en-US"/>
        </w:rPr>
        <w:t>that had the</w:t>
      </w:r>
      <w:r w:rsidRPr="00E3331A">
        <w:rPr>
          <w:rFonts w:eastAsia="Calibri" w:cs="Times New Roman"/>
          <w:lang w:eastAsia="en-US"/>
        </w:rPr>
        <w:t xml:space="preserve"> greatest </w:t>
      </w:r>
      <w:r w:rsidR="00DB202E" w:rsidRPr="00E3331A">
        <w:rPr>
          <w:rFonts w:eastAsia="Calibri" w:cs="Times New Roman"/>
          <w:lang w:eastAsia="en-US"/>
        </w:rPr>
        <w:t>‘</w:t>
      </w:r>
      <w:r w:rsidRPr="00E3331A">
        <w:rPr>
          <w:rFonts w:eastAsia="Calibri" w:cs="Times New Roman"/>
          <w:lang w:eastAsia="en-US"/>
        </w:rPr>
        <w:t>high risk</w:t>
      </w:r>
      <w:r w:rsidR="00716308" w:rsidRPr="00E3331A">
        <w:rPr>
          <w:rFonts w:eastAsia="Calibri" w:cs="Times New Roman"/>
          <w:lang w:eastAsia="en-US"/>
        </w:rPr>
        <w:t>’</w:t>
      </w:r>
      <w:r w:rsidRPr="00E3331A">
        <w:rPr>
          <w:rFonts w:eastAsia="Calibri" w:cs="Times New Roman"/>
          <w:lang w:eastAsia="en-US"/>
        </w:rPr>
        <w:t xml:space="preserve"> of bias</w:t>
      </w:r>
      <w:r w:rsidR="00DB202E" w:rsidRPr="00E3331A">
        <w:rPr>
          <w:rFonts w:eastAsia="Calibri" w:cs="Times New Roman"/>
          <w:lang w:eastAsia="en-US"/>
        </w:rPr>
        <w:t xml:space="preserve"> </w:t>
      </w:r>
      <w:r w:rsidR="00417823">
        <w:rPr>
          <w:rFonts w:eastAsia="Calibri" w:cs="Times New Roman"/>
          <w:lang w:eastAsia="en-US"/>
        </w:rPr>
        <w:t>among</w:t>
      </w:r>
      <w:r w:rsidR="00DB202E" w:rsidRPr="00E3331A">
        <w:rPr>
          <w:rFonts w:eastAsia="Calibri" w:cs="Times New Roman"/>
          <w:lang w:eastAsia="en-US"/>
        </w:rPr>
        <w:t xml:space="preserve"> the included studies</w:t>
      </w:r>
      <w:r w:rsidRPr="00E3331A">
        <w:rPr>
          <w:rFonts w:eastAsia="Calibri" w:cs="Times New Roman"/>
          <w:lang w:eastAsia="en-US"/>
        </w:rPr>
        <w:t xml:space="preserve"> (40%). </w:t>
      </w:r>
      <w:r w:rsidR="00DB202E" w:rsidRPr="00E3331A">
        <w:rPr>
          <w:rFonts w:eastAsia="Calibri" w:cs="Times New Roman"/>
          <w:lang w:eastAsia="en-US"/>
        </w:rPr>
        <w:t xml:space="preserve">This </w:t>
      </w:r>
      <w:r w:rsidRPr="00E3331A">
        <w:rPr>
          <w:rFonts w:eastAsia="Calibri" w:cs="Times New Roman"/>
          <w:lang w:eastAsia="en-US"/>
        </w:rPr>
        <w:t xml:space="preserve">was owing to </w:t>
      </w:r>
      <w:r w:rsidR="00BA608C" w:rsidRPr="00E3331A">
        <w:rPr>
          <w:rFonts w:eastAsia="Calibri" w:cs="Times New Roman"/>
          <w:lang w:eastAsia="en-US"/>
        </w:rPr>
        <w:t>data not being available for all, or nearly all, of the participants randomi</w:t>
      </w:r>
      <w:r w:rsidR="00716308" w:rsidRPr="00E3331A">
        <w:rPr>
          <w:rFonts w:eastAsia="Calibri" w:cs="Times New Roman"/>
          <w:lang w:eastAsia="en-US"/>
        </w:rPr>
        <w:t>s</w:t>
      </w:r>
      <w:r w:rsidR="00BA608C" w:rsidRPr="00E3331A">
        <w:rPr>
          <w:rFonts w:eastAsia="Calibri" w:cs="Times New Roman"/>
          <w:lang w:eastAsia="en-US"/>
        </w:rPr>
        <w:t xml:space="preserve">ed </w:t>
      </w:r>
      <w:r w:rsidR="00DB202E" w:rsidRPr="00E3331A">
        <w:rPr>
          <w:rFonts w:eastAsia="Calibri" w:cs="Times New Roman"/>
          <w:lang w:eastAsia="en-US"/>
        </w:rPr>
        <w:t>in these studies</w:t>
      </w:r>
      <w:r w:rsidR="00430877" w:rsidRPr="00E3331A">
        <w:rPr>
          <w:rFonts w:eastAsia="Calibri" w:cs="Times New Roman"/>
          <w:lang w:eastAsia="en-US"/>
        </w:rPr>
        <w:t>,</w:t>
      </w:r>
      <w:r w:rsidR="00DB202E" w:rsidRPr="00E3331A">
        <w:rPr>
          <w:rFonts w:eastAsia="Calibri" w:cs="Times New Roman"/>
          <w:lang w:eastAsia="en-US"/>
        </w:rPr>
        <w:t xml:space="preserve"> </w:t>
      </w:r>
      <w:r w:rsidR="00BA608C" w:rsidRPr="00E3331A">
        <w:rPr>
          <w:rFonts w:eastAsia="Calibri" w:cs="Times New Roman"/>
          <w:lang w:eastAsia="en-US"/>
        </w:rPr>
        <w:t xml:space="preserve">and the reason for the missing data </w:t>
      </w:r>
      <w:r w:rsidR="00DB202E" w:rsidRPr="00E3331A">
        <w:rPr>
          <w:rFonts w:eastAsia="Calibri" w:cs="Times New Roman"/>
          <w:lang w:eastAsia="en-US"/>
        </w:rPr>
        <w:t>being</w:t>
      </w:r>
      <w:r w:rsidR="00BA608C" w:rsidRPr="00E3331A">
        <w:rPr>
          <w:rFonts w:eastAsia="Calibri" w:cs="Times New Roman"/>
          <w:lang w:eastAsia="en-US"/>
        </w:rPr>
        <w:t xml:space="preserve"> either due, or likely to be due</w:t>
      </w:r>
      <w:r w:rsidR="00DB202E" w:rsidRPr="00E3331A">
        <w:rPr>
          <w:rFonts w:eastAsia="Calibri" w:cs="Times New Roman"/>
          <w:lang w:eastAsia="en-US"/>
        </w:rPr>
        <w:t xml:space="preserve"> to,</w:t>
      </w:r>
      <w:r w:rsidR="00BA608C" w:rsidRPr="00E3331A">
        <w:rPr>
          <w:rFonts w:eastAsia="Calibri" w:cs="Times New Roman"/>
          <w:lang w:eastAsia="en-US"/>
        </w:rPr>
        <w:t xml:space="preserve"> its true value. For example, reasons provided for missing data included discontinuation due to lack of effect or poor performance, termination of a treatment due </w:t>
      </w:r>
      <w:r w:rsidR="00430877" w:rsidRPr="00E3331A">
        <w:rPr>
          <w:rFonts w:eastAsia="Calibri" w:cs="Times New Roman"/>
          <w:lang w:eastAsia="en-US"/>
        </w:rPr>
        <w:t xml:space="preserve">to </w:t>
      </w:r>
      <w:r w:rsidR="00BA608C" w:rsidRPr="00E3331A">
        <w:rPr>
          <w:rFonts w:eastAsia="Calibri" w:cs="Times New Roman"/>
          <w:lang w:eastAsia="en-US"/>
        </w:rPr>
        <w:t>the patient’s health status (worsening or failure to improve)</w:t>
      </w:r>
      <w:r w:rsidR="00DC7BDD" w:rsidRPr="00E3331A">
        <w:rPr>
          <w:rFonts w:eastAsia="Calibri" w:cs="Times New Roman"/>
          <w:lang w:eastAsia="en-US"/>
        </w:rPr>
        <w:t>,</w:t>
      </w:r>
      <w:r w:rsidR="00BA608C" w:rsidRPr="00E3331A">
        <w:rPr>
          <w:rFonts w:eastAsia="Calibri" w:cs="Times New Roman"/>
          <w:lang w:eastAsia="en-US"/>
        </w:rPr>
        <w:t xml:space="preserve"> and patients not being crossed over due to improvement with their first treatment arm.</w:t>
      </w:r>
      <w:r w:rsidRPr="00E3331A">
        <w:rPr>
          <w:rFonts w:eastAsia="Calibri" w:cs="Times New Roman"/>
          <w:lang w:eastAsia="en-US"/>
        </w:rPr>
        <w:t xml:space="preserve"> Most of the other studies scored </w:t>
      </w:r>
      <w:r w:rsidR="00716308" w:rsidRPr="00E3331A">
        <w:rPr>
          <w:rFonts w:eastAsia="Calibri" w:cs="Times New Roman"/>
          <w:lang w:eastAsia="en-US"/>
        </w:rPr>
        <w:t>‘</w:t>
      </w:r>
      <w:r w:rsidRPr="00E3331A">
        <w:rPr>
          <w:rFonts w:eastAsia="Calibri" w:cs="Times New Roman"/>
          <w:lang w:eastAsia="en-US"/>
        </w:rPr>
        <w:t>low risk</w:t>
      </w:r>
      <w:r w:rsidR="00716308" w:rsidRPr="00E3331A">
        <w:rPr>
          <w:rFonts w:eastAsia="Calibri" w:cs="Times New Roman"/>
          <w:lang w:eastAsia="en-US"/>
        </w:rPr>
        <w:t>’</w:t>
      </w:r>
      <w:r w:rsidRPr="00E3331A">
        <w:rPr>
          <w:rFonts w:eastAsia="Calibri" w:cs="Times New Roman"/>
          <w:lang w:eastAsia="en-US"/>
        </w:rPr>
        <w:t xml:space="preserve"> of bias for this domain (55%). </w:t>
      </w:r>
    </w:p>
    <w:p w:rsidR="001B2063" w:rsidRPr="00E3331A" w:rsidRDefault="006047C5" w:rsidP="007E4689">
      <w:pPr>
        <w:rPr>
          <w:rFonts w:eastAsia="Calibri" w:cs="Times New Roman"/>
          <w:lang w:eastAsia="en-US"/>
        </w:rPr>
      </w:pPr>
      <w:r w:rsidRPr="00E3331A">
        <w:rPr>
          <w:rFonts w:eastAsia="Calibri" w:cs="Times New Roman"/>
          <w:lang w:eastAsia="en-US"/>
        </w:rPr>
        <w:t>For t</w:t>
      </w:r>
      <w:r w:rsidR="00C62376" w:rsidRPr="00E3331A">
        <w:rPr>
          <w:rFonts w:eastAsia="Calibri" w:cs="Times New Roman"/>
          <w:lang w:eastAsia="en-US"/>
        </w:rPr>
        <w:t xml:space="preserve">he </w:t>
      </w:r>
      <w:r w:rsidRPr="00E3331A">
        <w:rPr>
          <w:rFonts w:eastAsia="Calibri" w:cs="Times New Roman"/>
          <w:lang w:eastAsia="en-US"/>
        </w:rPr>
        <w:t xml:space="preserve">remaining two domains, </w:t>
      </w:r>
      <w:r w:rsidR="00C62376" w:rsidRPr="00E3331A">
        <w:rPr>
          <w:rFonts w:eastAsia="Calibri" w:cs="Times New Roman"/>
          <w:lang w:eastAsia="en-US"/>
        </w:rPr>
        <w:t>all studies were deemed to have</w:t>
      </w:r>
      <w:r w:rsidR="00DC290B" w:rsidRPr="00E3331A">
        <w:rPr>
          <w:rFonts w:eastAsia="Calibri" w:cs="Times New Roman"/>
          <w:lang w:eastAsia="en-US"/>
        </w:rPr>
        <w:t xml:space="preserve"> a</w:t>
      </w:r>
      <w:r w:rsidR="00C62376" w:rsidRPr="00E3331A">
        <w:rPr>
          <w:rFonts w:eastAsia="Calibri" w:cs="Times New Roman"/>
          <w:lang w:eastAsia="en-US"/>
        </w:rPr>
        <w:t xml:space="preserve"> low risk </w:t>
      </w:r>
      <w:r w:rsidRPr="00E3331A">
        <w:rPr>
          <w:rFonts w:eastAsia="Calibri" w:cs="Times New Roman"/>
          <w:lang w:eastAsia="en-US"/>
        </w:rPr>
        <w:t>of bias for the ‘measurement of outcome’ domain</w:t>
      </w:r>
      <w:r w:rsidR="00DC290B" w:rsidRPr="00E3331A">
        <w:rPr>
          <w:rFonts w:eastAsia="Calibri" w:cs="Times New Roman"/>
          <w:lang w:eastAsia="en-US"/>
        </w:rPr>
        <w:t>,</w:t>
      </w:r>
      <w:r w:rsidRPr="00E3331A">
        <w:rPr>
          <w:rFonts w:eastAsia="Calibri" w:cs="Times New Roman"/>
          <w:lang w:eastAsia="en-US"/>
        </w:rPr>
        <w:t xml:space="preserve"> and low or some concerns of bias for ‘selection of the reported result’</w:t>
      </w:r>
      <w:r w:rsidR="00DC290B" w:rsidRPr="00E3331A">
        <w:rPr>
          <w:rFonts w:eastAsia="Calibri" w:cs="Times New Roman"/>
          <w:lang w:eastAsia="en-US"/>
        </w:rPr>
        <w:t xml:space="preserve"> domain</w:t>
      </w:r>
      <w:r w:rsidR="00C62376" w:rsidRPr="00E3331A">
        <w:rPr>
          <w:rFonts w:eastAsia="Calibri" w:cs="Times New Roman"/>
          <w:lang w:eastAsia="en-US"/>
        </w:rPr>
        <w:t xml:space="preserve">. </w:t>
      </w:r>
      <w:r w:rsidR="00602E45" w:rsidRPr="00E3331A">
        <w:rPr>
          <w:rFonts w:eastAsia="Calibri" w:cs="Times New Roman"/>
          <w:lang w:eastAsia="en-US"/>
        </w:rPr>
        <w:t xml:space="preserve">Two studies were deemed to be of </w:t>
      </w:r>
      <w:r w:rsidR="00716308" w:rsidRPr="00E3331A">
        <w:rPr>
          <w:rFonts w:eastAsia="Calibri" w:cs="Times New Roman"/>
          <w:lang w:eastAsia="en-US"/>
        </w:rPr>
        <w:t>‘</w:t>
      </w:r>
      <w:r w:rsidR="00602E45" w:rsidRPr="00E3331A">
        <w:rPr>
          <w:rFonts w:eastAsia="Calibri" w:cs="Times New Roman"/>
          <w:lang w:eastAsia="en-US"/>
        </w:rPr>
        <w:t>some concern</w:t>
      </w:r>
      <w:r w:rsidR="00716308" w:rsidRPr="00E3331A">
        <w:rPr>
          <w:rFonts w:eastAsia="Calibri" w:cs="Times New Roman"/>
          <w:lang w:eastAsia="en-US"/>
        </w:rPr>
        <w:t>’</w:t>
      </w:r>
      <w:r w:rsidR="00602E45" w:rsidRPr="00E3331A">
        <w:rPr>
          <w:rFonts w:eastAsia="Calibri" w:cs="Times New Roman"/>
          <w:lang w:eastAsia="en-US"/>
        </w:rPr>
        <w:t xml:space="preserve"> of bias in ‘selection of the reported result’ domain</w:t>
      </w:r>
      <w:r w:rsidR="009E76E6" w:rsidRPr="00E3331A">
        <w:rPr>
          <w:rFonts w:eastAsia="Calibri" w:cs="Times New Roman"/>
          <w:lang w:eastAsia="en-US"/>
        </w:rPr>
        <w:t xml:space="preserve">. One study was a brief communication </w:t>
      </w:r>
      <w:r w:rsidR="00DC290B" w:rsidRPr="00E3331A">
        <w:rPr>
          <w:rFonts w:eastAsia="Calibri" w:cs="Times New Roman"/>
          <w:lang w:eastAsia="en-US"/>
        </w:rPr>
        <w:t xml:space="preserve">in which </w:t>
      </w:r>
      <w:r w:rsidR="009E76E6" w:rsidRPr="00E3331A">
        <w:rPr>
          <w:rFonts w:eastAsia="Calibri" w:cs="Times New Roman"/>
          <w:lang w:eastAsia="en-US"/>
        </w:rPr>
        <w:t xml:space="preserve">there was </w:t>
      </w:r>
      <w:r w:rsidR="00DC290B" w:rsidRPr="00E3331A">
        <w:rPr>
          <w:rFonts w:eastAsia="Calibri" w:cs="Times New Roman"/>
          <w:lang w:eastAsia="en-US"/>
        </w:rPr>
        <w:t>insufficient</w:t>
      </w:r>
      <w:r w:rsidR="009E76E6" w:rsidRPr="00E3331A">
        <w:rPr>
          <w:rFonts w:eastAsia="Calibri" w:cs="Times New Roman"/>
          <w:lang w:eastAsia="en-US"/>
        </w:rPr>
        <w:t xml:space="preserve"> information to assess whether the data that produced this result was analysed in accordance with a pre-specified analysis plan finali</w:t>
      </w:r>
      <w:r w:rsidR="00DC290B" w:rsidRPr="00E3331A">
        <w:rPr>
          <w:rFonts w:eastAsia="Calibri" w:cs="Times New Roman"/>
          <w:lang w:eastAsia="en-US"/>
        </w:rPr>
        <w:t>s</w:t>
      </w:r>
      <w:r w:rsidR="009E76E6" w:rsidRPr="00E3331A">
        <w:rPr>
          <w:rFonts w:eastAsia="Calibri" w:cs="Times New Roman"/>
          <w:lang w:eastAsia="en-US"/>
        </w:rPr>
        <w:t>ed before unblinded outcome data were available for analysis</w:t>
      </w:r>
      <w:r w:rsidR="00DC290B" w:rsidRPr="00E3331A">
        <w:rPr>
          <w:rFonts w:eastAsia="Calibri" w:cs="Times New Roman"/>
          <w:lang w:eastAsia="en-US"/>
        </w:rPr>
        <w:t xml:space="preserve"> </w:t>
      </w:r>
      <w:r w:rsidR="00B85C75">
        <w:rPr>
          <w:rFonts w:eastAsia="Calibri" w:cs="Times New Roman"/>
          <w:noProof/>
          <w:lang w:eastAsia="en-US"/>
        </w:rPr>
        <w:t>(Dyck et al. 1985)</w:t>
      </w:r>
      <w:r w:rsidR="00DC290B" w:rsidRPr="00E3331A">
        <w:rPr>
          <w:rFonts w:eastAsia="Calibri" w:cs="Times New Roman"/>
          <w:lang w:eastAsia="en-US"/>
        </w:rPr>
        <w:t>.</w:t>
      </w:r>
      <w:r w:rsidR="009E76E6" w:rsidRPr="00E3331A">
        <w:rPr>
          <w:rFonts w:eastAsia="Calibri" w:cs="Times New Roman"/>
          <w:lang w:eastAsia="en-US"/>
        </w:rPr>
        <w:t xml:space="preserve"> Another study had randomised patients into three groups</w:t>
      </w:r>
      <w:r w:rsidR="0061167F" w:rsidRPr="00E3331A">
        <w:rPr>
          <w:rFonts w:eastAsia="Calibri" w:cs="Times New Roman"/>
          <w:lang w:eastAsia="en-US"/>
        </w:rPr>
        <w:t>,</w:t>
      </w:r>
      <w:r w:rsidR="009E76E6" w:rsidRPr="00E3331A">
        <w:rPr>
          <w:rFonts w:eastAsia="Calibri" w:cs="Times New Roman"/>
          <w:lang w:eastAsia="en-US"/>
        </w:rPr>
        <w:t xml:space="preserve"> but then </w:t>
      </w:r>
      <w:r w:rsidR="0061167F" w:rsidRPr="00E3331A">
        <w:rPr>
          <w:rFonts w:eastAsia="Calibri" w:cs="Times New Roman"/>
          <w:lang w:eastAsia="en-US"/>
        </w:rPr>
        <w:t xml:space="preserve">had </w:t>
      </w:r>
      <w:r w:rsidR="009E76E6" w:rsidRPr="00E3331A">
        <w:rPr>
          <w:rFonts w:eastAsia="Calibri" w:cs="Times New Roman"/>
          <w:lang w:eastAsia="en-US"/>
        </w:rPr>
        <w:t xml:space="preserve">analysed </w:t>
      </w:r>
      <w:r w:rsidR="00716308" w:rsidRPr="00E3331A">
        <w:rPr>
          <w:rFonts w:eastAsia="Calibri" w:cs="Times New Roman"/>
          <w:lang w:eastAsia="en-US"/>
        </w:rPr>
        <w:t>them</w:t>
      </w:r>
      <w:r w:rsidR="009E76E6" w:rsidRPr="00E3331A">
        <w:rPr>
          <w:rFonts w:eastAsia="Calibri" w:cs="Times New Roman"/>
          <w:lang w:eastAsia="en-US"/>
        </w:rPr>
        <w:t xml:space="preserve"> as two groups because </w:t>
      </w:r>
      <w:r w:rsidR="00716308" w:rsidRPr="00E3331A">
        <w:rPr>
          <w:rFonts w:eastAsia="Calibri" w:cs="Times New Roman"/>
          <w:lang w:eastAsia="en-US"/>
        </w:rPr>
        <w:t xml:space="preserve">there were </w:t>
      </w:r>
      <w:r w:rsidR="009E76E6" w:rsidRPr="00E3331A">
        <w:rPr>
          <w:rFonts w:eastAsia="Calibri" w:cs="Times New Roman"/>
          <w:lang w:eastAsia="en-US"/>
        </w:rPr>
        <w:t>not enough patients in the low</w:t>
      </w:r>
      <w:r w:rsidR="0061167F" w:rsidRPr="00E3331A">
        <w:rPr>
          <w:rFonts w:eastAsia="Calibri" w:cs="Times New Roman"/>
          <w:lang w:eastAsia="en-US"/>
        </w:rPr>
        <w:t>-</w:t>
      </w:r>
      <w:r w:rsidR="009E76E6" w:rsidRPr="00E3331A">
        <w:rPr>
          <w:rFonts w:eastAsia="Calibri" w:cs="Times New Roman"/>
          <w:lang w:eastAsia="en-US"/>
        </w:rPr>
        <w:t>dose IVIG group</w:t>
      </w:r>
      <w:r w:rsidR="0061167F" w:rsidRPr="00E3331A">
        <w:rPr>
          <w:rFonts w:eastAsia="Calibri" w:cs="Times New Roman"/>
          <w:lang w:eastAsia="en-US"/>
        </w:rPr>
        <w:t xml:space="preserve"> </w:t>
      </w:r>
      <w:r w:rsidR="00B85C75">
        <w:rPr>
          <w:rFonts w:eastAsia="Calibri" w:cs="Times New Roman"/>
          <w:noProof/>
          <w:lang w:eastAsia="en-US"/>
        </w:rPr>
        <w:t>(Zinman et al. 2005)</w:t>
      </w:r>
      <w:r w:rsidR="0061167F" w:rsidRPr="00E3331A">
        <w:rPr>
          <w:rFonts w:eastAsia="Calibri" w:cs="Times New Roman"/>
          <w:lang w:eastAsia="en-US"/>
        </w:rPr>
        <w:t>.</w:t>
      </w:r>
      <w:r w:rsidR="009E76E6" w:rsidRPr="00E3331A">
        <w:rPr>
          <w:rFonts w:eastAsia="Calibri" w:cs="Times New Roman"/>
          <w:lang w:eastAsia="en-US"/>
        </w:rPr>
        <w:t xml:space="preserve"> </w:t>
      </w:r>
      <w:r w:rsidRPr="00E3331A">
        <w:rPr>
          <w:rFonts w:eastAsia="Calibri" w:cs="Times New Roman"/>
          <w:lang w:eastAsia="en-US"/>
        </w:rPr>
        <w:t xml:space="preserve">No studies were assessed as being of </w:t>
      </w:r>
      <w:r w:rsidR="00716308" w:rsidRPr="00E3331A">
        <w:rPr>
          <w:rFonts w:eastAsia="Calibri" w:cs="Times New Roman"/>
          <w:lang w:eastAsia="en-US"/>
        </w:rPr>
        <w:t>‘</w:t>
      </w:r>
      <w:r w:rsidRPr="00E3331A">
        <w:rPr>
          <w:rFonts w:eastAsia="Calibri" w:cs="Times New Roman"/>
          <w:lang w:eastAsia="en-US"/>
        </w:rPr>
        <w:t>high risk</w:t>
      </w:r>
      <w:r w:rsidR="00716308" w:rsidRPr="00E3331A">
        <w:rPr>
          <w:rFonts w:eastAsia="Calibri" w:cs="Times New Roman"/>
          <w:lang w:eastAsia="en-US"/>
        </w:rPr>
        <w:t>’</w:t>
      </w:r>
      <w:r w:rsidRPr="00E3331A">
        <w:rPr>
          <w:rFonts w:eastAsia="Calibri" w:cs="Times New Roman"/>
          <w:lang w:eastAsia="en-US"/>
        </w:rPr>
        <w:t xml:space="preserve"> of bias in either of these two domains. </w:t>
      </w:r>
    </w:p>
    <w:p w:rsidR="002D3661" w:rsidRPr="00E3331A" w:rsidRDefault="002D3661" w:rsidP="007E4689">
      <w:pPr>
        <w:rPr>
          <w:rFonts w:eastAsia="Calibri" w:cs="Times New Roman"/>
          <w:lang w:eastAsia="en-US"/>
        </w:rPr>
      </w:pPr>
      <w:r w:rsidRPr="00E3331A">
        <w:rPr>
          <w:rFonts w:eastAsia="Calibri" w:cs="Times New Roman"/>
          <w:lang w:eastAsia="en-US"/>
        </w:rPr>
        <w:t>Conflicts of interest are not assessed as part of the Cochrane RoB 2 tool</w:t>
      </w:r>
      <w:r w:rsidR="0061167F" w:rsidRPr="00E3331A">
        <w:rPr>
          <w:rFonts w:eastAsia="Calibri" w:cs="Times New Roman"/>
          <w:lang w:eastAsia="en-US"/>
        </w:rPr>
        <w:t>,</w:t>
      </w:r>
      <w:r w:rsidRPr="00E3331A">
        <w:rPr>
          <w:rFonts w:eastAsia="Calibri" w:cs="Times New Roman"/>
          <w:lang w:eastAsia="en-US"/>
        </w:rPr>
        <w:t xml:space="preserve"> so </w:t>
      </w:r>
      <w:r w:rsidR="0061167F" w:rsidRPr="00E3331A">
        <w:rPr>
          <w:rFonts w:eastAsia="Calibri" w:cs="Times New Roman"/>
          <w:lang w:eastAsia="en-US"/>
        </w:rPr>
        <w:t xml:space="preserve">this </w:t>
      </w:r>
      <w:r w:rsidRPr="00E3331A">
        <w:rPr>
          <w:rFonts w:eastAsia="Calibri" w:cs="Times New Roman"/>
          <w:lang w:eastAsia="en-US"/>
        </w:rPr>
        <w:t>was investigated separately. Of the 20 studies</w:t>
      </w:r>
      <w:r w:rsidR="00716308" w:rsidRPr="00E3331A">
        <w:rPr>
          <w:rFonts w:eastAsia="Calibri" w:cs="Times New Roman"/>
          <w:lang w:eastAsia="en-US"/>
        </w:rPr>
        <w:t>,</w:t>
      </w:r>
      <w:r w:rsidR="009C2992" w:rsidRPr="00E3331A">
        <w:rPr>
          <w:rFonts w:eastAsia="Calibri" w:cs="Times New Roman"/>
          <w:lang w:eastAsia="en-US"/>
        </w:rPr>
        <w:t xml:space="preserve"> </w:t>
      </w:r>
      <w:r w:rsidR="0061167F" w:rsidRPr="00E3331A">
        <w:rPr>
          <w:rFonts w:eastAsia="Calibri" w:cs="Times New Roman"/>
          <w:lang w:eastAsia="en-US"/>
        </w:rPr>
        <w:t xml:space="preserve">six </w:t>
      </w:r>
      <w:r w:rsidR="009C2992" w:rsidRPr="00E3331A">
        <w:rPr>
          <w:rFonts w:eastAsia="Calibri" w:cs="Times New Roman"/>
          <w:lang w:eastAsia="en-US"/>
        </w:rPr>
        <w:t>did not report conflicts of interest, three specifically reported ‘no conflicts of interest’</w:t>
      </w:r>
      <w:r w:rsidR="0061167F" w:rsidRPr="00E3331A">
        <w:rPr>
          <w:rFonts w:eastAsia="Calibri" w:cs="Times New Roman"/>
          <w:lang w:eastAsia="en-US"/>
        </w:rPr>
        <w:t>,</w:t>
      </w:r>
      <w:r w:rsidR="00434B16" w:rsidRPr="00E3331A">
        <w:rPr>
          <w:rFonts w:eastAsia="Calibri" w:cs="Times New Roman"/>
          <w:lang w:eastAsia="en-US"/>
        </w:rPr>
        <w:t xml:space="preserve"> and</w:t>
      </w:r>
      <w:r w:rsidR="009C2992" w:rsidRPr="00E3331A">
        <w:rPr>
          <w:rFonts w:eastAsia="Calibri" w:cs="Times New Roman"/>
          <w:lang w:eastAsia="en-US"/>
        </w:rPr>
        <w:t xml:space="preserve"> </w:t>
      </w:r>
      <w:r w:rsidR="00434B16" w:rsidRPr="00E3331A">
        <w:rPr>
          <w:rFonts w:eastAsia="Calibri" w:cs="Times New Roman"/>
          <w:lang w:eastAsia="en-US"/>
        </w:rPr>
        <w:t xml:space="preserve">eight </w:t>
      </w:r>
      <w:r w:rsidR="0061167F" w:rsidRPr="00E3331A">
        <w:rPr>
          <w:rFonts w:eastAsia="Calibri" w:cs="Times New Roman"/>
          <w:lang w:eastAsia="en-US"/>
        </w:rPr>
        <w:t xml:space="preserve">declared </w:t>
      </w:r>
      <w:r w:rsidR="00434B16" w:rsidRPr="00E3331A">
        <w:rPr>
          <w:rFonts w:eastAsia="Calibri" w:cs="Times New Roman"/>
          <w:lang w:eastAsia="en-US"/>
        </w:rPr>
        <w:t>conflicts of interest. Of the three remaining studies, two did</w:t>
      </w:r>
      <w:r w:rsidR="00591599" w:rsidRPr="00E3331A">
        <w:rPr>
          <w:rFonts w:eastAsia="Calibri" w:cs="Times New Roman"/>
          <w:lang w:eastAsia="en-US"/>
        </w:rPr>
        <w:t xml:space="preserve"> not</w:t>
      </w:r>
      <w:r w:rsidR="00434B16" w:rsidRPr="00E3331A">
        <w:rPr>
          <w:rFonts w:eastAsia="Calibri" w:cs="Times New Roman"/>
          <w:lang w:eastAsia="en-US"/>
        </w:rPr>
        <w:t xml:space="preserve"> report conflicts of interest but noted </w:t>
      </w:r>
      <w:r w:rsidR="0061167F" w:rsidRPr="00E3331A">
        <w:rPr>
          <w:rFonts w:eastAsia="Calibri" w:cs="Times New Roman"/>
          <w:lang w:eastAsia="en-US"/>
        </w:rPr>
        <w:t xml:space="preserve">that </w:t>
      </w:r>
      <w:r w:rsidR="00434B16" w:rsidRPr="00E3331A">
        <w:rPr>
          <w:rFonts w:eastAsia="Calibri" w:cs="Times New Roman"/>
          <w:lang w:eastAsia="en-US"/>
        </w:rPr>
        <w:t>the Ig was provided by a pharmaceutical company</w:t>
      </w:r>
      <w:r w:rsidR="0061167F" w:rsidRPr="00E3331A">
        <w:rPr>
          <w:rFonts w:eastAsia="Calibri" w:cs="Times New Roman"/>
          <w:lang w:eastAsia="en-US"/>
        </w:rPr>
        <w:t>.</w:t>
      </w:r>
      <w:r w:rsidR="00434B16" w:rsidRPr="00E3331A">
        <w:rPr>
          <w:rFonts w:eastAsia="Calibri" w:cs="Times New Roman"/>
          <w:lang w:eastAsia="en-US"/>
        </w:rPr>
        <w:t xml:space="preserve"> </w:t>
      </w:r>
      <w:r w:rsidR="0061167F" w:rsidRPr="00E3331A">
        <w:rPr>
          <w:rFonts w:eastAsia="Calibri" w:cs="Times New Roman"/>
          <w:lang w:eastAsia="en-US"/>
        </w:rPr>
        <w:t>T</w:t>
      </w:r>
      <w:r w:rsidR="00434B16" w:rsidRPr="00E3331A">
        <w:rPr>
          <w:rFonts w:eastAsia="Calibri" w:cs="Times New Roman"/>
          <w:lang w:eastAsia="en-US"/>
        </w:rPr>
        <w:t xml:space="preserve">he third noted </w:t>
      </w:r>
      <w:r w:rsidR="0061167F" w:rsidRPr="00E3331A">
        <w:rPr>
          <w:rFonts w:eastAsia="Calibri" w:cs="Times New Roman"/>
          <w:lang w:eastAsia="en-US"/>
        </w:rPr>
        <w:t xml:space="preserve">that </w:t>
      </w:r>
      <w:r w:rsidR="00434B16" w:rsidRPr="00E3331A">
        <w:rPr>
          <w:rFonts w:eastAsia="Calibri" w:cs="Times New Roman"/>
          <w:lang w:eastAsia="en-US"/>
        </w:rPr>
        <w:t xml:space="preserve">it </w:t>
      </w:r>
      <w:r w:rsidR="0061167F" w:rsidRPr="00E3331A">
        <w:rPr>
          <w:rFonts w:eastAsia="Calibri" w:cs="Times New Roman"/>
          <w:lang w:eastAsia="en-US"/>
        </w:rPr>
        <w:t xml:space="preserve">had </w:t>
      </w:r>
      <w:r w:rsidR="00434B16" w:rsidRPr="00E3331A">
        <w:rPr>
          <w:rFonts w:eastAsia="Calibri" w:cs="Times New Roman"/>
          <w:lang w:eastAsia="en-US"/>
        </w:rPr>
        <w:t xml:space="preserve">received an unconditional grant from Baxter Healthcare to conduct the study. </w:t>
      </w:r>
    </w:p>
    <w:p w:rsidR="008475E5" w:rsidRPr="00E3331A" w:rsidRDefault="008475E5" w:rsidP="00907DF6">
      <w:pPr>
        <w:pStyle w:val="Heading3"/>
      </w:pPr>
      <w:bookmarkStart w:id="209" w:name="_Toc24103455"/>
      <w:r w:rsidRPr="00E3331A">
        <w:t>Studies included for the extended assessment of harms</w:t>
      </w:r>
      <w:bookmarkEnd w:id="209"/>
      <w:r w:rsidRPr="00E3331A">
        <w:t xml:space="preserve"> </w:t>
      </w:r>
    </w:p>
    <w:p w:rsidR="008475E5" w:rsidRPr="00E3331A" w:rsidRDefault="008475E5" w:rsidP="008475E5">
      <w:r w:rsidRPr="00E3331A">
        <w:t xml:space="preserve">The extended assessment of harms includes a large number of studies examining the experience of patients with CIDP receiving a range of interventions in level IV and III-3 comparative studies. These </w:t>
      </w:r>
      <w:r w:rsidRPr="00E3331A">
        <w:lastRenderedPageBreak/>
        <w:t>studies lack contemporaneous control groups</w:t>
      </w:r>
      <w:r w:rsidR="0061167F" w:rsidRPr="00E3331A">
        <w:t>,</w:t>
      </w:r>
      <w:r w:rsidRPr="00E3331A">
        <w:t xml:space="preserve"> suffer from the confounding effects of multiple concurrent intervention</w:t>
      </w:r>
      <w:r w:rsidR="0061167F" w:rsidRPr="00E3331A">
        <w:t>s,</w:t>
      </w:r>
      <w:r w:rsidRPr="00E3331A">
        <w:t xml:space="preserve"> and contain limited detail regarding the nature of adverse events. </w:t>
      </w:r>
      <w:r w:rsidR="006F7B17" w:rsidRPr="00E3331A">
        <w:t xml:space="preserve">However, these observational case series make up a substantial proportion of publications on patients with CIDP and typically followed patients for longer than </w:t>
      </w:r>
      <w:r w:rsidR="0061167F" w:rsidRPr="00E3331A">
        <w:t xml:space="preserve">did </w:t>
      </w:r>
      <w:r w:rsidR="006F7B17" w:rsidRPr="00E3331A">
        <w:t xml:space="preserve">those enrolled in the </w:t>
      </w:r>
      <w:r w:rsidR="0061167F" w:rsidRPr="00E3331A">
        <w:t>RCT</w:t>
      </w:r>
      <w:r w:rsidR="006F7B17" w:rsidRPr="00E3331A">
        <w:t xml:space="preserve"> evidence. </w:t>
      </w:r>
      <w:r w:rsidRPr="00E3331A">
        <w:t>Overall, these studies will under</w:t>
      </w:r>
      <w:r w:rsidR="0061167F" w:rsidRPr="00E3331A">
        <w:t>-</w:t>
      </w:r>
      <w:r w:rsidRPr="00E3331A">
        <w:t>report the true number of adverse events because the vast majority were retrospective in nature and therefore accuracy of safety reporting will depend on the completeness of medical records. Key limitations of these studies include the following:</w:t>
      </w:r>
    </w:p>
    <w:p w:rsidR="008475E5" w:rsidRPr="00E3331A" w:rsidRDefault="008475E5" w:rsidP="001F5B33">
      <w:pPr>
        <w:pStyle w:val="ColorfulList-Accent11"/>
        <w:numPr>
          <w:ilvl w:val="0"/>
          <w:numId w:val="27"/>
        </w:numPr>
      </w:pPr>
      <w:r w:rsidRPr="00E3331A">
        <w:t xml:space="preserve">Level IV and III-3 studies do not exclude patients receiving multiple interventions and therefore the attribution of a particular adverse event to the intervention under study may be questionable. </w:t>
      </w:r>
    </w:p>
    <w:p w:rsidR="008475E5" w:rsidRPr="00E3331A" w:rsidRDefault="008475E5" w:rsidP="001F5B33">
      <w:pPr>
        <w:pStyle w:val="ColorfulList-Accent11"/>
        <w:numPr>
          <w:ilvl w:val="0"/>
          <w:numId w:val="27"/>
        </w:numPr>
      </w:pPr>
      <w:r w:rsidRPr="00E3331A">
        <w:t xml:space="preserve">Studies were overwhelmingly retrospective in nature and therefore adverse event reporting was typically limited to the availability and accuracy of case notes or records. </w:t>
      </w:r>
    </w:p>
    <w:p w:rsidR="008475E5" w:rsidRPr="00E3331A" w:rsidRDefault="008475E5" w:rsidP="001F5B33">
      <w:pPr>
        <w:pStyle w:val="ColorfulList-Accent11"/>
        <w:numPr>
          <w:ilvl w:val="0"/>
          <w:numId w:val="27"/>
        </w:numPr>
      </w:pPr>
      <w:r w:rsidRPr="00E3331A">
        <w:t xml:space="preserve">The risk of any particular outcomes cannot be estimated from these series as the sample sizes were typically small and the reported rates of adverse events exhibit significant heterogeneity across studies. </w:t>
      </w:r>
    </w:p>
    <w:p w:rsidR="008475E5" w:rsidRPr="00E3331A" w:rsidRDefault="008475E5" w:rsidP="001F5B33">
      <w:pPr>
        <w:pStyle w:val="ColorfulList-Accent11"/>
        <w:numPr>
          <w:ilvl w:val="0"/>
          <w:numId w:val="27"/>
        </w:numPr>
      </w:pPr>
      <w:r w:rsidRPr="00E3331A">
        <w:t>Whether there was consecutive enrolment in studies was typically unclear and the inclusion and exclusion criteria were poorly defined</w:t>
      </w:r>
      <w:r w:rsidR="0061167F" w:rsidRPr="00E3331A">
        <w:t xml:space="preserve"> overall</w:t>
      </w:r>
      <w:r w:rsidRPr="00E3331A">
        <w:t xml:space="preserve">. Consequently, selection bias may be significant within this evidence base. </w:t>
      </w:r>
    </w:p>
    <w:p w:rsidR="008475E5" w:rsidRPr="00E3331A" w:rsidRDefault="008475E5" w:rsidP="001F5B33">
      <w:pPr>
        <w:pStyle w:val="ColorfulList-Accent11"/>
        <w:numPr>
          <w:ilvl w:val="0"/>
          <w:numId w:val="27"/>
        </w:numPr>
      </w:pPr>
      <w:r w:rsidRPr="00E3331A">
        <w:t>Adverse events were under</w:t>
      </w:r>
      <w:r w:rsidR="0061167F" w:rsidRPr="00E3331A">
        <w:t>-</w:t>
      </w:r>
      <w:r w:rsidRPr="00E3331A">
        <w:t xml:space="preserve">reported in the included evidence </w:t>
      </w:r>
      <w:r w:rsidR="0061167F" w:rsidRPr="00E3331A">
        <w:t xml:space="preserve">as </w:t>
      </w:r>
      <w:r w:rsidRPr="00E3331A">
        <w:t>revealed by statements from authors such as</w:t>
      </w:r>
      <w:r w:rsidR="0061167F" w:rsidRPr="00E3331A">
        <w:t>:</w:t>
      </w:r>
      <w:r w:rsidRPr="00E3331A">
        <w:t xml:space="preserve"> “the most frequent minor side effect was headache, which was easily controlled with symptomatic medications”</w:t>
      </w:r>
      <w:r w:rsidR="0061167F" w:rsidRPr="00E3331A">
        <w:t>,</w:t>
      </w:r>
      <w:r w:rsidRPr="00E3331A">
        <w:t xml:space="preserve"> wherein the actual number of patients or events </w:t>
      </w:r>
      <w:r w:rsidR="0061167F" w:rsidRPr="00E3331A">
        <w:t>wa</w:t>
      </w:r>
      <w:r w:rsidRPr="00E3331A">
        <w:t>s not reported</w:t>
      </w:r>
      <w:r w:rsidR="0061167F" w:rsidRPr="00E3331A">
        <w:t xml:space="preserve"> </w:t>
      </w:r>
      <w:r w:rsidR="00B85C75">
        <w:rPr>
          <w:noProof/>
        </w:rPr>
        <w:t>(Jann et al. 2005)</w:t>
      </w:r>
      <w:r w:rsidR="0061167F" w:rsidRPr="00E3331A">
        <w:t>.</w:t>
      </w:r>
    </w:p>
    <w:p w:rsidR="00685D87" w:rsidRPr="00E3331A" w:rsidRDefault="00685D87">
      <w:pPr>
        <w:spacing w:after="0" w:line="240" w:lineRule="auto"/>
        <w:rPr>
          <w:b/>
          <w:smallCaps/>
          <w:sz w:val="28"/>
        </w:rPr>
      </w:pPr>
      <w:r w:rsidRPr="00E3331A">
        <w:br w:type="page"/>
      </w:r>
    </w:p>
    <w:p w:rsidR="008D77C9" w:rsidRPr="00E3331A" w:rsidRDefault="008D77C9" w:rsidP="003E4E1F">
      <w:pPr>
        <w:pStyle w:val="Heading2"/>
        <w:numPr>
          <w:ilvl w:val="1"/>
          <w:numId w:val="9"/>
        </w:numPr>
      </w:pPr>
      <w:bookmarkStart w:id="210" w:name="_Toc24103456"/>
      <w:r w:rsidRPr="00E3331A">
        <w:lastRenderedPageBreak/>
        <w:t>Characteristics of the Evidence Base</w:t>
      </w:r>
      <w:bookmarkEnd w:id="210"/>
    </w:p>
    <w:p w:rsidR="008D77C9" w:rsidRPr="00E3331A" w:rsidRDefault="0019059F" w:rsidP="005C061E">
      <w:pPr>
        <w:jc w:val="both"/>
      </w:pPr>
      <w:r w:rsidRPr="00E3331A">
        <w:t xml:space="preserve">See </w:t>
      </w:r>
      <w:r w:rsidR="008D77C9" w:rsidRPr="00E3331A">
        <w:t>Appendix C for details on the individual studies included in the evidence base.</w:t>
      </w:r>
      <w:r w:rsidR="00DB3295" w:rsidRPr="00E3331A">
        <w:t xml:space="preserve"> A summary is provided </w:t>
      </w:r>
      <w:r w:rsidR="00B337FA" w:rsidRPr="00E3331A">
        <w:t xml:space="preserve">in </w:t>
      </w:r>
      <w:r w:rsidR="006F35B9" w:rsidRPr="00E3331A">
        <w:t xml:space="preserve">Table </w:t>
      </w:r>
      <w:r w:rsidR="006F35B9">
        <w:rPr>
          <w:noProof/>
        </w:rPr>
        <w:t>21</w:t>
      </w:r>
      <w:r w:rsidR="00DB3295" w:rsidRPr="00E3331A">
        <w:t>.</w:t>
      </w:r>
      <w:r w:rsidR="00EA09F9" w:rsidRPr="00E3331A">
        <w:t xml:space="preserve"> </w:t>
      </w:r>
      <w:r w:rsidR="0070784F" w:rsidRPr="00E3331A">
        <w:t>Two types of study were identified</w:t>
      </w:r>
      <w:r w:rsidR="004A770B" w:rsidRPr="00E3331A">
        <w:t>:</w:t>
      </w:r>
      <w:r w:rsidR="0070784F" w:rsidRPr="00E3331A">
        <w:t xml:space="preserve"> studies of patients receiving treatment for active disease</w:t>
      </w:r>
      <w:r w:rsidR="00107F3E" w:rsidRPr="00E3331A">
        <w:t xml:space="preserve"> (treatment studies)</w:t>
      </w:r>
      <w:r w:rsidR="004A770B" w:rsidRPr="00E3331A">
        <w:t>,</w:t>
      </w:r>
      <w:r w:rsidR="0070784F" w:rsidRPr="00E3331A">
        <w:t xml:space="preserve"> and studies of patients who had responded to treatment and required ongoing maintenance</w:t>
      </w:r>
      <w:r w:rsidR="00107F3E" w:rsidRPr="00E3331A">
        <w:t xml:space="preserve"> (maintenance studies)</w:t>
      </w:r>
      <w:r w:rsidR="0070784F" w:rsidRPr="00E3331A">
        <w:t xml:space="preserve">. </w:t>
      </w:r>
    </w:p>
    <w:p w:rsidR="00DB3295" w:rsidRPr="00E3331A" w:rsidRDefault="00DB3295" w:rsidP="005D0A58">
      <w:pPr>
        <w:pStyle w:val="Caption"/>
        <w:rPr>
          <w:snapToGrid w:val="0"/>
          <w:lang w:eastAsia="en-US"/>
        </w:rPr>
      </w:pPr>
      <w:bookmarkStart w:id="211" w:name="_Ref399236533"/>
      <w:bookmarkStart w:id="212" w:name="_Toc24103327"/>
      <w:r w:rsidRPr="00E3331A">
        <w:t xml:space="preserve">Table </w:t>
      </w:r>
      <w:r w:rsidR="006F35B9">
        <w:rPr>
          <w:noProof/>
        </w:rPr>
        <w:t>21</w:t>
      </w:r>
      <w:bookmarkEnd w:id="211"/>
      <w:r w:rsidRPr="00E3331A">
        <w:tab/>
      </w:r>
      <w:r w:rsidRPr="00E3331A">
        <w:rPr>
          <w:snapToGrid w:val="0"/>
          <w:lang w:eastAsia="en-US"/>
        </w:rPr>
        <w:t>Key features of the included evidence</w:t>
      </w:r>
      <w:r w:rsidR="00E16BE4" w:rsidRPr="00E3331A">
        <w:rPr>
          <w:snapToGrid w:val="0"/>
          <w:lang w:eastAsia="en-US"/>
        </w:rPr>
        <w:t xml:space="preserve"> </w:t>
      </w:r>
      <w:r w:rsidR="00687E6F" w:rsidRPr="00E3331A">
        <w:rPr>
          <w:snapToGrid w:val="0"/>
          <w:lang w:eastAsia="en-US"/>
        </w:rPr>
        <w:t>investigating treatment or maintenance of CIDP</w:t>
      </w:r>
      <w:bookmarkEnd w:id="2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41"/>
        <w:gridCol w:w="1113"/>
        <w:gridCol w:w="1278"/>
        <w:gridCol w:w="3017"/>
        <w:gridCol w:w="1367"/>
      </w:tblGrid>
      <w:tr w:rsidR="00FA20E2" w:rsidRPr="00E3331A" w:rsidTr="00FA20E2">
        <w:trPr>
          <w:tblHeader/>
        </w:trPr>
        <w:tc>
          <w:tcPr>
            <w:tcW w:w="1243" w:type="pct"/>
            <w:shd w:val="clear" w:color="auto" w:fill="auto"/>
            <w:vAlign w:val="center"/>
          </w:tcPr>
          <w:p w:rsidR="00FA20E2" w:rsidRPr="00E3331A" w:rsidRDefault="00FA20E2" w:rsidP="00687E6F">
            <w:pPr>
              <w:pStyle w:val="TableHeading"/>
              <w:rPr>
                <w:snapToGrid w:val="0"/>
                <w:lang w:eastAsia="en-US"/>
              </w:rPr>
            </w:pPr>
            <w:bookmarkStart w:id="213" w:name="_Hlk8640112"/>
            <w:r w:rsidRPr="00E3331A">
              <w:rPr>
                <w:snapToGrid w:val="0"/>
                <w:lang w:eastAsia="en-US"/>
              </w:rPr>
              <w:t>Trial</w:t>
            </w:r>
          </w:p>
        </w:tc>
        <w:tc>
          <w:tcPr>
            <w:tcW w:w="617" w:type="pct"/>
            <w:shd w:val="clear" w:color="auto" w:fill="auto"/>
            <w:vAlign w:val="center"/>
          </w:tcPr>
          <w:p w:rsidR="00FA20E2" w:rsidRPr="00E3331A" w:rsidRDefault="00FA20E2" w:rsidP="00687E6F">
            <w:pPr>
              <w:pStyle w:val="TableHeading"/>
              <w:rPr>
                <w:snapToGrid w:val="0"/>
                <w:lang w:eastAsia="en-US"/>
              </w:rPr>
            </w:pPr>
            <w:r w:rsidRPr="00E3331A">
              <w:rPr>
                <w:snapToGrid w:val="0"/>
                <w:lang w:eastAsia="en-US"/>
              </w:rPr>
              <w:t>I vs C</w:t>
            </w:r>
          </w:p>
          <w:p w:rsidR="00FA20E2" w:rsidRPr="00E3331A" w:rsidRDefault="00FA20E2" w:rsidP="00687E6F">
            <w:pPr>
              <w:pStyle w:val="TableHeading"/>
              <w:rPr>
                <w:snapToGrid w:val="0"/>
                <w:lang w:eastAsia="en-US"/>
              </w:rPr>
            </w:pPr>
            <w:r w:rsidRPr="00E3331A">
              <w:rPr>
                <w:snapToGrid w:val="0"/>
                <w:lang w:eastAsia="en-US"/>
              </w:rPr>
              <w:t>N</w:t>
            </w:r>
          </w:p>
        </w:tc>
        <w:tc>
          <w:tcPr>
            <w:tcW w:w="709" w:type="pct"/>
            <w:shd w:val="clear" w:color="auto" w:fill="auto"/>
            <w:vAlign w:val="center"/>
          </w:tcPr>
          <w:p w:rsidR="00FA20E2" w:rsidRPr="00E3331A" w:rsidRDefault="00FA20E2" w:rsidP="00687E6F">
            <w:pPr>
              <w:pStyle w:val="TableHeading"/>
              <w:rPr>
                <w:snapToGrid w:val="0"/>
                <w:lang w:eastAsia="en-US"/>
              </w:rPr>
            </w:pPr>
            <w:r w:rsidRPr="00E3331A">
              <w:rPr>
                <w:snapToGrid w:val="0"/>
                <w:lang w:eastAsia="en-US"/>
              </w:rPr>
              <w:t>Design/ duration</w:t>
            </w:r>
          </w:p>
          <w:p w:rsidR="00FA20E2" w:rsidRPr="00E3331A" w:rsidRDefault="00FA20E2" w:rsidP="00687E6F">
            <w:pPr>
              <w:pStyle w:val="TableHeading"/>
              <w:rPr>
                <w:snapToGrid w:val="0"/>
                <w:lang w:eastAsia="en-US"/>
              </w:rPr>
            </w:pPr>
            <w:r w:rsidRPr="00E3331A">
              <w:rPr>
                <w:snapToGrid w:val="0"/>
                <w:lang w:eastAsia="en-US"/>
              </w:rPr>
              <w:t>Risk of bias</w:t>
            </w:r>
          </w:p>
        </w:tc>
        <w:tc>
          <w:tcPr>
            <w:tcW w:w="1673" w:type="pct"/>
            <w:shd w:val="clear" w:color="auto" w:fill="auto"/>
            <w:vAlign w:val="center"/>
          </w:tcPr>
          <w:p w:rsidR="00FA20E2" w:rsidRPr="00E3331A" w:rsidRDefault="00FA20E2" w:rsidP="00687E6F">
            <w:pPr>
              <w:pStyle w:val="TableHeading"/>
              <w:rPr>
                <w:snapToGrid w:val="0"/>
                <w:lang w:eastAsia="en-US"/>
              </w:rPr>
            </w:pPr>
            <w:r w:rsidRPr="00E3331A">
              <w:t>Key Inclusion criteria</w:t>
            </w:r>
          </w:p>
        </w:tc>
        <w:tc>
          <w:tcPr>
            <w:tcW w:w="758" w:type="pct"/>
            <w:shd w:val="clear" w:color="auto" w:fill="auto"/>
            <w:vAlign w:val="center"/>
          </w:tcPr>
          <w:p w:rsidR="00FA20E2" w:rsidRPr="00E3331A" w:rsidRDefault="00FA20E2" w:rsidP="00687E6F">
            <w:pPr>
              <w:pStyle w:val="TableHeading"/>
              <w:rPr>
                <w:snapToGrid w:val="0"/>
                <w:lang w:eastAsia="en-US"/>
              </w:rPr>
            </w:pPr>
            <w:r w:rsidRPr="00E3331A">
              <w:rPr>
                <w:snapToGrid w:val="0"/>
                <w:lang w:eastAsia="en-US"/>
              </w:rPr>
              <w:t>Key outcome(s)</w:t>
            </w:r>
          </w:p>
        </w:tc>
      </w:tr>
      <w:tr w:rsidR="004130B7" w:rsidRPr="00E3331A" w:rsidTr="004130B7">
        <w:tc>
          <w:tcPr>
            <w:tcW w:w="5000" w:type="pct"/>
            <w:gridSpan w:val="5"/>
            <w:shd w:val="clear" w:color="auto" w:fill="D9D9D9"/>
          </w:tcPr>
          <w:p w:rsidR="004130B7" w:rsidRPr="00E3331A" w:rsidRDefault="004130B7" w:rsidP="00687E6F">
            <w:pPr>
              <w:pStyle w:val="Tabletext1"/>
              <w:rPr>
                <w:b/>
                <w:snapToGrid w:val="0"/>
              </w:rPr>
            </w:pPr>
            <w:r w:rsidRPr="00E3331A">
              <w:rPr>
                <w:b/>
              </w:rPr>
              <w:t>Studies comparing Ig to NT</w:t>
            </w:r>
          </w:p>
        </w:tc>
      </w:tr>
      <w:tr w:rsidR="00FA20E2" w:rsidRPr="00E3331A" w:rsidTr="00FA20E2">
        <w:tc>
          <w:tcPr>
            <w:tcW w:w="1243" w:type="pct"/>
            <w:shd w:val="clear" w:color="auto" w:fill="auto"/>
          </w:tcPr>
          <w:p w:rsidR="00FA20E2" w:rsidRPr="00E3331A" w:rsidRDefault="00FA20E2" w:rsidP="00687E6F">
            <w:pPr>
              <w:pStyle w:val="Tabletext1"/>
              <w:rPr>
                <w:snapToGrid w:val="0"/>
              </w:rPr>
            </w:pPr>
            <w:bookmarkStart w:id="214" w:name="_Hlk23760445"/>
            <w:r w:rsidRPr="00E3331A">
              <w:t>Hahn et al. (1996b)</w:t>
            </w:r>
            <w:r w:rsidR="00B85C75">
              <w:rPr>
                <w:noProof/>
              </w:rPr>
              <w:t>(Hahn et al. 1996b)</w:t>
            </w:r>
          </w:p>
        </w:tc>
        <w:tc>
          <w:tcPr>
            <w:tcW w:w="617" w:type="pct"/>
            <w:shd w:val="clear" w:color="auto" w:fill="auto"/>
            <w:vAlign w:val="center"/>
          </w:tcPr>
          <w:p w:rsidR="00FA20E2" w:rsidRPr="00E3331A" w:rsidRDefault="00FA20E2" w:rsidP="00687E6F">
            <w:pPr>
              <w:pStyle w:val="Tabletext1"/>
              <w:rPr>
                <w:snapToGrid w:val="0"/>
              </w:rPr>
            </w:pPr>
            <w:r w:rsidRPr="00E3331A">
              <w:rPr>
                <w:snapToGrid w:val="0"/>
              </w:rPr>
              <w:t>Ig vs NT (placebo)</w:t>
            </w:r>
          </w:p>
          <w:p w:rsidR="00FA20E2" w:rsidRPr="00E3331A" w:rsidRDefault="00FA20E2" w:rsidP="00687E6F">
            <w:pPr>
              <w:pStyle w:val="Tabletext1"/>
              <w:rPr>
                <w:snapToGrid w:val="0"/>
              </w:rPr>
            </w:pPr>
            <w:r w:rsidRPr="00E3331A">
              <w:rPr>
                <w:snapToGrid w:val="0"/>
              </w:rPr>
              <w:t>30</w:t>
            </w:r>
          </w:p>
        </w:tc>
        <w:tc>
          <w:tcPr>
            <w:tcW w:w="709" w:type="pct"/>
            <w:shd w:val="clear" w:color="auto" w:fill="auto"/>
            <w:vAlign w:val="center"/>
          </w:tcPr>
          <w:p w:rsidR="00FA20E2" w:rsidRPr="00E3331A" w:rsidRDefault="00FA20E2" w:rsidP="00687E6F">
            <w:pPr>
              <w:pStyle w:val="Tabletext1"/>
              <w:rPr>
                <w:snapToGrid w:val="0"/>
              </w:rPr>
            </w:pPr>
            <w:r w:rsidRPr="00E3331A">
              <w:rPr>
                <w:snapToGrid w:val="0"/>
              </w:rPr>
              <w:t>R, MC, DB, CO</w:t>
            </w:r>
          </w:p>
          <w:p w:rsidR="00FA20E2" w:rsidRPr="00E3331A" w:rsidRDefault="00FA20E2" w:rsidP="00687E6F">
            <w:pPr>
              <w:pStyle w:val="Tabletext1"/>
              <w:rPr>
                <w:snapToGrid w:val="0"/>
              </w:rPr>
            </w:pPr>
            <w:r w:rsidRPr="00E3331A">
              <w:rPr>
                <w:snapToGrid w:val="0"/>
              </w:rPr>
              <w:t>High</w:t>
            </w:r>
          </w:p>
          <w:p w:rsidR="00FA20E2" w:rsidRPr="00E3331A" w:rsidRDefault="00FA20E2" w:rsidP="00687E6F">
            <w:pPr>
              <w:pStyle w:val="Tabletext1"/>
              <w:rPr>
                <w:snapToGrid w:val="0"/>
              </w:rPr>
            </w:pPr>
          </w:p>
        </w:tc>
        <w:tc>
          <w:tcPr>
            <w:tcW w:w="1673" w:type="pct"/>
            <w:shd w:val="clear" w:color="auto" w:fill="auto"/>
            <w:vAlign w:val="center"/>
          </w:tcPr>
          <w:p w:rsidR="00FA20E2" w:rsidRPr="00E3331A" w:rsidRDefault="00FA20E2" w:rsidP="00687E6F">
            <w:pPr>
              <w:pStyle w:val="Tabletext1"/>
              <w:rPr>
                <w:snapToGrid w:val="0"/>
              </w:rPr>
            </w:pPr>
            <w:r w:rsidRPr="00E3331A">
              <w:t>Definite or probable CIDP</w:t>
            </w:r>
            <w:r w:rsidRPr="00E3331A">
              <w:rPr>
                <w:vertAlign w:val="superscript"/>
              </w:rPr>
              <w:t>A</w:t>
            </w:r>
            <w:r w:rsidRPr="00E3331A">
              <w:t>. Continually progressive (&gt;8 weeks). Static or recently progressed disease. Muscle weakness interferes with ambulation (NDS ≥ 40). Ig naïve patients.</w:t>
            </w:r>
          </w:p>
        </w:tc>
        <w:tc>
          <w:tcPr>
            <w:tcW w:w="758" w:type="pct"/>
            <w:shd w:val="clear" w:color="auto" w:fill="auto"/>
            <w:vAlign w:val="center"/>
          </w:tcPr>
          <w:p w:rsidR="00FA20E2" w:rsidRPr="00E3331A" w:rsidRDefault="00FA20E2" w:rsidP="00687E6F">
            <w:pPr>
              <w:pStyle w:val="Tabletext1"/>
              <w:rPr>
                <w:snapToGrid w:val="0"/>
              </w:rPr>
            </w:pPr>
            <w:r w:rsidRPr="00E3331A">
              <w:rPr>
                <w:snapToGrid w:val="0"/>
              </w:rPr>
              <w:t>Treatment</w:t>
            </w:r>
          </w:p>
          <w:p w:rsidR="00FA20E2" w:rsidRPr="00E3331A" w:rsidRDefault="00FA20E2" w:rsidP="00687E6F">
            <w:pPr>
              <w:pStyle w:val="Tabletext1"/>
              <w:rPr>
                <w:snapToGrid w:val="0"/>
              </w:rPr>
            </w:pPr>
            <w:r w:rsidRPr="00E3331A">
              <w:rPr>
                <w:snapToGrid w:val="0"/>
              </w:rPr>
              <w:t>NDS, grip strength, clinical grade,</w:t>
            </w:r>
          </w:p>
          <w:p w:rsidR="00FA20E2" w:rsidRPr="00E3331A" w:rsidRDefault="00FA20E2" w:rsidP="00687E6F">
            <w:pPr>
              <w:pStyle w:val="Tabletext1"/>
              <w:rPr>
                <w:snapToGrid w:val="0"/>
              </w:rPr>
            </w:pPr>
            <w:r w:rsidRPr="00E3331A">
              <w:rPr>
                <w:rFonts w:cs="Times New Roman"/>
              </w:rPr>
              <w:t>Isolated AEs</w:t>
            </w:r>
            <w:r w:rsidRPr="00E3331A">
              <w:rPr>
                <w:snapToGrid w:val="0"/>
              </w:rPr>
              <w:t>:</w:t>
            </w:r>
          </w:p>
        </w:tc>
      </w:tr>
      <w:tr w:rsidR="00FA20E2" w:rsidRPr="00E3331A" w:rsidTr="00FA20E2">
        <w:tc>
          <w:tcPr>
            <w:tcW w:w="1243" w:type="pct"/>
            <w:shd w:val="clear" w:color="auto" w:fill="auto"/>
          </w:tcPr>
          <w:p w:rsidR="00FA20E2" w:rsidRPr="00E3331A" w:rsidRDefault="00FA20E2" w:rsidP="00687E6F">
            <w:pPr>
              <w:pStyle w:val="Tabletext1"/>
              <w:rPr>
                <w:snapToGrid w:val="0"/>
              </w:rPr>
            </w:pPr>
            <w:r w:rsidRPr="00E3331A">
              <w:t>Hughes et al. (2008)</w:t>
            </w:r>
            <w:r w:rsidR="00B85C75">
              <w:rPr>
                <w:noProof/>
              </w:rPr>
              <w:t>(Bril et al. 2009; Donofrio et al. 2010; Hughes et al. 2008; Merkies et al. 2009a; Vanhoutte et al. 2013b)</w:t>
            </w:r>
            <w:r w:rsidR="003C40A7" w:rsidRPr="00E3331A">
              <w:rPr>
                <w:snapToGrid w:val="0"/>
              </w:rPr>
              <w:t xml:space="preserve"> </w:t>
            </w:r>
          </w:p>
        </w:tc>
        <w:tc>
          <w:tcPr>
            <w:tcW w:w="617" w:type="pct"/>
            <w:shd w:val="clear" w:color="auto" w:fill="auto"/>
            <w:vAlign w:val="center"/>
          </w:tcPr>
          <w:p w:rsidR="00FA20E2" w:rsidRPr="00E3331A" w:rsidRDefault="00FA20E2" w:rsidP="00687E6F">
            <w:pPr>
              <w:pStyle w:val="Tabletext1"/>
            </w:pPr>
            <w:r w:rsidRPr="00E3331A">
              <w:t xml:space="preserve">Ig vs </w:t>
            </w:r>
            <w:r w:rsidRPr="00E3331A">
              <w:rPr>
                <w:snapToGrid w:val="0"/>
              </w:rPr>
              <w:t>NT (placebo)</w:t>
            </w:r>
          </w:p>
          <w:p w:rsidR="00FA20E2" w:rsidRPr="00E3331A" w:rsidRDefault="00FA20E2" w:rsidP="00687E6F">
            <w:pPr>
              <w:pStyle w:val="Tabletext1"/>
              <w:rPr>
                <w:snapToGrid w:val="0"/>
              </w:rPr>
            </w:pPr>
            <w:r w:rsidRPr="00E3331A">
              <w:rPr>
                <w:snapToGrid w:val="0"/>
              </w:rPr>
              <w:t>117</w:t>
            </w:r>
          </w:p>
        </w:tc>
        <w:tc>
          <w:tcPr>
            <w:tcW w:w="709" w:type="pct"/>
            <w:tcBorders>
              <w:bottom w:val="single" w:sz="4" w:space="0" w:color="auto"/>
            </w:tcBorders>
            <w:shd w:val="clear" w:color="auto" w:fill="auto"/>
            <w:vAlign w:val="center"/>
          </w:tcPr>
          <w:p w:rsidR="00FA20E2" w:rsidRPr="00E3331A" w:rsidRDefault="00FA20E2" w:rsidP="00687E6F">
            <w:pPr>
              <w:pStyle w:val="Tabletext1"/>
            </w:pPr>
            <w:r w:rsidRPr="00E3331A">
              <w:t>R, MC, DB, CO</w:t>
            </w:r>
          </w:p>
          <w:p w:rsidR="00FA20E2" w:rsidRPr="00E3331A" w:rsidRDefault="00FA20E2" w:rsidP="00687E6F">
            <w:pPr>
              <w:pStyle w:val="Tabletext1"/>
            </w:pPr>
            <w:r w:rsidRPr="00E3331A">
              <w:rPr>
                <w:snapToGrid w:val="0"/>
              </w:rPr>
              <w:t>Low</w:t>
            </w:r>
          </w:p>
          <w:p w:rsidR="00FA20E2" w:rsidRPr="00E3331A" w:rsidRDefault="00FA20E2" w:rsidP="00687E6F">
            <w:pPr>
              <w:pStyle w:val="Tabletext1"/>
              <w:rPr>
                <w:snapToGrid w:val="0"/>
              </w:rPr>
            </w:pPr>
          </w:p>
        </w:tc>
        <w:tc>
          <w:tcPr>
            <w:tcW w:w="1673" w:type="pct"/>
            <w:tcBorders>
              <w:bottom w:val="single" w:sz="4" w:space="0" w:color="auto"/>
            </w:tcBorders>
            <w:shd w:val="clear" w:color="auto" w:fill="auto"/>
            <w:vAlign w:val="center"/>
          </w:tcPr>
          <w:p w:rsidR="00FA20E2" w:rsidRPr="00E3331A" w:rsidRDefault="00FA20E2" w:rsidP="00687E6F">
            <w:pPr>
              <w:pStyle w:val="Tabletext1"/>
              <w:rPr>
                <w:snapToGrid w:val="0"/>
              </w:rPr>
            </w:pPr>
            <w:r w:rsidRPr="00E3331A">
              <w:t>Adult patients with diagnosed CIDP (motor and sensory dysfunction) with significant disability (INCAT 2-9). Patients treated for CIDP in last 3 months excluded.</w:t>
            </w:r>
          </w:p>
        </w:tc>
        <w:tc>
          <w:tcPr>
            <w:tcW w:w="758" w:type="pct"/>
            <w:tcBorders>
              <w:bottom w:val="single" w:sz="4" w:space="0" w:color="auto"/>
            </w:tcBorders>
            <w:shd w:val="clear" w:color="auto" w:fill="auto"/>
            <w:vAlign w:val="center"/>
          </w:tcPr>
          <w:p w:rsidR="00FA20E2" w:rsidRPr="00E3331A" w:rsidRDefault="00FA20E2" w:rsidP="00687E6F">
            <w:pPr>
              <w:pStyle w:val="Tabletext1"/>
              <w:rPr>
                <w:snapToGrid w:val="0"/>
              </w:rPr>
            </w:pPr>
            <w:r w:rsidRPr="00E3331A">
              <w:rPr>
                <w:snapToGrid w:val="0"/>
              </w:rPr>
              <w:t>Treatment</w:t>
            </w:r>
          </w:p>
          <w:p w:rsidR="00FA20E2" w:rsidRPr="00E3331A" w:rsidRDefault="00FA20E2" w:rsidP="00687E6F">
            <w:pPr>
              <w:pStyle w:val="Tabletext1"/>
              <w:rPr>
                <w:snapToGrid w:val="0"/>
              </w:rPr>
            </w:pPr>
            <w:r w:rsidRPr="00E3331A">
              <w:rPr>
                <w:snapToGrid w:val="0"/>
              </w:rPr>
              <w:t>INCAT, MRC, grip strength, ISS</w:t>
            </w:r>
          </w:p>
          <w:p w:rsidR="00FA20E2" w:rsidRPr="00E3331A" w:rsidRDefault="00FA20E2" w:rsidP="00CA4C10">
            <w:pPr>
              <w:spacing w:after="60" w:line="240" w:lineRule="auto"/>
              <w:rPr>
                <w:rFonts w:ascii="Arial Narrow" w:hAnsi="Arial Narrow" w:cs="Times New Roman"/>
                <w:sz w:val="20"/>
                <w:szCs w:val="20"/>
              </w:rPr>
            </w:pPr>
            <w:r w:rsidRPr="00E3331A">
              <w:rPr>
                <w:rFonts w:ascii="Arial Narrow" w:hAnsi="Arial Narrow" w:cs="Times New Roman"/>
                <w:sz w:val="20"/>
                <w:szCs w:val="20"/>
              </w:rPr>
              <w:t>Any AE</w:t>
            </w:r>
          </w:p>
          <w:p w:rsidR="00FA20E2" w:rsidRPr="00E3331A" w:rsidRDefault="00FA20E2" w:rsidP="00CA4C10">
            <w:pPr>
              <w:spacing w:after="60" w:line="240" w:lineRule="auto"/>
              <w:rPr>
                <w:rFonts w:ascii="Arial Narrow" w:hAnsi="Arial Narrow" w:cs="Times New Roman"/>
                <w:sz w:val="20"/>
                <w:szCs w:val="20"/>
              </w:rPr>
            </w:pPr>
            <w:r w:rsidRPr="00E3331A">
              <w:rPr>
                <w:rFonts w:ascii="Arial Narrow" w:hAnsi="Arial Narrow" w:cs="Times New Roman"/>
                <w:sz w:val="20"/>
                <w:szCs w:val="20"/>
              </w:rPr>
              <w:t>SAE</w:t>
            </w:r>
          </w:p>
          <w:p w:rsidR="00FA20E2" w:rsidRPr="00E3331A" w:rsidRDefault="00FA20E2" w:rsidP="00CA4C10">
            <w:pPr>
              <w:spacing w:after="60" w:line="240" w:lineRule="auto"/>
              <w:rPr>
                <w:rFonts w:ascii="Arial Narrow" w:hAnsi="Arial Narrow" w:cs="Times New Roman"/>
                <w:sz w:val="20"/>
                <w:szCs w:val="20"/>
              </w:rPr>
            </w:pPr>
            <w:r w:rsidRPr="00E3331A">
              <w:rPr>
                <w:rFonts w:ascii="Arial Narrow" w:hAnsi="Arial Narrow" w:cs="Times New Roman"/>
                <w:sz w:val="20"/>
                <w:szCs w:val="20"/>
              </w:rPr>
              <w:t>Discontinuation</w:t>
            </w:r>
          </w:p>
          <w:p w:rsidR="00FA20E2" w:rsidRPr="00E3331A" w:rsidRDefault="00FA20E2" w:rsidP="00CA4C10">
            <w:pPr>
              <w:pStyle w:val="Tabletext1"/>
              <w:rPr>
                <w:snapToGrid w:val="0"/>
              </w:rPr>
            </w:pPr>
            <w:r w:rsidRPr="00E3331A">
              <w:rPr>
                <w:rFonts w:cs="Times New Roman"/>
              </w:rPr>
              <w:t>Nature of AEs</w:t>
            </w:r>
          </w:p>
        </w:tc>
      </w:tr>
      <w:tr w:rsidR="00FA20E2" w:rsidRPr="00E3331A" w:rsidTr="00FA20E2">
        <w:tc>
          <w:tcPr>
            <w:tcW w:w="1243" w:type="pct"/>
            <w:shd w:val="clear" w:color="auto" w:fill="auto"/>
          </w:tcPr>
          <w:p w:rsidR="00FA20E2" w:rsidRPr="00E3331A" w:rsidRDefault="00FA20E2" w:rsidP="0070784F">
            <w:pPr>
              <w:pStyle w:val="Tabletext1"/>
            </w:pPr>
            <w:r w:rsidRPr="00E3331A">
              <w:t xml:space="preserve">Mendell </w:t>
            </w:r>
            <w:r w:rsidR="00983BA7">
              <w:t xml:space="preserve">et al. </w:t>
            </w:r>
            <w:r w:rsidRPr="00E3331A">
              <w:t>(2001)</w:t>
            </w:r>
            <w:r w:rsidR="00B85C75">
              <w:rPr>
                <w:noProof/>
              </w:rPr>
              <w:t>(Mendell et al. 2001)</w:t>
            </w:r>
          </w:p>
        </w:tc>
        <w:tc>
          <w:tcPr>
            <w:tcW w:w="617" w:type="pct"/>
            <w:shd w:val="clear" w:color="auto" w:fill="auto"/>
            <w:vAlign w:val="center"/>
          </w:tcPr>
          <w:p w:rsidR="00FA20E2" w:rsidRPr="00E3331A" w:rsidRDefault="00FA20E2" w:rsidP="0070784F">
            <w:pPr>
              <w:pStyle w:val="Tabletext1"/>
              <w:rPr>
                <w:snapToGrid w:val="0"/>
              </w:rPr>
            </w:pPr>
            <w:r w:rsidRPr="00E3331A">
              <w:rPr>
                <w:snapToGrid w:val="0"/>
              </w:rPr>
              <w:t>Ig vs NT (placebo)</w:t>
            </w:r>
          </w:p>
          <w:p w:rsidR="00FA20E2" w:rsidRPr="00E3331A" w:rsidRDefault="00FA20E2" w:rsidP="0070784F">
            <w:pPr>
              <w:pStyle w:val="Tabletext1"/>
              <w:rPr>
                <w:snapToGrid w:val="0"/>
              </w:rPr>
            </w:pPr>
            <w:r w:rsidRPr="00E3331A">
              <w:rPr>
                <w:snapToGrid w:val="0"/>
              </w:rPr>
              <w:t>50</w:t>
            </w:r>
          </w:p>
        </w:tc>
        <w:tc>
          <w:tcPr>
            <w:tcW w:w="709"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t>R, MC, DB</w:t>
            </w:r>
          </w:p>
          <w:p w:rsidR="00FA20E2" w:rsidRPr="00E3331A" w:rsidRDefault="00FA20E2" w:rsidP="0070784F">
            <w:pPr>
              <w:pStyle w:val="Tabletext1"/>
              <w:rPr>
                <w:snapToGrid w:val="0"/>
              </w:rPr>
            </w:pPr>
            <w:r w:rsidRPr="00E3331A">
              <w:rPr>
                <w:snapToGrid w:val="0"/>
              </w:rPr>
              <w:t>Some concerns</w:t>
            </w:r>
          </w:p>
        </w:tc>
        <w:tc>
          <w:tcPr>
            <w:tcW w:w="1673"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t>Patients fulfilling diagnostic criteria for definite or probable CIDP. Patients receiving treatment in past 3 months excluded</w:t>
            </w:r>
          </w:p>
        </w:tc>
        <w:tc>
          <w:tcPr>
            <w:tcW w:w="758"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t>AMS</w:t>
            </w:r>
          </w:p>
          <w:p w:rsidR="00FA20E2" w:rsidRPr="00E3331A" w:rsidRDefault="00FA20E2" w:rsidP="0070784F">
            <w:pPr>
              <w:pStyle w:val="Tabletext1"/>
              <w:rPr>
                <w:snapToGrid w:val="0"/>
              </w:rPr>
            </w:pPr>
            <w:r w:rsidRPr="00E3331A">
              <w:rPr>
                <w:snapToGrid w:val="0"/>
              </w:rPr>
              <w:t>Treatment</w:t>
            </w:r>
          </w:p>
          <w:p w:rsidR="00FA20E2" w:rsidRPr="00E3331A" w:rsidRDefault="00FA20E2" w:rsidP="0070784F">
            <w:pPr>
              <w:spacing w:after="60" w:line="240" w:lineRule="auto"/>
              <w:rPr>
                <w:rFonts w:ascii="Arial Narrow" w:hAnsi="Arial Narrow" w:cs="Times New Roman"/>
                <w:sz w:val="20"/>
                <w:szCs w:val="20"/>
              </w:rPr>
            </w:pPr>
            <w:r w:rsidRPr="00E3331A">
              <w:rPr>
                <w:rFonts w:ascii="Arial Narrow" w:hAnsi="Arial Narrow" w:cs="Times New Roman"/>
                <w:sz w:val="20"/>
                <w:szCs w:val="20"/>
              </w:rPr>
              <w:t>Discontinuation</w:t>
            </w:r>
          </w:p>
          <w:p w:rsidR="00FA20E2" w:rsidRPr="00E3331A" w:rsidRDefault="00FA20E2" w:rsidP="0070784F">
            <w:pPr>
              <w:pStyle w:val="Tabletext1"/>
              <w:rPr>
                <w:snapToGrid w:val="0"/>
              </w:rPr>
            </w:pPr>
            <w:r w:rsidRPr="00E3331A">
              <w:rPr>
                <w:rFonts w:cs="Times New Roman"/>
              </w:rPr>
              <w:t>Nature of AEs</w:t>
            </w:r>
          </w:p>
        </w:tc>
      </w:tr>
      <w:tr w:rsidR="00FA20E2" w:rsidRPr="00E3331A" w:rsidTr="00FA20E2">
        <w:tc>
          <w:tcPr>
            <w:tcW w:w="1243" w:type="pct"/>
            <w:shd w:val="clear" w:color="auto" w:fill="auto"/>
          </w:tcPr>
          <w:p w:rsidR="00FA20E2" w:rsidRPr="00E3331A" w:rsidRDefault="00FA20E2" w:rsidP="0070784F">
            <w:pPr>
              <w:pStyle w:val="Tabletext1"/>
            </w:pPr>
            <w:r w:rsidRPr="00E3331A">
              <w:t xml:space="preserve">Vermeulem </w:t>
            </w:r>
            <w:r w:rsidR="00983BA7">
              <w:t xml:space="preserve">et al. </w:t>
            </w:r>
            <w:r w:rsidRPr="00E3331A">
              <w:t>(1993)</w:t>
            </w:r>
            <w:r w:rsidR="00B85C75">
              <w:rPr>
                <w:noProof/>
              </w:rPr>
              <w:t>(Vermeulen et al. 1993)</w:t>
            </w:r>
          </w:p>
        </w:tc>
        <w:tc>
          <w:tcPr>
            <w:tcW w:w="617" w:type="pct"/>
            <w:shd w:val="clear" w:color="auto" w:fill="auto"/>
            <w:vAlign w:val="center"/>
          </w:tcPr>
          <w:p w:rsidR="00FA20E2" w:rsidRPr="00E3331A" w:rsidRDefault="00FA20E2" w:rsidP="0070784F">
            <w:pPr>
              <w:pStyle w:val="Tabletext1"/>
              <w:rPr>
                <w:snapToGrid w:val="0"/>
              </w:rPr>
            </w:pPr>
            <w:r w:rsidRPr="00E3331A">
              <w:rPr>
                <w:snapToGrid w:val="0"/>
              </w:rPr>
              <w:t>Ig vs NT (placebo)</w:t>
            </w:r>
          </w:p>
          <w:p w:rsidR="00FA20E2" w:rsidRPr="00E3331A" w:rsidRDefault="00FA20E2" w:rsidP="0070784F">
            <w:pPr>
              <w:pStyle w:val="Tabletext1"/>
              <w:rPr>
                <w:snapToGrid w:val="0"/>
              </w:rPr>
            </w:pPr>
            <w:r w:rsidRPr="00E3331A">
              <w:rPr>
                <w:snapToGrid w:val="0"/>
              </w:rPr>
              <w:t>28</w:t>
            </w:r>
          </w:p>
        </w:tc>
        <w:tc>
          <w:tcPr>
            <w:tcW w:w="709"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t>R, MC, DB</w:t>
            </w:r>
          </w:p>
          <w:p w:rsidR="00FA20E2" w:rsidRPr="00E3331A" w:rsidRDefault="00FA20E2" w:rsidP="0070784F">
            <w:pPr>
              <w:pStyle w:val="Tabletext1"/>
              <w:rPr>
                <w:snapToGrid w:val="0"/>
              </w:rPr>
            </w:pPr>
            <w:r w:rsidRPr="00E3331A">
              <w:rPr>
                <w:snapToGrid w:val="0"/>
              </w:rPr>
              <w:t xml:space="preserve"> Low</w:t>
            </w:r>
          </w:p>
        </w:tc>
        <w:tc>
          <w:tcPr>
            <w:tcW w:w="1673"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t xml:space="preserve">Newly diagnosed CIDP with progression of weakness over &gt;8 weeks. Disability </w:t>
            </w:r>
            <w:r w:rsidRPr="00E3331A">
              <w:rPr>
                <w:rFonts w:hint="eastAsia"/>
              </w:rPr>
              <w:t>≥</w:t>
            </w:r>
            <w:r w:rsidRPr="00E3331A">
              <w:t xml:space="preserve"> 3 on modified Rankin Scale. Treatment naïve. </w:t>
            </w:r>
          </w:p>
        </w:tc>
        <w:tc>
          <w:tcPr>
            <w:tcW w:w="758"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t>Treatment</w:t>
            </w:r>
          </w:p>
          <w:p w:rsidR="00FA20E2" w:rsidRPr="00E3331A" w:rsidRDefault="00FA20E2" w:rsidP="0070784F">
            <w:pPr>
              <w:pStyle w:val="Tabletext1"/>
              <w:rPr>
                <w:snapToGrid w:val="0"/>
              </w:rPr>
            </w:pPr>
            <w:r w:rsidRPr="00E3331A">
              <w:rPr>
                <w:snapToGrid w:val="0"/>
              </w:rPr>
              <w:t>MRC</w:t>
            </w:r>
          </w:p>
        </w:tc>
      </w:tr>
      <w:tr w:rsidR="00FA20E2" w:rsidRPr="00E3331A" w:rsidTr="00FA20E2">
        <w:tc>
          <w:tcPr>
            <w:tcW w:w="1243" w:type="pct"/>
            <w:shd w:val="clear" w:color="auto" w:fill="auto"/>
          </w:tcPr>
          <w:p w:rsidR="00FA20E2" w:rsidRPr="00E3331A" w:rsidRDefault="00FA20E2" w:rsidP="0070784F">
            <w:pPr>
              <w:pStyle w:val="Tabletext1"/>
            </w:pPr>
            <w:r w:rsidRPr="00E3331A">
              <w:t>van Schaik et al. (2018)</w:t>
            </w:r>
            <w:r w:rsidR="00B85C75">
              <w:rPr>
                <w:noProof/>
              </w:rPr>
              <w:t>(Mielke et al. 2019; van Geloven et al. 2018)</w:t>
            </w:r>
          </w:p>
        </w:tc>
        <w:tc>
          <w:tcPr>
            <w:tcW w:w="617" w:type="pct"/>
            <w:shd w:val="clear" w:color="auto" w:fill="auto"/>
            <w:vAlign w:val="center"/>
          </w:tcPr>
          <w:p w:rsidR="00FA20E2" w:rsidRPr="00E3331A" w:rsidRDefault="00FA20E2" w:rsidP="0070784F">
            <w:pPr>
              <w:pStyle w:val="Tabletext1"/>
              <w:rPr>
                <w:snapToGrid w:val="0"/>
              </w:rPr>
            </w:pPr>
            <w:r w:rsidRPr="00E3331A">
              <w:rPr>
                <w:snapToGrid w:val="0"/>
              </w:rPr>
              <w:t>Ig vs NT (placebo)</w:t>
            </w:r>
          </w:p>
          <w:p w:rsidR="00FA20E2" w:rsidRPr="00E3331A" w:rsidRDefault="00FA20E2" w:rsidP="0070784F">
            <w:pPr>
              <w:pStyle w:val="Tabletext1"/>
              <w:rPr>
                <w:snapToGrid w:val="0"/>
              </w:rPr>
            </w:pPr>
            <w:r w:rsidRPr="00E3331A">
              <w:rPr>
                <w:snapToGrid w:val="0"/>
              </w:rPr>
              <w:t>172</w:t>
            </w:r>
          </w:p>
        </w:tc>
        <w:tc>
          <w:tcPr>
            <w:tcW w:w="709"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t>R, MC, DB</w:t>
            </w:r>
          </w:p>
          <w:p w:rsidR="00FA20E2" w:rsidRPr="00E3331A" w:rsidRDefault="00FA20E2" w:rsidP="0070784F">
            <w:pPr>
              <w:pStyle w:val="Tabletext1"/>
              <w:rPr>
                <w:snapToGrid w:val="0"/>
              </w:rPr>
            </w:pPr>
            <w:r w:rsidRPr="00E3331A">
              <w:rPr>
                <w:snapToGrid w:val="0"/>
              </w:rPr>
              <w:t xml:space="preserve"> Low</w:t>
            </w:r>
          </w:p>
        </w:tc>
        <w:tc>
          <w:tcPr>
            <w:tcW w:w="1673"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t>Patients aged 18 year and over, definite or probable CIDP.</w:t>
            </w:r>
            <w:r w:rsidRPr="00E3331A">
              <w:rPr>
                <w:vertAlign w:val="superscript"/>
              </w:rPr>
              <w:t>C</w:t>
            </w:r>
            <w:r w:rsidRPr="00E3331A">
              <w:t xml:space="preserve"> Last IVIg treatment within 8 weeks of study. Ig-dependent disease.</w:t>
            </w:r>
          </w:p>
        </w:tc>
        <w:tc>
          <w:tcPr>
            <w:tcW w:w="758"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t>Maintenance</w:t>
            </w:r>
          </w:p>
          <w:p w:rsidR="00FA20E2" w:rsidRPr="00E3331A" w:rsidRDefault="00FA20E2" w:rsidP="0070784F">
            <w:pPr>
              <w:pStyle w:val="Tabletext1"/>
              <w:rPr>
                <w:snapToGrid w:val="0"/>
              </w:rPr>
            </w:pPr>
            <w:r w:rsidRPr="00E3331A">
              <w:rPr>
                <w:snapToGrid w:val="0"/>
              </w:rPr>
              <w:t>INCAT, MRC, grip strength, I-RODS</w:t>
            </w:r>
          </w:p>
        </w:tc>
      </w:tr>
      <w:tr w:rsidR="00FA20E2" w:rsidRPr="00E3331A" w:rsidTr="00FA20E2">
        <w:tc>
          <w:tcPr>
            <w:tcW w:w="1243" w:type="pct"/>
            <w:shd w:val="clear" w:color="auto" w:fill="auto"/>
          </w:tcPr>
          <w:p w:rsidR="00FA20E2" w:rsidRPr="00E3331A" w:rsidRDefault="00FA20E2" w:rsidP="0070784F">
            <w:pPr>
              <w:pStyle w:val="Tabletext1"/>
            </w:pPr>
            <w:r w:rsidRPr="00E3331A">
              <w:t>Markvardsen et al. (2013)</w:t>
            </w:r>
            <w:r w:rsidR="00B85C75">
              <w:rPr>
                <w:noProof/>
              </w:rPr>
              <w:t>(Markvardsen et al. 2013)</w:t>
            </w:r>
          </w:p>
        </w:tc>
        <w:tc>
          <w:tcPr>
            <w:tcW w:w="617" w:type="pct"/>
            <w:shd w:val="clear" w:color="auto" w:fill="auto"/>
            <w:vAlign w:val="center"/>
          </w:tcPr>
          <w:p w:rsidR="00FA20E2" w:rsidRPr="00E3331A" w:rsidRDefault="00FA20E2" w:rsidP="0070784F">
            <w:pPr>
              <w:pStyle w:val="Tabletext1"/>
              <w:rPr>
                <w:snapToGrid w:val="0"/>
              </w:rPr>
            </w:pPr>
            <w:r w:rsidRPr="00E3331A">
              <w:rPr>
                <w:snapToGrid w:val="0"/>
              </w:rPr>
              <w:t>Ig vs NT (placebo)</w:t>
            </w:r>
          </w:p>
          <w:p w:rsidR="00FA20E2" w:rsidRPr="00E3331A" w:rsidRDefault="00FA20E2" w:rsidP="0070784F">
            <w:pPr>
              <w:pStyle w:val="Tabletext1"/>
              <w:rPr>
                <w:snapToGrid w:val="0"/>
              </w:rPr>
            </w:pPr>
            <w:r w:rsidRPr="00E3331A">
              <w:rPr>
                <w:snapToGrid w:val="0"/>
              </w:rPr>
              <w:t>30</w:t>
            </w:r>
          </w:p>
        </w:tc>
        <w:tc>
          <w:tcPr>
            <w:tcW w:w="709"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t>R, MC, DB</w:t>
            </w:r>
          </w:p>
          <w:p w:rsidR="00FA20E2" w:rsidRPr="00E3331A" w:rsidRDefault="00FA20E2" w:rsidP="0070784F">
            <w:pPr>
              <w:pStyle w:val="Tabletext1"/>
              <w:rPr>
                <w:snapToGrid w:val="0"/>
              </w:rPr>
            </w:pPr>
            <w:r w:rsidRPr="00E3331A">
              <w:rPr>
                <w:snapToGrid w:val="0"/>
              </w:rPr>
              <w:t xml:space="preserve"> High</w:t>
            </w:r>
          </w:p>
        </w:tc>
        <w:tc>
          <w:tcPr>
            <w:tcW w:w="1673"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t>CIDP</w:t>
            </w:r>
            <w:r w:rsidRPr="00E3331A">
              <w:rPr>
                <w:vertAlign w:val="superscript"/>
              </w:rPr>
              <w:t xml:space="preserve">C </w:t>
            </w:r>
            <w:r w:rsidRPr="00E3331A">
              <w:t xml:space="preserve">patients aged 18-80 years in maintenance therapy with IVIg. All were Ig responders and received treatment every 3-10 weeks. </w:t>
            </w:r>
          </w:p>
        </w:tc>
        <w:tc>
          <w:tcPr>
            <w:tcW w:w="758"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t>Maintenance</w:t>
            </w:r>
          </w:p>
          <w:p w:rsidR="00FA20E2" w:rsidRPr="00E3331A" w:rsidRDefault="00FA20E2" w:rsidP="0070784F">
            <w:pPr>
              <w:pStyle w:val="Tabletext1"/>
              <w:rPr>
                <w:snapToGrid w:val="0"/>
              </w:rPr>
            </w:pPr>
            <w:r w:rsidRPr="00E3331A">
              <w:rPr>
                <w:snapToGrid w:val="0"/>
              </w:rPr>
              <w:t>MRC, grip strength, ODSS, 40MWT</w:t>
            </w:r>
          </w:p>
        </w:tc>
      </w:tr>
      <w:tr w:rsidR="004130B7" w:rsidRPr="00E3331A" w:rsidTr="004130B7">
        <w:tc>
          <w:tcPr>
            <w:tcW w:w="5000" w:type="pct"/>
            <w:gridSpan w:val="5"/>
            <w:shd w:val="clear" w:color="auto" w:fill="D9D9D9"/>
          </w:tcPr>
          <w:p w:rsidR="004130B7" w:rsidRPr="00E3331A" w:rsidRDefault="004130B7" w:rsidP="0070784F">
            <w:pPr>
              <w:spacing w:after="60" w:line="240" w:lineRule="auto"/>
              <w:rPr>
                <w:rFonts w:ascii="Arial Narrow" w:hAnsi="Arial Narrow" w:cs="Times New Roman"/>
                <w:b/>
                <w:sz w:val="20"/>
                <w:szCs w:val="20"/>
              </w:rPr>
            </w:pPr>
            <w:r w:rsidRPr="00E3331A">
              <w:rPr>
                <w:b/>
              </w:rPr>
              <w:t>Studies comparing Ig to St</w:t>
            </w:r>
          </w:p>
        </w:tc>
      </w:tr>
      <w:tr w:rsidR="00FA20E2" w:rsidRPr="00E3331A" w:rsidTr="00FA20E2">
        <w:tc>
          <w:tcPr>
            <w:tcW w:w="1243" w:type="pct"/>
            <w:shd w:val="clear" w:color="auto" w:fill="auto"/>
          </w:tcPr>
          <w:p w:rsidR="00FA20E2" w:rsidRPr="00E3331A" w:rsidRDefault="00FA20E2" w:rsidP="0070784F">
            <w:pPr>
              <w:pStyle w:val="Tabletext1"/>
            </w:pPr>
            <w:r w:rsidRPr="00E3331A">
              <w:t>Hughes et al. (2001)</w:t>
            </w:r>
            <w:r w:rsidR="00B85C75">
              <w:rPr>
                <w:noProof/>
              </w:rPr>
              <w:t>(Hughes et al. 2001)</w:t>
            </w:r>
          </w:p>
        </w:tc>
        <w:tc>
          <w:tcPr>
            <w:tcW w:w="617" w:type="pct"/>
            <w:shd w:val="clear" w:color="auto" w:fill="auto"/>
            <w:vAlign w:val="center"/>
          </w:tcPr>
          <w:p w:rsidR="00FA20E2" w:rsidRPr="00E3331A" w:rsidRDefault="00FA20E2" w:rsidP="0070784F">
            <w:pPr>
              <w:pStyle w:val="Tabletext1"/>
              <w:rPr>
                <w:snapToGrid w:val="0"/>
              </w:rPr>
            </w:pPr>
            <w:r w:rsidRPr="00E3331A">
              <w:rPr>
                <w:snapToGrid w:val="0"/>
              </w:rPr>
              <w:t>Ig vs St</w:t>
            </w:r>
          </w:p>
          <w:p w:rsidR="00FA20E2" w:rsidRPr="00E3331A" w:rsidRDefault="00FA20E2" w:rsidP="0070784F">
            <w:pPr>
              <w:pStyle w:val="Tabletext1"/>
              <w:rPr>
                <w:snapToGrid w:val="0"/>
              </w:rPr>
            </w:pPr>
            <w:r w:rsidRPr="00E3331A">
              <w:rPr>
                <w:snapToGrid w:val="0"/>
              </w:rPr>
              <w:t>17</w:t>
            </w:r>
          </w:p>
        </w:tc>
        <w:tc>
          <w:tcPr>
            <w:tcW w:w="709"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t xml:space="preserve">R, MC, DB, CO </w:t>
            </w:r>
          </w:p>
          <w:p w:rsidR="00FA20E2" w:rsidRPr="00E3331A" w:rsidRDefault="00FA20E2" w:rsidP="0070784F">
            <w:pPr>
              <w:pStyle w:val="Tabletext1"/>
              <w:rPr>
                <w:snapToGrid w:val="0"/>
              </w:rPr>
            </w:pPr>
            <w:r w:rsidRPr="00E3331A">
              <w:rPr>
                <w:snapToGrid w:val="0"/>
              </w:rPr>
              <w:t>High</w:t>
            </w:r>
          </w:p>
        </w:tc>
        <w:tc>
          <w:tcPr>
            <w:tcW w:w="1673"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t xml:space="preserve">Diagnosis of CIDP by neurologist, progressive or relapsing motor and sensory dysfunction of &gt;1 limb resulting from neuropathy developing over &gt; 2 months. Significant disability in upper or lower limb functions. Stable or worsening clinical condition </w:t>
            </w:r>
          </w:p>
        </w:tc>
        <w:tc>
          <w:tcPr>
            <w:tcW w:w="758" w:type="pct"/>
            <w:tcBorders>
              <w:bottom w:val="single" w:sz="4" w:space="0" w:color="auto"/>
            </w:tcBorders>
            <w:shd w:val="clear" w:color="auto" w:fill="auto"/>
          </w:tcPr>
          <w:p w:rsidR="00FA20E2" w:rsidRPr="00E3331A" w:rsidRDefault="00FA20E2" w:rsidP="0070784F">
            <w:pPr>
              <w:spacing w:after="60" w:line="240" w:lineRule="auto"/>
              <w:rPr>
                <w:rFonts w:ascii="Arial Narrow" w:hAnsi="Arial Narrow" w:cs="Times New Roman"/>
                <w:sz w:val="20"/>
                <w:szCs w:val="20"/>
              </w:rPr>
            </w:pPr>
            <w:r w:rsidRPr="00E3331A">
              <w:rPr>
                <w:rFonts w:ascii="Arial Narrow" w:hAnsi="Arial Narrow" w:cs="Times New Roman"/>
                <w:sz w:val="20"/>
                <w:szCs w:val="20"/>
              </w:rPr>
              <w:t>Treatment</w:t>
            </w:r>
          </w:p>
          <w:p w:rsidR="00FA20E2" w:rsidRPr="00E3331A" w:rsidRDefault="00FA20E2" w:rsidP="0070784F">
            <w:pPr>
              <w:spacing w:after="60" w:line="240" w:lineRule="auto"/>
              <w:rPr>
                <w:rFonts w:ascii="Arial Narrow" w:hAnsi="Arial Narrow" w:cs="Times New Roman"/>
                <w:sz w:val="20"/>
                <w:szCs w:val="20"/>
              </w:rPr>
            </w:pPr>
            <w:r w:rsidRPr="00E3331A">
              <w:rPr>
                <w:rFonts w:ascii="Arial Narrow" w:hAnsi="Arial Narrow" w:cs="Times New Roman"/>
                <w:sz w:val="20"/>
                <w:szCs w:val="20"/>
              </w:rPr>
              <w:t>INCAT, 10MWS</w:t>
            </w:r>
          </w:p>
          <w:p w:rsidR="00FA20E2" w:rsidRPr="00E3331A" w:rsidRDefault="00FA20E2" w:rsidP="0070784F">
            <w:pPr>
              <w:spacing w:after="60" w:line="240" w:lineRule="auto"/>
              <w:rPr>
                <w:rFonts w:ascii="Arial Narrow" w:hAnsi="Arial Narrow" w:cs="Times New Roman"/>
                <w:sz w:val="20"/>
                <w:szCs w:val="20"/>
              </w:rPr>
            </w:pPr>
            <w:r w:rsidRPr="00E3331A">
              <w:rPr>
                <w:rFonts w:ascii="Arial Narrow" w:hAnsi="Arial Narrow" w:cs="Times New Roman"/>
                <w:sz w:val="20"/>
                <w:szCs w:val="20"/>
              </w:rPr>
              <w:t>Any AE</w:t>
            </w:r>
          </w:p>
          <w:p w:rsidR="00FA20E2" w:rsidRPr="00E3331A" w:rsidRDefault="00FA20E2" w:rsidP="0070784F">
            <w:pPr>
              <w:spacing w:after="60" w:line="240" w:lineRule="auto"/>
              <w:rPr>
                <w:rFonts w:ascii="Arial Narrow" w:hAnsi="Arial Narrow" w:cs="Times New Roman"/>
                <w:sz w:val="20"/>
                <w:szCs w:val="20"/>
              </w:rPr>
            </w:pPr>
            <w:r w:rsidRPr="00E3331A">
              <w:rPr>
                <w:rFonts w:ascii="Arial Narrow" w:hAnsi="Arial Narrow" w:cs="Times New Roman"/>
                <w:sz w:val="20"/>
                <w:szCs w:val="20"/>
              </w:rPr>
              <w:t>SAE</w:t>
            </w:r>
          </w:p>
          <w:p w:rsidR="00FA20E2" w:rsidRPr="00E3331A" w:rsidRDefault="00FA20E2" w:rsidP="0070784F">
            <w:pPr>
              <w:spacing w:after="60" w:line="240" w:lineRule="auto"/>
              <w:rPr>
                <w:rFonts w:ascii="Arial Narrow" w:hAnsi="Arial Narrow" w:cs="Times New Roman"/>
                <w:sz w:val="20"/>
                <w:szCs w:val="20"/>
              </w:rPr>
            </w:pPr>
            <w:r w:rsidRPr="00E3331A">
              <w:rPr>
                <w:rFonts w:ascii="Arial Narrow" w:hAnsi="Arial Narrow" w:cs="Times New Roman"/>
                <w:sz w:val="20"/>
                <w:szCs w:val="20"/>
              </w:rPr>
              <w:t>Discontinuation</w:t>
            </w:r>
          </w:p>
          <w:p w:rsidR="00FA20E2" w:rsidRPr="00E3331A" w:rsidRDefault="00FA20E2" w:rsidP="0070784F">
            <w:pPr>
              <w:pStyle w:val="Tabletext1"/>
              <w:rPr>
                <w:snapToGrid w:val="0"/>
              </w:rPr>
            </w:pPr>
            <w:r w:rsidRPr="00E3331A">
              <w:rPr>
                <w:rFonts w:cs="Times New Roman"/>
              </w:rPr>
              <w:t>Nature of AEs</w:t>
            </w:r>
          </w:p>
        </w:tc>
      </w:tr>
      <w:tr w:rsidR="00FA20E2" w:rsidRPr="00E3331A" w:rsidTr="00FA20E2">
        <w:tc>
          <w:tcPr>
            <w:tcW w:w="1243" w:type="pct"/>
            <w:shd w:val="clear" w:color="auto" w:fill="auto"/>
          </w:tcPr>
          <w:p w:rsidR="00FA20E2" w:rsidRPr="00E3331A" w:rsidRDefault="00FA20E2" w:rsidP="0070784F">
            <w:pPr>
              <w:pStyle w:val="Tabletext1"/>
            </w:pPr>
            <w:r w:rsidRPr="00E3331A">
              <w:t>Nobile-Orazio et al. (2012)</w:t>
            </w:r>
            <w:r w:rsidR="00B85C75">
              <w:rPr>
                <w:noProof/>
              </w:rPr>
              <w:t xml:space="preserve">(Nobile-Orazio et al. </w:t>
            </w:r>
            <w:r w:rsidR="00B85C75">
              <w:rPr>
                <w:noProof/>
              </w:rPr>
              <w:lastRenderedPageBreak/>
              <w:t>2012b; Nobile-Orazio et al. 2015)</w:t>
            </w:r>
          </w:p>
        </w:tc>
        <w:tc>
          <w:tcPr>
            <w:tcW w:w="617" w:type="pct"/>
            <w:shd w:val="clear" w:color="auto" w:fill="auto"/>
            <w:vAlign w:val="center"/>
          </w:tcPr>
          <w:p w:rsidR="00FA20E2" w:rsidRPr="00E3331A" w:rsidRDefault="00FA20E2" w:rsidP="0070784F">
            <w:pPr>
              <w:pStyle w:val="Tabletext1"/>
              <w:rPr>
                <w:snapToGrid w:val="0"/>
              </w:rPr>
            </w:pPr>
            <w:r w:rsidRPr="00E3331A">
              <w:rPr>
                <w:snapToGrid w:val="0"/>
              </w:rPr>
              <w:lastRenderedPageBreak/>
              <w:t>Ig vs St</w:t>
            </w:r>
          </w:p>
          <w:p w:rsidR="00FA20E2" w:rsidRPr="00E3331A" w:rsidRDefault="00FA20E2" w:rsidP="0070784F">
            <w:pPr>
              <w:pStyle w:val="Tabletext1"/>
              <w:rPr>
                <w:snapToGrid w:val="0"/>
              </w:rPr>
            </w:pPr>
            <w:r w:rsidRPr="00E3331A">
              <w:rPr>
                <w:snapToGrid w:val="0"/>
              </w:rPr>
              <w:lastRenderedPageBreak/>
              <w:t>45</w:t>
            </w:r>
          </w:p>
        </w:tc>
        <w:tc>
          <w:tcPr>
            <w:tcW w:w="709"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lastRenderedPageBreak/>
              <w:t>R, MC, DB</w:t>
            </w:r>
          </w:p>
          <w:p w:rsidR="00FA20E2" w:rsidRPr="00E3331A" w:rsidRDefault="00FA20E2" w:rsidP="0070784F">
            <w:pPr>
              <w:pStyle w:val="Tabletext1"/>
              <w:rPr>
                <w:snapToGrid w:val="0"/>
              </w:rPr>
            </w:pPr>
            <w:r w:rsidRPr="00E3331A">
              <w:rPr>
                <w:snapToGrid w:val="0"/>
              </w:rPr>
              <w:lastRenderedPageBreak/>
              <w:t xml:space="preserve"> High</w:t>
            </w:r>
          </w:p>
        </w:tc>
        <w:tc>
          <w:tcPr>
            <w:tcW w:w="1673"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lastRenderedPageBreak/>
              <w:t xml:space="preserve">Definite typical </w:t>
            </w:r>
            <w:r w:rsidR="00AB7B11">
              <w:t>CIDP</w:t>
            </w:r>
            <w:r w:rsidRPr="00E3331A">
              <w:rPr>
                <w:vertAlign w:val="superscript"/>
              </w:rPr>
              <w:t>C</w:t>
            </w:r>
            <w:r w:rsidRPr="00E3331A">
              <w:t xml:space="preserve">. ONLS or modified Rankin core </w:t>
            </w:r>
            <w:r w:rsidRPr="00E3331A">
              <w:rPr>
                <w:rFonts w:hint="eastAsia"/>
              </w:rPr>
              <w:t>≥</w:t>
            </w:r>
            <w:r w:rsidRPr="00E3331A">
              <w:t xml:space="preserve"> 2. Active or </w:t>
            </w:r>
            <w:r w:rsidRPr="00E3331A">
              <w:lastRenderedPageBreak/>
              <w:t>stationary disease phase but not in remission.</w:t>
            </w:r>
          </w:p>
        </w:tc>
        <w:tc>
          <w:tcPr>
            <w:tcW w:w="758"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lastRenderedPageBreak/>
              <w:t>Treatment</w:t>
            </w:r>
          </w:p>
          <w:p w:rsidR="00FA20E2" w:rsidRPr="00E3331A" w:rsidRDefault="00FA20E2" w:rsidP="0070784F">
            <w:pPr>
              <w:pStyle w:val="Tabletext1"/>
              <w:rPr>
                <w:snapToGrid w:val="0"/>
              </w:rPr>
            </w:pPr>
            <w:r w:rsidRPr="00E3331A">
              <w:rPr>
                <w:snapToGrid w:val="0"/>
              </w:rPr>
              <w:lastRenderedPageBreak/>
              <w:t>MRC, grip strength, ONLS, SF36, ISS, 10MWT</w:t>
            </w:r>
          </w:p>
          <w:p w:rsidR="00FA20E2" w:rsidRPr="00E3331A" w:rsidRDefault="00FA20E2" w:rsidP="0070784F">
            <w:pPr>
              <w:spacing w:after="60" w:line="240" w:lineRule="auto"/>
              <w:rPr>
                <w:rFonts w:ascii="Arial Narrow" w:hAnsi="Arial Narrow" w:cs="Times New Roman"/>
                <w:sz w:val="20"/>
                <w:szCs w:val="20"/>
              </w:rPr>
            </w:pPr>
            <w:r w:rsidRPr="00E3331A">
              <w:rPr>
                <w:rFonts w:ascii="Arial Narrow" w:hAnsi="Arial Narrow" w:cs="Times New Roman"/>
                <w:sz w:val="20"/>
                <w:szCs w:val="20"/>
              </w:rPr>
              <w:t>Any AE</w:t>
            </w:r>
          </w:p>
          <w:p w:rsidR="00FA20E2" w:rsidRPr="00E3331A" w:rsidRDefault="00FA20E2" w:rsidP="0070784F">
            <w:pPr>
              <w:spacing w:after="60" w:line="240" w:lineRule="auto"/>
              <w:rPr>
                <w:rFonts w:ascii="Arial Narrow" w:hAnsi="Arial Narrow" w:cs="Times New Roman"/>
                <w:sz w:val="20"/>
                <w:szCs w:val="20"/>
              </w:rPr>
            </w:pPr>
            <w:r w:rsidRPr="00E3331A">
              <w:rPr>
                <w:rFonts w:ascii="Arial Narrow" w:hAnsi="Arial Narrow" w:cs="Times New Roman"/>
                <w:sz w:val="20"/>
                <w:szCs w:val="20"/>
              </w:rPr>
              <w:t>SAE</w:t>
            </w:r>
          </w:p>
          <w:p w:rsidR="00FA20E2" w:rsidRPr="00E3331A" w:rsidRDefault="00FA20E2" w:rsidP="0070784F">
            <w:pPr>
              <w:spacing w:after="60" w:line="240" w:lineRule="auto"/>
              <w:rPr>
                <w:rFonts w:ascii="Arial Narrow" w:hAnsi="Arial Narrow" w:cs="Times New Roman"/>
                <w:sz w:val="20"/>
                <w:szCs w:val="20"/>
              </w:rPr>
            </w:pPr>
            <w:r w:rsidRPr="00E3331A">
              <w:rPr>
                <w:rFonts w:ascii="Arial Narrow" w:hAnsi="Arial Narrow" w:cs="Times New Roman"/>
                <w:sz w:val="20"/>
                <w:szCs w:val="20"/>
              </w:rPr>
              <w:t>Discontinuation</w:t>
            </w:r>
          </w:p>
          <w:p w:rsidR="00FA20E2" w:rsidRPr="00E3331A" w:rsidRDefault="00FA20E2" w:rsidP="0070784F">
            <w:pPr>
              <w:pStyle w:val="Tabletext1"/>
              <w:rPr>
                <w:snapToGrid w:val="0"/>
              </w:rPr>
            </w:pPr>
            <w:r w:rsidRPr="00E3331A">
              <w:rPr>
                <w:rFonts w:cs="Times New Roman"/>
              </w:rPr>
              <w:t>Nature of AEs</w:t>
            </w:r>
          </w:p>
        </w:tc>
      </w:tr>
      <w:tr w:rsidR="004130B7" w:rsidRPr="00E3331A" w:rsidTr="004130B7">
        <w:tc>
          <w:tcPr>
            <w:tcW w:w="5000" w:type="pct"/>
            <w:gridSpan w:val="5"/>
            <w:shd w:val="clear" w:color="auto" w:fill="D9D9D9"/>
          </w:tcPr>
          <w:p w:rsidR="004130B7" w:rsidRPr="00E3331A" w:rsidRDefault="004130B7" w:rsidP="0070784F">
            <w:pPr>
              <w:pStyle w:val="Tabletext1"/>
              <w:rPr>
                <w:b/>
                <w:snapToGrid w:val="0"/>
              </w:rPr>
            </w:pPr>
            <w:r w:rsidRPr="00E3331A">
              <w:rPr>
                <w:b/>
              </w:rPr>
              <w:lastRenderedPageBreak/>
              <w:t>Studies comparing Ig to PE and Ia</w:t>
            </w:r>
          </w:p>
        </w:tc>
      </w:tr>
      <w:tr w:rsidR="00FA20E2" w:rsidRPr="00E3331A" w:rsidTr="00FA20E2">
        <w:tc>
          <w:tcPr>
            <w:tcW w:w="1243" w:type="pct"/>
            <w:shd w:val="clear" w:color="auto" w:fill="auto"/>
          </w:tcPr>
          <w:p w:rsidR="00FA20E2" w:rsidRPr="00E3331A" w:rsidRDefault="00FA20E2" w:rsidP="0070784F">
            <w:pPr>
              <w:pStyle w:val="Tabletext1"/>
            </w:pPr>
            <w:r w:rsidRPr="00E3331A">
              <w:t>Dyck et al. (1994)</w:t>
            </w:r>
            <w:r w:rsidR="00B85C75">
              <w:rPr>
                <w:noProof/>
              </w:rPr>
              <w:t>(Dyck et al. 1994)</w:t>
            </w:r>
          </w:p>
        </w:tc>
        <w:tc>
          <w:tcPr>
            <w:tcW w:w="617" w:type="pct"/>
            <w:shd w:val="clear" w:color="auto" w:fill="auto"/>
            <w:vAlign w:val="center"/>
          </w:tcPr>
          <w:p w:rsidR="00FA20E2" w:rsidRPr="00E3331A" w:rsidRDefault="00FA20E2" w:rsidP="0070784F">
            <w:pPr>
              <w:pStyle w:val="Tabletext1"/>
              <w:rPr>
                <w:snapToGrid w:val="0"/>
              </w:rPr>
            </w:pPr>
            <w:r w:rsidRPr="00E3331A">
              <w:rPr>
                <w:snapToGrid w:val="0"/>
              </w:rPr>
              <w:t>Ig vs PE</w:t>
            </w:r>
          </w:p>
          <w:p w:rsidR="00FA20E2" w:rsidRPr="00E3331A" w:rsidRDefault="00FA20E2" w:rsidP="0070784F">
            <w:pPr>
              <w:pStyle w:val="Tabletext1"/>
              <w:rPr>
                <w:snapToGrid w:val="0"/>
              </w:rPr>
            </w:pPr>
            <w:r w:rsidRPr="00E3331A">
              <w:rPr>
                <w:snapToGrid w:val="0"/>
              </w:rPr>
              <w:t>19</w:t>
            </w:r>
          </w:p>
        </w:tc>
        <w:tc>
          <w:tcPr>
            <w:tcW w:w="709"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t xml:space="preserve">R, CO </w:t>
            </w:r>
          </w:p>
          <w:p w:rsidR="00FA20E2" w:rsidRPr="00E3331A" w:rsidRDefault="00FA20E2" w:rsidP="0070784F">
            <w:pPr>
              <w:pStyle w:val="Tabletext1"/>
              <w:rPr>
                <w:snapToGrid w:val="0"/>
              </w:rPr>
            </w:pPr>
            <w:r w:rsidRPr="00E3331A">
              <w:rPr>
                <w:snapToGrid w:val="0"/>
              </w:rPr>
              <w:t>High</w:t>
            </w:r>
          </w:p>
        </w:tc>
        <w:tc>
          <w:tcPr>
            <w:tcW w:w="1673" w:type="pct"/>
            <w:tcBorders>
              <w:bottom w:val="single" w:sz="4" w:space="0" w:color="auto"/>
            </w:tcBorders>
            <w:shd w:val="clear" w:color="auto" w:fill="auto"/>
            <w:vAlign w:val="center"/>
          </w:tcPr>
          <w:p w:rsidR="00FA20E2" w:rsidRPr="00E3331A" w:rsidRDefault="00FA20E2" w:rsidP="0070784F">
            <w:pPr>
              <w:pStyle w:val="Tabletext1"/>
            </w:pPr>
            <w:r w:rsidRPr="00E3331A">
              <w:t xml:space="preserve">CIDP diagnosis with static or worsening neurological disability. NDS </w:t>
            </w:r>
            <w:r w:rsidRPr="00E3331A">
              <w:rPr>
                <w:rFonts w:hint="eastAsia"/>
              </w:rPr>
              <w:t>≥</w:t>
            </w:r>
            <w:r w:rsidRPr="00E3331A">
              <w:t xml:space="preserve"> 5 points.</w:t>
            </w:r>
          </w:p>
        </w:tc>
        <w:tc>
          <w:tcPr>
            <w:tcW w:w="758"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t>Treatment</w:t>
            </w:r>
          </w:p>
          <w:p w:rsidR="00FA20E2" w:rsidRPr="00E3331A" w:rsidRDefault="00FA20E2" w:rsidP="0070784F">
            <w:pPr>
              <w:pStyle w:val="Tabletext1"/>
              <w:rPr>
                <w:snapToGrid w:val="0"/>
              </w:rPr>
            </w:pPr>
            <w:r w:rsidRPr="00E3331A">
              <w:rPr>
                <w:snapToGrid w:val="0"/>
              </w:rPr>
              <w:t>NDS</w:t>
            </w:r>
          </w:p>
          <w:p w:rsidR="00FA20E2" w:rsidRPr="00E3331A" w:rsidRDefault="00FA20E2" w:rsidP="0070784F">
            <w:pPr>
              <w:pStyle w:val="Tabletext1"/>
              <w:rPr>
                <w:snapToGrid w:val="0"/>
              </w:rPr>
            </w:pPr>
            <w:r w:rsidRPr="00E3331A">
              <w:rPr>
                <w:rFonts w:cs="Times New Roman"/>
              </w:rPr>
              <w:t>Isolated AEs</w:t>
            </w:r>
          </w:p>
        </w:tc>
      </w:tr>
      <w:tr w:rsidR="00FA20E2" w:rsidRPr="00E3331A" w:rsidTr="00FA20E2">
        <w:tc>
          <w:tcPr>
            <w:tcW w:w="1243" w:type="pct"/>
            <w:shd w:val="clear" w:color="auto" w:fill="auto"/>
          </w:tcPr>
          <w:p w:rsidR="00FA20E2" w:rsidRPr="00E3331A" w:rsidRDefault="00FA20E2" w:rsidP="0070784F">
            <w:pPr>
              <w:pStyle w:val="Tabletext1"/>
            </w:pPr>
            <w:r w:rsidRPr="00E3331A">
              <w:t>Zinman et al. (2005)</w:t>
            </w:r>
            <w:r w:rsidR="00B85C75">
              <w:rPr>
                <w:noProof/>
              </w:rPr>
              <w:t>(Zinman et al. 2005)</w:t>
            </w:r>
          </w:p>
        </w:tc>
        <w:tc>
          <w:tcPr>
            <w:tcW w:w="617" w:type="pct"/>
            <w:shd w:val="clear" w:color="auto" w:fill="auto"/>
            <w:vAlign w:val="center"/>
          </w:tcPr>
          <w:p w:rsidR="00FA20E2" w:rsidRPr="00E3331A" w:rsidRDefault="00FA20E2" w:rsidP="0070784F">
            <w:pPr>
              <w:pStyle w:val="Tabletext1"/>
            </w:pPr>
            <w:r w:rsidRPr="00E3331A">
              <w:t>Ig vs Ia</w:t>
            </w:r>
          </w:p>
          <w:p w:rsidR="00FA20E2" w:rsidRPr="00E3331A" w:rsidRDefault="00FA20E2" w:rsidP="0070784F">
            <w:pPr>
              <w:pStyle w:val="Tabletext1"/>
            </w:pPr>
            <w:r w:rsidRPr="00E3331A">
              <w:t>14</w:t>
            </w:r>
          </w:p>
          <w:p w:rsidR="00FA20E2" w:rsidRPr="00E3331A" w:rsidRDefault="00FA20E2" w:rsidP="0070784F">
            <w:pPr>
              <w:pStyle w:val="Tabletext1"/>
              <w:rPr>
                <w:snapToGrid w:val="0"/>
              </w:rPr>
            </w:pPr>
          </w:p>
        </w:tc>
        <w:tc>
          <w:tcPr>
            <w:tcW w:w="709"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t xml:space="preserve">R </w:t>
            </w:r>
          </w:p>
          <w:p w:rsidR="00FA20E2" w:rsidRPr="00E3331A" w:rsidRDefault="00FA20E2" w:rsidP="0070784F">
            <w:pPr>
              <w:pStyle w:val="Tabletext1"/>
              <w:rPr>
                <w:snapToGrid w:val="0"/>
              </w:rPr>
            </w:pPr>
            <w:r w:rsidRPr="00E3331A">
              <w:rPr>
                <w:snapToGrid w:val="0"/>
              </w:rPr>
              <w:t>High</w:t>
            </w:r>
          </w:p>
        </w:tc>
        <w:tc>
          <w:tcPr>
            <w:tcW w:w="1673"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t>Patients aged 18-70 years with motor and/or sensory CIDP &gt; 2 months. Patients treated with Ig, Is or PE in last 6 months excluded.</w:t>
            </w:r>
          </w:p>
        </w:tc>
        <w:tc>
          <w:tcPr>
            <w:tcW w:w="758"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t>Treatment</w:t>
            </w:r>
          </w:p>
          <w:p w:rsidR="00FA20E2" w:rsidRPr="00E3331A" w:rsidRDefault="00FA20E2" w:rsidP="0070784F">
            <w:pPr>
              <w:pStyle w:val="Tabletext1"/>
              <w:rPr>
                <w:snapToGrid w:val="0"/>
              </w:rPr>
            </w:pPr>
            <w:r w:rsidRPr="00E3331A">
              <w:rPr>
                <w:rFonts w:cs="Times New Roman"/>
              </w:rPr>
              <w:t>Isolated AEs</w:t>
            </w:r>
          </w:p>
        </w:tc>
      </w:tr>
      <w:tr w:rsidR="004130B7" w:rsidRPr="00E3331A" w:rsidTr="004130B7">
        <w:tc>
          <w:tcPr>
            <w:tcW w:w="5000" w:type="pct"/>
            <w:gridSpan w:val="5"/>
            <w:shd w:val="clear" w:color="auto" w:fill="D9D9D9"/>
          </w:tcPr>
          <w:p w:rsidR="004130B7" w:rsidRPr="00E3331A" w:rsidRDefault="004130B7" w:rsidP="0070784F">
            <w:pPr>
              <w:pStyle w:val="Tabletext1"/>
              <w:rPr>
                <w:b/>
                <w:snapToGrid w:val="0"/>
              </w:rPr>
            </w:pPr>
            <w:r w:rsidRPr="00E3331A">
              <w:rPr>
                <w:b/>
              </w:rPr>
              <w:t>Studies investigating Is as Ig/St</w:t>
            </w:r>
            <w:r>
              <w:rPr>
                <w:b/>
              </w:rPr>
              <w:t>-</w:t>
            </w:r>
            <w:r w:rsidRPr="00E3331A">
              <w:rPr>
                <w:b/>
              </w:rPr>
              <w:t>sparing agents</w:t>
            </w:r>
          </w:p>
        </w:tc>
      </w:tr>
      <w:tr w:rsidR="00FA20E2" w:rsidRPr="00E3331A" w:rsidTr="00FA20E2">
        <w:tc>
          <w:tcPr>
            <w:tcW w:w="1243" w:type="pct"/>
            <w:shd w:val="clear" w:color="auto" w:fill="auto"/>
          </w:tcPr>
          <w:p w:rsidR="00FA20E2" w:rsidRPr="00E3331A" w:rsidRDefault="00FA20E2" w:rsidP="0070784F">
            <w:pPr>
              <w:pStyle w:val="Tabletext1"/>
            </w:pPr>
            <w:r w:rsidRPr="00E3331A">
              <w:t>Mahdi-Rogers et al. (2009)</w:t>
            </w:r>
            <w:r w:rsidR="00B85C75">
              <w:rPr>
                <w:noProof/>
              </w:rPr>
              <w:t>(R. M. C. Trial Group 2009)</w:t>
            </w:r>
          </w:p>
        </w:tc>
        <w:tc>
          <w:tcPr>
            <w:tcW w:w="617" w:type="pct"/>
            <w:shd w:val="clear" w:color="auto" w:fill="auto"/>
            <w:vAlign w:val="center"/>
          </w:tcPr>
          <w:p w:rsidR="00FA20E2" w:rsidRPr="00E3331A" w:rsidRDefault="00FA20E2" w:rsidP="0070784F">
            <w:pPr>
              <w:pStyle w:val="Tabletext1"/>
            </w:pPr>
            <w:r w:rsidRPr="00E3331A">
              <w:t xml:space="preserve">Is vs </w:t>
            </w:r>
            <w:r w:rsidRPr="00E3331A">
              <w:rPr>
                <w:snapToGrid w:val="0"/>
              </w:rPr>
              <w:t>NT (placebo)</w:t>
            </w:r>
            <w:r w:rsidRPr="00E3331A">
              <w:t xml:space="preserve"> </w:t>
            </w:r>
          </w:p>
          <w:p w:rsidR="00FA20E2" w:rsidRPr="00E3331A" w:rsidRDefault="00FA20E2" w:rsidP="0070784F">
            <w:pPr>
              <w:pStyle w:val="Tabletext1"/>
            </w:pPr>
            <w:r w:rsidRPr="00E3331A">
              <w:t>Is as Ig- and St-sparing agent</w:t>
            </w:r>
          </w:p>
          <w:p w:rsidR="00FA20E2" w:rsidRPr="00E3331A" w:rsidRDefault="00FA20E2" w:rsidP="0070784F">
            <w:pPr>
              <w:pStyle w:val="Tabletext1"/>
              <w:rPr>
                <w:snapToGrid w:val="0"/>
              </w:rPr>
            </w:pPr>
            <w:r w:rsidRPr="00E3331A">
              <w:rPr>
                <w:snapToGrid w:val="0"/>
              </w:rPr>
              <w:t>60</w:t>
            </w:r>
          </w:p>
        </w:tc>
        <w:tc>
          <w:tcPr>
            <w:tcW w:w="709"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t>R, MC, DB</w:t>
            </w:r>
          </w:p>
          <w:p w:rsidR="00FA20E2" w:rsidRPr="00E3331A" w:rsidRDefault="00FA20E2" w:rsidP="0070784F">
            <w:pPr>
              <w:pStyle w:val="Tabletext1"/>
              <w:rPr>
                <w:snapToGrid w:val="0"/>
              </w:rPr>
            </w:pPr>
            <w:r w:rsidRPr="00E3331A">
              <w:rPr>
                <w:snapToGrid w:val="0"/>
              </w:rPr>
              <w:t xml:space="preserve"> Low</w:t>
            </w:r>
          </w:p>
        </w:tc>
        <w:tc>
          <w:tcPr>
            <w:tcW w:w="1673"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t>Diagnosed CIDP</w:t>
            </w:r>
            <w:r w:rsidRPr="00E3331A">
              <w:rPr>
                <w:vertAlign w:val="superscript"/>
              </w:rPr>
              <w:t>D</w:t>
            </w:r>
            <w:r w:rsidRPr="00E3331A">
              <w:t xml:space="preserve"> with chronically progressive, stepwise, or recurrent weakness of all extremities, developing over </w:t>
            </w:r>
            <w:r w:rsidRPr="00E3331A">
              <w:rPr>
                <w:rFonts w:hint="eastAsia"/>
              </w:rPr>
              <w:t>≥</w:t>
            </w:r>
            <w:r w:rsidRPr="00E3331A">
              <w:t xml:space="preserve"> 2 months and present for </w:t>
            </w:r>
            <w:r w:rsidRPr="00E3331A">
              <w:rPr>
                <w:rFonts w:hint="eastAsia"/>
              </w:rPr>
              <w:t>≥</w:t>
            </w:r>
            <w:r w:rsidRPr="00E3331A">
              <w:t xml:space="preserve"> 6 months. ONLS </w:t>
            </w:r>
            <w:r w:rsidRPr="00E3331A">
              <w:rPr>
                <w:rFonts w:hint="eastAsia"/>
              </w:rPr>
              <w:t>≥</w:t>
            </w:r>
            <w:r w:rsidRPr="00E3331A">
              <w:t xml:space="preserve"> 2 and MRC ≤4. Patients must have responded to and still be receiving stable dose of IVIg (equivalent to at least 0.4 g/kg every 4 weeks and given at least every 8 weeks) or corticosteroids (equivalent to at least 15 mg daily prednisolone). Ig- or steroid-dependent disease demonstrated in last 12 months.</w:t>
            </w:r>
          </w:p>
        </w:tc>
        <w:tc>
          <w:tcPr>
            <w:tcW w:w="758"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t>Maintenance</w:t>
            </w:r>
          </w:p>
          <w:p w:rsidR="00FA20E2" w:rsidRPr="00E3331A" w:rsidRDefault="00FA20E2" w:rsidP="0070784F">
            <w:pPr>
              <w:pStyle w:val="Tabletext1"/>
              <w:rPr>
                <w:snapToGrid w:val="0"/>
              </w:rPr>
            </w:pPr>
            <w:r w:rsidRPr="00E3331A">
              <w:rPr>
                <w:snapToGrid w:val="0"/>
              </w:rPr>
              <w:t>MRC, ODSS, 4MWT</w:t>
            </w:r>
          </w:p>
        </w:tc>
      </w:tr>
      <w:tr w:rsidR="00FA20E2" w:rsidRPr="00E3331A" w:rsidTr="00FA20E2">
        <w:tc>
          <w:tcPr>
            <w:tcW w:w="1243" w:type="pct"/>
            <w:shd w:val="clear" w:color="auto" w:fill="auto"/>
          </w:tcPr>
          <w:p w:rsidR="00FA20E2" w:rsidRPr="00E3331A" w:rsidRDefault="00FA20E2" w:rsidP="0070784F">
            <w:pPr>
              <w:pStyle w:val="Tabletext1"/>
            </w:pPr>
            <w:r w:rsidRPr="00E3331A">
              <w:t>Hughes et al. (2018)</w:t>
            </w:r>
            <w:r w:rsidR="00B85C75">
              <w:rPr>
                <w:noProof/>
              </w:rPr>
              <w:t>(Hughes et al. 2018)</w:t>
            </w:r>
          </w:p>
        </w:tc>
        <w:tc>
          <w:tcPr>
            <w:tcW w:w="617" w:type="pct"/>
            <w:shd w:val="clear" w:color="auto" w:fill="auto"/>
            <w:vAlign w:val="center"/>
          </w:tcPr>
          <w:p w:rsidR="00FA20E2" w:rsidRPr="00E3331A" w:rsidRDefault="00FA20E2" w:rsidP="0070784F">
            <w:pPr>
              <w:pStyle w:val="Tabletext1"/>
            </w:pPr>
            <w:r w:rsidRPr="00E3331A">
              <w:t xml:space="preserve">Is vs </w:t>
            </w:r>
            <w:r w:rsidRPr="00E3331A">
              <w:rPr>
                <w:snapToGrid w:val="0"/>
              </w:rPr>
              <w:t>NT (placebo)</w:t>
            </w:r>
            <w:r w:rsidRPr="00E3331A">
              <w:t xml:space="preserve"> </w:t>
            </w:r>
          </w:p>
          <w:p w:rsidR="00FA20E2" w:rsidRPr="00E3331A" w:rsidRDefault="00FA20E2" w:rsidP="0070784F">
            <w:pPr>
              <w:pStyle w:val="Tabletext1"/>
            </w:pPr>
            <w:r w:rsidRPr="00E3331A">
              <w:t>Is as replacement for Ig and St</w:t>
            </w:r>
          </w:p>
          <w:p w:rsidR="00FA20E2" w:rsidRPr="00E3331A" w:rsidRDefault="00FA20E2" w:rsidP="0070784F">
            <w:pPr>
              <w:pStyle w:val="Tabletext1"/>
              <w:rPr>
                <w:snapToGrid w:val="0"/>
              </w:rPr>
            </w:pPr>
            <w:r w:rsidRPr="00E3331A">
              <w:rPr>
                <w:snapToGrid w:val="0"/>
              </w:rPr>
              <w:t>104</w:t>
            </w:r>
          </w:p>
        </w:tc>
        <w:tc>
          <w:tcPr>
            <w:tcW w:w="709"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t>R, MC, DB</w:t>
            </w:r>
          </w:p>
          <w:p w:rsidR="00FA20E2" w:rsidRPr="00E3331A" w:rsidRDefault="00FA20E2" w:rsidP="0070784F">
            <w:pPr>
              <w:pStyle w:val="Tabletext1"/>
              <w:rPr>
                <w:snapToGrid w:val="0"/>
              </w:rPr>
            </w:pPr>
            <w:r w:rsidRPr="00E3331A">
              <w:rPr>
                <w:snapToGrid w:val="0"/>
              </w:rPr>
              <w:t xml:space="preserve"> High</w:t>
            </w:r>
          </w:p>
        </w:tc>
        <w:tc>
          <w:tcPr>
            <w:tcW w:w="1673"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t>Patients with typical or atypical CIDP</w:t>
            </w:r>
            <w:r w:rsidRPr="00E3331A">
              <w:rPr>
                <w:vertAlign w:val="superscript"/>
              </w:rPr>
              <w:t>C</w:t>
            </w:r>
            <w:r w:rsidRPr="00E3331A">
              <w:t xml:space="preserve"> with INCAT disability score of 1-9, receipt of either IVIg (minimum dose equivalent to 0.4 g/kg every 4 weeks for a minimum of 12 weeks) or corticosteroids (minimum dose equivalent to prednisone 10 mg/day) documented clinically meaningful deterioration on interruption or reduction of therapy in the 18 months before screening. Stable disease without a substantial change in treatment for the 6 weeks before randomisation.</w:t>
            </w:r>
          </w:p>
        </w:tc>
        <w:tc>
          <w:tcPr>
            <w:tcW w:w="758"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t>Maintenance</w:t>
            </w:r>
          </w:p>
          <w:p w:rsidR="00FA20E2" w:rsidRPr="00E3331A" w:rsidRDefault="00FA20E2" w:rsidP="0070784F">
            <w:pPr>
              <w:pStyle w:val="Tabletext1"/>
              <w:rPr>
                <w:snapToGrid w:val="0"/>
              </w:rPr>
            </w:pPr>
            <w:r w:rsidRPr="00E3331A">
              <w:rPr>
                <w:snapToGrid w:val="0"/>
              </w:rPr>
              <w:t>MRC, ALDS</w:t>
            </w:r>
          </w:p>
        </w:tc>
      </w:tr>
      <w:tr w:rsidR="004130B7" w:rsidRPr="00E3331A" w:rsidTr="004130B7">
        <w:tc>
          <w:tcPr>
            <w:tcW w:w="5000" w:type="pct"/>
            <w:gridSpan w:val="5"/>
            <w:shd w:val="clear" w:color="auto" w:fill="D9D9D9"/>
          </w:tcPr>
          <w:p w:rsidR="004130B7" w:rsidRPr="00E3331A" w:rsidRDefault="004130B7" w:rsidP="0070784F">
            <w:pPr>
              <w:pStyle w:val="Tabletext1"/>
              <w:rPr>
                <w:b/>
                <w:snapToGrid w:val="0"/>
              </w:rPr>
            </w:pPr>
            <w:r w:rsidRPr="00E3331A">
              <w:rPr>
                <w:b/>
              </w:rPr>
              <w:t>Other comparisons</w:t>
            </w:r>
          </w:p>
        </w:tc>
      </w:tr>
      <w:tr w:rsidR="00FA20E2" w:rsidRPr="00E3331A" w:rsidTr="00FA20E2">
        <w:tc>
          <w:tcPr>
            <w:tcW w:w="1243" w:type="pct"/>
            <w:shd w:val="clear" w:color="auto" w:fill="auto"/>
          </w:tcPr>
          <w:p w:rsidR="00FA20E2" w:rsidRPr="00E3331A" w:rsidRDefault="00FA20E2" w:rsidP="0070784F">
            <w:pPr>
              <w:pStyle w:val="Tabletext1"/>
            </w:pPr>
            <w:r w:rsidRPr="00E3331A">
              <w:t>Markvardsen et al. (2017)</w:t>
            </w:r>
            <w:r w:rsidR="00B85C75">
              <w:rPr>
                <w:noProof/>
              </w:rPr>
              <w:t>(Markvardsen et al. 2017)</w:t>
            </w:r>
          </w:p>
        </w:tc>
        <w:tc>
          <w:tcPr>
            <w:tcW w:w="617" w:type="pct"/>
            <w:shd w:val="clear" w:color="auto" w:fill="auto"/>
            <w:vAlign w:val="center"/>
          </w:tcPr>
          <w:p w:rsidR="00FA20E2" w:rsidRPr="00E3331A" w:rsidRDefault="00FA20E2" w:rsidP="0070784F">
            <w:pPr>
              <w:pStyle w:val="Tabletext1"/>
              <w:rPr>
                <w:snapToGrid w:val="0"/>
              </w:rPr>
            </w:pPr>
            <w:r w:rsidRPr="00E3331A">
              <w:rPr>
                <w:snapToGrid w:val="0"/>
              </w:rPr>
              <w:t>Ig vs Ig</w:t>
            </w:r>
          </w:p>
          <w:p w:rsidR="00FA20E2" w:rsidRPr="00E3331A" w:rsidRDefault="00FA20E2" w:rsidP="0070784F">
            <w:pPr>
              <w:pStyle w:val="Tabletext1"/>
              <w:rPr>
                <w:snapToGrid w:val="0"/>
              </w:rPr>
            </w:pPr>
            <w:r w:rsidRPr="00E3331A">
              <w:rPr>
                <w:snapToGrid w:val="0"/>
              </w:rPr>
              <w:t>20</w:t>
            </w:r>
          </w:p>
        </w:tc>
        <w:tc>
          <w:tcPr>
            <w:tcW w:w="709"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t xml:space="preserve">R, CO </w:t>
            </w:r>
          </w:p>
          <w:p w:rsidR="00FA20E2" w:rsidRPr="00E3331A" w:rsidRDefault="00FA20E2" w:rsidP="0070784F">
            <w:pPr>
              <w:pStyle w:val="Tabletext1"/>
              <w:rPr>
                <w:snapToGrid w:val="0"/>
              </w:rPr>
            </w:pPr>
            <w:r w:rsidRPr="00E3331A">
              <w:rPr>
                <w:snapToGrid w:val="0"/>
              </w:rPr>
              <w:t>High</w:t>
            </w:r>
          </w:p>
        </w:tc>
        <w:tc>
          <w:tcPr>
            <w:tcW w:w="1673"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t>Patients aged 18-80 with definite or pure motor CIDP naïve to immune modulatory therapy and fulfilling EFN/PNS criteria.</w:t>
            </w:r>
          </w:p>
        </w:tc>
        <w:tc>
          <w:tcPr>
            <w:tcW w:w="758"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t>Treatment</w:t>
            </w:r>
          </w:p>
          <w:p w:rsidR="00FA20E2" w:rsidRPr="00E3331A" w:rsidRDefault="00FA20E2" w:rsidP="0070784F">
            <w:pPr>
              <w:pStyle w:val="Tabletext1"/>
              <w:rPr>
                <w:snapToGrid w:val="0"/>
              </w:rPr>
            </w:pPr>
            <w:r w:rsidRPr="00E3331A">
              <w:rPr>
                <w:snapToGrid w:val="0"/>
              </w:rPr>
              <w:t>MRC, grip strength, 9PHT, 40MWT, ODSS</w:t>
            </w:r>
          </w:p>
        </w:tc>
      </w:tr>
      <w:tr w:rsidR="00FA20E2" w:rsidRPr="00E3331A" w:rsidTr="00FA20E2">
        <w:tc>
          <w:tcPr>
            <w:tcW w:w="1243" w:type="pct"/>
            <w:shd w:val="clear" w:color="auto" w:fill="auto"/>
          </w:tcPr>
          <w:p w:rsidR="00FA20E2" w:rsidRPr="00E3331A" w:rsidRDefault="00FA20E2" w:rsidP="0070784F">
            <w:pPr>
              <w:pStyle w:val="Tabletext1"/>
            </w:pPr>
            <w:r w:rsidRPr="00E3331A">
              <w:t>Kuitwaard et al. (2010)</w:t>
            </w:r>
            <w:r w:rsidR="00B85C75">
              <w:rPr>
                <w:noProof/>
              </w:rPr>
              <w:t>(Kuitwaard et al. 2010)</w:t>
            </w:r>
          </w:p>
        </w:tc>
        <w:tc>
          <w:tcPr>
            <w:tcW w:w="617" w:type="pct"/>
            <w:shd w:val="clear" w:color="auto" w:fill="auto"/>
            <w:vAlign w:val="center"/>
          </w:tcPr>
          <w:p w:rsidR="00FA20E2" w:rsidRPr="00E3331A" w:rsidRDefault="00FA20E2" w:rsidP="0070784F">
            <w:pPr>
              <w:pStyle w:val="Tabletext1"/>
              <w:rPr>
                <w:snapToGrid w:val="0"/>
              </w:rPr>
            </w:pPr>
            <w:r w:rsidRPr="00E3331A">
              <w:rPr>
                <w:snapToGrid w:val="0"/>
              </w:rPr>
              <w:t>Ig vs Ig</w:t>
            </w:r>
          </w:p>
          <w:p w:rsidR="00FA20E2" w:rsidRPr="00E3331A" w:rsidRDefault="00FA20E2" w:rsidP="0070784F">
            <w:pPr>
              <w:pStyle w:val="Tabletext1"/>
              <w:rPr>
                <w:snapToGrid w:val="0"/>
              </w:rPr>
            </w:pPr>
            <w:r w:rsidRPr="00E3331A">
              <w:rPr>
                <w:snapToGrid w:val="0"/>
              </w:rPr>
              <w:t>27</w:t>
            </w:r>
          </w:p>
        </w:tc>
        <w:tc>
          <w:tcPr>
            <w:tcW w:w="709"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t>R, MC, DB</w:t>
            </w:r>
          </w:p>
          <w:p w:rsidR="00FA20E2" w:rsidRPr="00E3331A" w:rsidRDefault="00FA20E2" w:rsidP="0070784F">
            <w:pPr>
              <w:pStyle w:val="Tabletext1"/>
              <w:rPr>
                <w:snapToGrid w:val="0"/>
              </w:rPr>
            </w:pPr>
            <w:r w:rsidRPr="00E3331A">
              <w:rPr>
                <w:snapToGrid w:val="0"/>
              </w:rPr>
              <w:t xml:space="preserve"> Low</w:t>
            </w:r>
          </w:p>
        </w:tc>
        <w:tc>
          <w:tcPr>
            <w:tcW w:w="1673"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t xml:space="preserve">Patients aged </w:t>
            </w:r>
            <w:r w:rsidRPr="00E3331A">
              <w:rPr>
                <w:rFonts w:hint="eastAsia"/>
              </w:rPr>
              <w:t>≥</w:t>
            </w:r>
            <w:r w:rsidRPr="00E3331A">
              <w:t xml:space="preserve"> 18 with CIDP</w:t>
            </w:r>
            <w:r w:rsidRPr="00E3331A">
              <w:rPr>
                <w:vertAlign w:val="superscript"/>
              </w:rPr>
              <w:t>A</w:t>
            </w:r>
            <w:r w:rsidRPr="00E3331A">
              <w:t xml:space="preserve">. Observed and documented improvement of muscle function after first use of Gammagard S/D; ODSS ≥ 2 </w:t>
            </w:r>
            <w:r w:rsidRPr="00E3331A">
              <w:lastRenderedPageBreak/>
              <w:t>or MRC grade ≤ 4 before start of trial or following reduction of IVIg dose within last 12 months. Ongoing intermittent treatment with Gammagard leads to stable condition; stable dose for last 8 weeks.</w:t>
            </w:r>
          </w:p>
        </w:tc>
        <w:tc>
          <w:tcPr>
            <w:tcW w:w="758" w:type="pct"/>
            <w:tcBorders>
              <w:bottom w:val="single" w:sz="4" w:space="0" w:color="auto"/>
            </w:tcBorders>
            <w:shd w:val="clear" w:color="auto" w:fill="auto"/>
            <w:vAlign w:val="center"/>
          </w:tcPr>
          <w:p w:rsidR="00FA20E2" w:rsidRPr="00E3331A" w:rsidRDefault="00FA20E2" w:rsidP="0070784F">
            <w:pPr>
              <w:pStyle w:val="Tabletext1"/>
              <w:rPr>
                <w:snapToGrid w:val="0"/>
              </w:rPr>
            </w:pPr>
            <w:r w:rsidRPr="00E3331A">
              <w:rPr>
                <w:snapToGrid w:val="0"/>
              </w:rPr>
              <w:lastRenderedPageBreak/>
              <w:t>Maintenance</w:t>
            </w:r>
          </w:p>
          <w:p w:rsidR="00FA20E2" w:rsidRPr="00E3331A" w:rsidRDefault="00FA20E2" w:rsidP="0070784F">
            <w:pPr>
              <w:pStyle w:val="Tabletext1"/>
              <w:rPr>
                <w:snapToGrid w:val="0"/>
              </w:rPr>
            </w:pPr>
            <w:r w:rsidRPr="00E3331A">
              <w:rPr>
                <w:snapToGrid w:val="0"/>
              </w:rPr>
              <w:lastRenderedPageBreak/>
              <w:t>INCAT, grip strength, ODSS, FSS</w:t>
            </w:r>
          </w:p>
        </w:tc>
      </w:tr>
      <w:tr w:rsidR="00FA20E2" w:rsidRPr="00E3331A" w:rsidTr="00FA20E2">
        <w:tc>
          <w:tcPr>
            <w:tcW w:w="1243" w:type="pct"/>
            <w:shd w:val="clear" w:color="auto" w:fill="auto"/>
          </w:tcPr>
          <w:p w:rsidR="00FA20E2" w:rsidRPr="00E3331A" w:rsidRDefault="00FA20E2" w:rsidP="00687E6F">
            <w:pPr>
              <w:pStyle w:val="Tabletext1"/>
            </w:pPr>
            <w:r w:rsidRPr="00E3331A">
              <w:lastRenderedPageBreak/>
              <w:t>Dyck et al. (1982)</w:t>
            </w:r>
            <w:r w:rsidR="00B85C75">
              <w:rPr>
                <w:noProof/>
              </w:rPr>
              <w:t>(Dyck et al. 1982)</w:t>
            </w:r>
          </w:p>
        </w:tc>
        <w:tc>
          <w:tcPr>
            <w:tcW w:w="617" w:type="pct"/>
            <w:shd w:val="clear" w:color="auto" w:fill="auto"/>
            <w:vAlign w:val="center"/>
          </w:tcPr>
          <w:p w:rsidR="00FA20E2" w:rsidRPr="00E3331A" w:rsidRDefault="00FA20E2" w:rsidP="00687E6F">
            <w:pPr>
              <w:pStyle w:val="Tabletext1"/>
            </w:pPr>
            <w:r w:rsidRPr="00E3331A">
              <w:t xml:space="preserve">St vs </w:t>
            </w:r>
            <w:r w:rsidRPr="00E3331A">
              <w:rPr>
                <w:snapToGrid w:val="0"/>
              </w:rPr>
              <w:t>NT (placebo)</w:t>
            </w:r>
          </w:p>
          <w:p w:rsidR="00FA20E2" w:rsidRPr="00E3331A" w:rsidRDefault="00FA20E2" w:rsidP="00687E6F">
            <w:pPr>
              <w:pStyle w:val="Tabletext1"/>
              <w:rPr>
                <w:snapToGrid w:val="0"/>
              </w:rPr>
            </w:pPr>
            <w:r w:rsidRPr="00E3331A">
              <w:rPr>
                <w:snapToGrid w:val="0"/>
              </w:rPr>
              <w:t>28</w:t>
            </w:r>
          </w:p>
        </w:tc>
        <w:tc>
          <w:tcPr>
            <w:tcW w:w="709" w:type="pct"/>
            <w:tcBorders>
              <w:bottom w:val="single" w:sz="4" w:space="0" w:color="auto"/>
            </w:tcBorders>
            <w:shd w:val="clear" w:color="auto" w:fill="auto"/>
            <w:vAlign w:val="center"/>
          </w:tcPr>
          <w:p w:rsidR="00FA20E2" w:rsidRPr="00E3331A" w:rsidRDefault="00FA20E2" w:rsidP="00687E6F">
            <w:pPr>
              <w:pStyle w:val="Tabletext1"/>
              <w:rPr>
                <w:snapToGrid w:val="0"/>
              </w:rPr>
            </w:pPr>
            <w:r w:rsidRPr="00E3331A">
              <w:rPr>
                <w:snapToGrid w:val="0"/>
              </w:rPr>
              <w:t xml:space="preserve">R </w:t>
            </w:r>
          </w:p>
          <w:p w:rsidR="00FA20E2" w:rsidRPr="00E3331A" w:rsidRDefault="00FA20E2" w:rsidP="00687E6F">
            <w:pPr>
              <w:pStyle w:val="Tabletext1"/>
              <w:rPr>
                <w:snapToGrid w:val="0"/>
              </w:rPr>
            </w:pPr>
            <w:r w:rsidRPr="00E3331A">
              <w:rPr>
                <w:snapToGrid w:val="0"/>
              </w:rPr>
              <w:t>High</w:t>
            </w:r>
          </w:p>
        </w:tc>
        <w:tc>
          <w:tcPr>
            <w:tcW w:w="1673" w:type="pct"/>
            <w:tcBorders>
              <w:bottom w:val="single" w:sz="4" w:space="0" w:color="auto"/>
            </w:tcBorders>
            <w:shd w:val="clear" w:color="auto" w:fill="auto"/>
            <w:vAlign w:val="center"/>
          </w:tcPr>
          <w:p w:rsidR="00FA20E2" w:rsidRPr="00E3331A" w:rsidRDefault="00FA20E2" w:rsidP="00687E6F">
            <w:pPr>
              <w:pStyle w:val="Tabletext1"/>
              <w:rPr>
                <w:snapToGrid w:val="0"/>
              </w:rPr>
            </w:pPr>
            <w:r w:rsidRPr="00E3331A">
              <w:t>Patients with CIDP for &gt; 6 months and untreated with immunosuppressive therapy</w:t>
            </w:r>
          </w:p>
        </w:tc>
        <w:tc>
          <w:tcPr>
            <w:tcW w:w="758" w:type="pct"/>
            <w:tcBorders>
              <w:bottom w:val="single" w:sz="4" w:space="0" w:color="auto"/>
            </w:tcBorders>
            <w:shd w:val="clear" w:color="auto" w:fill="auto"/>
            <w:vAlign w:val="center"/>
          </w:tcPr>
          <w:p w:rsidR="00FA20E2" w:rsidRPr="00E3331A" w:rsidRDefault="00FA20E2" w:rsidP="00687E6F">
            <w:pPr>
              <w:pStyle w:val="Tabletext1"/>
              <w:rPr>
                <w:snapToGrid w:val="0"/>
              </w:rPr>
            </w:pPr>
            <w:r w:rsidRPr="00E3331A">
              <w:rPr>
                <w:snapToGrid w:val="0"/>
              </w:rPr>
              <w:t>Treatment</w:t>
            </w:r>
          </w:p>
          <w:p w:rsidR="00FA20E2" w:rsidRPr="00E3331A" w:rsidRDefault="00FA20E2" w:rsidP="00687E6F">
            <w:pPr>
              <w:pStyle w:val="Tabletext1"/>
              <w:rPr>
                <w:snapToGrid w:val="0"/>
              </w:rPr>
            </w:pPr>
            <w:r w:rsidRPr="00E3331A">
              <w:rPr>
                <w:snapToGrid w:val="0"/>
              </w:rPr>
              <w:t>NDS</w:t>
            </w:r>
          </w:p>
        </w:tc>
      </w:tr>
      <w:tr w:rsidR="00FA20E2" w:rsidRPr="00E3331A" w:rsidTr="00FA20E2">
        <w:tc>
          <w:tcPr>
            <w:tcW w:w="1243" w:type="pct"/>
            <w:shd w:val="clear" w:color="auto" w:fill="auto"/>
          </w:tcPr>
          <w:p w:rsidR="00FA20E2" w:rsidRPr="00E3331A" w:rsidRDefault="00FA20E2" w:rsidP="00687E6F">
            <w:pPr>
              <w:pStyle w:val="Tabletext1"/>
            </w:pPr>
            <w:r w:rsidRPr="00E3331A">
              <w:t>van Schaik et al. (2010)</w:t>
            </w:r>
            <w:r w:rsidR="00B85C75">
              <w:rPr>
                <w:noProof/>
              </w:rPr>
              <w:t>(Eftimov et al. 2012; van Schaik et al. 2010)</w:t>
            </w:r>
          </w:p>
        </w:tc>
        <w:tc>
          <w:tcPr>
            <w:tcW w:w="617" w:type="pct"/>
            <w:shd w:val="clear" w:color="auto" w:fill="auto"/>
            <w:vAlign w:val="center"/>
          </w:tcPr>
          <w:p w:rsidR="00FA20E2" w:rsidRPr="00E3331A" w:rsidRDefault="00FA20E2" w:rsidP="00687E6F">
            <w:pPr>
              <w:pStyle w:val="Tabletext1"/>
            </w:pPr>
            <w:r w:rsidRPr="00E3331A">
              <w:t>St vs St</w:t>
            </w:r>
          </w:p>
          <w:p w:rsidR="00FA20E2" w:rsidRPr="00E3331A" w:rsidRDefault="00FA20E2" w:rsidP="00687E6F">
            <w:pPr>
              <w:pStyle w:val="Tabletext1"/>
              <w:rPr>
                <w:snapToGrid w:val="0"/>
              </w:rPr>
            </w:pPr>
            <w:r w:rsidRPr="00E3331A">
              <w:rPr>
                <w:snapToGrid w:val="0"/>
              </w:rPr>
              <w:t>41</w:t>
            </w:r>
          </w:p>
          <w:p w:rsidR="00FA20E2" w:rsidRPr="00E3331A" w:rsidRDefault="00FA20E2" w:rsidP="00687E6F">
            <w:pPr>
              <w:pStyle w:val="Tabletext1"/>
              <w:rPr>
                <w:snapToGrid w:val="0"/>
              </w:rPr>
            </w:pPr>
          </w:p>
        </w:tc>
        <w:tc>
          <w:tcPr>
            <w:tcW w:w="709" w:type="pct"/>
            <w:tcBorders>
              <w:bottom w:val="single" w:sz="4" w:space="0" w:color="auto"/>
            </w:tcBorders>
            <w:shd w:val="clear" w:color="auto" w:fill="auto"/>
            <w:vAlign w:val="center"/>
          </w:tcPr>
          <w:p w:rsidR="00FA20E2" w:rsidRPr="00E3331A" w:rsidRDefault="00FA20E2" w:rsidP="00687E6F">
            <w:pPr>
              <w:pStyle w:val="Tabletext1"/>
              <w:rPr>
                <w:snapToGrid w:val="0"/>
              </w:rPr>
            </w:pPr>
            <w:r w:rsidRPr="00E3331A">
              <w:rPr>
                <w:snapToGrid w:val="0"/>
              </w:rPr>
              <w:t xml:space="preserve">R, MC, DB </w:t>
            </w:r>
          </w:p>
          <w:p w:rsidR="00FA20E2" w:rsidRPr="00E3331A" w:rsidRDefault="00FA20E2" w:rsidP="00687E6F">
            <w:pPr>
              <w:pStyle w:val="Tabletext1"/>
              <w:rPr>
                <w:snapToGrid w:val="0"/>
              </w:rPr>
            </w:pPr>
            <w:r w:rsidRPr="00E3331A">
              <w:rPr>
                <w:snapToGrid w:val="0"/>
              </w:rPr>
              <w:t>Low</w:t>
            </w:r>
          </w:p>
        </w:tc>
        <w:tc>
          <w:tcPr>
            <w:tcW w:w="1673" w:type="pct"/>
            <w:tcBorders>
              <w:bottom w:val="single" w:sz="4" w:space="0" w:color="auto"/>
            </w:tcBorders>
            <w:shd w:val="clear" w:color="auto" w:fill="auto"/>
            <w:vAlign w:val="center"/>
          </w:tcPr>
          <w:p w:rsidR="00FA20E2" w:rsidRPr="00E3331A" w:rsidRDefault="00FA20E2" w:rsidP="00687E6F">
            <w:pPr>
              <w:pStyle w:val="Tabletext1"/>
              <w:rPr>
                <w:snapToGrid w:val="0"/>
              </w:rPr>
            </w:pPr>
            <w:r w:rsidRPr="00E3331A">
              <w:t xml:space="preserve">Patients aged </w:t>
            </w:r>
            <w:r w:rsidRPr="00E3331A">
              <w:rPr>
                <w:rFonts w:hint="eastAsia"/>
              </w:rPr>
              <w:t>≥</w:t>
            </w:r>
            <w:r w:rsidRPr="00E3331A">
              <w:t xml:space="preserve"> 18 years with newly diagnosed definite or probable CIDP</w:t>
            </w:r>
            <w:r w:rsidRPr="00E3331A">
              <w:rPr>
                <w:vertAlign w:val="superscript"/>
              </w:rPr>
              <w:t>B</w:t>
            </w:r>
            <w:r w:rsidRPr="00E3331A">
              <w:t xml:space="preserve"> Required to have signs and symptoms severe enough to warrant treatment. Treatment naïve.</w:t>
            </w:r>
          </w:p>
        </w:tc>
        <w:tc>
          <w:tcPr>
            <w:tcW w:w="758" w:type="pct"/>
            <w:tcBorders>
              <w:bottom w:val="single" w:sz="4" w:space="0" w:color="auto"/>
            </w:tcBorders>
            <w:shd w:val="clear" w:color="auto" w:fill="auto"/>
            <w:vAlign w:val="center"/>
          </w:tcPr>
          <w:p w:rsidR="00FA20E2" w:rsidRPr="00E3331A" w:rsidRDefault="00FA20E2" w:rsidP="00687E6F">
            <w:pPr>
              <w:pStyle w:val="Tabletext1"/>
              <w:rPr>
                <w:snapToGrid w:val="0"/>
              </w:rPr>
            </w:pPr>
            <w:r w:rsidRPr="00E3331A">
              <w:rPr>
                <w:snapToGrid w:val="0"/>
              </w:rPr>
              <w:t>Treatment</w:t>
            </w:r>
          </w:p>
          <w:p w:rsidR="00FA20E2" w:rsidRPr="00E3331A" w:rsidRDefault="00FA20E2" w:rsidP="00687E6F">
            <w:pPr>
              <w:pStyle w:val="Tabletext1"/>
              <w:rPr>
                <w:snapToGrid w:val="0"/>
              </w:rPr>
            </w:pPr>
            <w:r w:rsidRPr="00E3331A">
              <w:rPr>
                <w:snapToGrid w:val="0"/>
              </w:rPr>
              <w:t>INCAT, MRC, grip strength, ALDS, SF36</w:t>
            </w:r>
          </w:p>
          <w:p w:rsidR="00FA20E2" w:rsidRPr="00E3331A" w:rsidRDefault="00FA20E2" w:rsidP="00CA4C10">
            <w:pPr>
              <w:spacing w:after="60" w:line="240" w:lineRule="auto"/>
              <w:rPr>
                <w:rFonts w:ascii="Arial Narrow" w:hAnsi="Arial Narrow" w:cs="Times New Roman"/>
                <w:sz w:val="20"/>
                <w:szCs w:val="20"/>
              </w:rPr>
            </w:pPr>
            <w:r w:rsidRPr="00E3331A">
              <w:rPr>
                <w:rFonts w:ascii="Arial Narrow" w:hAnsi="Arial Narrow" w:cs="Times New Roman"/>
                <w:sz w:val="20"/>
                <w:szCs w:val="20"/>
              </w:rPr>
              <w:t>Discontinuation</w:t>
            </w:r>
          </w:p>
          <w:p w:rsidR="00FA20E2" w:rsidRPr="00E3331A" w:rsidRDefault="00FA20E2" w:rsidP="00CA4C10">
            <w:pPr>
              <w:pStyle w:val="Tabletext1"/>
              <w:rPr>
                <w:snapToGrid w:val="0"/>
              </w:rPr>
            </w:pPr>
            <w:r w:rsidRPr="00E3331A">
              <w:rPr>
                <w:rFonts w:cs="Times New Roman"/>
              </w:rPr>
              <w:t>Nature of AEs</w:t>
            </w:r>
          </w:p>
        </w:tc>
      </w:tr>
      <w:tr w:rsidR="00FA20E2" w:rsidRPr="00E3331A" w:rsidTr="00FA20E2">
        <w:tc>
          <w:tcPr>
            <w:tcW w:w="1243" w:type="pct"/>
            <w:shd w:val="clear" w:color="auto" w:fill="auto"/>
          </w:tcPr>
          <w:p w:rsidR="00FA20E2" w:rsidRPr="00E3331A" w:rsidRDefault="00FA20E2" w:rsidP="00687E6F">
            <w:pPr>
              <w:pStyle w:val="Tabletext1"/>
            </w:pPr>
            <w:r w:rsidRPr="00E3331A">
              <w:t>Hahn et al. (1996a)</w:t>
            </w:r>
            <w:r w:rsidR="00B85C75">
              <w:rPr>
                <w:noProof/>
              </w:rPr>
              <w:t>(Ashworth et al. 2000; Hahn et al. 1996a)</w:t>
            </w:r>
          </w:p>
        </w:tc>
        <w:tc>
          <w:tcPr>
            <w:tcW w:w="617" w:type="pct"/>
            <w:shd w:val="clear" w:color="auto" w:fill="auto"/>
            <w:vAlign w:val="center"/>
          </w:tcPr>
          <w:p w:rsidR="00FA20E2" w:rsidRPr="00E3331A" w:rsidRDefault="00FA20E2" w:rsidP="00687E6F">
            <w:pPr>
              <w:pStyle w:val="Tabletext1"/>
            </w:pPr>
            <w:r w:rsidRPr="00E3331A">
              <w:t xml:space="preserve">PE vs </w:t>
            </w:r>
            <w:r w:rsidRPr="00E3331A">
              <w:rPr>
                <w:snapToGrid w:val="0"/>
              </w:rPr>
              <w:t>NT (sham)</w:t>
            </w:r>
          </w:p>
          <w:p w:rsidR="00FA20E2" w:rsidRPr="00E3331A" w:rsidRDefault="00FA20E2" w:rsidP="00687E6F">
            <w:pPr>
              <w:pStyle w:val="Tabletext1"/>
              <w:rPr>
                <w:snapToGrid w:val="0"/>
              </w:rPr>
            </w:pPr>
            <w:r w:rsidRPr="00E3331A">
              <w:rPr>
                <w:snapToGrid w:val="0"/>
              </w:rPr>
              <w:t>18</w:t>
            </w:r>
          </w:p>
        </w:tc>
        <w:tc>
          <w:tcPr>
            <w:tcW w:w="709" w:type="pct"/>
            <w:tcBorders>
              <w:bottom w:val="single" w:sz="4" w:space="0" w:color="auto"/>
            </w:tcBorders>
            <w:shd w:val="clear" w:color="auto" w:fill="auto"/>
            <w:vAlign w:val="center"/>
          </w:tcPr>
          <w:p w:rsidR="00FA20E2" w:rsidRPr="00E3331A" w:rsidRDefault="00FA20E2" w:rsidP="00687E6F">
            <w:pPr>
              <w:pStyle w:val="Tabletext1"/>
              <w:rPr>
                <w:snapToGrid w:val="0"/>
              </w:rPr>
            </w:pPr>
            <w:r w:rsidRPr="00E3331A">
              <w:rPr>
                <w:snapToGrid w:val="0"/>
              </w:rPr>
              <w:t xml:space="preserve">R, DB, CO </w:t>
            </w:r>
          </w:p>
          <w:p w:rsidR="00FA20E2" w:rsidRPr="00E3331A" w:rsidRDefault="00FA20E2" w:rsidP="00687E6F">
            <w:pPr>
              <w:pStyle w:val="Tabletext1"/>
              <w:rPr>
                <w:snapToGrid w:val="0"/>
              </w:rPr>
            </w:pPr>
            <w:r w:rsidRPr="00E3331A">
              <w:rPr>
                <w:snapToGrid w:val="0"/>
              </w:rPr>
              <w:t>High</w:t>
            </w:r>
          </w:p>
        </w:tc>
        <w:tc>
          <w:tcPr>
            <w:tcW w:w="1673" w:type="pct"/>
            <w:tcBorders>
              <w:bottom w:val="single" w:sz="4" w:space="0" w:color="auto"/>
            </w:tcBorders>
            <w:shd w:val="clear" w:color="auto" w:fill="auto"/>
            <w:vAlign w:val="center"/>
          </w:tcPr>
          <w:p w:rsidR="00FA20E2" w:rsidRPr="00E3331A" w:rsidRDefault="00FA20E2" w:rsidP="00687E6F">
            <w:pPr>
              <w:pStyle w:val="Tabletext1"/>
              <w:rPr>
                <w:snapToGrid w:val="0"/>
              </w:rPr>
            </w:pPr>
            <w:r w:rsidRPr="00E3331A">
              <w:t>Patients aged &gt;18 years with newly diagnosed CIDP</w:t>
            </w:r>
            <w:r w:rsidRPr="00E3331A">
              <w:rPr>
                <w:vertAlign w:val="superscript"/>
              </w:rPr>
              <w:t>A</w:t>
            </w:r>
            <w:r w:rsidRPr="00E3331A">
              <w:t>, progressive for 8-104 weeks. Significant muscle weakness (NDS ≥ 50). Treatment naïve.</w:t>
            </w:r>
          </w:p>
        </w:tc>
        <w:tc>
          <w:tcPr>
            <w:tcW w:w="758" w:type="pct"/>
            <w:tcBorders>
              <w:bottom w:val="single" w:sz="4" w:space="0" w:color="auto"/>
            </w:tcBorders>
            <w:shd w:val="clear" w:color="auto" w:fill="auto"/>
            <w:vAlign w:val="center"/>
          </w:tcPr>
          <w:p w:rsidR="00FA20E2" w:rsidRPr="00E3331A" w:rsidRDefault="00FA20E2" w:rsidP="00687E6F">
            <w:pPr>
              <w:pStyle w:val="Tabletext1"/>
              <w:rPr>
                <w:snapToGrid w:val="0"/>
              </w:rPr>
            </w:pPr>
            <w:r w:rsidRPr="00E3331A">
              <w:rPr>
                <w:snapToGrid w:val="0"/>
              </w:rPr>
              <w:t>Treatment</w:t>
            </w:r>
          </w:p>
          <w:p w:rsidR="00FA20E2" w:rsidRPr="00E3331A" w:rsidRDefault="00FA20E2" w:rsidP="00687E6F">
            <w:pPr>
              <w:pStyle w:val="Tabletext1"/>
              <w:rPr>
                <w:snapToGrid w:val="0"/>
              </w:rPr>
            </w:pPr>
            <w:r w:rsidRPr="00E3331A">
              <w:rPr>
                <w:snapToGrid w:val="0"/>
              </w:rPr>
              <w:t>NDS, grip strength</w:t>
            </w:r>
          </w:p>
          <w:p w:rsidR="00FA20E2" w:rsidRPr="00E3331A" w:rsidRDefault="00FA20E2" w:rsidP="00687E6F">
            <w:pPr>
              <w:pStyle w:val="Tabletext1"/>
              <w:rPr>
                <w:snapToGrid w:val="0"/>
              </w:rPr>
            </w:pPr>
            <w:r w:rsidRPr="00E3331A">
              <w:rPr>
                <w:rFonts w:cs="Times New Roman"/>
              </w:rPr>
              <w:t>Isolated AEs</w:t>
            </w:r>
          </w:p>
        </w:tc>
      </w:tr>
      <w:tr w:rsidR="00FA20E2" w:rsidRPr="00E3331A" w:rsidTr="00FA20E2">
        <w:tc>
          <w:tcPr>
            <w:tcW w:w="1243" w:type="pct"/>
            <w:shd w:val="clear" w:color="auto" w:fill="auto"/>
          </w:tcPr>
          <w:p w:rsidR="00FA20E2" w:rsidRPr="00E3331A" w:rsidRDefault="00FA20E2" w:rsidP="00CA4C10">
            <w:pPr>
              <w:pStyle w:val="Tabletext1"/>
            </w:pPr>
            <w:r w:rsidRPr="00E3331A">
              <w:t>Dyck et al. (1986)</w:t>
            </w:r>
            <w:r w:rsidR="00B85C75">
              <w:rPr>
                <w:noProof/>
              </w:rPr>
              <w:t>(Dyck et al. 1986)</w:t>
            </w:r>
          </w:p>
        </w:tc>
        <w:tc>
          <w:tcPr>
            <w:tcW w:w="617" w:type="pct"/>
            <w:shd w:val="clear" w:color="auto" w:fill="auto"/>
            <w:vAlign w:val="center"/>
          </w:tcPr>
          <w:p w:rsidR="00FA20E2" w:rsidRPr="00E3331A" w:rsidRDefault="00FA20E2" w:rsidP="00CA4C10">
            <w:pPr>
              <w:pStyle w:val="Tabletext1"/>
              <w:rPr>
                <w:snapToGrid w:val="0"/>
              </w:rPr>
            </w:pPr>
            <w:r w:rsidRPr="00E3331A">
              <w:rPr>
                <w:snapToGrid w:val="0"/>
              </w:rPr>
              <w:t>PE vs NT (sham)</w:t>
            </w:r>
          </w:p>
          <w:p w:rsidR="00FA20E2" w:rsidRPr="00E3331A" w:rsidRDefault="00FA20E2" w:rsidP="00CA4C10">
            <w:pPr>
              <w:pStyle w:val="Tabletext1"/>
              <w:rPr>
                <w:snapToGrid w:val="0"/>
              </w:rPr>
            </w:pPr>
            <w:r w:rsidRPr="00E3331A">
              <w:rPr>
                <w:snapToGrid w:val="0"/>
              </w:rPr>
              <w:t>29</w:t>
            </w:r>
          </w:p>
        </w:tc>
        <w:tc>
          <w:tcPr>
            <w:tcW w:w="709" w:type="pct"/>
            <w:tcBorders>
              <w:bottom w:val="single" w:sz="4" w:space="0" w:color="auto"/>
            </w:tcBorders>
            <w:shd w:val="clear" w:color="auto" w:fill="auto"/>
            <w:vAlign w:val="center"/>
          </w:tcPr>
          <w:p w:rsidR="00FA20E2" w:rsidRPr="00E3331A" w:rsidRDefault="00FA20E2" w:rsidP="00CA4C10">
            <w:pPr>
              <w:pStyle w:val="Tabletext1"/>
              <w:rPr>
                <w:snapToGrid w:val="0"/>
              </w:rPr>
            </w:pPr>
            <w:r w:rsidRPr="00E3331A">
              <w:rPr>
                <w:snapToGrid w:val="0"/>
              </w:rPr>
              <w:t xml:space="preserve">R, DB </w:t>
            </w:r>
          </w:p>
          <w:p w:rsidR="00FA20E2" w:rsidRPr="00E3331A" w:rsidRDefault="00FA20E2" w:rsidP="00CA4C10">
            <w:pPr>
              <w:pStyle w:val="Tabletext1"/>
              <w:rPr>
                <w:snapToGrid w:val="0"/>
              </w:rPr>
            </w:pPr>
            <w:r w:rsidRPr="00E3331A">
              <w:rPr>
                <w:snapToGrid w:val="0"/>
              </w:rPr>
              <w:t>Some concerns</w:t>
            </w:r>
          </w:p>
        </w:tc>
        <w:tc>
          <w:tcPr>
            <w:tcW w:w="1673" w:type="pct"/>
            <w:tcBorders>
              <w:bottom w:val="single" w:sz="4" w:space="0" w:color="auto"/>
            </w:tcBorders>
            <w:shd w:val="clear" w:color="auto" w:fill="auto"/>
            <w:vAlign w:val="center"/>
          </w:tcPr>
          <w:p w:rsidR="00FA20E2" w:rsidRPr="00E3331A" w:rsidRDefault="00FA20E2" w:rsidP="00CA4C10">
            <w:pPr>
              <w:pStyle w:val="Tabletext1"/>
              <w:rPr>
                <w:snapToGrid w:val="0"/>
              </w:rPr>
            </w:pPr>
            <w:r w:rsidRPr="00E3331A">
              <w:t xml:space="preserve">Patients with CIDP and a neurologic status that was static or worsening. NDS </w:t>
            </w:r>
            <w:r w:rsidRPr="00E3331A">
              <w:rPr>
                <w:rFonts w:hint="eastAsia"/>
              </w:rPr>
              <w:t>≥</w:t>
            </w:r>
            <w:r w:rsidRPr="00E3331A">
              <w:t xml:space="preserve"> 50 points. No change to immunotherapy in preceding six weeks.</w:t>
            </w:r>
          </w:p>
        </w:tc>
        <w:tc>
          <w:tcPr>
            <w:tcW w:w="758" w:type="pct"/>
            <w:tcBorders>
              <w:bottom w:val="single" w:sz="4" w:space="0" w:color="auto"/>
            </w:tcBorders>
            <w:shd w:val="clear" w:color="auto" w:fill="auto"/>
            <w:vAlign w:val="center"/>
          </w:tcPr>
          <w:p w:rsidR="00FA20E2" w:rsidRPr="00E3331A" w:rsidRDefault="00FA20E2" w:rsidP="00CA4C10">
            <w:pPr>
              <w:pStyle w:val="Tabletext1"/>
              <w:rPr>
                <w:snapToGrid w:val="0"/>
              </w:rPr>
            </w:pPr>
            <w:r w:rsidRPr="00E3331A">
              <w:rPr>
                <w:snapToGrid w:val="0"/>
              </w:rPr>
              <w:t>Treatment</w:t>
            </w:r>
          </w:p>
          <w:p w:rsidR="00FA20E2" w:rsidRPr="00E3331A" w:rsidRDefault="00FA20E2" w:rsidP="00CA4C10">
            <w:pPr>
              <w:pStyle w:val="Tabletext1"/>
              <w:rPr>
                <w:snapToGrid w:val="0"/>
              </w:rPr>
            </w:pPr>
            <w:r w:rsidRPr="00E3331A">
              <w:rPr>
                <w:snapToGrid w:val="0"/>
              </w:rPr>
              <w:t>NDS</w:t>
            </w:r>
          </w:p>
        </w:tc>
      </w:tr>
      <w:tr w:rsidR="00FA20E2" w:rsidRPr="00E3331A" w:rsidTr="00FA20E2">
        <w:tc>
          <w:tcPr>
            <w:tcW w:w="1243" w:type="pct"/>
            <w:shd w:val="clear" w:color="auto" w:fill="auto"/>
          </w:tcPr>
          <w:p w:rsidR="00FA20E2" w:rsidRPr="00E3331A" w:rsidRDefault="00FA20E2" w:rsidP="00CA4C10">
            <w:pPr>
              <w:pStyle w:val="Tabletext1"/>
            </w:pPr>
            <w:r w:rsidRPr="00E3331A">
              <w:t>Dyck et al. (1985)</w:t>
            </w:r>
            <w:r w:rsidR="00B85C75">
              <w:rPr>
                <w:noProof/>
              </w:rPr>
              <w:t>(Dyck et al. 1985)</w:t>
            </w:r>
          </w:p>
        </w:tc>
        <w:tc>
          <w:tcPr>
            <w:tcW w:w="617" w:type="pct"/>
            <w:shd w:val="clear" w:color="auto" w:fill="auto"/>
            <w:vAlign w:val="center"/>
          </w:tcPr>
          <w:p w:rsidR="00FA20E2" w:rsidRPr="00E3331A" w:rsidRDefault="00FA20E2" w:rsidP="00CA4C10">
            <w:pPr>
              <w:pStyle w:val="Tabletext1"/>
              <w:rPr>
                <w:snapToGrid w:val="0"/>
              </w:rPr>
            </w:pPr>
            <w:r w:rsidRPr="00E3331A">
              <w:rPr>
                <w:snapToGrid w:val="0"/>
              </w:rPr>
              <w:t>St + Is vs St</w:t>
            </w:r>
          </w:p>
          <w:p w:rsidR="00FA20E2" w:rsidRPr="00E3331A" w:rsidRDefault="00FA20E2" w:rsidP="00CA4C10">
            <w:pPr>
              <w:pStyle w:val="Tabletext1"/>
              <w:rPr>
                <w:snapToGrid w:val="0"/>
              </w:rPr>
            </w:pPr>
            <w:r w:rsidRPr="00E3331A">
              <w:rPr>
                <w:snapToGrid w:val="0"/>
              </w:rPr>
              <w:t>29</w:t>
            </w:r>
          </w:p>
        </w:tc>
        <w:tc>
          <w:tcPr>
            <w:tcW w:w="709" w:type="pct"/>
            <w:tcBorders>
              <w:bottom w:val="single" w:sz="4" w:space="0" w:color="auto"/>
            </w:tcBorders>
            <w:shd w:val="clear" w:color="auto" w:fill="auto"/>
            <w:vAlign w:val="center"/>
          </w:tcPr>
          <w:p w:rsidR="00FA20E2" w:rsidRPr="00E3331A" w:rsidRDefault="00FA20E2" w:rsidP="00CA4C10">
            <w:pPr>
              <w:pStyle w:val="Tabletext1"/>
              <w:rPr>
                <w:snapToGrid w:val="0"/>
              </w:rPr>
            </w:pPr>
            <w:r w:rsidRPr="00E3331A">
              <w:rPr>
                <w:snapToGrid w:val="0"/>
              </w:rPr>
              <w:t xml:space="preserve">R </w:t>
            </w:r>
          </w:p>
          <w:p w:rsidR="00FA20E2" w:rsidRPr="00E3331A" w:rsidRDefault="00FA20E2" w:rsidP="00CA4C10">
            <w:pPr>
              <w:pStyle w:val="Tabletext1"/>
              <w:rPr>
                <w:snapToGrid w:val="0"/>
              </w:rPr>
            </w:pPr>
            <w:r w:rsidRPr="00E3331A">
              <w:rPr>
                <w:snapToGrid w:val="0"/>
              </w:rPr>
              <w:t>High</w:t>
            </w:r>
          </w:p>
        </w:tc>
        <w:tc>
          <w:tcPr>
            <w:tcW w:w="1673" w:type="pct"/>
            <w:tcBorders>
              <w:bottom w:val="single" w:sz="4" w:space="0" w:color="auto"/>
            </w:tcBorders>
            <w:shd w:val="clear" w:color="auto" w:fill="auto"/>
            <w:vAlign w:val="center"/>
          </w:tcPr>
          <w:p w:rsidR="00FA20E2" w:rsidRPr="00E3331A" w:rsidRDefault="00FA20E2" w:rsidP="00CA4C10">
            <w:pPr>
              <w:pStyle w:val="Tabletext1"/>
              <w:rPr>
                <w:snapToGrid w:val="0"/>
              </w:rPr>
            </w:pPr>
            <w:r w:rsidRPr="00E3331A">
              <w:t xml:space="preserve">Static or worsening CIDP with symptoms for </w:t>
            </w:r>
            <w:r w:rsidRPr="00E3331A">
              <w:rPr>
                <w:rFonts w:hint="eastAsia"/>
              </w:rPr>
              <w:t>≥</w:t>
            </w:r>
            <w:r w:rsidRPr="00E3331A">
              <w:t xml:space="preserve"> 6 months, NDS </w:t>
            </w:r>
            <w:r w:rsidRPr="00E3331A">
              <w:rPr>
                <w:rFonts w:hint="eastAsia"/>
              </w:rPr>
              <w:t>≥</w:t>
            </w:r>
            <w:r w:rsidRPr="00E3331A">
              <w:t xml:space="preserve"> 50 points, no treatment with prednisone or immunotherapy for at least 3 months.</w:t>
            </w:r>
          </w:p>
        </w:tc>
        <w:tc>
          <w:tcPr>
            <w:tcW w:w="758" w:type="pct"/>
            <w:tcBorders>
              <w:bottom w:val="single" w:sz="4" w:space="0" w:color="auto"/>
            </w:tcBorders>
            <w:shd w:val="clear" w:color="auto" w:fill="auto"/>
            <w:vAlign w:val="center"/>
          </w:tcPr>
          <w:p w:rsidR="00FA20E2" w:rsidRPr="00E3331A" w:rsidRDefault="00FA20E2" w:rsidP="00CA4C10">
            <w:pPr>
              <w:pStyle w:val="Tabletext1"/>
              <w:rPr>
                <w:snapToGrid w:val="0"/>
              </w:rPr>
            </w:pPr>
            <w:r w:rsidRPr="00E3331A">
              <w:rPr>
                <w:snapToGrid w:val="0"/>
              </w:rPr>
              <w:t>Treatment</w:t>
            </w:r>
          </w:p>
          <w:p w:rsidR="00FA20E2" w:rsidRPr="00E3331A" w:rsidRDefault="00FA20E2" w:rsidP="00CA4C10">
            <w:pPr>
              <w:pStyle w:val="Tabletext1"/>
              <w:rPr>
                <w:snapToGrid w:val="0"/>
              </w:rPr>
            </w:pPr>
            <w:r w:rsidRPr="00E3331A">
              <w:rPr>
                <w:snapToGrid w:val="0"/>
              </w:rPr>
              <w:t>NDS, grip strength</w:t>
            </w:r>
          </w:p>
        </w:tc>
      </w:tr>
      <w:tr w:rsidR="00FA20E2" w:rsidRPr="00E3331A" w:rsidTr="00FA20E2">
        <w:tc>
          <w:tcPr>
            <w:tcW w:w="1243" w:type="pct"/>
            <w:shd w:val="clear" w:color="auto" w:fill="auto"/>
          </w:tcPr>
          <w:p w:rsidR="00FA20E2" w:rsidRPr="00E3331A" w:rsidRDefault="00FA20E2" w:rsidP="00CA4C10">
            <w:pPr>
              <w:pStyle w:val="Tabletext1"/>
            </w:pPr>
            <w:r w:rsidRPr="00E3331A">
              <w:t>Lieker et al. (2017)</w:t>
            </w:r>
            <w:r w:rsidR="00B85C75">
              <w:rPr>
                <w:noProof/>
              </w:rPr>
              <w:t>(Lieker et al. 2017)</w:t>
            </w:r>
          </w:p>
        </w:tc>
        <w:tc>
          <w:tcPr>
            <w:tcW w:w="617" w:type="pct"/>
            <w:shd w:val="clear" w:color="auto" w:fill="auto"/>
            <w:vAlign w:val="center"/>
          </w:tcPr>
          <w:p w:rsidR="00FA20E2" w:rsidRPr="00E3331A" w:rsidRDefault="00FA20E2" w:rsidP="00CA4C10">
            <w:pPr>
              <w:pStyle w:val="Tabletext1"/>
              <w:rPr>
                <w:snapToGrid w:val="0"/>
              </w:rPr>
            </w:pPr>
            <w:r w:rsidRPr="00E3331A">
              <w:rPr>
                <w:snapToGrid w:val="0"/>
              </w:rPr>
              <w:t>PE vs Ia</w:t>
            </w:r>
          </w:p>
        </w:tc>
        <w:tc>
          <w:tcPr>
            <w:tcW w:w="709" w:type="pct"/>
            <w:tcBorders>
              <w:bottom w:val="single" w:sz="4" w:space="0" w:color="auto"/>
            </w:tcBorders>
            <w:shd w:val="clear" w:color="auto" w:fill="auto"/>
            <w:vAlign w:val="center"/>
          </w:tcPr>
          <w:p w:rsidR="00FA20E2" w:rsidRPr="00E3331A" w:rsidRDefault="00FA20E2" w:rsidP="00CA4C10">
            <w:pPr>
              <w:pStyle w:val="Tabletext1"/>
              <w:rPr>
                <w:snapToGrid w:val="0"/>
              </w:rPr>
            </w:pPr>
            <w:r w:rsidRPr="00E3331A">
              <w:rPr>
                <w:snapToGrid w:val="0"/>
              </w:rPr>
              <w:t xml:space="preserve">R </w:t>
            </w:r>
          </w:p>
          <w:p w:rsidR="00FA20E2" w:rsidRPr="00E3331A" w:rsidRDefault="00FA20E2" w:rsidP="00CA4C10">
            <w:pPr>
              <w:pStyle w:val="Tabletext1"/>
              <w:rPr>
                <w:snapToGrid w:val="0"/>
              </w:rPr>
            </w:pPr>
            <w:r w:rsidRPr="00E3331A">
              <w:rPr>
                <w:snapToGrid w:val="0"/>
              </w:rPr>
              <w:t>Some concerns</w:t>
            </w:r>
          </w:p>
          <w:p w:rsidR="00FA20E2" w:rsidRPr="00E3331A" w:rsidRDefault="00FA20E2" w:rsidP="00CA4C10">
            <w:pPr>
              <w:pStyle w:val="Tabletext1"/>
              <w:rPr>
                <w:snapToGrid w:val="0"/>
              </w:rPr>
            </w:pPr>
          </w:p>
        </w:tc>
        <w:tc>
          <w:tcPr>
            <w:tcW w:w="1673" w:type="pct"/>
            <w:tcBorders>
              <w:bottom w:val="single" w:sz="4" w:space="0" w:color="auto"/>
            </w:tcBorders>
            <w:shd w:val="clear" w:color="auto" w:fill="auto"/>
            <w:vAlign w:val="center"/>
          </w:tcPr>
          <w:p w:rsidR="00FA20E2" w:rsidRPr="00E3331A" w:rsidRDefault="00FA20E2" w:rsidP="00CA4C10">
            <w:pPr>
              <w:pStyle w:val="Tabletext1"/>
              <w:rPr>
                <w:snapToGrid w:val="0"/>
              </w:rPr>
            </w:pPr>
            <w:r w:rsidRPr="00E3331A">
              <w:t>Met EFN/PNS 2010 diagnostic criteria for possible, probable or definite CIDP.</w:t>
            </w:r>
          </w:p>
        </w:tc>
        <w:tc>
          <w:tcPr>
            <w:tcW w:w="758" w:type="pct"/>
            <w:tcBorders>
              <w:bottom w:val="single" w:sz="4" w:space="0" w:color="auto"/>
            </w:tcBorders>
            <w:shd w:val="clear" w:color="auto" w:fill="auto"/>
            <w:vAlign w:val="center"/>
          </w:tcPr>
          <w:p w:rsidR="00FA20E2" w:rsidRPr="00E3331A" w:rsidRDefault="00FA20E2" w:rsidP="00CA4C10">
            <w:pPr>
              <w:pStyle w:val="Tabletext1"/>
              <w:rPr>
                <w:snapToGrid w:val="0"/>
              </w:rPr>
            </w:pPr>
            <w:r w:rsidRPr="00E3331A">
              <w:rPr>
                <w:snapToGrid w:val="0"/>
              </w:rPr>
              <w:t>Treatment in refractory patients</w:t>
            </w:r>
          </w:p>
        </w:tc>
      </w:tr>
    </w:tbl>
    <w:bookmarkEnd w:id="213"/>
    <w:bookmarkEnd w:id="214"/>
    <w:p w:rsidR="00DB3295" w:rsidRPr="00E3331A" w:rsidRDefault="00DB3295" w:rsidP="0037150F">
      <w:pPr>
        <w:pStyle w:val="Tablenotes1"/>
        <w:rPr>
          <w:rStyle w:val="TablenotesChar0"/>
        </w:rPr>
      </w:pPr>
      <w:r w:rsidRPr="00E3331A">
        <w:rPr>
          <w:rStyle w:val="TablenotesChar0"/>
        </w:rPr>
        <w:t>R</w:t>
      </w:r>
      <w:r w:rsidR="009D45FA" w:rsidRPr="00E3331A">
        <w:rPr>
          <w:rStyle w:val="TablenotesChar0"/>
        </w:rPr>
        <w:t xml:space="preserve"> </w:t>
      </w:r>
      <w:r w:rsidRPr="00E3331A">
        <w:rPr>
          <w:rStyle w:val="TablenotesChar0"/>
        </w:rPr>
        <w:t>=</w:t>
      </w:r>
      <w:r w:rsidR="009D45FA" w:rsidRPr="00E3331A">
        <w:rPr>
          <w:rStyle w:val="TablenotesChar0"/>
        </w:rPr>
        <w:t xml:space="preserve"> </w:t>
      </w:r>
      <w:r w:rsidRPr="00E3331A">
        <w:rPr>
          <w:rStyle w:val="TablenotesChar0"/>
        </w:rPr>
        <w:t>randomised;</w:t>
      </w:r>
      <w:r w:rsidR="009D45FA" w:rsidRPr="00E3331A">
        <w:rPr>
          <w:rStyle w:val="TablenotesChar0"/>
        </w:rPr>
        <w:t xml:space="preserve"> DB = double blind; CO = crossover; </w:t>
      </w:r>
      <w:r w:rsidR="002D3966" w:rsidRPr="00E3331A">
        <w:rPr>
          <w:rStyle w:val="TablenotesChar0"/>
        </w:rPr>
        <w:t xml:space="preserve">AE = adverse event; </w:t>
      </w:r>
      <w:r w:rsidR="009D45FA" w:rsidRPr="00E3331A">
        <w:rPr>
          <w:rStyle w:val="TablenotesChar0"/>
        </w:rPr>
        <w:t>St = steroids, Ig = immunoglobulins;</w:t>
      </w:r>
      <w:r w:rsidR="00685D87" w:rsidRPr="00E3331A">
        <w:rPr>
          <w:rStyle w:val="TablenotesChar0"/>
        </w:rPr>
        <w:t xml:space="preserve"> NT = no treatment;</w:t>
      </w:r>
      <w:r w:rsidR="009D45FA" w:rsidRPr="00E3331A">
        <w:rPr>
          <w:rStyle w:val="TablenotesChar0"/>
        </w:rPr>
        <w:t xml:space="preserve"> Is = immunosuppressants; PE = plasma exchange; Ia = </w:t>
      </w:r>
      <w:r w:rsidR="00685D87" w:rsidRPr="00E3331A">
        <w:rPr>
          <w:rStyle w:val="TablenotesChar0"/>
        </w:rPr>
        <w:t>immunoadsorption</w:t>
      </w:r>
      <w:r w:rsidR="009D45FA" w:rsidRPr="00E3331A">
        <w:rPr>
          <w:rStyle w:val="TablenotesChar0"/>
        </w:rPr>
        <w:t>; MC = multicentred; vs = versus; I = intervention, C = comparator</w:t>
      </w:r>
      <w:r w:rsidR="002D3966" w:rsidRPr="00E3331A">
        <w:rPr>
          <w:rStyle w:val="TablenotesChar0"/>
        </w:rPr>
        <w:t>;</w:t>
      </w:r>
      <w:r w:rsidR="009D45FA" w:rsidRPr="00E3331A">
        <w:rPr>
          <w:rStyle w:val="TablenotesChar0"/>
        </w:rPr>
        <w:t xml:space="preserve"> </w:t>
      </w:r>
      <w:r w:rsidR="002D3966" w:rsidRPr="00E3331A">
        <w:rPr>
          <w:rStyle w:val="TablenotesChar0"/>
        </w:rPr>
        <w:t>FSS = fatigue severity score; INCAT = Inflammatory Neuropathy Cause and Treatment;</w:t>
      </w:r>
      <w:r w:rsidR="003C40A7" w:rsidRPr="00E3331A">
        <w:rPr>
          <w:rStyle w:val="TablenotesChar0"/>
        </w:rPr>
        <w:t xml:space="preserve"> N = number of subjects</w:t>
      </w:r>
      <w:r w:rsidR="008513DB" w:rsidRPr="00E3331A">
        <w:rPr>
          <w:rStyle w:val="TablenotesChar0"/>
        </w:rPr>
        <w:t xml:space="preserve">; </w:t>
      </w:r>
      <w:r w:rsidR="008513DB" w:rsidRPr="00E3331A">
        <w:t xml:space="preserve">MRC = Medical Research Council; ISS = INCAT sensory sum score; </w:t>
      </w:r>
      <w:r w:rsidR="00DE47C5" w:rsidRPr="00E3331A">
        <w:rPr>
          <w:rStyle w:val="TablenotesChar0"/>
        </w:rPr>
        <w:t xml:space="preserve">SAE = serious adverse event; </w:t>
      </w:r>
      <w:r w:rsidR="00DE47C5" w:rsidRPr="00E3331A">
        <w:t xml:space="preserve">NDS = neurologic disability score, AMS = average muscle score; RODS = Rasch-built Overall Disability Scale; ODSS = INCAT overall disability sum score; MWT = metre walk test; ALDS = Academic Medical Centre Linear Disability Score; 9PHT = 9 pin-hole test; </w:t>
      </w:r>
    </w:p>
    <w:p w:rsidR="00952494" w:rsidRPr="00E3331A" w:rsidRDefault="00952494" w:rsidP="00F22C3F">
      <w:pPr>
        <w:pStyle w:val="Tablenotes1"/>
      </w:pPr>
      <w:r w:rsidRPr="00E3331A">
        <w:t xml:space="preserve">Notes: A = 1991 </w:t>
      </w:r>
      <w:r w:rsidR="00F22C3F" w:rsidRPr="00E3331A">
        <w:t>American Academy of Neurology (</w:t>
      </w:r>
      <w:r w:rsidRPr="00E3331A">
        <w:t>AAN</w:t>
      </w:r>
      <w:r w:rsidR="00F22C3F" w:rsidRPr="00E3331A">
        <w:t>)</w:t>
      </w:r>
      <w:r w:rsidRPr="00E3331A">
        <w:t xml:space="preserve"> diagnostic criteria; B = ENC diagnostic criteria</w:t>
      </w:r>
      <w:r w:rsidR="000207BE" w:rsidRPr="00E3331A">
        <w:t>, C = ENFS/PNS criteria, D = diagnosis by consultant neurologist.</w:t>
      </w:r>
      <w:r w:rsidR="00685D87" w:rsidRPr="00E3331A">
        <w:t xml:space="preserve"> Treatment </w:t>
      </w:r>
      <w:r w:rsidR="00D3443C" w:rsidRPr="00E3331A">
        <w:t xml:space="preserve">= </w:t>
      </w:r>
      <w:r w:rsidR="0070784F" w:rsidRPr="00E3331A">
        <w:t>studies of patients receiving treatment for active disease</w:t>
      </w:r>
      <w:r w:rsidR="00685D87" w:rsidRPr="00E3331A">
        <w:t xml:space="preserve">; </w:t>
      </w:r>
      <w:r w:rsidR="00D3443C" w:rsidRPr="00E3331A">
        <w:t>Maintenance =</w:t>
      </w:r>
      <w:r w:rsidR="00685D87" w:rsidRPr="00E3331A">
        <w:t xml:space="preserve"> </w:t>
      </w:r>
      <w:r w:rsidR="00107F3E" w:rsidRPr="00E3331A">
        <w:t>studies of patients who had responded to treatment and required ongoing maintenance</w:t>
      </w:r>
      <w:r w:rsidR="00685D87" w:rsidRPr="00E3331A">
        <w:t xml:space="preserve">. </w:t>
      </w:r>
    </w:p>
    <w:p w:rsidR="00FB71F6" w:rsidRPr="00E3331A" w:rsidRDefault="00810A49" w:rsidP="00FB71F6">
      <w:r w:rsidRPr="00E3331A">
        <w:t>Fourteen</w:t>
      </w:r>
      <w:r w:rsidR="00FB71F6" w:rsidRPr="00E3331A">
        <w:t xml:space="preserve"> </w:t>
      </w:r>
      <w:r w:rsidR="000F06BC" w:rsidRPr="00E3331A">
        <w:t>RCTs</w:t>
      </w:r>
      <w:r w:rsidR="00FB71F6" w:rsidRPr="00E3331A">
        <w:t xml:space="preserve"> were identified that investigated treatment of CIDP in patients with active disease </w:t>
      </w:r>
      <w:r w:rsidRPr="00E3331A">
        <w:t xml:space="preserve">characterised by presence of </w:t>
      </w:r>
      <w:r w:rsidR="00FB71F6" w:rsidRPr="00E3331A">
        <w:t>significant disability. The studies were generally small</w:t>
      </w:r>
      <w:r w:rsidR="002228C4" w:rsidRPr="00E3331A">
        <w:t>,</w:t>
      </w:r>
      <w:r w:rsidR="00FB71F6" w:rsidRPr="00E3331A">
        <w:t xml:space="preserve"> with four studies including </w:t>
      </w:r>
      <w:r w:rsidRPr="00E3331A">
        <w:t>fewer</w:t>
      </w:r>
      <w:r w:rsidR="00FB71F6" w:rsidRPr="00E3331A">
        <w:t xml:space="preserve"> than 25 patients</w:t>
      </w:r>
      <w:r w:rsidR="002228C4" w:rsidRPr="00E3331A">
        <w:t xml:space="preserve"> </w:t>
      </w:r>
      <w:r w:rsidR="00B85C75">
        <w:rPr>
          <w:noProof/>
        </w:rPr>
        <w:t>(Dyck et al. 1994; Hahn et al. 1996a; Markvardsen et al. 2017; Zinman et al. 2005)</w:t>
      </w:r>
      <w:r w:rsidR="002228C4" w:rsidRPr="00E3331A">
        <w:t>.</w:t>
      </w:r>
      <w:r w:rsidR="00FB71F6" w:rsidRPr="00E3331A">
        <w:t xml:space="preserve"> </w:t>
      </w:r>
      <w:r w:rsidR="002228C4" w:rsidRPr="00E3331A">
        <w:t>N</w:t>
      </w:r>
      <w:r w:rsidR="00FB71F6" w:rsidRPr="00E3331A">
        <w:t>ine studies includ</w:t>
      </w:r>
      <w:r w:rsidR="002228C4" w:rsidRPr="00E3331A">
        <w:t>ed</w:t>
      </w:r>
      <w:r w:rsidR="00FB71F6" w:rsidRPr="00E3331A">
        <w:t xml:space="preserve"> 25-50 patients</w:t>
      </w:r>
      <w:r w:rsidR="002228C4" w:rsidRPr="00E3331A">
        <w:t xml:space="preserve"> </w:t>
      </w:r>
      <w:r w:rsidR="00B85C75">
        <w:rPr>
          <w:noProof/>
        </w:rPr>
        <w:t>(Dyck et al. 1986; Dyck et al. 1985; Dyck et al. 1982; Hahn et al. 1996b; Hughes et al. 2001; Mendell et al. 2001; Nobile-Orazio et al. 2012b; van Schaik et al. 2010; Vermeulen et al. 1993)</w:t>
      </w:r>
      <w:r w:rsidR="002228C4" w:rsidRPr="00E3331A">
        <w:t>.</w:t>
      </w:r>
      <w:r w:rsidR="00FB71F6" w:rsidRPr="00E3331A">
        <w:t xml:space="preserve"> </w:t>
      </w:r>
      <w:r w:rsidR="002228C4" w:rsidRPr="00E3331A">
        <w:t>O</w:t>
      </w:r>
      <w:r w:rsidR="00FB71F6" w:rsidRPr="00E3331A">
        <w:t>ne study includ</w:t>
      </w:r>
      <w:r w:rsidR="002228C4" w:rsidRPr="00E3331A">
        <w:t>ed</w:t>
      </w:r>
      <w:r w:rsidR="00FB71F6" w:rsidRPr="00E3331A">
        <w:t xml:space="preserve"> </w:t>
      </w:r>
      <w:r w:rsidR="002228C4" w:rsidRPr="00E3331A">
        <w:t xml:space="preserve">greater </w:t>
      </w:r>
      <w:r w:rsidR="00FB71F6" w:rsidRPr="00E3331A">
        <w:t>than 100 patients</w:t>
      </w:r>
      <w:r w:rsidR="002228C4" w:rsidRPr="00E3331A">
        <w:t xml:space="preserve"> </w:t>
      </w:r>
      <w:r w:rsidR="00B85C75">
        <w:rPr>
          <w:noProof/>
        </w:rPr>
        <w:t>(Hughes et al. 2008)</w:t>
      </w:r>
      <w:r w:rsidR="002228C4" w:rsidRPr="00E3331A">
        <w:t>.</w:t>
      </w:r>
      <w:r w:rsidR="00FB71F6" w:rsidRPr="00E3331A">
        <w:t xml:space="preserve"> Given that </w:t>
      </w:r>
      <w:r w:rsidRPr="00E3331A">
        <w:t>CI</w:t>
      </w:r>
      <w:r w:rsidR="00FB71F6" w:rsidRPr="00E3331A">
        <w:t xml:space="preserve">DP is a rare disease it </w:t>
      </w:r>
      <w:r w:rsidR="00FC0341" w:rsidRPr="00E3331A">
        <w:t>is un</w:t>
      </w:r>
      <w:r w:rsidR="00FB71F6" w:rsidRPr="00E3331A">
        <w:t>surprising th</w:t>
      </w:r>
      <w:r w:rsidRPr="00E3331A">
        <w:t>a</w:t>
      </w:r>
      <w:r w:rsidR="00FB71F6" w:rsidRPr="00E3331A">
        <w:t>t most studies were small</w:t>
      </w:r>
      <w:r w:rsidR="00FC0341" w:rsidRPr="00E3331A">
        <w:t>,</w:t>
      </w:r>
      <w:r w:rsidR="00FB71F6" w:rsidRPr="00E3331A">
        <w:t xml:space="preserve"> </w:t>
      </w:r>
      <w:r w:rsidR="000F06BC" w:rsidRPr="00E3331A">
        <w:t>however</w:t>
      </w:r>
      <w:r w:rsidR="00FB71F6" w:rsidRPr="00E3331A">
        <w:t>, whether the</w:t>
      </w:r>
      <w:r w:rsidR="00FC0341" w:rsidRPr="00E3331A">
        <w:t xml:space="preserve"> studies</w:t>
      </w:r>
      <w:r w:rsidR="00FB71F6" w:rsidRPr="00E3331A">
        <w:t xml:space="preserve"> were sufficiently powered to detect reported outcomes was generally not reported and is therefore unclear.</w:t>
      </w:r>
      <w:r w:rsidR="006909F2" w:rsidRPr="00E3331A">
        <w:t xml:space="preserve"> Five studies did perform power calculations to determine the </w:t>
      </w:r>
      <w:r w:rsidR="006909F2" w:rsidRPr="00E3331A">
        <w:lastRenderedPageBreak/>
        <w:t>number of patients required for recruitmen</w:t>
      </w:r>
      <w:r w:rsidR="00FC0341" w:rsidRPr="00E3331A">
        <w:t xml:space="preserve"> </w:t>
      </w:r>
      <w:r w:rsidR="00B85C75">
        <w:rPr>
          <w:noProof/>
        </w:rPr>
        <w:t>(Hughes et al. 2001; Hughes et al. 2008; Markvardsen et al. 2017; Nobile-Orazio et al. 2012b; van Schaik et al. 2010)</w:t>
      </w:r>
      <w:r w:rsidR="00FC0341" w:rsidRPr="00E3331A">
        <w:t>.</w:t>
      </w:r>
    </w:p>
    <w:p w:rsidR="00FB71F6" w:rsidRPr="00E3331A" w:rsidRDefault="00FB71F6" w:rsidP="00F22C3F">
      <w:r w:rsidRPr="00E3331A">
        <w:t xml:space="preserve">All of the studies required patients to </w:t>
      </w:r>
      <w:r w:rsidR="006909F2" w:rsidRPr="00E3331A">
        <w:t xml:space="preserve">have been </w:t>
      </w:r>
      <w:r w:rsidRPr="00E3331A">
        <w:t>diagnosed with CIDP</w:t>
      </w:r>
      <w:r w:rsidR="0041296F" w:rsidRPr="00E3331A">
        <w:t>,</w:t>
      </w:r>
      <w:r w:rsidR="006909F2" w:rsidRPr="00E3331A">
        <w:t xml:space="preserve"> using either</w:t>
      </w:r>
      <w:r w:rsidR="00F22C3F" w:rsidRPr="00E3331A">
        <w:t xml:space="preserve"> American Academy of Neurology</w:t>
      </w:r>
      <w:r w:rsidR="006909F2" w:rsidRPr="00E3331A">
        <w:t xml:space="preserve"> </w:t>
      </w:r>
      <w:r w:rsidR="00F22C3F" w:rsidRPr="00E3331A">
        <w:t>(</w:t>
      </w:r>
      <w:r w:rsidRPr="00E3331A">
        <w:t>AAN</w:t>
      </w:r>
      <w:r w:rsidR="00F22C3F" w:rsidRPr="00E3331A">
        <w:t>)</w:t>
      </w:r>
      <w:r w:rsidRPr="00E3331A">
        <w:t xml:space="preserve"> criteria</w:t>
      </w:r>
      <w:r w:rsidR="0041296F" w:rsidRPr="00E3331A">
        <w:t xml:space="preserve"> </w:t>
      </w:r>
      <w:r w:rsidR="00B85C75">
        <w:rPr>
          <w:noProof/>
        </w:rPr>
        <w:t>(Hahn et al. 1996a; Hahn et al. 1996b)</w:t>
      </w:r>
      <w:r w:rsidR="0041296F" w:rsidRPr="00E3331A">
        <w:t>,</w:t>
      </w:r>
      <w:r w:rsidRPr="00E3331A">
        <w:t xml:space="preserve"> ENFS criteria</w:t>
      </w:r>
      <w:r w:rsidR="0041296F" w:rsidRPr="00E3331A">
        <w:t xml:space="preserve"> </w:t>
      </w:r>
      <w:r w:rsidR="00B85C75">
        <w:rPr>
          <w:noProof/>
        </w:rPr>
        <w:t>(Markvardsen et al. 2017; Nobile-Orazio et al. 2012b)</w:t>
      </w:r>
      <w:r w:rsidR="0041296F" w:rsidRPr="00E3331A">
        <w:t>,</w:t>
      </w:r>
      <w:r w:rsidRPr="00E3331A">
        <w:t xml:space="preserve"> </w:t>
      </w:r>
      <w:r w:rsidR="006909F2" w:rsidRPr="00E3331A">
        <w:t>ENC</w:t>
      </w:r>
      <w:r w:rsidRPr="00E3331A">
        <w:t xml:space="preserve"> criteria</w:t>
      </w:r>
      <w:r w:rsidR="0041296F" w:rsidRPr="00E3331A">
        <w:t xml:space="preserve"> </w:t>
      </w:r>
      <w:r w:rsidR="00B85C75">
        <w:rPr>
          <w:noProof/>
        </w:rPr>
        <w:t>(van Schaik et al. 2010)</w:t>
      </w:r>
      <w:r w:rsidR="0041296F" w:rsidRPr="00E3331A">
        <w:t>,</w:t>
      </w:r>
      <w:r w:rsidRPr="00E3331A">
        <w:t xml:space="preserve"> </w:t>
      </w:r>
      <w:r w:rsidR="006909F2" w:rsidRPr="00E3331A">
        <w:t xml:space="preserve">or the </w:t>
      </w:r>
      <w:r w:rsidRPr="00E3331A">
        <w:t xml:space="preserve">criteria published </w:t>
      </w:r>
      <w:r w:rsidR="0041296F" w:rsidRPr="00E3331A">
        <w:t xml:space="preserve">by </w:t>
      </w:r>
      <w:r w:rsidRPr="00E3331A">
        <w:t>Dyck at al 1975</w:t>
      </w:r>
      <w:r w:rsidR="0041296F" w:rsidRPr="00E3331A">
        <w:t xml:space="preserve"> </w:t>
      </w:r>
      <w:r w:rsidR="00B85C75">
        <w:rPr>
          <w:noProof/>
        </w:rPr>
        <w:t>(Dyck et al. 1975; Dyck et al. 1982)</w:t>
      </w:r>
      <w:r w:rsidR="0041296F" w:rsidRPr="00E3331A">
        <w:t>.</w:t>
      </w:r>
      <w:r w:rsidRPr="00E3331A">
        <w:t xml:space="preserve"> </w:t>
      </w:r>
      <w:r w:rsidR="0041296F" w:rsidRPr="00E3331A">
        <w:t>E</w:t>
      </w:r>
      <w:r w:rsidR="002C2EC9" w:rsidRPr="00E3331A">
        <w:t>ight studies</w:t>
      </w:r>
      <w:r w:rsidRPr="00E3331A">
        <w:t xml:space="preserve"> did not report the diagnostic criteria used. </w:t>
      </w:r>
      <w:r w:rsidR="002C2EC9" w:rsidRPr="00E3331A">
        <w:t>T</w:t>
      </w:r>
      <w:r w:rsidR="0041296F" w:rsidRPr="00E3331A">
        <w:t>he t</w:t>
      </w:r>
      <w:r w:rsidRPr="00E3331A">
        <w:t xml:space="preserve">ype of CIDP </w:t>
      </w:r>
      <w:r w:rsidR="002C2EC9" w:rsidRPr="00E3331A">
        <w:t xml:space="preserve">was rarely reported. The ratio of </w:t>
      </w:r>
      <w:r w:rsidR="00107F3E" w:rsidRPr="00E3331A">
        <w:t>progressive</w:t>
      </w:r>
      <w:r w:rsidR="00455626" w:rsidRPr="00E3331A">
        <w:t xml:space="preserve"> to</w:t>
      </w:r>
      <w:r w:rsidR="00107F3E" w:rsidRPr="00E3331A">
        <w:t xml:space="preserve"> relapsing</w:t>
      </w:r>
      <w:r w:rsidR="002C2EC9" w:rsidRPr="00E3331A">
        <w:t xml:space="preserve"> disease was 1:1 in four studies</w:t>
      </w:r>
      <w:r w:rsidR="00455626" w:rsidRPr="00E3331A">
        <w:t xml:space="preserve"> </w:t>
      </w:r>
      <w:r w:rsidR="00B85C75">
        <w:rPr>
          <w:noProof/>
        </w:rPr>
        <w:t>(Dyck et al. 1982; Hahn et al. 1996a; Hahn et al. 1996b; Nobile-Orazio et al. 2012b)</w:t>
      </w:r>
      <w:r w:rsidRPr="00E3331A">
        <w:t xml:space="preserve"> and 1:2 in one study </w:t>
      </w:r>
      <w:r w:rsidR="00B85C75">
        <w:rPr>
          <w:noProof/>
        </w:rPr>
        <w:t>(Hughes et al. 2001)</w:t>
      </w:r>
      <w:r w:rsidRPr="00E3331A">
        <w:t xml:space="preserve">. The mean time </w:t>
      </w:r>
      <w:r w:rsidR="002C2EC9" w:rsidRPr="00E3331A">
        <w:t xml:space="preserve">between CIDP diagnosis and </w:t>
      </w:r>
      <w:r w:rsidR="00107F3E" w:rsidRPr="00E3331A">
        <w:t>enrolment</w:t>
      </w:r>
      <w:r w:rsidR="002C2EC9" w:rsidRPr="00E3331A">
        <w:t xml:space="preserve"> </w:t>
      </w:r>
      <w:r w:rsidRPr="00E3331A">
        <w:t>varied</w:t>
      </w:r>
      <w:r w:rsidR="00455626" w:rsidRPr="00E3331A">
        <w:t>,</w:t>
      </w:r>
      <w:r w:rsidRPr="00E3331A">
        <w:t xml:space="preserve"> ranging from less than </w:t>
      </w:r>
      <w:r w:rsidR="002C2EC9" w:rsidRPr="00E3331A">
        <w:t>one</w:t>
      </w:r>
      <w:r w:rsidRPr="00E3331A">
        <w:t xml:space="preserve"> year</w:t>
      </w:r>
      <w:r w:rsidR="00455626" w:rsidRPr="00E3331A">
        <w:t xml:space="preserve"> </w:t>
      </w:r>
      <w:r w:rsidR="00B85C75">
        <w:rPr>
          <w:noProof/>
        </w:rPr>
        <w:t>(Hahn et al. 1996a)</w:t>
      </w:r>
      <w:r w:rsidR="002C2EC9" w:rsidRPr="00E3331A">
        <w:t xml:space="preserve"> to greater than three years</w:t>
      </w:r>
      <w:r w:rsidR="00455626" w:rsidRPr="00E3331A">
        <w:t xml:space="preserve"> </w:t>
      </w:r>
      <w:r w:rsidR="00B85C75">
        <w:rPr>
          <w:noProof/>
        </w:rPr>
        <w:t>(Hughes et al. 2001; Nobile-Orazio et al. 2012b)</w:t>
      </w:r>
      <w:r w:rsidR="00455626" w:rsidRPr="00E3331A">
        <w:t>.</w:t>
      </w:r>
    </w:p>
    <w:p w:rsidR="00FB71F6" w:rsidRPr="00E3331A" w:rsidRDefault="00FB71F6" w:rsidP="00FB71F6">
      <w:r w:rsidRPr="00E3331A">
        <w:t>In addition to diagnosed CIDP</w:t>
      </w:r>
      <w:r w:rsidR="00455626" w:rsidRPr="00E3331A">
        <w:t>,</w:t>
      </w:r>
      <w:r w:rsidRPr="00E3331A">
        <w:t xml:space="preserve"> </w:t>
      </w:r>
      <w:r w:rsidR="00455626" w:rsidRPr="00E3331A">
        <w:t xml:space="preserve">patients were also required to have significant levels of disability for inclusion in </w:t>
      </w:r>
      <w:r w:rsidRPr="00E3331A">
        <w:t>most studies</w:t>
      </w:r>
      <w:r w:rsidR="00455626" w:rsidRPr="00E3331A">
        <w:t>.</w:t>
      </w:r>
      <w:r w:rsidRPr="00E3331A">
        <w:t xml:space="preserve"> </w:t>
      </w:r>
      <w:r w:rsidR="00455626" w:rsidRPr="00E3331A">
        <w:t>Disability was</w:t>
      </w:r>
      <w:r w:rsidRPr="00E3331A">
        <w:t xml:space="preserve"> </w:t>
      </w:r>
      <w:r w:rsidR="00243F03" w:rsidRPr="00E3331A">
        <w:t xml:space="preserve">defined as </w:t>
      </w:r>
      <w:r w:rsidRPr="00E3331A">
        <w:t xml:space="preserve">either: NDS </w:t>
      </w:r>
      <w:r w:rsidR="002854DF" w:rsidRPr="00E3331A">
        <w:rPr>
          <w:rFonts w:hint="eastAsia"/>
        </w:rPr>
        <w:t>≥</w:t>
      </w:r>
      <w:r w:rsidRPr="00E3331A">
        <w:t xml:space="preserve"> 40</w:t>
      </w:r>
      <w:r w:rsidR="00455626" w:rsidRPr="00E3331A">
        <w:t xml:space="preserve"> </w:t>
      </w:r>
      <w:r w:rsidR="00B85C75">
        <w:rPr>
          <w:noProof/>
        </w:rPr>
        <w:t>(Hahn et al. 1996b)</w:t>
      </w:r>
      <w:r w:rsidR="00455626" w:rsidRPr="00E3331A">
        <w:t>,</w:t>
      </w:r>
      <w:r w:rsidRPr="00E3331A">
        <w:t xml:space="preserve"> NDS </w:t>
      </w:r>
      <w:r w:rsidR="002854DF" w:rsidRPr="00E3331A">
        <w:rPr>
          <w:rFonts w:hint="eastAsia"/>
        </w:rPr>
        <w:t>≥</w:t>
      </w:r>
      <w:r w:rsidRPr="00E3331A">
        <w:t>50</w:t>
      </w:r>
      <w:r w:rsidR="00455626" w:rsidRPr="00E3331A">
        <w:t xml:space="preserve"> </w:t>
      </w:r>
      <w:r w:rsidR="00B85C75">
        <w:rPr>
          <w:noProof/>
        </w:rPr>
        <w:t>(Dyck et al. 1986; Dyck et al. 1985; Hahn et al. 1996a)</w:t>
      </w:r>
      <w:r w:rsidR="00455626" w:rsidRPr="00E3331A">
        <w:t>,</w:t>
      </w:r>
      <w:r w:rsidRPr="00E3331A">
        <w:t xml:space="preserve"> NDS-W &gt;</w:t>
      </w:r>
      <w:r w:rsidR="002854DF" w:rsidRPr="00E3331A">
        <w:rPr>
          <w:rFonts w:hint="eastAsia"/>
        </w:rPr>
        <w:t>≥</w:t>
      </w:r>
      <w:r w:rsidRPr="00E3331A">
        <w:t>5</w:t>
      </w:r>
      <w:r w:rsidR="00455626" w:rsidRPr="00E3331A">
        <w:t xml:space="preserve"> </w:t>
      </w:r>
      <w:r w:rsidR="00B85C75">
        <w:rPr>
          <w:noProof/>
        </w:rPr>
        <w:t>(Dyck et al. 1994)</w:t>
      </w:r>
      <w:r w:rsidR="00455626" w:rsidRPr="00E3331A">
        <w:t>,</w:t>
      </w:r>
      <w:r w:rsidRPr="00E3331A">
        <w:t xml:space="preserve"> INCAT 2-9</w:t>
      </w:r>
      <w:r w:rsidR="00455626" w:rsidRPr="00E3331A">
        <w:t xml:space="preserve"> </w:t>
      </w:r>
      <w:r w:rsidR="00B85C75">
        <w:rPr>
          <w:noProof/>
        </w:rPr>
        <w:t>(Hughes et al. 2001; Hughes et al. 2008)</w:t>
      </w:r>
      <w:r w:rsidR="00455626" w:rsidRPr="00E3331A">
        <w:t>,</w:t>
      </w:r>
      <w:r w:rsidRPr="00E3331A">
        <w:t xml:space="preserve"> Rankin </w:t>
      </w:r>
      <w:r w:rsidR="002854DF" w:rsidRPr="00E3331A">
        <w:rPr>
          <w:rFonts w:hint="eastAsia"/>
        </w:rPr>
        <w:t>≥</w:t>
      </w:r>
      <w:r w:rsidR="002854DF" w:rsidRPr="00E3331A">
        <w:t xml:space="preserve"> 3</w:t>
      </w:r>
      <w:r w:rsidR="00455626" w:rsidRPr="00E3331A">
        <w:t xml:space="preserve"> </w:t>
      </w:r>
      <w:r w:rsidR="00B85C75">
        <w:rPr>
          <w:noProof/>
        </w:rPr>
        <w:t>(Vermeulen et al. 1993)</w:t>
      </w:r>
      <w:r w:rsidR="00455626" w:rsidRPr="00E3331A">
        <w:t>,</w:t>
      </w:r>
      <w:r w:rsidR="002854DF" w:rsidRPr="00E3331A">
        <w:t xml:space="preserve"> or </w:t>
      </w:r>
      <w:r w:rsidRPr="00E3331A">
        <w:t>ONLS</w:t>
      </w:r>
      <w:r w:rsidR="002854DF" w:rsidRPr="00E3331A">
        <w:rPr>
          <w:rFonts w:hint="eastAsia"/>
        </w:rPr>
        <w:t>≥</w:t>
      </w:r>
      <w:r w:rsidR="002854DF" w:rsidRPr="00E3331A">
        <w:t xml:space="preserve"> 2</w:t>
      </w:r>
      <w:r w:rsidR="00455626" w:rsidRPr="00E3331A">
        <w:t xml:space="preserve"> </w:t>
      </w:r>
      <w:r w:rsidR="00B85C75">
        <w:rPr>
          <w:noProof/>
        </w:rPr>
        <w:t>(Nobile-Orazio et al. 2012b)</w:t>
      </w:r>
      <w:r w:rsidR="00455626" w:rsidRPr="00E3331A">
        <w:t>.</w:t>
      </w:r>
      <w:r w:rsidRPr="00E3331A">
        <w:t xml:space="preserve"> Four </w:t>
      </w:r>
      <w:r w:rsidR="002854DF" w:rsidRPr="00E3331A">
        <w:t>studies</w:t>
      </w:r>
      <w:r w:rsidRPr="00E3331A">
        <w:t xml:space="preserve"> did not </w:t>
      </w:r>
      <w:r w:rsidR="002854DF" w:rsidRPr="00E3331A">
        <w:t>specify</w:t>
      </w:r>
      <w:r w:rsidRPr="00E3331A">
        <w:t xml:space="preserve"> a minimum disability level</w:t>
      </w:r>
      <w:r w:rsidR="00455626" w:rsidRPr="00E3331A">
        <w:t xml:space="preserve"> </w:t>
      </w:r>
      <w:r w:rsidR="00B85C75">
        <w:rPr>
          <w:noProof/>
        </w:rPr>
        <w:t>(Dyck et al. 1982; Markvardsen et al. 2017; Mendell et al. 2001; Zinman et al. 2005)</w:t>
      </w:r>
      <w:r w:rsidR="00455626" w:rsidRPr="00E3331A">
        <w:t>.</w:t>
      </w:r>
    </w:p>
    <w:p w:rsidR="00FB71F6" w:rsidRPr="00E3331A" w:rsidRDefault="004F4F41" w:rsidP="00FB71F6">
      <w:r w:rsidRPr="00E3331A">
        <w:t>Typically,</w:t>
      </w:r>
      <w:r w:rsidR="00FB71F6" w:rsidRPr="00E3331A">
        <w:t xml:space="preserve"> patients </w:t>
      </w:r>
      <w:r w:rsidRPr="00E3331A">
        <w:t xml:space="preserve">included in the RCTs </w:t>
      </w:r>
      <w:r w:rsidR="00FB71F6" w:rsidRPr="00E3331A">
        <w:t>were middle</w:t>
      </w:r>
      <w:r w:rsidR="00D45BCF" w:rsidRPr="00E3331A">
        <w:t>-</w:t>
      </w:r>
      <w:r w:rsidR="00FB71F6" w:rsidRPr="00E3331A">
        <w:t>aged</w:t>
      </w:r>
      <w:r w:rsidRPr="00E3331A">
        <w:t xml:space="preserve"> </w:t>
      </w:r>
      <w:r w:rsidR="00C3016E" w:rsidRPr="00E3331A">
        <w:t xml:space="preserve">males </w:t>
      </w:r>
      <w:r w:rsidRPr="00E3331A">
        <w:t>with significant levels of baseline disability (see Appendix C for baseline data)</w:t>
      </w:r>
      <w:r w:rsidR="00FB71F6" w:rsidRPr="00E3331A">
        <w:t xml:space="preserve">. </w:t>
      </w:r>
    </w:p>
    <w:p w:rsidR="00FB71F6" w:rsidRPr="00E3331A" w:rsidRDefault="004F4F41" w:rsidP="00FB71F6">
      <w:r w:rsidRPr="00E3331A">
        <w:t>Information</w:t>
      </w:r>
      <w:r w:rsidR="00FB71F6" w:rsidRPr="00E3331A">
        <w:t xml:space="preserve"> about the intervention and </w:t>
      </w:r>
      <w:r w:rsidR="00243F03" w:rsidRPr="00E3331A">
        <w:t>comparator</w:t>
      </w:r>
      <w:r w:rsidR="00FB71F6" w:rsidRPr="00E3331A">
        <w:t xml:space="preserve"> used in each study is provided in </w:t>
      </w:r>
      <w:r w:rsidRPr="00E3331A">
        <w:t>Appendix C</w:t>
      </w:r>
      <w:r w:rsidR="00FB71F6" w:rsidRPr="00E3331A">
        <w:t xml:space="preserve">. </w:t>
      </w:r>
      <w:r w:rsidR="00243F03" w:rsidRPr="00E3331A">
        <w:t>Nine</w:t>
      </w:r>
      <w:r w:rsidR="00FB71F6" w:rsidRPr="00E3331A">
        <w:t xml:space="preserve"> studies investigated I</w:t>
      </w:r>
      <w:r w:rsidR="00243F03" w:rsidRPr="00E3331A">
        <w:t>g</w:t>
      </w:r>
      <w:r w:rsidR="00FB71F6" w:rsidRPr="00E3331A">
        <w:t xml:space="preserve"> directly</w:t>
      </w:r>
      <w:r w:rsidR="00C3016E" w:rsidRPr="00E3331A">
        <w:t>:</w:t>
      </w:r>
      <w:r w:rsidR="00FB71F6" w:rsidRPr="00E3331A">
        <w:t xml:space="preserve"> </w:t>
      </w:r>
      <w:r w:rsidR="00243F03" w:rsidRPr="00E3331A">
        <w:t>four studies</w:t>
      </w:r>
      <w:r w:rsidR="00FB71F6" w:rsidRPr="00E3331A">
        <w:t xml:space="preserve"> compared to no treatment (placebo</w:t>
      </w:r>
      <w:r w:rsidR="00243F03" w:rsidRPr="00E3331A">
        <w:t xml:space="preserve"> arm</w:t>
      </w:r>
      <w:r w:rsidR="00FB71F6" w:rsidRPr="00E3331A">
        <w:t>)</w:t>
      </w:r>
      <w:r w:rsidR="00C3016E" w:rsidRPr="00E3331A">
        <w:t xml:space="preserve"> </w:t>
      </w:r>
      <w:r w:rsidR="00B85C75">
        <w:rPr>
          <w:noProof/>
        </w:rPr>
        <w:t>(Hahn et al. 1996b; Hughes et al. 2008; Mendell et al. 2001; Vermeulen et al. 1993)</w:t>
      </w:r>
      <w:r w:rsidR="00C3016E" w:rsidRPr="00E3331A">
        <w:t>,</w:t>
      </w:r>
      <w:r w:rsidR="00FB71F6" w:rsidRPr="00E3331A">
        <w:t xml:space="preserve"> </w:t>
      </w:r>
      <w:r w:rsidR="00243F03" w:rsidRPr="00E3331A">
        <w:t>two</w:t>
      </w:r>
      <w:r w:rsidR="00FB71F6" w:rsidRPr="00E3331A">
        <w:t xml:space="preserve"> </w:t>
      </w:r>
      <w:r w:rsidR="00C3016E" w:rsidRPr="00E3331A">
        <w:t xml:space="preserve">studies </w:t>
      </w:r>
      <w:r w:rsidR="00FB71F6" w:rsidRPr="00E3331A">
        <w:t xml:space="preserve">compared </w:t>
      </w:r>
      <w:r w:rsidR="00243F03" w:rsidRPr="00E3331A">
        <w:t xml:space="preserve">Ig </w:t>
      </w:r>
      <w:r w:rsidR="00FB71F6" w:rsidRPr="00E3331A">
        <w:t>to steroids</w:t>
      </w:r>
      <w:r w:rsidR="00C3016E" w:rsidRPr="00E3331A">
        <w:t xml:space="preserve"> </w:t>
      </w:r>
      <w:r w:rsidR="00B85C75">
        <w:rPr>
          <w:noProof/>
        </w:rPr>
        <w:t>(Hughes et al. 2001; Nobile-Orazio et al. 2012b)</w:t>
      </w:r>
      <w:r w:rsidR="00C3016E" w:rsidRPr="00E3331A">
        <w:t>,</w:t>
      </w:r>
      <w:r w:rsidR="00FB71F6" w:rsidRPr="00E3331A">
        <w:t xml:space="preserve"> </w:t>
      </w:r>
      <w:r w:rsidR="00243F03" w:rsidRPr="00E3331A">
        <w:t>one study</w:t>
      </w:r>
      <w:r w:rsidR="00FB71F6" w:rsidRPr="00E3331A">
        <w:t xml:space="preserve"> compared </w:t>
      </w:r>
      <w:r w:rsidR="00243F03" w:rsidRPr="00E3331A">
        <w:t xml:space="preserve">Ig </w:t>
      </w:r>
      <w:r w:rsidR="00FB71F6" w:rsidRPr="00E3331A">
        <w:t>to plasma exchange</w:t>
      </w:r>
      <w:r w:rsidR="00C3016E" w:rsidRPr="00E3331A">
        <w:t xml:space="preserve"> </w:t>
      </w:r>
      <w:r w:rsidR="00B85C75">
        <w:rPr>
          <w:noProof/>
        </w:rPr>
        <w:t>(Dyck et al. 1994)</w:t>
      </w:r>
      <w:r w:rsidR="00C3016E" w:rsidRPr="00E3331A">
        <w:t>,</w:t>
      </w:r>
      <w:r w:rsidR="00FB71F6" w:rsidRPr="00E3331A">
        <w:t xml:space="preserve"> </w:t>
      </w:r>
      <w:r w:rsidR="00243F03" w:rsidRPr="00E3331A">
        <w:t>one study compared Ig to immunoadsorption</w:t>
      </w:r>
      <w:r w:rsidR="00C3016E" w:rsidRPr="00E3331A">
        <w:t xml:space="preserve"> </w:t>
      </w:r>
      <w:r w:rsidR="00B85C75">
        <w:rPr>
          <w:noProof/>
        </w:rPr>
        <w:t>(Zinman et al. 2005)</w:t>
      </w:r>
      <w:r w:rsidR="00C3016E" w:rsidRPr="00E3331A">
        <w:t>,</w:t>
      </w:r>
      <w:r w:rsidR="00243F03" w:rsidRPr="00E3331A">
        <w:t xml:space="preserve"> </w:t>
      </w:r>
      <w:r w:rsidR="00FB71F6" w:rsidRPr="00E3331A">
        <w:t xml:space="preserve">and </w:t>
      </w:r>
      <w:r w:rsidR="00243F03" w:rsidRPr="00E3331A">
        <w:t>one</w:t>
      </w:r>
      <w:r w:rsidR="00FB71F6" w:rsidRPr="00E3331A">
        <w:t xml:space="preserve"> study compared two forms of Ig to each other</w:t>
      </w:r>
      <w:r w:rsidR="00C3016E" w:rsidRPr="00E3331A">
        <w:t xml:space="preserve"> </w:t>
      </w:r>
      <w:r w:rsidR="00B85C75">
        <w:rPr>
          <w:noProof/>
        </w:rPr>
        <w:t>(Markvardsen et al. 2017)</w:t>
      </w:r>
      <w:r w:rsidR="00C3016E" w:rsidRPr="00E3331A">
        <w:t>.</w:t>
      </w:r>
      <w:r w:rsidR="00FB71F6" w:rsidRPr="00E3331A">
        <w:t xml:space="preserve"> </w:t>
      </w:r>
      <w:r w:rsidR="00C3016E" w:rsidRPr="00E3331A">
        <w:t>F</w:t>
      </w:r>
      <w:r w:rsidR="00243F03" w:rsidRPr="00E3331A">
        <w:t>ive</w:t>
      </w:r>
      <w:r w:rsidR="00FB71F6" w:rsidRPr="00E3331A">
        <w:t xml:space="preserve"> </w:t>
      </w:r>
      <w:r w:rsidR="00C3016E" w:rsidRPr="00E3331A">
        <w:t xml:space="preserve">other </w:t>
      </w:r>
      <w:r w:rsidR="00243F03" w:rsidRPr="00E3331A">
        <w:t>studies investigated use of comparators for treatment of CIDP and</w:t>
      </w:r>
      <w:r w:rsidR="00FB71F6" w:rsidRPr="00E3331A">
        <w:t xml:space="preserve"> were </w:t>
      </w:r>
      <w:r w:rsidR="00DE47C5" w:rsidRPr="00E3331A">
        <w:t xml:space="preserve">included as supplementary evidence </w:t>
      </w:r>
      <w:r w:rsidR="00B85C75">
        <w:rPr>
          <w:noProof/>
        </w:rPr>
        <w:t>(Dyck et al. 1986; Dyck et al. 1985; Dyck et al. 1982; Hahn et al. 1996a; van Schaik et al. 2010)</w:t>
      </w:r>
      <w:r w:rsidR="002C304E" w:rsidRPr="00E3331A">
        <w:t>.</w:t>
      </w:r>
    </w:p>
    <w:p w:rsidR="00046836" w:rsidRPr="00E3331A" w:rsidRDefault="00046836" w:rsidP="00FB71F6">
      <w:r w:rsidRPr="00E3331A">
        <w:t xml:space="preserve">Three studies </w:t>
      </w:r>
      <w:r w:rsidR="00305BEF" w:rsidRPr="00E3331A">
        <w:t>administered</w:t>
      </w:r>
      <w:r w:rsidRPr="00E3331A">
        <w:t xml:space="preserve"> a</w:t>
      </w:r>
      <w:r w:rsidR="00305BEF" w:rsidRPr="00E3331A">
        <w:t xml:space="preserve"> single</w:t>
      </w:r>
      <w:r w:rsidRPr="00E3331A">
        <w:t xml:space="preserve"> induction dose of Ig (2</w:t>
      </w:r>
      <w:r w:rsidR="002C304E" w:rsidRPr="00E3331A">
        <w:t xml:space="preserve"> </w:t>
      </w:r>
      <w:r w:rsidRPr="00E3331A">
        <w:t>g/kg)</w:t>
      </w:r>
      <w:r w:rsidR="002C304E" w:rsidRPr="00E3331A">
        <w:t xml:space="preserve"> </w:t>
      </w:r>
      <w:r w:rsidR="00B85C75">
        <w:rPr>
          <w:noProof/>
        </w:rPr>
        <w:t>(Hahn et al. 1996b; Hughes et al. 2001; Vermeulen et al. 1993)</w:t>
      </w:r>
      <w:r w:rsidR="002C304E" w:rsidRPr="00E3331A">
        <w:t>,</w:t>
      </w:r>
      <w:r w:rsidRPr="00E3331A">
        <w:t xml:space="preserve"> </w:t>
      </w:r>
      <w:r w:rsidR="00305BEF" w:rsidRPr="00E3331A">
        <w:t>three studies reported consistent dosing of Ig at 2 g/kg over six months</w:t>
      </w:r>
      <w:r w:rsidR="002C304E" w:rsidRPr="00E3331A">
        <w:t xml:space="preserve"> </w:t>
      </w:r>
      <w:r w:rsidR="00B85C75">
        <w:rPr>
          <w:noProof/>
        </w:rPr>
        <w:t>(Markvardsen et al. 2017; Nobile-Orazio et al. 2012b; Zinman et al. 2005)</w:t>
      </w:r>
      <w:r w:rsidR="00305BEF" w:rsidRPr="00E3331A">
        <w:t xml:space="preserve"> </w:t>
      </w:r>
      <w:r w:rsidR="002C304E" w:rsidRPr="00E3331A">
        <w:t xml:space="preserve">and </w:t>
      </w:r>
      <w:r w:rsidRPr="00E3331A">
        <w:t xml:space="preserve">one study gave an induction dose followed by an additional dose </w:t>
      </w:r>
      <w:r w:rsidR="00305BEF" w:rsidRPr="00E3331A">
        <w:t>of</w:t>
      </w:r>
      <w:r w:rsidRPr="00E3331A">
        <w:t xml:space="preserve"> 1 g/kg </w:t>
      </w:r>
      <w:r w:rsidR="00305BEF" w:rsidRPr="00E3331A">
        <w:t>three</w:t>
      </w:r>
      <w:r w:rsidRPr="00E3331A">
        <w:t xml:space="preserve"> weeks later</w:t>
      </w:r>
      <w:r w:rsidR="002C304E" w:rsidRPr="00E3331A">
        <w:t xml:space="preserve"> </w:t>
      </w:r>
      <w:r w:rsidR="00B85C75">
        <w:rPr>
          <w:noProof/>
        </w:rPr>
        <w:t>(Mendell et al. 2001)</w:t>
      </w:r>
      <w:r w:rsidR="002C304E" w:rsidRPr="00E3331A">
        <w:t>.</w:t>
      </w:r>
      <w:r w:rsidRPr="00E3331A">
        <w:t xml:space="preserve"> </w:t>
      </w:r>
      <w:r w:rsidR="00305BEF" w:rsidRPr="00E3331A">
        <w:t>One</w:t>
      </w:r>
      <w:r w:rsidRPr="00E3331A">
        <w:t xml:space="preserve"> stud</w:t>
      </w:r>
      <w:r w:rsidR="00305BEF" w:rsidRPr="00E3331A">
        <w:t>y</w:t>
      </w:r>
      <w:r w:rsidRPr="00E3331A">
        <w:t xml:space="preserve"> reported using an induction dose (2 g/kg) followed by lower-dose Ig</w:t>
      </w:r>
      <w:r w:rsidR="00305BEF" w:rsidRPr="00E3331A">
        <w:t xml:space="preserve"> (0.4 g/kg)</w:t>
      </w:r>
      <w:r w:rsidRPr="00E3331A">
        <w:t xml:space="preserve"> given over an extended period</w:t>
      </w:r>
      <w:r w:rsidR="002C304E" w:rsidRPr="00E3331A">
        <w:t xml:space="preserve"> </w:t>
      </w:r>
      <w:r w:rsidR="00B85C75">
        <w:rPr>
          <w:noProof/>
        </w:rPr>
        <w:t>(Hughes et al. 2008)</w:t>
      </w:r>
      <w:r w:rsidR="002C304E" w:rsidRPr="00E3331A">
        <w:t>.</w:t>
      </w:r>
      <w:r w:rsidRPr="00E3331A">
        <w:t xml:space="preserve"> </w:t>
      </w:r>
      <w:r w:rsidR="002C304E" w:rsidRPr="00E3331A">
        <w:t>O</w:t>
      </w:r>
      <w:r w:rsidR="00305BEF" w:rsidRPr="00E3331A">
        <w:t>ne study used a dose of 0.4 mg/kg for three weeks followed by three weeks of treatment at 0.2 g/kg</w:t>
      </w:r>
      <w:r w:rsidR="002C304E" w:rsidRPr="00E3331A">
        <w:t xml:space="preserve"> </w:t>
      </w:r>
      <w:r w:rsidR="00B85C75">
        <w:rPr>
          <w:noProof/>
        </w:rPr>
        <w:t>(Dyck et al. 1994)</w:t>
      </w:r>
      <w:r w:rsidR="002C304E" w:rsidRPr="00E3331A">
        <w:t>.</w:t>
      </w:r>
      <w:r w:rsidRPr="00E3331A">
        <w:t xml:space="preserve"> Studies providing only a single dose of Ig had short follow-up periods and th</w:t>
      </w:r>
      <w:r w:rsidR="002C304E" w:rsidRPr="00E3331A">
        <w:t>us</w:t>
      </w:r>
      <w:r w:rsidRPr="00E3331A">
        <w:t xml:space="preserve"> the applicability of these studies to the long-</w:t>
      </w:r>
      <w:r w:rsidRPr="00E3331A">
        <w:lastRenderedPageBreak/>
        <w:t xml:space="preserve">term management of patients with CIDP is limited. </w:t>
      </w:r>
      <w:r w:rsidR="00305BEF" w:rsidRPr="00E3331A">
        <w:t xml:space="preserve">No study reported using doses of Ig that would not be allowed under Version 3 of </w:t>
      </w:r>
      <w:r w:rsidR="00F64AD0" w:rsidRPr="00E3331A">
        <w:t>‘</w:t>
      </w:r>
      <w:r w:rsidR="00305BEF" w:rsidRPr="00E3331A">
        <w:rPr>
          <w:i/>
        </w:rPr>
        <w:t>the Criteria</w:t>
      </w:r>
      <w:r w:rsidR="00F64AD0" w:rsidRPr="00E3331A">
        <w:rPr>
          <w:i/>
        </w:rPr>
        <w:t>’</w:t>
      </w:r>
      <w:r w:rsidR="00305BEF" w:rsidRPr="00E3331A">
        <w:t>.</w:t>
      </w:r>
    </w:p>
    <w:p w:rsidR="00FB71F6" w:rsidRPr="00E3331A" w:rsidRDefault="002B644D" w:rsidP="00FB71F6">
      <w:r w:rsidRPr="00E3331A">
        <w:t>The</w:t>
      </w:r>
      <w:r w:rsidR="007400BE" w:rsidRPr="00E3331A">
        <w:t xml:space="preserve"> four</w:t>
      </w:r>
      <w:r w:rsidR="00FB71F6" w:rsidRPr="00E3331A">
        <w:t xml:space="preserve"> studies investigating daily use of steroids </w:t>
      </w:r>
      <w:r w:rsidRPr="00E3331A">
        <w:t xml:space="preserve">each </w:t>
      </w:r>
      <w:r w:rsidR="00FB71F6" w:rsidRPr="00E3331A">
        <w:t>included dose tapering over the course of the treatment</w:t>
      </w:r>
      <w:r w:rsidRPr="00E3331A">
        <w:t>,</w:t>
      </w:r>
      <w:r w:rsidR="00FB71F6" w:rsidRPr="00E3331A">
        <w:t xml:space="preserve"> consistent with how steroids would be used in clinical practice</w:t>
      </w:r>
      <w:r w:rsidRPr="00E3331A">
        <w:t xml:space="preserve"> </w:t>
      </w:r>
      <w:r w:rsidR="00B85C75">
        <w:rPr>
          <w:noProof/>
        </w:rPr>
        <w:t>(Expert Neurologist 2019)</w:t>
      </w:r>
      <w:r w:rsidRPr="00E3331A">
        <w:t>.</w:t>
      </w:r>
      <w:r w:rsidR="00FB71F6" w:rsidRPr="00E3331A">
        <w:t xml:space="preserve"> </w:t>
      </w:r>
      <w:r w:rsidR="007400BE" w:rsidRPr="00E3331A">
        <w:t>Two studies used prednisone at a starting dose o</w:t>
      </w:r>
      <w:r w:rsidRPr="00E3331A">
        <w:t>f</w:t>
      </w:r>
      <w:r w:rsidR="007400BE" w:rsidRPr="00E3331A">
        <w:t xml:space="preserve"> 120 mg</w:t>
      </w:r>
      <w:r w:rsidRPr="00E3331A">
        <w:t>,</w:t>
      </w:r>
      <w:r w:rsidR="007400BE" w:rsidRPr="00E3331A">
        <w:t xml:space="preserve"> tapering to zero</w:t>
      </w:r>
      <w:r w:rsidRPr="00E3331A">
        <w:t xml:space="preserve"> </w:t>
      </w:r>
      <w:r w:rsidR="00B85C75">
        <w:rPr>
          <w:noProof/>
        </w:rPr>
        <w:t>(Dyck et al. 1985; Dyck et al. 1982)</w:t>
      </w:r>
      <w:r w:rsidRPr="00E3331A">
        <w:t>;</w:t>
      </w:r>
      <w:r w:rsidR="007400BE" w:rsidRPr="00E3331A">
        <w:t xml:space="preserve"> two studies used oral prednisolone </w:t>
      </w:r>
      <w:r w:rsidRPr="00E3331A">
        <w:t xml:space="preserve">at </w:t>
      </w:r>
      <w:r w:rsidR="007400BE" w:rsidRPr="00E3331A">
        <w:t>60 mg daily</w:t>
      </w:r>
      <w:r w:rsidRPr="00E3331A">
        <w:t>,</w:t>
      </w:r>
      <w:r w:rsidR="007400BE" w:rsidRPr="00E3331A">
        <w:t xml:space="preserve"> tapering to zero</w:t>
      </w:r>
      <w:r w:rsidRPr="00E3331A">
        <w:t xml:space="preserve"> </w:t>
      </w:r>
      <w:r w:rsidR="00B85C75">
        <w:rPr>
          <w:noProof/>
        </w:rPr>
        <w:t>(Hughes et al. 2001; van Schaik et al. 2010)</w:t>
      </w:r>
      <w:r w:rsidR="007400BE" w:rsidRPr="00E3331A">
        <w:t xml:space="preserve">. Two studies investigated </w:t>
      </w:r>
      <w:r w:rsidR="00305BEF" w:rsidRPr="00E3331A">
        <w:t xml:space="preserve">a </w:t>
      </w:r>
      <w:r w:rsidR="007400BE" w:rsidRPr="00E3331A">
        <w:t>pulsed</w:t>
      </w:r>
      <w:r w:rsidRPr="00E3331A">
        <w:t>-</w:t>
      </w:r>
      <w:r w:rsidR="007400BE" w:rsidRPr="00E3331A">
        <w:t xml:space="preserve">steroids </w:t>
      </w:r>
      <w:r w:rsidR="004F4F41" w:rsidRPr="00E3331A">
        <w:t>regimen</w:t>
      </w:r>
      <w:r w:rsidR="007400BE" w:rsidRPr="00E3331A">
        <w:t xml:space="preserve"> where the intervention was given for four days per month</w:t>
      </w:r>
      <w:r w:rsidRPr="00E3331A">
        <w:t xml:space="preserve"> </w:t>
      </w:r>
      <w:r w:rsidR="00B85C75">
        <w:rPr>
          <w:noProof/>
        </w:rPr>
        <w:t>(Nobile-Orazio et al. 2012b; van Schaik et al. 2010)</w:t>
      </w:r>
      <w:r w:rsidRPr="00E3331A">
        <w:t>.</w:t>
      </w:r>
      <w:r w:rsidR="007400BE" w:rsidRPr="00E3331A">
        <w:t xml:space="preserve"> </w:t>
      </w:r>
      <w:r w:rsidR="00305BEF" w:rsidRPr="00E3331A">
        <w:t>Nob</w:t>
      </w:r>
      <w:r w:rsidR="00EB5C39" w:rsidRPr="00E3331A">
        <w:t xml:space="preserve">ile-Orazio </w:t>
      </w:r>
      <w:r w:rsidR="00983BA7">
        <w:t xml:space="preserve">et al. </w:t>
      </w:r>
      <w:r w:rsidR="00EB5C39" w:rsidRPr="00E3331A">
        <w:t xml:space="preserve">(2012) </w:t>
      </w:r>
      <w:r w:rsidR="007400BE" w:rsidRPr="00E3331A">
        <w:t xml:space="preserve">used IV methyl prednisone </w:t>
      </w:r>
      <w:r w:rsidR="00EB5C39" w:rsidRPr="00E3331A">
        <w:t>while</w:t>
      </w:r>
      <w:r w:rsidR="007400BE" w:rsidRPr="00E3331A">
        <w:t xml:space="preserve"> </w:t>
      </w:r>
      <w:r w:rsidR="00EB5C39" w:rsidRPr="00E3331A">
        <w:t xml:space="preserve">van Schaik </w:t>
      </w:r>
      <w:r w:rsidR="00983BA7">
        <w:t xml:space="preserve">et al. </w:t>
      </w:r>
      <w:r w:rsidR="00EB5C39" w:rsidRPr="00E3331A">
        <w:t>(2010)</w:t>
      </w:r>
      <w:r w:rsidR="007400BE" w:rsidRPr="00E3331A">
        <w:t xml:space="preserve"> used dexamethasone. E</w:t>
      </w:r>
      <w:r w:rsidR="00FB71F6" w:rsidRPr="00E3331A">
        <w:t>xpert</w:t>
      </w:r>
      <w:r w:rsidRPr="00E3331A">
        <w:t>s</w:t>
      </w:r>
      <w:r w:rsidR="00FB71F6" w:rsidRPr="00E3331A">
        <w:t xml:space="preserve"> advi</w:t>
      </w:r>
      <w:r w:rsidRPr="00E3331A">
        <w:t>s</w:t>
      </w:r>
      <w:r w:rsidR="00FB71F6" w:rsidRPr="00E3331A">
        <w:t xml:space="preserve">e that in </w:t>
      </w:r>
      <w:r w:rsidR="004F4F41" w:rsidRPr="00E3331A">
        <w:t>Australia</w:t>
      </w:r>
      <w:r w:rsidRPr="00E3331A">
        <w:t>,</w:t>
      </w:r>
      <w:r w:rsidR="006F5222" w:rsidRPr="00E3331A">
        <w:t xml:space="preserve"> IV methylprednisolone is favoured</w:t>
      </w:r>
      <w:r w:rsidR="003E1EBD" w:rsidRPr="00E3331A">
        <w:t xml:space="preserve"> and dexamethasone would rarely be used for this purpose</w:t>
      </w:r>
      <w:r w:rsidRPr="00E3331A">
        <w:t xml:space="preserve"> </w:t>
      </w:r>
      <w:r w:rsidR="00B85C75">
        <w:rPr>
          <w:noProof/>
        </w:rPr>
        <w:t>(Expert Neurologist 2019)</w:t>
      </w:r>
      <w:r w:rsidRPr="00E3331A">
        <w:t>.</w:t>
      </w:r>
    </w:p>
    <w:p w:rsidR="00851F81" w:rsidRPr="00E3331A" w:rsidRDefault="00851F81" w:rsidP="00FB71F6">
      <w:r w:rsidRPr="00E3331A">
        <w:t xml:space="preserve">Three studies investigated </w:t>
      </w:r>
      <w:r w:rsidR="004F4F41" w:rsidRPr="00E3331A">
        <w:t>p</w:t>
      </w:r>
      <w:r w:rsidRPr="00E3331A">
        <w:t>lasma exchange</w:t>
      </w:r>
      <w:r w:rsidR="009D21C4" w:rsidRPr="00E3331A">
        <w:t>. O</w:t>
      </w:r>
      <w:r w:rsidRPr="00E3331A">
        <w:t xml:space="preserve">ne </w:t>
      </w:r>
      <w:r w:rsidR="009D21C4" w:rsidRPr="00E3331A">
        <w:t xml:space="preserve">study </w:t>
      </w:r>
      <w:r w:rsidRPr="00E3331A">
        <w:t xml:space="preserve">administered 10 exchanges over </w:t>
      </w:r>
      <w:r w:rsidR="00CA4C10" w:rsidRPr="00E3331A">
        <w:t>four</w:t>
      </w:r>
      <w:r w:rsidRPr="00E3331A">
        <w:t xml:space="preserve"> weeks</w:t>
      </w:r>
      <w:r w:rsidR="009D21C4" w:rsidRPr="00E3331A">
        <w:t xml:space="preserve"> </w:t>
      </w:r>
      <w:r w:rsidR="00B85C75">
        <w:rPr>
          <w:noProof/>
        </w:rPr>
        <w:t>(Hahn et al. 1996a)</w:t>
      </w:r>
      <w:r w:rsidR="009D21C4" w:rsidRPr="00E3331A">
        <w:t>,</w:t>
      </w:r>
      <w:r w:rsidRPr="00E3331A">
        <w:t xml:space="preserve"> one used twice</w:t>
      </w:r>
      <w:r w:rsidR="00417823">
        <w:t xml:space="preserve"> </w:t>
      </w:r>
      <w:r w:rsidRPr="00E3331A">
        <w:t xml:space="preserve">weekly exchanges for </w:t>
      </w:r>
      <w:r w:rsidR="00CA4C10" w:rsidRPr="00E3331A">
        <w:t>three</w:t>
      </w:r>
      <w:r w:rsidRPr="00E3331A">
        <w:t xml:space="preserve"> weeks </w:t>
      </w:r>
      <w:r w:rsidR="009D21C4" w:rsidRPr="00E3331A">
        <w:t xml:space="preserve">followed by </w:t>
      </w:r>
      <w:r w:rsidRPr="00E3331A">
        <w:t xml:space="preserve">weekly exchanges for </w:t>
      </w:r>
      <w:r w:rsidR="00CA4C10" w:rsidRPr="00E3331A">
        <w:t>three</w:t>
      </w:r>
      <w:r w:rsidRPr="00E3331A">
        <w:t xml:space="preserve"> weeks</w:t>
      </w:r>
      <w:r w:rsidR="009D21C4" w:rsidRPr="00E3331A">
        <w:t xml:space="preserve"> </w:t>
      </w:r>
      <w:r w:rsidR="00B85C75">
        <w:rPr>
          <w:noProof/>
        </w:rPr>
        <w:t>(Dyck et al. 1994)</w:t>
      </w:r>
      <w:r w:rsidR="009D21C4" w:rsidRPr="00E3331A">
        <w:t>,</w:t>
      </w:r>
      <w:r w:rsidRPr="00E3331A">
        <w:t xml:space="preserve"> and the third </w:t>
      </w:r>
      <w:r w:rsidR="00EB5C39" w:rsidRPr="00E3331A">
        <w:t xml:space="preserve">study </w:t>
      </w:r>
      <w:r w:rsidRPr="00E3331A">
        <w:t>did not report the exchange schedule</w:t>
      </w:r>
      <w:r w:rsidR="00983BA7">
        <w:t xml:space="preserve"> </w:t>
      </w:r>
      <w:r w:rsidR="00B85C75">
        <w:rPr>
          <w:noProof/>
        </w:rPr>
        <w:t>(Dyck et al. 1986)</w:t>
      </w:r>
      <w:r w:rsidR="009D21C4" w:rsidRPr="00E3331A">
        <w:t>.</w:t>
      </w:r>
    </w:p>
    <w:p w:rsidR="00FB71F6" w:rsidRPr="00E3331A" w:rsidRDefault="00087E7F" w:rsidP="00FB71F6">
      <w:r w:rsidRPr="00E3331A">
        <w:t>Generally</w:t>
      </w:r>
      <w:r w:rsidR="00C8172F" w:rsidRPr="00E3331A">
        <w:t>,</w:t>
      </w:r>
      <w:r w:rsidRPr="00E3331A">
        <w:t xml:space="preserve"> the observation period within the </w:t>
      </w:r>
      <w:r w:rsidR="00C8172F" w:rsidRPr="00E3331A">
        <w:t>RCT</w:t>
      </w:r>
      <w:r w:rsidRPr="00E3331A">
        <w:t>s was short</w:t>
      </w:r>
      <w:r w:rsidR="00C8172F" w:rsidRPr="00E3331A">
        <w:t>,</w:t>
      </w:r>
      <w:r w:rsidRPr="00E3331A">
        <w:t xml:space="preserve"> excep</w:t>
      </w:r>
      <w:r w:rsidR="00C8172F" w:rsidRPr="00E3331A">
        <w:t>t for</w:t>
      </w:r>
      <w:r w:rsidRPr="00E3331A">
        <w:t xml:space="preserve"> of </w:t>
      </w:r>
      <w:r w:rsidR="00B824AB" w:rsidRPr="00E3331A">
        <w:t>six</w:t>
      </w:r>
      <w:r w:rsidRPr="00E3331A">
        <w:t xml:space="preserve"> studies </w:t>
      </w:r>
      <w:r w:rsidR="00C8172F" w:rsidRPr="00E3331A">
        <w:t xml:space="preserve">that </w:t>
      </w:r>
      <w:r w:rsidRPr="00E3331A">
        <w:t>followed patients for 6</w:t>
      </w:r>
      <w:r w:rsidR="0074438B" w:rsidRPr="00E3331A">
        <w:t>-12</w:t>
      </w:r>
      <w:r w:rsidRPr="00E3331A">
        <w:t xml:space="preserve"> months</w:t>
      </w:r>
      <w:r w:rsidR="00C8172F" w:rsidRPr="00E3331A">
        <w:t xml:space="preserve"> </w:t>
      </w:r>
      <w:r w:rsidR="00B85C75">
        <w:rPr>
          <w:noProof/>
        </w:rPr>
        <w:t>(Dyck et al. 1985; Hughes et al. 2008; Nobile-Orazio et al. 2012b; van Schaik et al. 2010; Vermeulen et al. 1993; Zinman et al. 2005)</w:t>
      </w:r>
      <w:r w:rsidR="00C8172F" w:rsidRPr="00E3331A">
        <w:t>.</w:t>
      </w:r>
      <w:r w:rsidR="0074438B" w:rsidRPr="00E3331A">
        <w:t xml:space="preserve"> </w:t>
      </w:r>
      <w:r w:rsidRPr="00E3331A">
        <w:t>A key concern with respect to the comparative safety</w:t>
      </w:r>
      <w:r w:rsidR="0034368A" w:rsidRPr="00E3331A">
        <w:t xml:space="preserve"> and </w:t>
      </w:r>
      <w:r w:rsidR="00E1416F" w:rsidRPr="00E3331A">
        <w:t>effectiveness</w:t>
      </w:r>
      <w:r w:rsidRPr="00E3331A">
        <w:t xml:space="preserve"> of interventions for CIDP is the </w:t>
      </w:r>
      <w:r w:rsidR="00E1416F" w:rsidRPr="00E3331A">
        <w:t>long-term</w:t>
      </w:r>
      <w:r w:rsidRPr="00E3331A">
        <w:t xml:space="preserve"> outcome of therapy</w:t>
      </w:r>
      <w:r w:rsidR="00C8172F" w:rsidRPr="00E3331A">
        <w:t>.</w:t>
      </w:r>
      <w:r w:rsidRPr="00E3331A">
        <w:t xml:space="preserve"> </w:t>
      </w:r>
      <w:r w:rsidR="00C8172F" w:rsidRPr="00E3331A">
        <w:t>But</w:t>
      </w:r>
      <w:r w:rsidRPr="00E3331A">
        <w:t xml:space="preserve"> only limited data is available to inform this consideration.</w:t>
      </w:r>
      <w:r w:rsidR="00DF2F9D" w:rsidRPr="00E3331A">
        <w:t xml:space="preserve"> O</w:t>
      </w:r>
      <w:r w:rsidRPr="00E3331A">
        <w:t xml:space="preserve">nly one of the studies with </w:t>
      </w:r>
      <w:r w:rsidR="00C8172F" w:rsidRPr="00E3331A">
        <w:t xml:space="preserve">a </w:t>
      </w:r>
      <w:r w:rsidRPr="00E3331A">
        <w:t>longer follow-up compared IVIg to an active comparator</w:t>
      </w:r>
      <w:r w:rsidR="00DF2F9D" w:rsidRPr="00E3331A">
        <w:t xml:space="preserve"> currently </w:t>
      </w:r>
      <w:r w:rsidR="00C8172F" w:rsidRPr="00E3331A">
        <w:t xml:space="preserve">in use </w:t>
      </w:r>
      <w:r w:rsidR="00DF2F9D" w:rsidRPr="00E3331A">
        <w:t>in Australia for CIDP treatment</w:t>
      </w:r>
      <w:r w:rsidR="00C8172F" w:rsidRPr="00E3331A">
        <w:t xml:space="preserve"> </w:t>
      </w:r>
      <w:r w:rsidR="00B85C75">
        <w:rPr>
          <w:noProof/>
        </w:rPr>
        <w:t>(Nobile-Orazio et al. 2012b)</w:t>
      </w:r>
      <w:r w:rsidR="00C8172F" w:rsidRPr="00E3331A">
        <w:t>.</w:t>
      </w:r>
      <w:r w:rsidRPr="00E3331A">
        <w:t xml:space="preserve"> </w:t>
      </w:r>
      <w:r w:rsidR="00FB71F6" w:rsidRPr="00E3331A">
        <w:t>Overall</w:t>
      </w:r>
      <w:r w:rsidR="00C8172F" w:rsidRPr="00E3331A">
        <w:t xml:space="preserve">, despite the </w:t>
      </w:r>
      <w:r w:rsidR="002A39FE" w:rsidRPr="00E3331A">
        <w:t>limit</w:t>
      </w:r>
      <w:r w:rsidR="00C8172F" w:rsidRPr="00E3331A">
        <w:t>ation</w:t>
      </w:r>
      <w:r w:rsidR="002A39FE" w:rsidRPr="00E3331A">
        <w:t xml:space="preserve"> </w:t>
      </w:r>
      <w:r w:rsidR="00C8172F" w:rsidRPr="00E3331A">
        <w:t xml:space="preserve">of </w:t>
      </w:r>
      <w:r w:rsidR="002A39FE" w:rsidRPr="00E3331A">
        <w:t xml:space="preserve">short-term outcomes, </w:t>
      </w:r>
      <w:r w:rsidR="00FB71F6" w:rsidRPr="00E3331A">
        <w:t xml:space="preserve">the evidence base identified on the treatment of CIDP appears to be applicable to the intended population of this Assessment. </w:t>
      </w:r>
    </w:p>
    <w:p w:rsidR="00FB71F6" w:rsidRPr="00E3331A" w:rsidRDefault="00FB71F6" w:rsidP="00FB71F6">
      <w:r w:rsidRPr="00E3331A">
        <w:t>An additional five trials were identified that assessed</w:t>
      </w:r>
      <w:r w:rsidR="007643FA" w:rsidRPr="00E3331A">
        <w:t xml:space="preserve"> ongoing</w:t>
      </w:r>
      <w:r w:rsidRPr="00E3331A">
        <w:t xml:space="preserve"> maintenance in patients who were in remission or currently responding to treatment (</w:t>
      </w:r>
      <w:r w:rsidR="006F35B9" w:rsidRPr="00E3331A">
        <w:t xml:space="preserve">Table </w:t>
      </w:r>
      <w:r w:rsidR="006F35B9">
        <w:rPr>
          <w:noProof/>
        </w:rPr>
        <w:t>21</w:t>
      </w:r>
      <w:r w:rsidR="006D49EC" w:rsidRPr="00E3331A">
        <w:t xml:space="preserve"> </w:t>
      </w:r>
      <w:r w:rsidR="00CA4C10" w:rsidRPr="00E3331A">
        <w:t>and Appendix C</w:t>
      </w:r>
      <w:r w:rsidRPr="00E3331A">
        <w:t>)</w:t>
      </w:r>
      <w:r w:rsidR="006D49EC" w:rsidRPr="00E3331A">
        <w:t xml:space="preserve">. </w:t>
      </w:r>
      <w:r w:rsidR="007A1BA1" w:rsidRPr="00E3331A">
        <w:t>C</w:t>
      </w:r>
      <w:r w:rsidRPr="00E3331A">
        <w:t>riteria for</w:t>
      </w:r>
      <w:r w:rsidR="007A1BA1" w:rsidRPr="00E3331A">
        <w:t xml:space="preserve"> the</w:t>
      </w:r>
      <w:r w:rsidRPr="00E3331A">
        <w:t xml:space="preserve"> diagnosis</w:t>
      </w:r>
      <w:r w:rsidR="007A1BA1" w:rsidRPr="00E3331A">
        <w:t xml:space="preserve"> of CIDP</w:t>
      </w:r>
      <w:r w:rsidRPr="00E3331A">
        <w:t xml:space="preserve"> were AAN</w:t>
      </w:r>
      <w:r w:rsidR="00C8172F" w:rsidRPr="00E3331A">
        <w:t xml:space="preserve"> </w:t>
      </w:r>
      <w:r w:rsidR="00B85C75">
        <w:rPr>
          <w:noProof/>
        </w:rPr>
        <w:t>(Kuitwaard et al. 2010)</w:t>
      </w:r>
      <w:r w:rsidR="00C8172F" w:rsidRPr="00E3331A">
        <w:t>,</w:t>
      </w:r>
      <w:r w:rsidRPr="00E3331A">
        <w:t xml:space="preserve"> ENFS/PNS</w:t>
      </w:r>
      <w:r w:rsidR="00C8172F" w:rsidRPr="00E3331A">
        <w:t xml:space="preserve"> </w:t>
      </w:r>
      <w:r w:rsidR="00B85C75">
        <w:rPr>
          <w:noProof/>
        </w:rPr>
        <w:t>(Hughes et al. 2018; Markvardsen et al. 2013; van Geloven et al. 2018)</w:t>
      </w:r>
      <w:r w:rsidR="00C8172F" w:rsidRPr="00E3331A">
        <w:t xml:space="preserve">, </w:t>
      </w:r>
      <w:r w:rsidRPr="00E3331A">
        <w:t xml:space="preserve">or </w:t>
      </w:r>
      <w:r w:rsidR="00C8172F" w:rsidRPr="00E3331A">
        <w:t>were un</w:t>
      </w:r>
      <w:r w:rsidRPr="00E3331A">
        <w:t>reported</w:t>
      </w:r>
      <w:r w:rsidR="00C8172F" w:rsidRPr="00E3331A">
        <w:t xml:space="preserve"> </w:t>
      </w:r>
      <w:r w:rsidR="00B85C75">
        <w:rPr>
          <w:noProof/>
        </w:rPr>
        <w:t>(R. M. C. Trial Group 2009)</w:t>
      </w:r>
      <w:r w:rsidR="00C8172F" w:rsidRPr="00E3331A">
        <w:t>.</w:t>
      </w:r>
      <w:r w:rsidRPr="00E3331A">
        <w:t xml:space="preserve"> Generally, patient</w:t>
      </w:r>
      <w:r w:rsidR="00C8172F" w:rsidRPr="00E3331A">
        <w:t>s</w:t>
      </w:r>
      <w:r w:rsidRPr="00E3331A">
        <w:t xml:space="preserve"> in the </w:t>
      </w:r>
      <w:r w:rsidR="006D49EC" w:rsidRPr="00E3331A">
        <w:t>maintenance</w:t>
      </w:r>
      <w:r w:rsidRPr="00E3331A">
        <w:t xml:space="preserve"> studies had </w:t>
      </w:r>
      <w:r w:rsidR="006D49EC" w:rsidRPr="00E3331A">
        <w:t xml:space="preserve">been diagnosed with CIDP at least two years before enrolment. </w:t>
      </w:r>
      <w:r w:rsidRPr="00E3331A">
        <w:t xml:space="preserve">All patients in these studies had to be currently </w:t>
      </w:r>
      <w:r w:rsidR="006D49EC" w:rsidRPr="00E3331A">
        <w:t>responding</w:t>
      </w:r>
      <w:r w:rsidRPr="00E3331A">
        <w:t xml:space="preserve"> to treatment</w:t>
      </w:r>
      <w:r w:rsidR="00C8172F" w:rsidRPr="00E3331A">
        <w:t>, consisting of</w:t>
      </w:r>
      <w:r w:rsidRPr="00E3331A">
        <w:t xml:space="preserve"> IVIg in three studies</w:t>
      </w:r>
      <w:r w:rsidR="00C8172F" w:rsidRPr="00E3331A">
        <w:t xml:space="preserve"> </w:t>
      </w:r>
      <w:r w:rsidR="00B85C75">
        <w:rPr>
          <w:noProof/>
        </w:rPr>
        <w:t>(Kuitwaard et al. 2010; Markvardsen et al. 2013; van Geloven et al. 2018)</w:t>
      </w:r>
      <w:r w:rsidRPr="00E3331A">
        <w:t xml:space="preserve"> </w:t>
      </w:r>
      <w:r w:rsidR="006D49EC" w:rsidRPr="00E3331A">
        <w:t>a</w:t>
      </w:r>
      <w:r w:rsidRPr="00E3331A">
        <w:t xml:space="preserve">nd Ig or </w:t>
      </w:r>
      <w:r w:rsidR="006D49EC" w:rsidRPr="00E3331A">
        <w:t>steroids</w:t>
      </w:r>
      <w:r w:rsidRPr="00E3331A">
        <w:t xml:space="preserve"> in two studies</w:t>
      </w:r>
      <w:r w:rsidR="00C8172F" w:rsidRPr="00E3331A">
        <w:t xml:space="preserve"> </w:t>
      </w:r>
      <w:r w:rsidR="00B85C75">
        <w:rPr>
          <w:noProof/>
        </w:rPr>
        <w:t>(Hughes et al. 2018; R. M. C. Trial Group 2009)</w:t>
      </w:r>
      <w:r w:rsidR="00C8172F" w:rsidRPr="00E3331A">
        <w:t>.</w:t>
      </w:r>
    </w:p>
    <w:p w:rsidR="00FB71F6" w:rsidRPr="00E3331A" w:rsidRDefault="006D49EC" w:rsidP="00FB71F6">
      <w:r w:rsidRPr="00E3331A">
        <w:t>P</w:t>
      </w:r>
      <w:r w:rsidR="00FB71F6" w:rsidRPr="00E3331A">
        <w:t>atients included in the ma</w:t>
      </w:r>
      <w:r w:rsidRPr="00E3331A">
        <w:t>intenance</w:t>
      </w:r>
      <w:r w:rsidR="00FB71F6" w:rsidRPr="00E3331A">
        <w:t xml:space="preserve"> studies were generally </w:t>
      </w:r>
      <w:r w:rsidR="0016271D" w:rsidRPr="00E3331A">
        <w:t>middle-aged</w:t>
      </w:r>
      <w:r w:rsidR="00FB71F6" w:rsidRPr="00E3331A">
        <w:t xml:space="preserve"> males</w:t>
      </w:r>
      <w:r w:rsidRPr="00E3331A">
        <w:t xml:space="preserve"> (Appendix C)</w:t>
      </w:r>
      <w:r w:rsidR="00FB71F6" w:rsidRPr="00E3331A">
        <w:t>.</w:t>
      </w:r>
      <w:r w:rsidR="001B3D0D" w:rsidRPr="00E3331A">
        <w:t xml:space="preserve"> Baseline disability was measured as a mean</w:t>
      </w:r>
      <w:r w:rsidR="00F22C3F" w:rsidRPr="00E3331A">
        <w:t xml:space="preserve"> Inflammatory Neuropathy Cause and Treatment</w:t>
      </w:r>
      <w:r w:rsidR="001B3D0D" w:rsidRPr="00E3331A">
        <w:t xml:space="preserve"> </w:t>
      </w:r>
      <w:r w:rsidR="00F22C3F" w:rsidRPr="00E3331A">
        <w:t>(</w:t>
      </w:r>
      <w:r w:rsidR="001B3D0D" w:rsidRPr="00E3331A">
        <w:t>INCAT</w:t>
      </w:r>
      <w:r w:rsidR="00F22C3F" w:rsidRPr="00E3331A">
        <w:t>)</w:t>
      </w:r>
      <w:r w:rsidR="001B3D0D" w:rsidRPr="00E3331A">
        <w:t xml:space="preserve"> of 2-3 in </w:t>
      </w:r>
      <w:r w:rsidR="00C8172F" w:rsidRPr="00E3331A">
        <w:t>two</w:t>
      </w:r>
      <w:r w:rsidR="001B3D0D" w:rsidRPr="00E3331A">
        <w:t xml:space="preserve"> studies</w:t>
      </w:r>
      <w:r w:rsidR="00C8172F" w:rsidRPr="00E3331A">
        <w:t xml:space="preserve"> </w:t>
      </w:r>
      <w:r w:rsidR="00B85C75">
        <w:rPr>
          <w:noProof/>
        </w:rPr>
        <w:t>(Hughes et al. 2018; van Geloven et al. 2018)</w:t>
      </w:r>
      <w:r w:rsidR="00C8172F" w:rsidRPr="00E3331A">
        <w:t>,</w:t>
      </w:r>
      <w:r w:rsidRPr="00E3331A">
        <w:t xml:space="preserve"> </w:t>
      </w:r>
      <w:r w:rsidR="001B3D0D" w:rsidRPr="00E3331A">
        <w:t xml:space="preserve">a mean </w:t>
      </w:r>
      <w:r w:rsidR="00751590" w:rsidRPr="00E3331A">
        <w:t xml:space="preserve">overall disability sum </w:t>
      </w:r>
      <w:r w:rsidR="00751590" w:rsidRPr="00E3331A">
        <w:lastRenderedPageBreak/>
        <w:t>score (</w:t>
      </w:r>
      <w:r w:rsidR="001B3D0D" w:rsidRPr="00E3331A">
        <w:t>ODSS</w:t>
      </w:r>
      <w:r w:rsidR="00751590" w:rsidRPr="00E3331A">
        <w:t>)</w:t>
      </w:r>
      <w:r w:rsidR="001B3D0D" w:rsidRPr="00E3331A">
        <w:t xml:space="preserve"> of 3-4 in </w:t>
      </w:r>
      <w:r w:rsidR="00C8172F" w:rsidRPr="00E3331A">
        <w:t xml:space="preserve">two </w:t>
      </w:r>
      <w:r w:rsidR="001B3D0D" w:rsidRPr="00E3331A">
        <w:t>studies</w:t>
      </w:r>
      <w:r w:rsidR="00C8172F" w:rsidRPr="00E3331A">
        <w:t xml:space="preserve"> </w:t>
      </w:r>
      <w:r w:rsidR="00B85C75">
        <w:rPr>
          <w:noProof/>
        </w:rPr>
        <w:t>(Kuitwaard et al. 2010; Markvardsen et al. 2013)</w:t>
      </w:r>
      <w:r w:rsidR="00C8172F" w:rsidRPr="00E3331A">
        <w:t>,</w:t>
      </w:r>
      <w:r w:rsidR="001B3D0D" w:rsidRPr="00E3331A">
        <w:t xml:space="preserve"> </w:t>
      </w:r>
      <w:r w:rsidRPr="00E3331A">
        <w:t>a</w:t>
      </w:r>
      <w:r w:rsidR="001B3D0D" w:rsidRPr="00E3331A">
        <w:t xml:space="preserve">nd a mean </w:t>
      </w:r>
      <w:r w:rsidR="00751590" w:rsidRPr="00E3331A">
        <w:t>Overall Neuropathy Limitation Scale (</w:t>
      </w:r>
      <w:r w:rsidR="001B3D0D" w:rsidRPr="00E3331A">
        <w:t>ONLS</w:t>
      </w:r>
      <w:r w:rsidR="00751590" w:rsidRPr="00E3331A">
        <w:t>) score</w:t>
      </w:r>
      <w:r w:rsidR="00345C95" w:rsidRPr="00E3331A">
        <w:t xml:space="preserve"> </w:t>
      </w:r>
      <w:r w:rsidR="00105C6A" w:rsidRPr="00E3331A">
        <w:t xml:space="preserve">of 4 </w:t>
      </w:r>
      <w:r w:rsidR="001B3D0D" w:rsidRPr="00E3331A">
        <w:t>in one study</w:t>
      </w:r>
      <w:r w:rsidR="007B2ADA" w:rsidRPr="00E3331A">
        <w:t xml:space="preserve"> </w:t>
      </w:r>
      <w:r w:rsidR="00B85C75">
        <w:rPr>
          <w:noProof/>
        </w:rPr>
        <w:t>(R. M. C. Trial Group 2009)</w:t>
      </w:r>
      <w:r w:rsidR="007B2ADA" w:rsidRPr="00E3331A">
        <w:t>.</w:t>
      </w:r>
    </w:p>
    <w:p w:rsidR="00105C6A" w:rsidRPr="00E3331A" w:rsidRDefault="00105C6A" w:rsidP="00FB71F6">
      <w:r w:rsidRPr="00E3331A">
        <w:t xml:space="preserve">Kuitwaard </w:t>
      </w:r>
      <w:r w:rsidR="00983BA7">
        <w:t xml:space="preserve">et al. </w:t>
      </w:r>
      <w:r w:rsidRPr="00E3331A">
        <w:t>(2010)</w:t>
      </w:r>
      <w:r w:rsidR="00FB71F6" w:rsidRPr="00E3331A">
        <w:t xml:space="preserve"> investigated disease </w:t>
      </w:r>
      <w:r w:rsidR="00B619A9" w:rsidRPr="00E3331A">
        <w:t>maintenance</w:t>
      </w:r>
      <w:r w:rsidR="00FB71F6" w:rsidRPr="00E3331A">
        <w:t xml:space="preserve"> with IVIg </w:t>
      </w:r>
      <w:r w:rsidRPr="00E3331A">
        <w:t>compared</w:t>
      </w:r>
      <w:r w:rsidR="00FB71F6" w:rsidRPr="00E3331A">
        <w:t xml:space="preserve"> to SCIg</w:t>
      </w:r>
      <w:r w:rsidR="002239E3" w:rsidRPr="00E3331A">
        <w:t xml:space="preserve"> </w:t>
      </w:r>
      <w:r w:rsidR="00B85C75">
        <w:rPr>
          <w:noProof/>
        </w:rPr>
        <w:t>(Kuitwaard et al. 2010)</w:t>
      </w:r>
      <w:r w:rsidR="002239E3" w:rsidRPr="00E3331A">
        <w:t>, while</w:t>
      </w:r>
      <w:r w:rsidR="00FB71F6" w:rsidRPr="00E3331A">
        <w:t xml:space="preserve"> </w:t>
      </w:r>
      <w:r w:rsidRPr="00E3331A">
        <w:t xml:space="preserve">van Shaik </w:t>
      </w:r>
      <w:r w:rsidR="00983BA7">
        <w:t xml:space="preserve">et al. </w:t>
      </w:r>
      <w:r w:rsidRPr="00E3331A">
        <w:t xml:space="preserve">(2018) and Markvardsen </w:t>
      </w:r>
      <w:r w:rsidR="00983BA7">
        <w:t xml:space="preserve">et al. </w:t>
      </w:r>
      <w:r w:rsidRPr="00E3331A">
        <w:t xml:space="preserve">(2013) </w:t>
      </w:r>
      <w:r w:rsidR="00FB71F6" w:rsidRPr="00E3331A">
        <w:t>investigated treatment mainten</w:t>
      </w:r>
      <w:r w:rsidRPr="00E3331A">
        <w:t>an</w:t>
      </w:r>
      <w:r w:rsidR="00FB71F6" w:rsidRPr="00E3331A">
        <w:t>ce with either SCIg or no treatment</w:t>
      </w:r>
      <w:r w:rsidR="002239E3" w:rsidRPr="00E3331A">
        <w:t xml:space="preserve"> </w:t>
      </w:r>
      <w:r w:rsidR="00B85C75">
        <w:rPr>
          <w:noProof/>
        </w:rPr>
        <w:t>(Markvardsen et al. 2013; van Geloven et al. 2018)</w:t>
      </w:r>
      <w:r w:rsidR="002239E3" w:rsidRPr="00E3331A">
        <w:t>.</w:t>
      </w:r>
    </w:p>
    <w:p w:rsidR="00FB71F6" w:rsidRPr="00E3331A" w:rsidRDefault="00105C6A" w:rsidP="00FB71F6">
      <w:r w:rsidRPr="00E3331A">
        <w:t xml:space="preserve">Two studies investigated the effectiveness of methotrexate or fingolimod </w:t>
      </w:r>
      <w:r w:rsidR="00751590" w:rsidRPr="00E3331A">
        <w:t>as</w:t>
      </w:r>
      <w:r w:rsidRPr="00E3331A">
        <w:t xml:space="preserve"> Ig and steroid</w:t>
      </w:r>
      <w:r w:rsidR="00D45BCF" w:rsidRPr="00E3331A">
        <w:t>-</w:t>
      </w:r>
      <w:r w:rsidRPr="00E3331A">
        <w:t>sparing agents</w:t>
      </w:r>
      <w:r w:rsidR="00FB71F6" w:rsidRPr="00E3331A">
        <w:t xml:space="preserve"> for disease maintenance. </w:t>
      </w:r>
    </w:p>
    <w:p w:rsidR="00FB71F6" w:rsidRPr="00E3331A" w:rsidRDefault="00FB71F6" w:rsidP="00FB71F6">
      <w:r w:rsidRPr="00E3331A">
        <w:t xml:space="preserve">One additional trial looked at treatment of CIDP </w:t>
      </w:r>
      <w:r w:rsidR="00AF6173" w:rsidRPr="00E3331A">
        <w:t>with</w:t>
      </w:r>
      <w:r w:rsidRPr="00E3331A">
        <w:t xml:space="preserve"> PE or </w:t>
      </w:r>
      <w:r w:rsidR="00AF6173" w:rsidRPr="00E3331A">
        <w:t>immunoadsorption</w:t>
      </w:r>
      <w:r w:rsidRPr="00E3331A">
        <w:t xml:space="preserve"> </w:t>
      </w:r>
      <w:r w:rsidR="00AF6173" w:rsidRPr="00E3331A">
        <w:t>i</w:t>
      </w:r>
      <w:r w:rsidRPr="00E3331A">
        <w:t>n patients refractory to first</w:t>
      </w:r>
      <w:r w:rsidR="00D45BCF" w:rsidRPr="00E3331A">
        <w:t>-</w:t>
      </w:r>
      <w:r w:rsidRPr="00E3331A">
        <w:t>line treatment</w:t>
      </w:r>
      <w:r w:rsidR="00AF6173" w:rsidRPr="00E3331A">
        <w:t xml:space="preserve"> (Ig and/or steroids)</w:t>
      </w:r>
      <w:r w:rsidR="001A4D96" w:rsidRPr="00E3331A">
        <w:t xml:space="preserve"> </w:t>
      </w:r>
      <w:r w:rsidR="00B85C75">
        <w:rPr>
          <w:noProof/>
        </w:rPr>
        <w:t>(Lieker et al. 2017)</w:t>
      </w:r>
      <w:r w:rsidR="001A4D96" w:rsidRPr="00E3331A">
        <w:t>.</w:t>
      </w:r>
    </w:p>
    <w:p w:rsidR="008475E5" w:rsidRPr="00E3331A" w:rsidRDefault="008475E5" w:rsidP="00423145">
      <w:pPr>
        <w:keepNext/>
        <w:rPr>
          <w:b/>
        </w:rPr>
      </w:pPr>
      <w:r w:rsidRPr="00E3331A">
        <w:rPr>
          <w:b/>
        </w:rPr>
        <w:t xml:space="preserve">Studies included for the extended assessment of harms </w:t>
      </w:r>
    </w:p>
    <w:p w:rsidR="00DB3295" w:rsidRPr="00E3331A" w:rsidRDefault="006F35B9" w:rsidP="008D77C9">
      <w:r w:rsidRPr="00E3331A">
        <w:t xml:space="preserve">Table </w:t>
      </w:r>
      <w:r>
        <w:rPr>
          <w:noProof/>
        </w:rPr>
        <w:t>99</w:t>
      </w:r>
      <w:r w:rsidR="008475E5" w:rsidRPr="00E3331A">
        <w:t xml:space="preserve"> </w:t>
      </w:r>
      <w:r w:rsidR="00423145" w:rsidRPr="00E3331A">
        <w:t>(</w:t>
      </w:r>
      <w:r w:rsidR="00A54840">
        <w:t>A</w:t>
      </w:r>
      <w:r w:rsidR="00423145" w:rsidRPr="00E3331A">
        <w:t>ppendix B)</w:t>
      </w:r>
      <w:r w:rsidR="008475E5" w:rsidRPr="00E3331A">
        <w:t xml:space="preserve"> summarises the relevant characteristics of the studies included for an extended assessment of harms.</w:t>
      </w:r>
      <w:r w:rsidR="00345C95" w:rsidRPr="00E3331A">
        <w:t xml:space="preserve"> </w:t>
      </w:r>
      <w:r w:rsidR="008475E5" w:rsidRPr="00E3331A">
        <w:t>The</w:t>
      </w:r>
      <w:r w:rsidR="007F2C5D" w:rsidRPr="00E3331A">
        <w:t>se studies</w:t>
      </w:r>
      <w:r w:rsidR="008475E5" w:rsidRPr="00E3331A">
        <w:t xml:space="preserve"> </w:t>
      </w:r>
      <w:r w:rsidR="007F2C5D" w:rsidRPr="00E3331A">
        <w:t>comprised</w:t>
      </w:r>
      <w:r w:rsidR="008475E5" w:rsidRPr="00E3331A">
        <w:t xml:space="preserve"> 17 case series contributing data on the safety of IVIg or SCIg</w:t>
      </w:r>
      <w:r w:rsidR="007F2C5D" w:rsidRPr="00E3331A">
        <w:t>,</w:t>
      </w:r>
      <w:r w:rsidR="008475E5" w:rsidRPr="00E3331A">
        <w:t xml:space="preserve"> five level III-3 studies </w:t>
      </w:r>
      <w:r w:rsidR="00B57315" w:rsidRPr="00E3331A">
        <w:t xml:space="preserve">that </w:t>
      </w:r>
      <w:r w:rsidR="008475E5" w:rsidRPr="00E3331A">
        <w:t>were considered as level IV evidence contributing data on the safety of IVIg and other comparators</w:t>
      </w:r>
      <w:r w:rsidR="00B57315" w:rsidRPr="00E3331A">
        <w:t>,</w:t>
      </w:r>
      <w:r w:rsidR="008475E5" w:rsidRPr="00E3331A">
        <w:t xml:space="preserve"> the </w:t>
      </w:r>
      <w:r w:rsidR="00B57315" w:rsidRPr="00E3331A">
        <w:t>RCTs</w:t>
      </w:r>
      <w:r w:rsidR="008475E5" w:rsidRPr="00E3331A">
        <w:t xml:space="preserve"> included for comparative safety</w:t>
      </w:r>
      <w:r w:rsidR="00B57315" w:rsidRPr="00E3331A">
        <w:t>,</w:t>
      </w:r>
      <w:r w:rsidR="008475E5" w:rsidRPr="00E3331A">
        <w:t xml:space="preserve"> and, 14 further case series contributing data on the safety of active comparators. These studies are extremely heterogenous in terms of the completeness of safety reporting</w:t>
      </w:r>
      <w:r w:rsidR="00B57315" w:rsidRPr="00E3331A">
        <w:t>.</w:t>
      </w:r>
      <w:r w:rsidR="008475E5" w:rsidRPr="00E3331A">
        <w:t xml:space="preserve"> </w:t>
      </w:r>
      <w:r w:rsidR="00B57315" w:rsidRPr="00E3331A">
        <w:t>T</w:t>
      </w:r>
      <w:r w:rsidR="008475E5" w:rsidRPr="00E3331A">
        <w:t>he observation period of patients ranged from very short</w:t>
      </w:r>
      <w:r w:rsidR="00417823">
        <w:t>-</w:t>
      </w:r>
      <w:r w:rsidR="008475E5" w:rsidRPr="00E3331A">
        <w:t>term</w:t>
      </w:r>
      <w:r w:rsidR="00B57315" w:rsidRPr="00E3331A">
        <w:t>,</w:t>
      </w:r>
      <w:r w:rsidR="008475E5" w:rsidRPr="00E3331A">
        <w:t xml:space="preserve"> as in the </w:t>
      </w:r>
      <w:r w:rsidR="00B57315" w:rsidRPr="00E3331A">
        <w:t>RCTs,</w:t>
      </w:r>
      <w:r w:rsidR="008475E5" w:rsidRPr="00E3331A">
        <w:t xml:space="preserve"> </w:t>
      </w:r>
      <w:r w:rsidR="00B57315" w:rsidRPr="00E3331A">
        <w:t xml:space="preserve">up </w:t>
      </w:r>
      <w:r w:rsidR="008475E5" w:rsidRPr="00E3331A">
        <w:t xml:space="preserve">to </w:t>
      </w:r>
      <w:r w:rsidR="00B57315" w:rsidRPr="00E3331A">
        <w:t xml:space="preserve">seven </w:t>
      </w:r>
      <w:r w:rsidR="008475E5" w:rsidRPr="00E3331A">
        <w:t xml:space="preserve">years </w:t>
      </w:r>
      <w:r w:rsidR="00B85C75">
        <w:rPr>
          <w:noProof/>
        </w:rPr>
        <w:t>(Barnett et al. 1998)</w:t>
      </w:r>
      <w:r w:rsidR="008475E5" w:rsidRPr="00E3331A">
        <w:t>. However, most studies with IVIg (level III-3 and IV) were consistent</w:t>
      </w:r>
      <w:r w:rsidR="00B57315" w:rsidRPr="00E3331A">
        <w:t>,</w:t>
      </w:r>
      <w:r w:rsidR="008475E5" w:rsidRPr="00E3331A">
        <w:t xml:space="preserve"> in that patients typically received maintenance treatment over the entire study period unless they were considered</w:t>
      </w:r>
      <w:r w:rsidR="00B57315" w:rsidRPr="00E3331A">
        <w:t xml:space="preserve"> to be</w:t>
      </w:r>
      <w:r w:rsidR="008475E5" w:rsidRPr="00E3331A">
        <w:t xml:space="preserve"> in remission. Whil</w:t>
      </w:r>
      <w:r w:rsidR="00591599" w:rsidRPr="00E3331A">
        <w:t>e</w:t>
      </w:r>
      <w:r w:rsidR="008475E5" w:rsidRPr="00E3331A">
        <w:t xml:space="preserve"> maintenance regimens varied</w:t>
      </w:r>
      <w:r w:rsidR="00B57315" w:rsidRPr="00E3331A">
        <w:t>,</w:t>
      </w:r>
      <w:r w:rsidR="008475E5" w:rsidRPr="00E3331A">
        <w:t xml:space="preserve"> the uncontrolled trial evidence may be a more accurate representation of the treatment patterns in CIDP patients. Notably</w:t>
      </w:r>
      <w:r w:rsidR="00B57315" w:rsidRPr="00E3331A">
        <w:t>,</w:t>
      </w:r>
      <w:r w:rsidR="008475E5" w:rsidRPr="00E3331A">
        <w:t xml:space="preserve"> severe adverse events were rare</w:t>
      </w:r>
      <w:r w:rsidR="00B57315" w:rsidRPr="00E3331A">
        <w:t>,</w:t>
      </w:r>
      <w:r w:rsidR="008475E5" w:rsidRPr="00E3331A">
        <w:t xml:space="preserve"> even in studies that followed patients for extended periods. </w:t>
      </w:r>
    </w:p>
    <w:p w:rsidR="008D77C9" w:rsidRPr="00E3331A" w:rsidRDefault="008D77C9" w:rsidP="003E4E1F">
      <w:pPr>
        <w:pStyle w:val="Heading2"/>
        <w:numPr>
          <w:ilvl w:val="1"/>
          <w:numId w:val="9"/>
        </w:numPr>
      </w:pPr>
      <w:bookmarkStart w:id="215" w:name="_Toc24103457"/>
      <w:r w:rsidRPr="00E3331A">
        <w:t>Outcome</w:t>
      </w:r>
      <w:r w:rsidR="0060025E" w:rsidRPr="00E3331A">
        <w:t xml:space="preserve"> Measure</w:t>
      </w:r>
      <w:r w:rsidRPr="00E3331A">
        <w:t>s</w:t>
      </w:r>
      <w:r w:rsidR="0060025E" w:rsidRPr="00E3331A">
        <w:t xml:space="preserve"> and Analysis</w:t>
      </w:r>
      <w:bookmarkEnd w:id="215"/>
    </w:p>
    <w:p w:rsidR="006A066A" w:rsidRPr="00E3331A" w:rsidRDefault="006A066A" w:rsidP="006A066A">
      <w:r w:rsidRPr="00E3331A">
        <w:t>We had originally planned to conduct a network meta-analysis including all evidence on relevant treatments for CIDP</w:t>
      </w:r>
      <w:r w:rsidR="006F5644" w:rsidRPr="00E3331A">
        <w:t>.</w:t>
      </w:r>
      <w:r w:rsidRPr="00E3331A">
        <w:t xml:space="preserve"> </w:t>
      </w:r>
      <w:r w:rsidR="006F5644" w:rsidRPr="00E3331A">
        <w:t>H</w:t>
      </w:r>
      <w:r w:rsidRPr="00E3331A">
        <w:t>owever, due to heterogeneity in the types of outcomes reported and length of follow-up</w:t>
      </w:r>
      <w:r w:rsidR="006F5644" w:rsidRPr="00E3331A">
        <w:t>,</w:t>
      </w:r>
      <w:r w:rsidRPr="00E3331A">
        <w:t xml:space="preserve"> it was determined that pooling results would not be appropriate</w:t>
      </w:r>
      <w:r w:rsidR="006F5644" w:rsidRPr="00E3331A">
        <w:t>, so</w:t>
      </w:r>
      <w:r w:rsidRPr="00E3331A">
        <w:t xml:space="preserve"> results of this review are reported narratively. Outcomes reported in the included trials are discussed below.</w:t>
      </w:r>
    </w:p>
    <w:p w:rsidR="00997ED0" w:rsidRPr="00E3331A" w:rsidRDefault="00632BCA" w:rsidP="00474A17">
      <w:r w:rsidRPr="00E3331A">
        <w:t>Version 3 of ‘</w:t>
      </w:r>
      <w:r w:rsidRPr="00E3331A">
        <w:rPr>
          <w:i/>
        </w:rPr>
        <w:t xml:space="preserve">the Criteria’ </w:t>
      </w:r>
      <w:r w:rsidRPr="00E3331A">
        <w:t xml:space="preserve">restricts use of Ig in CIDP patients according to ONLS or MRC </w:t>
      </w:r>
      <w:r w:rsidR="001B576E">
        <w:t>Sum</w:t>
      </w:r>
      <w:r w:rsidRPr="00E3331A">
        <w:t xml:space="preserve"> Scores. Advice from the Reference Group is that these scales are used as they do not require specialist equipment for patient evaluation. In addition to these; m</w:t>
      </w:r>
      <w:r w:rsidR="0050426E" w:rsidRPr="00E3331A">
        <w:t xml:space="preserve">any scales </w:t>
      </w:r>
      <w:r w:rsidR="006F5644" w:rsidRPr="00E3331A">
        <w:t xml:space="preserve">are </w:t>
      </w:r>
      <w:r w:rsidR="00951E86" w:rsidRPr="00E3331A">
        <w:t xml:space="preserve">reported in the literature and </w:t>
      </w:r>
      <w:r w:rsidR="006F5644" w:rsidRPr="00E3331A">
        <w:t xml:space="preserve">thus </w:t>
      </w:r>
      <w:r w:rsidR="00951E86" w:rsidRPr="00E3331A">
        <w:t xml:space="preserve">used in the </w:t>
      </w:r>
      <w:r w:rsidR="00704FB9" w:rsidRPr="00E3331A">
        <w:t xml:space="preserve">CIDP </w:t>
      </w:r>
      <w:r w:rsidR="00951E86" w:rsidRPr="00E3331A">
        <w:t>studies included in this Assessment</w:t>
      </w:r>
      <w:r w:rsidR="00704FB9" w:rsidRPr="00E3331A">
        <w:t>. These scales</w:t>
      </w:r>
      <w:r w:rsidR="00951E86" w:rsidRPr="00E3331A">
        <w:t xml:space="preserve"> </w:t>
      </w:r>
      <w:r w:rsidR="0050426E" w:rsidRPr="00E3331A">
        <w:t>measur</w:t>
      </w:r>
      <w:r w:rsidR="00704FB9" w:rsidRPr="00E3331A">
        <w:t>e</w:t>
      </w:r>
      <w:r w:rsidR="0050426E" w:rsidRPr="00E3331A">
        <w:t xml:space="preserve"> a range of outcomes including strength impairment, sensory dysfunction and disability. </w:t>
      </w:r>
      <w:r w:rsidR="00951E86" w:rsidRPr="00E3331A">
        <w:t>A list of currently validated scales</w:t>
      </w:r>
      <w:r w:rsidR="00704FB9" w:rsidRPr="00E3331A">
        <w:t xml:space="preserve"> deemed suitable for use in CIDP studies</w:t>
      </w:r>
      <w:r w:rsidR="00951E86" w:rsidRPr="00E3331A">
        <w:t xml:space="preserve">, their key measures and scoring has been reported by Allen </w:t>
      </w:r>
      <w:r w:rsidR="00983BA7">
        <w:t xml:space="preserve">et al. </w:t>
      </w:r>
      <w:r w:rsidR="00951E86" w:rsidRPr="00E3331A">
        <w:t>(2017)</w:t>
      </w:r>
      <w:r w:rsidR="00422A65" w:rsidRPr="00E3331A">
        <w:t xml:space="preserve"> and is presented in </w:t>
      </w:r>
      <w:r w:rsidR="006F35B9" w:rsidRPr="00E3331A">
        <w:t xml:space="preserve">Table </w:t>
      </w:r>
      <w:r w:rsidR="006F35B9">
        <w:rPr>
          <w:noProof/>
        </w:rPr>
        <w:t>22</w:t>
      </w:r>
      <w:r w:rsidR="00422A65" w:rsidRPr="00E3331A">
        <w:t xml:space="preserve">. </w:t>
      </w:r>
      <w:r w:rsidR="007556F5" w:rsidRPr="00E3331A">
        <w:t>S</w:t>
      </w:r>
      <w:r w:rsidR="00422A65" w:rsidRPr="00E3331A">
        <w:t>cales</w:t>
      </w:r>
      <w:r w:rsidR="00704FB9" w:rsidRPr="00E3331A">
        <w:t xml:space="preserve"> used in the studies included in </w:t>
      </w:r>
      <w:r w:rsidR="00704FB9" w:rsidRPr="00E3331A">
        <w:lastRenderedPageBreak/>
        <w:t xml:space="preserve">this Assessment that are not </w:t>
      </w:r>
      <w:r w:rsidR="004775E0" w:rsidRPr="00E3331A">
        <w:t>on the</w:t>
      </w:r>
      <w:r w:rsidR="00704FB9" w:rsidRPr="00E3331A">
        <w:t xml:space="preserve"> </w:t>
      </w:r>
      <w:r w:rsidR="004775E0" w:rsidRPr="00E3331A">
        <w:t xml:space="preserve">list of </w:t>
      </w:r>
      <w:r w:rsidR="00704FB9" w:rsidRPr="00E3331A">
        <w:t xml:space="preserve">validated scales </w:t>
      </w:r>
      <w:r w:rsidR="004775E0" w:rsidRPr="00E3331A">
        <w:t xml:space="preserve">reported </w:t>
      </w:r>
      <w:r w:rsidR="00704FB9" w:rsidRPr="00E3331A">
        <w:t xml:space="preserve">by Allen </w:t>
      </w:r>
      <w:r w:rsidR="00983BA7">
        <w:t xml:space="preserve">et al. </w:t>
      </w:r>
      <w:r w:rsidR="00704FB9" w:rsidRPr="00E3331A">
        <w:t xml:space="preserve">(2017) are </w:t>
      </w:r>
      <w:r w:rsidR="004775E0" w:rsidRPr="00E3331A">
        <w:t>provided</w:t>
      </w:r>
      <w:r w:rsidR="00704FB9" w:rsidRPr="00E3331A">
        <w:t xml:space="preserve"> in </w:t>
      </w:r>
      <w:r w:rsidR="006F35B9" w:rsidRPr="00E3331A">
        <w:t xml:space="preserve">Table </w:t>
      </w:r>
      <w:r w:rsidR="006F35B9">
        <w:rPr>
          <w:noProof/>
        </w:rPr>
        <w:t>23</w:t>
      </w:r>
      <w:r w:rsidR="00253384" w:rsidRPr="00E3331A">
        <w:t>.</w:t>
      </w:r>
      <w:r w:rsidR="00704FB9" w:rsidRPr="00E3331A">
        <w:t xml:space="preserve"> </w:t>
      </w:r>
    </w:p>
    <w:p w:rsidR="00761A75" w:rsidRPr="00E3331A" w:rsidRDefault="00761A75" w:rsidP="00761A75">
      <w:pPr>
        <w:pStyle w:val="Caption"/>
        <w:ind w:left="1134" w:hanging="1134"/>
      </w:pPr>
      <w:bookmarkStart w:id="216" w:name="_Ref8730087"/>
      <w:bookmarkStart w:id="217" w:name="_Toc24103328"/>
      <w:r w:rsidRPr="00E3331A">
        <w:t xml:space="preserve">Table </w:t>
      </w:r>
      <w:r w:rsidR="006F35B9">
        <w:rPr>
          <w:noProof/>
        </w:rPr>
        <w:t>22</w:t>
      </w:r>
      <w:bookmarkEnd w:id="216"/>
      <w:r w:rsidRPr="00E3331A">
        <w:t xml:space="preserve"> </w:t>
      </w:r>
      <w:r w:rsidRPr="00E3331A">
        <w:tab/>
        <w:t>List and description of currently validated scales suitable for use in CIDP</w:t>
      </w:r>
      <w:bookmarkEnd w:id="217"/>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77"/>
        <w:gridCol w:w="2799"/>
        <w:gridCol w:w="2829"/>
        <w:gridCol w:w="1548"/>
      </w:tblGrid>
      <w:tr w:rsidR="00506328" w:rsidRPr="00E3331A" w:rsidTr="00C56114">
        <w:tc>
          <w:tcPr>
            <w:tcW w:w="901" w:type="pct"/>
            <w:shd w:val="clear" w:color="auto" w:fill="auto"/>
            <w:vAlign w:val="center"/>
          </w:tcPr>
          <w:p w:rsidR="00506328" w:rsidRPr="00E3331A" w:rsidRDefault="00506328" w:rsidP="002A2FE7">
            <w:pPr>
              <w:pStyle w:val="TableHeading"/>
              <w:rPr>
                <w:snapToGrid w:val="0"/>
                <w:lang w:eastAsia="en-US"/>
              </w:rPr>
            </w:pPr>
            <w:bookmarkStart w:id="218" w:name="_Hlk8642632"/>
            <w:r w:rsidRPr="00E3331A">
              <w:rPr>
                <w:snapToGrid w:val="0"/>
                <w:lang w:eastAsia="en-US"/>
              </w:rPr>
              <w:t>Scale</w:t>
            </w:r>
          </w:p>
        </w:tc>
        <w:tc>
          <w:tcPr>
            <w:tcW w:w="1599" w:type="pct"/>
            <w:shd w:val="clear" w:color="auto" w:fill="auto"/>
            <w:vAlign w:val="center"/>
          </w:tcPr>
          <w:p w:rsidR="00506328" w:rsidRPr="00E3331A" w:rsidRDefault="00506328" w:rsidP="002A2FE7">
            <w:pPr>
              <w:pStyle w:val="TableHeading"/>
              <w:jc w:val="center"/>
              <w:rPr>
                <w:snapToGrid w:val="0"/>
                <w:lang w:eastAsia="en-US"/>
              </w:rPr>
            </w:pPr>
            <w:r w:rsidRPr="00E3331A">
              <w:rPr>
                <w:snapToGrid w:val="0"/>
                <w:lang w:eastAsia="en-US"/>
              </w:rPr>
              <w:t>Scoring Range</w:t>
            </w:r>
          </w:p>
        </w:tc>
        <w:tc>
          <w:tcPr>
            <w:tcW w:w="1616" w:type="pct"/>
            <w:shd w:val="clear" w:color="auto" w:fill="auto"/>
            <w:vAlign w:val="center"/>
          </w:tcPr>
          <w:p w:rsidR="00506328" w:rsidRPr="00E3331A" w:rsidRDefault="00506328" w:rsidP="002A2FE7">
            <w:pPr>
              <w:pStyle w:val="TableHeading"/>
              <w:jc w:val="center"/>
              <w:rPr>
                <w:snapToGrid w:val="0"/>
                <w:lang w:eastAsia="en-US"/>
              </w:rPr>
            </w:pPr>
            <w:r w:rsidRPr="00E3331A">
              <w:rPr>
                <w:snapToGrid w:val="0"/>
                <w:lang w:eastAsia="en-US"/>
              </w:rPr>
              <w:t>Key Measures</w:t>
            </w:r>
          </w:p>
        </w:tc>
        <w:tc>
          <w:tcPr>
            <w:tcW w:w="884" w:type="pct"/>
            <w:shd w:val="clear" w:color="auto" w:fill="auto"/>
            <w:vAlign w:val="center"/>
          </w:tcPr>
          <w:p w:rsidR="00506328" w:rsidRPr="00E3331A" w:rsidRDefault="00506328" w:rsidP="002A2FE7">
            <w:pPr>
              <w:pStyle w:val="TableHeading"/>
              <w:jc w:val="center"/>
              <w:rPr>
                <w:snapToGrid w:val="0"/>
                <w:lang w:eastAsia="en-US"/>
              </w:rPr>
            </w:pPr>
            <w:r w:rsidRPr="00E3331A">
              <w:rPr>
                <w:snapToGrid w:val="0"/>
                <w:lang w:eastAsia="en-US"/>
              </w:rPr>
              <w:t>Patient or physician reported</w:t>
            </w:r>
          </w:p>
        </w:tc>
      </w:tr>
      <w:tr w:rsidR="00506328" w:rsidRPr="00E3331A" w:rsidTr="00C56114">
        <w:tc>
          <w:tcPr>
            <w:tcW w:w="901" w:type="pct"/>
            <w:shd w:val="clear" w:color="auto" w:fill="auto"/>
            <w:vAlign w:val="center"/>
          </w:tcPr>
          <w:p w:rsidR="00506328" w:rsidRPr="00E3331A" w:rsidRDefault="00506328" w:rsidP="002A2FE7">
            <w:pPr>
              <w:pStyle w:val="TableText0"/>
              <w:rPr>
                <w:snapToGrid w:val="0"/>
                <w:szCs w:val="20"/>
              </w:rPr>
            </w:pPr>
            <w:r w:rsidRPr="00E3331A">
              <w:rPr>
                <w:snapToGrid w:val="0"/>
                <w:szCs w:val="20"/>
              </w:rPr>
              <w:t>INCAT</w:t>
            </w:r>
            <w:r w:rsidR="00FF0254" w:rsidRPr="00E3331A">
              <w:rPr>
                <w:snapToGrid w:val="0"/>
                <w:szCs w:val="20"/>
              </w:rPr>
              <w:t>*</w:t>
            </w:r>
          </w:p>
        </w:tc>
        <w:tc>
          <w:tcPr>
            <w:tcW w:w="1599" w:type="pct"/>
            <w:shd w:val="clear" w:color="auto" w:fill="auto"/>
            <w:vAlign w:val="center"/>
          </w:tcPr>
          <w:p w:rsidR="00506328" w:rsidRPr="00E3331A" w:rsidRDefault="00761A75" w:rsidP="002A2FE7">
            <w:pPr>
              <w:pStyle w:val="TableText0"/>
              <w:jc w:val="center"/>
              <w:rPr>
                <w:snapToGrid w:val="0"/>
                <w:szCs w:val="20"/>
              </w:rPr>
            </w:pPr>
            <w:r w:rsidRPr="00E3331A">
              <w:rPr>
                <w:snapToGrid w:val="0"/>
                <w:szCs w:val="20"/>
              </w:rPr>
              <w:t>0</w:t>
            </w:r>
            <w:r w:rsidR="00E4447D" w:rsidRPr="00E3331A">
              <w:rPr>
                <w:snapToGrid w:val="0"/>
                <w:szCs w:val="20"/>
              </w:rPr>
              <w:t>-</w:t>
            </w:r>
            <w:r w:rsidRPr="00E3331A">
              <w:rPr>
                <w:snapToGrid w:val="0"/>
                <w:szCs w:val="20"/>
              </w:rPr>
              <w:t>10</w:t>
            </w:r>
          </w:p>
        </w:tc>
        <w:tc>
          <w:tcPr>
            <w:tcW w:w="1616" w:type="pct"/>
            <w:shd w:val="clear" w:color="auto" w:fill="auto"/>
            <w:vAlign w:val="center"/>
          </w:tcPr>
          <w:p w:rsidR="00506328" w:rsidRPr="00E3331A" w:rsidRDefault="00C12535" w:rsidP="002A2FE7">
            <w:pPr>
              <w:pStyle w:val="TableText0"/>
              <w:jc w:val="center"/>
              <w:rPr>
                <w:snapToGrid w:val="0"/>
                <w:szCs w:val="20"/>
              </w:rPr>
            </w:pPr>
            <w:r w:rsidRPr="00E3331A">
              <w:rPr>
                <w:snapToGrid w:val="0"/>
                <w:szCs w:val="20"/>
              </w:rPr>
              <w:t>Arm and leg disabilities, overall score is sum of the two</w:t>
            </w:r>
          </w:p>
        </w:tc>
        <w:tc>
          <w:tcPr>
            <w:tcW w:w="884" w:type="pct"/>
            <w:shd w:val="clear" w:color="auto" w:fill="auto"/>
            <w:vAlign w:val="center"/>
          </w:tcPr>
          <w:p w:rsidR="00506328" w:rsidRPr="00E3331A" w:rsidRDefault="00A47A87" w:rsidP="002A2FE7">
            <w:pPr>
              <w:pStyle w:val="TableText0"/>
              <w:jc w:val="center"/>
              <w:rPr>
                <w:snapToGrid w:val="0"/>
                <w:szCs w:val="20"/>
              </w:rPr>
            </w:pPr>
            <w:r w:rsidRPr="00E3331A">
              <w:rPr>
                <w:snapToGrid w:val="0"/>
                <w:szCs w:val="20"/>
              </w:rPr>
              <w:t>Patient</w:t>
            </w:r>
          </w:p>
        </w:tc>
      </w:tr>
      <w:tr w:rsidR="00506328" w:rsidRPr="00E3331A" w:rsidTr="00C56114">
        <w:tc>
          <w:tcPr>
            <w:tcW w:w="901" w:type="pct"/>
            <w:shd w:val="clear" w:color="auto" w:fill="auto"/>
            <w:vAlign w:val="center"/>
          </w:tcPr>
          <w:p w:rsidR="00506328" w:rsidRPr="00E3331A" w:rsidRDefault="00506328" w:rsidP="002A2FE7">
            <w:pPr>
              <w:pStyle w:val="TableText0"/>
              <w:rPr>
                <w:snapToGrid w:val="0"/>
                <w:szCs w:val="20"/>
              </w:rPr>
            </w:pPr>
            <w:r w:rsidRPr="00E3331A">
              <w:rPr>
                <w:snapToGrid w:val="0"/>
                <w:szCs w:val="20"/>
              </w:rPr>
              <w:t>ODSS</w:t>
            </w:r>
            <w:r w:rsidR="00FF0254" w:rsidRPr="00E3331A">
              <w:rPr>
                <w:snapToGrid w:val="0"/>
                <w:szCs w:val="20"/>
              </w:rPr>
              <w:t>*</w:t>
            </w:r>
          </w:p>
        </w:tc>
        <w:tc>
          <w:tcPr>
            <w:tcW w:w="1599" w:type="pct"/>
            <w:shd w:val="clear" w:color="auto" w:fill="auto"/>
            <w:vAlign w:val="center"/>
          </w:tcPr>
          <w:p w:rsidR="00506328" w:rsidRPr="00E3331A" w:rsidRDefault="00761A75" w:rsidP="002A2FE7">
            <w:pPr>
              <w:pStyle w:val="TableText0"/>
              <w:jc w:val="center"/>
              <w:rPr>
                <w:snapToGrid w:val="0"/>
                <w:szCs w:val="20"/>
              </w:rPr>
            </w:pPr>
            <w:r w:rsidRPr="00E3331A">
              <w:rPr>
                <w:snapToGrid w:val="0"/>
                <w:szCs w:val="20"/>
              </w:rPr>
              <w:t>0</w:t>
            </w:r>
            <w:r w:rsidR="00E4447D" w:rsidRPr="00E3331A">
              <w:rPr>
                <w:snapToGrid w:val="0"/>
                <w:szCs w:val="20"/>
              </w:rPr>
              <w:t>-</w:t>
            </w:r>
            <w:r w:rsidRPr="00E3331A">
              <w:rPr>
                <w:snapToGrid w:val="0"/>
                <w:szCs w:val="20"/>
              </w:rPr>
              <w:t xml:space="preserve">5 (upper limb) </w:t>
            </w:r>
          </w:p>
          <w:p w:rsidR="00761A75" w:rsidRPr="00E3331A" w:rsidRDefault="00761A75" w:rsidP="002A2FE7">
            <w:pPr>
              <w:pStyle w:val="TableText0"/>
              <w:jc w:val="center"/>
              <w:rPr>
                <w:snapToGrid w:val="0"/>
                <w:szCs w:val="20"/>
              </w:rPr>
            </w:pPr>
            <w:r w:rsidRPr="00E3331A">
              <w:rPr>
                <w:snapToGrid w:val="0"/>
                <w:szCs w:val="20"/>
              </w:rPr>
              <w:t>0</w:t>
            </w:r>
            <w:r w:rsidR="00E4447D" w:rsidRPr="00E3331A">
              <w:rPr>
                <w:snapToGrid w:val="0"/>
                <w:szCs w:val="20"/>
              </w:rPr>
              <w:t>-</w:t>
            </w:r>
            <w:r w:rsidRPr="00E3331A">
              <w:rPr>
                <w:snapToGrid w:val="0"/>
                <w:szCs w:val="20"/>
              </w:rPr>
              <w:t>7 (lower limb)</w:t>
            </w:r>
          </w:p>
        </w:tc>
        <w:tc>
          <w:tcPr>
            <w:tcW w:w="1616" w:type="pct"/>
            <w:shd w:val="clear" w:color="auto" w:fill="auto"/>
            <w:vAlign w:val="center"/>
          </w:tcPr>
          <w:p w:rsidR="00506328" w:rsidRPr="00E3331A" w:rsidRDefault="00C12535" w:rsidP="002A2FE7">
            <w:pPr>
              <w:pStyle w:val="TableText0"/>
              <w:jc w:val="center"/>
              <w:rPr>
                <w:snapToGrid w:val="0"/>
                <w:szCs w:val="20"/>
              </w:rPr>
            </w:pPr>
            <w:r w:rsidRPr="00E3331A">
              <w:rPr>
                <w:snapToGrid w:val="0"/>
                <w:szCs w:val="20"/>
              </w:rPr>
              <w:t>Arm and leg disabilities score, overall score is sum of the two</w:t>
            </w:r>
          </w:p>
        </w:tc>
        <w:tc>
          <w:tcPr>
            <w:tcW w:w="884" w:type="pct"/>
            <w:shd w:val="clear" w:color="auto" w:fill="auto"/>
            <w:vAlign w:val="center"/>
          </w:tcPr>
          <w:p w:rsidR="00506328" w:rsidRPr="00E3331A" w:rsidRDefault="00A47A87" w:rsidP="002A2FE7">
            <w:pPr>
              <w:pStyle w:val="TableText0"/>
              <w:jc w:val="center"/>
              <w:rPr>
                <w:snapToGrid w:val="0"/>
                <w:szCs w:val="20"/>
              </w:rPr>
            </w:pPr>
            <w:r w:rsidRPr="00E3331A">
              <w:rPr>
                <w:snapToGrid w:val="0"/>
                <w:szCs w:val="20"/>
              </w:rPr>
              <w:t>Patient</w:t>
            </w:r>
          </w:p>
        </w:tc>
      </w:tr>
      <w:tr w:rsidR="00761A75" w:rsidRPr="00E3331A" w:rsidTr="00C56114">
        <w:tc>
          <w:tcPr>
            <w:tcW w:w="901" w:type="pct"/>
            <w:shd w:val="clear" w:color="auto" w:fill="auto"/>
            <w:vAlign w:val="center"/>
          </w:tcPr>
          <w:p w:rsidR="00761A75" w:rsidRPr="00E3331A" w:rsidRDefault="00761A75" w:rsidP="002A2FE7">
            <w:pPr>
              <w:pStyle w:val="TableText0"/>
              <w:rPr>
                <w:snapToGrid w:val="0"/>
                <w:szCs w:val="20"/>
              </w:rPr>
            </w:pPr>
            <w:r w:rsidRPr="00E3331A">
              <w:rPr>
                <w:snapToGrid w:val="0"/>
                <w:szCs w:val="20"/>
              </w:rPr>
              <w:t>ONLS</w:t>
            </w:r>
            <w:r w:rsidR="00FF0254" w:rsidRPr="00E3331A">
              <w:rPr>
                <w:snapToGrid w:val="0"/>
                <w:szCs w:val="20"/>
              </w:rPr>
              <w:t>*</w:t>
            </w:r>
          </w:p>
        </w:tc>
        <w:tc>
          <w:tcPr>
            <w:tcW w:w="1599" w:type="pct"/>
            <w:shd w:val="clear" w:color="auto" w:fill="auto"/>
            <w:vAlign w:val="center"/>
          </w:tcPr>
          <w:p w:rsidR="00C12535" w:rsidRPr="00E3331A" w:rsidRDefault="00C12535" w:rsidP="00C12535">
            <w:pPr>
              <w:pStyle w:val="TableText0"/>
              <w:jc w:val="center"/>
              <w:rPr>
                <w:snapToGrid w:val="0"/>
                <w:szCs w:val="20"/>
              </w:rPr>
            </w:pPr>
            <w:r w:rsidRPr="00E3331A">
              <w:rPr>
                <w:snapToGrid w:val="0"/>
                <w:szCs w:val="20"/>
              </w:rPr>
              <w:t>0</w:t>
            </w:r>
            <w:r w:rsidR="00E4447D" w:rsidRPr="00E3331A">
              <w:rPr>
                <w:snapToGrid w:val="0"/>
                <w:szCs w:val="20"/>
              </w:rPr>
              <w:t>-</w:t>
            </w:r>
            <w:r w:rsidRPr="00E3331A">
              <w:rPr>
                <w:snapToGrid w:val="0"/>
                <w:szCs w:val="20"/>
              </w:rPr>
              <w:t xml:space="preserve">5 (upper limb) </w:t>
            </w:r>
          </w:p>
          <w:p w:rsidR="00761A75" w:rsidRPr="00E3331A" w:rsidRDefault="00C12535" w:rsidP="00C12535">
            <w:pPr>
              <w:pStyle w:val="TableText0"/>
              <w:jc w:val="center"/>
              <w:rPr>
                <w:snapToGrid w:val="0"/>
                <w:szCs w:val="20"/>
              </w:rPr>
            </w:pPr>
            <w:r w:rsidRPr="00E3331A">
              <w:rPr>
                <w:snapToGrid w:val="0"/>
                <w:szCs w:val="20"/>
              </w:rPr>
              <w:t>0</w:t>
            </w:r>
            <w:r w:rsidR="00E4447D" w:rsidRPr="00E3331A">
              <w:rPr>
                <w:snapToGrid w:val="0"/>
                <w:szCs w:val="20"/>
              </w:rPr>
              <w:t>-</w:t>
            </w:r>
            <w:r w:rsidRPr="00E3331A">
              <w:rPr>
                <w:snapToGrid w:val="0"/>
                <w:szCs w:val="20"/>
              </w:rPr>
              <w:t>7 (lower limb)</w:t>
            </w:r>
          </w:p>
        </w:tc>
        <w:tc>
          <w:tcPr>
            <w:tcW w:w="1616" w:type="pct"/>
            <w:shd w:val="clear" w:color="auto" w:fill="auto"/>
            <w:vAlign w:val="center"/>
          </w:tcPr>
          <w:p w:rsidR="00761A75" w:rsidRPr="00E3331A" w:rsidRDefault="00C12535" w:rsidP="002A2FE7">
            <w:pPr>
              <w:pStyle w:val="TableText0"/>
              <w:jc w:val="center"/>
              <w:rPr>
                <w:snapToGrid w:val="0"/>
                <w:szCs w:val="20"/>
              </w:rPr>
            </w:pPr>
            <w:r w:rsidRPr="00E3331A">
              <w:rPr>
                <w:snapToGrid w:val="0"/>
                <w:szCs w:val="20"/>
              </w:rPr>
              <w:t xml:space="preserve">Same as ODSS, but </w:t>
            </w:r>
            <w:r w:rsidR="00E56EAC">
              <w:rPr>
                <w:snapToGrid w:val="0"/>
                <w:szCs w:val="20"/>
              </w:rPr>
              <w:t>includes</w:t>
            </w:r>
            <w:r w:rsidRPr="00E3331A">
              <w:rPr>
                <w:snapToGrid w:val="0"/>
                <w:szCs w:val="20"/>
              </w:rPr>
              <w:t xml:space="preserve"> “Does the patient have difficulty running or climbing stairs?”</w:t>
            </w:r>
          </w:p>
        </w:tc>
        <w:tc>
          <w:tcPr>
            <w:tcW w:w="884" w:type="pct"/>
            <w:shd w:val="clear" w:color="auto" w:fill="auto"/>
            <w:vAlign w:val="center"/>
          </w:tcPr>
          <w:p w:rsidR="00761A75" w:rsidRPr="00E3331A" w:rsidRDefault="00A47A87" w:rsidP="002A2FE7">
            <w:pPr>
              <w:pStyle w:val="TableText0"/>
              <w:jc w:val="center"/>
              <w:rPr>
                <w:snapToGrid w:val="0"/>
                <w:szCs w:val="20"/>
              </w:rPr>
            </w:pPr>
            <w:r w:rsidRPr="00E3331A">
              <w:rPr>
                <w:snapToGrid w:val="0"/>
                <w:szCs w:val="20"/>
              </w:rPr>
              <w:t>Patient</w:t>
            </w:r>
          </w:p>
        </w:tc>
      </w:tr>
      <w:tr w:rsidR="00506328" w:rsidRPr="00E3331A" w:rsidTr="00C56114">
        <w:tc>
          <w:tcPr>
            <w:tcW w:w="901" w:type="pct"/>
            <w:shd w:val="clear" w:color="auto" w:fill="auto"/>
            <w:vAlign w:val="center"/>
          </w:tcPr>
          <w:p w:rsidR="00506328" w:rsidRPr="00E3331A" w:rsidRDefault="00506328" w:rsidP="002A2FE7">
            <w:pPr>
              <w:pStyle w:val="TableText0"/>
              <w:rPr>
                <w:snapToGrid w:val="0"/>
                <w:szCs w:val="20"/>
              </w:rPr>
            </w:pPr>
            <w:r w:rsidRPr="00E3331A">
              <w:rPr>
                <w:snapToGrid w:val="0"/>
                <w:szCs w:val="20"/>
              </w:rPr>
              <w:t>RODS</w:t>
            </w:r>
          </w:p>
        </w:tc>
        <w:tc>
          <w:tcPr>
            <w:tcW w:w="1599" w:type="pct"/>
            <w:shd w:val="clear" w:color="auto" w:fill="auto"/>
            <w:vAlign w:val="center"/>
          </w:tcPr>
          <w:p w:rsidR="00506328" w:rsidRPr="00E3331A" w:rsidRDefault="00C12535" w:rsidP="002A2FE7">
            <w:pPr>
              <w:pStyle w:val="TableText0"/>
              <w:jc w:val="center"/>
              <w:rPr>
                <w:snapToGrid w:val="0"/>
                <w:szCs w:val="20"/>
              </w:rPr>
            </w:pPr>
            <w:r w:rsidRPr="00E3331A">
              <w:rPr>
                <w:snapToGrid w:val="0"/>
                <w:szCs w:val="20"/>
              </w:rPr>
              <w:t>Raw RODS score (0–48) transformed to final score 0–100</w:t>
            </w:r>
          </w:p>
        </w:tc>
        <w:tc>
          <w:tcPr>
            <w:tcW w:w="1616" w:type="pct"/>
            <w:shd w:val="clear" w:color="auto" w:fill="auto"/>
            <w:vAlign w:val="center"/>
          </w:tcPr>
          <w:p w:rsidR="00506328" w:rsidRPr="00E3331A" w:rsidRDefault="00C56114" w:rsidP="002A2FE7">
            <w:pPr>
              <w:pStyle w:val="TableText0"/>
              <w:jc w:val="center"/>
              <w:rPr>
                <w:snapToGrid w:val="0"/>
                <w:szCs w:val="20"/>
              </w:rPr>
            </w:pPr>
            <w:r w:rsidRPr="00E3331A">
              <w:rPr>
                <w:snapToGrid w:val="0"/>
                <w:szCs w:val="20"/>
              </w:rPr>
              <w:t>Upper and lower limb disability, questions range f</w:t>
            </w:r>
            <w:r w:rsidR="00E4447D" w:rsidRPr="00E3331A">
              <w:rPr>
                <w:snapToGrid w:val="0"/>
                <w:szCs w:val="20"/>
              </w:rPr>
              <w:t>ro</w:t>
            </w:r>
            <w:r w:rsidRPr="00E3331A">
              <w:rPr>
                <w:snapToGrid w:val="0"/>
                <w:szCs w:val="20"/>
              </w:rPr>
              <w:t xml:space="preserve">m ability to “read a book”, “eat” or “brush teeth” to “dance”, “stand for hours”, and “run”. Participants are asked to indicate if they can easily perform the tasks, perform it with difficulty, </w:t>
            </w:r>
          </w:p>
        </w:tc>
        <w:tc>
          <w:tcPr>
            <w:tcW w:w="884" w:type="pct"/>
            <w:shd w:val="clear" w:color="auto" w:fill="auto"/>
            <w:vAlign w:val="center"/>
          </w:tcPr>
          <w:p w:rsidR="00506328" w:rsidRPr="00E3331A" w:rsidRDefault="00A47A87" w:rsidP="002A2FE7">
            <w:pPr>
              <w:pStyle w:val="TableText0"/>
              <w:jc w:val="center"/>
              <w:rPr>
                <w:snapToGrid w:val="0"/>
                <w:szCs w:val="20"/>
              </w:rPr>
            </w:pPr>
            <w:r w:rsidRPr="00E3331A">
              <w:rPr>
                <w:snapToGrid w:val="0"/>
                <w:szCs w:val="20"/>
              </w:rPr>
              <w:t>Patient</w:t>
            </w:r>
          </w:p>
        </w:tc>
      </w:tr>
      <w:tr w:rsidR="00506328" w:rsidRPr="00E3331A" w:rsidTr="00C56114">
        <w:tc>
          <w:tcPr>
            <w:tcW w:w="901" w:type="pct"/>
            <w:shd w:val="clear" w:color="auto" w:fill="auto"/>
            <w:vAlign w:val="center"/>
          </w:tcPr>
          <w:p w:rsidR="00506328" w:rsidRPr="00E3331A" w:rsidRDefault="00506328" w:rsidP="002A2FE7">
            <w:pPr>
              <w:pStyle w:val="TableText0"/>
              <w:rPr>
                <w:snapToGrid w:val="0"/>
                <w:szCs w:val="20"/>
              </w:rPr>
            </w:pPr>
            <w:r w:rsidRPr="00E3331A">
              <w:rPr>
                <w:snapToGrid w:val="0"/>
                <w:szCs w:val="20"/>
              </w:rPr>
              <w:t>GAITrite®</w:t>
            </w:r>
          </w:p>
        </w:tc>
        <w:tc>
          <w:tcPr>
            <w:tcW w:w="1599" w:type="pct"/>
            <w:shd w:val="clear" w:color="auto" w:fill="auto"/>
            <w:vAlign w:val="center"/>
          </w:tcPr>
          <w:p w:rsidR="00506328" w:rsidRPr="00E3331A" w:rsidRDefault="00C12535" w:rsidP="002A2FE7">
            <w:pPr>
              <w:pStyle w:val="TableText0"/>
              <w:jc w:val="center"/>
              <w:rPr>
                <w:snapToGrid w:val="0"/>
                <w:szCs w:val="20"/>
              </w:rPr>
            </w:pPr>
            <w:r w:rsidRPr="00E3331A">
              <w:rPr>
                <w:snapToGrid w:val="0"/>
                <w:szCs w:val="20"/>
              </w:rPr>
              <w:t>Percentage scores recorded</w:t>
            </w:r>
          </w:p>
        </w:tc>
        <w:tc>
          <w:tcPr>
            <w:tcW w:w="1616" w:type="pct"/>
            <w:shd w:val="clear" w:color="auto" w:fill="auto"/>
            <w:vAlign w:val="center"/>
          </w:tcPr>
          <w:p w:rsidR="00506328" w:rsidRPr="00E3331A" w:rsidRDefault="00C56114" w:rsidP="002A2FE7">
            <w:pPr>
              <w:pStyle w:val="TableText0"/>
              <w:jc w:val="center"/>
              <w:rPr>
                <w:snapToGrid w:val="0"/>
                <w:szCs w:val="20"/>
              </w:rPr>
            </w:pPr>
            <w:r w:rsidRPr="00E3331A">
              <w:rPr>
                <w:snapToGrid w:val="0"/>
                <w:szCs w:val="20"/>
              </w:rPr>
              <w:t>Gait parameters: velocity, cadence, swing phase, double support time, stance phase</w:t>
            </w:r>
          </w:p>
        </w:tc>
        <w:tc>
          <w:tcPr>
            <w:tcW w:w="884" w:type="pct"/>
            <w:shd w:val="clear" w:color="auto" w:fill="auto"/>
            <w:vAlign w:val="center"/>
          </w:tcPr>
          <w:p w:rsidR="00506328" w:rsidRPr="00E3331A" w:rsidRDefault="00A47A87" w:rsidP="002A2FE7">
            <w:pPr>
              <w:pStyle w:val="TableText0"/>
              <w:jc w:val="center"/>
              <w:rPr>
                <w:snapToGrid w:val="0"/>
                <w:szCs w:val="20"/>
              </w:rPr>
            </w:pPr>
            <w:r w:rsidRPr="00E3331A">
              <w:rPr>
                <w:snapToGrid w:val="0"/>
                <w:szCs w:val="20"/>
              </w:rPr>
              <w:t>Physician</w:t>
            </w:r>
          </w:p>
        </w:tc>
      </w:tr>
      <w:bookmarkEnd w:id="218"/>
      <w:tr w:rsidR="00506328" w:rsidRPr="00E3331A" w:rsidTr="00C56114">
        <w:tc>
          <w:tcPr>
            <w:tcW w:w="901" w:type="pct"/>
            <w:shd w:val="clear" w:color="auto" w:fill="auto"/>
            <w:vAlign w:val="center"/>
          </w:tcPr>
          <w:p w:rsidR="00506328" w:rsidRPr="00E3331A" w:rsidRDefault="00506328" w:rsidP="002A2FE7">
            <w:pPr>
              <w:pStyle w:val="TableText0"/>
              <w:rPr>
                <w:snapToGrid w:val="0"/>
                <w:szCs w:val="20"/>
              </w:rPr>
            </w:pPr>
            <w:r w:rsidRPr="00E3331A">
              <w:rPr>
                <w:snapToGrid w:val="0"/>
                <w:szCs w:val="20"/>
              </w:rPr>
              <w:t>TUG</w:t>
            </w:r>
          </w:p>
        </w:tc>
        <w:tc>
          <w:tcPr>
            <w:tcW w:w="1599" w:type="pct"/>
            <w:shd w:val="clear" w:color="auto" w:fill="auto"/>
            <w:vAlign w:val="center"/>
          </w:tcPr>
          <w:p w:rsidR="00506328" w:rsidRPr="00E3331A" w:rsidRDefault="00C12535" w:rsidP="002A2FE7">
            <w:pPr>
              <w:pStyle w:val="TableText0"/>
              <w:jc w:val="center"/>
              <w:rPr>
                <w:snapToGrid w:val="0"/>
                <w:szCs w:val="20"/>
              </w:rPr>
            </w:pPr>
            <w:r w:rsidRPr="00E3331A">
              <w:rPr>
                <w:snapToGrid w:val="0"/>
                <w:szCs w:val="20"/>
              </w:rPr>
              <w:t>Timed activity test</w:t>
            </w:r>
          </w:p>
        </w:tc>
        <w:tc>
          <w:tcPr>
            <w:tcW w:w="1616" w:type="pct"/>
            <w:shd w:val="clear" w:color="auto" w:fill="auto"/>
            <w:vAlign w:val="center"/>
          </w:tcPr>
          <w:p w:rsidR="00506328" w:rsidRPr="00E3331A" w:rsidRDefault="00C56114" w:rsidP="002A2FE7">
            <w:pPr>
              <w:pStyle w:val="TableText0"/>
              <w:jc w:val="center"/>
              <w:rPr>
                <w:snapToGrid w:val="0"/>
                <w:szCs w:val="20"/>
              </w:rPr>
            </w:pPr>
            <w:r w:rsidRPr="00E3331A">
              <w:rPr>
                <w:snapToGrid w:val="0"/>
                <w:szCs w:val="20"/>
              </w:rPr>
              <w:t>Time taken to stand up from a chair, walk a short distance, turn around, return and sit down again</w:t>
            </w:r>
          </w:p>
        </w:tc>
        <w:tc>
          <w:tcPr>
            <w:tcW w:w="884" w:type="pct"/>
            <w:shd w:val="clear" w:color="auto" w:fill="auto"/>
            <w:vAlign w:val="center"/>
          </w:tcPr>
          <w:p w:rsidR="00506328" w:rsidRPr="00E3331A" w:rsidRDefault="00A47A87" w:rsidP="002A2FE7">
            <w:pPr>
              <w:pStyle w:val="TableText0"/>
              <w:jc w:val="center"/>
              <w:rPr>
                <w:snapToGrid w:val="0"/>
                <w:szCs w:val="20"/>
              </w:rPr>
            </w:pPr>
            <w:r w:rsidRPr="00E3331A">
              <w:rPr>
                <w:snapToGrid w:val="0"/>
                <w:szCs w:val="20"/>
              </w:rPr>
              <w:t>Physician</w:t>
            </w:r>
          </w:p>
        </w:tc>
      </w:tr>
      <w:tr w:rsidR="00506328" w:rsidRPr="00E3331A" w:rsidTr="00C56114">
        <w:tc>
          <w:tcPr>
            <w:tcW w:w="901" w:type="pct"/>
            <w:shd w:val="clear" w:color="auto" w:fill="auto"/>
            <w:vAlign w:val="center"/>
          </w:tcPr>
          <w:p w:rsidR="00506328" w:rsidRPr="00E3331A" w:rsidRDefault="00506328" w:rsidP="002A2FE7">
            <w:pPr>
              <w:pStyle w:val="TableText0"/>
              <w:rPr>
                <w:snapToGrid w:val="0"/>
                <w:szCs w:val="20"/>
              </w:rPr>
            </w:pPr>
            <w:r w:rsidRPr="00E3331A">
              <w:rPr>
                <w:snapToGrid w:val="0"/>
                <w:szCs w:val="20"/>
              </w:rPr>
              <w:t>10</w:t>
            </w:r>
            <w:r w:rsidR="00FF0254" w:rsidRPr="00E3331A">
              <w:rPr>
                <w:snapToGrid w:val="0"/>
                <w:szCs w:val="20"/>
              </w:rPr>
              <w:t xml:space="preserve"> </w:t>
            </w:r>
            <w:r w:rsidRPr="00E3331A">
              <w:rPr>
                <w:snapToGrid w:val="0"/>
                <w:szCs w:val="20"/>
              </w:rPr>
              <w:t>metr</w:t>
            </w:r>
            <w:r w:rsidR="00FF0254" w:rsidRPr="00E3331A">
              <w:rPr>
                <w:snapToGrid w:val="0"/>
                <w:szCs w:val="20"/>
              </w:rPr>
              <w:t>e</w:t>
            </w:r>
            <w:r w:rsidRPr="00E3331A">
              <w:rPr>
                <w:snapToGrid w:val="0"/>
                <w:szCs w:val="20"/>
              </w:rPr>
              <w:t xml:space="preserve"> walk test</w:t>
            </w:r>
            <w:r w:rsidR="00FF0254" w:rsidRPr="00E3331A">
              <w:rPr>
                <w:snapToGrid w:val="0"/>
                <w:szCs w:val="20"/>
              </w:rPr>
              <w:t>*</w:t>
            </w:r>
          </w:p>
        </w:tc>
        <w:tc>
          <w:tcPr>
            <w:tcW w:w="1599" w:type="pct"/>
            <w:shd w:val="clear" w:color="auto" w:fill="auto"/>
            <w:vAlign w:val="center"/>
          </w:tcPr>
          <w:p w:rsidR="00506328" w:rsidRPr="00E3331A" w:rsidRDefault="00C12535" w:rsidP="002A2FE7">
            <w:pPr>
              <w:pStyle w:val="TableText0"/>
              <w:jc w:val="center"/>
              <w:rPr>
                <w:snapToGrid w:val="0"/>
                <w:szCs w:val="20"/>
              </w:rPr>
            </w:pPr>
            <w:r w:rsidRPr="00E3331A">
              <w:rPr>
                <w:snapToGrid w:val="0"/>
                <w:szCs w:val="20"/>
              </w:rPr>
              <w:t>Timed activity test</w:t>
            </w:r>
          </w:p>
        </w:tc>
        <w:tc>
          <w:tcPr>
            <w:tcW w:w="1616" w:type="pct"/>
            <w:shd w:val="clear" w:color="auto" w:fill="auto"/>
            <w:vAlign w:val="center"/>
          </w:tcPr>
          <w:p w:rsidR="00506328" w:rsidRPr="00E3331A" w:rsidRDefault="00C56114" w:rsidP="002A2FE7">
            <w:pPr>
              <w:pStyle w:val="TableText0"/>
              <w:jc w:val="center"/>
              <w:rPr>
                <w:snapToGrid w:val="0"/>
                <w:szCs w:val="20"/>
              </w:rPr>
            </w:pPr>
            <w:r w:rsidRPr="00E3331A">
              <w:rPr>
                <w:snapToGrid w:val="0"/>
                <w:szCs w:val="20"/>
              </w:rPr>
              <w:t>Time taken to walk 10 metres</w:t>
            </w:r>
          </w:p>
        </w:tc>
        <w:tc>
          <w:tcPr>
            <w:tcW w:w="884" w:type="pct"/>
            <w:shd w:val="clear" w:color="auto" w:fill="auto"/>
            <w:vAlign w:val="center"/>
          </w:tcPr>
          <w:p w:rsidR="00506328" w:rsidRPr="00E3331A" w:rsidRDefault="00A47A87" w:rsidP="002A2FE7">
            <w:pPr>
              <w:pStyle w:val="TableText0"/>
              <w:jc w:val="center"/>
              <w:rPr>
                <w:snapToGrid w:val="0"/>
                <w:szCs w:val="20"/>
              </w:rPr>
            </w:pPr>
            <w:r w:rsidRPr="00E3331A">
              <w:rPr>
                <w:snapToGrid w:val="0"/>
                <w:szCs w:val="20"/>
              </w:rPr>
              <w:t>Physician</w:t>
            </w:r>
          </w:p>
        </w:tc>
      </w:tr>
      <w:tr w:rsidR="00506328" w:rsidRPr="00E3331A" w:rsidTr="00C56114">
        <w:tc>
          <w:tcPr>
            <w:tcW w:w="901" w:type="pct"/>
            <w:shd w:val="clear" w:color="auto" w:fill="auto"/>
            <w:vAlign w:val="center"/>
          </w:tcPr>
          <w:p w:rsidR="00506328" w:rsidRPr="00E3331A" w:rsidRDefault="00506328" w:rsidP="002A2FE7">
            <w:pPr>
              <w:pStyle w:val="TableText0"/>
              <w:rPr>
                <w:snapToGrid w:val="0"/>
                <w:szCs w:val="20"/>
              </w:rPr>
            </w:pPr>
            <w:r w:rsidRPr="00E3331A">
              <w:rPr>
                <w:snapToGrid w:val="0"/>
                <w:szCs w:val="20"/>
              </w:rPr>
              <w:t>Grip Strength</w:t>
            </w:r>
            <w:r w:rsidR="00FF0254" w:rsidRPr="00E3331A">
              <w:rPr>
                <w:snapToGrid w:val="0"/>
                <w:szCs w:val="20"/>
              </w:rPr>
              <w:t>*</w:t>
            </w:r>
          </w:p>
        </w:tc>
        <w:tc>
          <w:tcPr>
            <w:tcW w:w="1599" w:type="pct"/>
            <w:shd w:val="clear" w:color="auto" w:fill="auto"/>
            <w:vAlign w:val="center"/>
          </w:tcPr>
          <w:p w:rsidR="00506328" w:rsidRPr="00E3331A" w:rsidRDefault="00C12535" w:rsidP="002A2FE7">
            <w:pPr>
              <w:pStyle w:val="TableText0"/>
              <w:jc w:val="center"/>
              <w:rPr>
                <w:snapToGrid w:val="0"/>
                <w:szCs w:val="20"/>
              </w:rPr>
            </w:pPr>
            <w:r w:rsidRPr="00E3331A">
              <w:rPr>
                <w:snapToGrid w:val="0"/>
                <w:szCs w:val="20"/>
              </w:rPr>
              <w:t>Instrument-based scale</w:t>
            </w:r>
          </w:p>
        </w:tc>
        <w:tc>
          <w:tcPr>
            <w:tcW w:w="1616" w:type="pct"/>
            <w:shd w:val="clear" w:color="auto" w:fill="auto"/>
            <w:vAlign w:val="center"/>
          </w:tcPr>
          <w:p w:rsidR="00506328" w:rsidRPr="00E3331A" w:rsidRDefault="00C56114" w:rsidP="002A2FE7">
            <w:pPr>
              <w:pStyle w:val="TableText0"/>
              <w:jc w:val="center"/>
              <w:rPr>
                <w:snapToGrid w:val="0"/>
                <w:szCs w:val="20"/>
              </w:rPr>
            </w:pPr>
            <w:r w:rsidRPr="00E3331A">
              <w:rPr>
                <w:snapToGrid w:val="0"/>
                <w:szCs w:val="20"/>
              </w:rPr>
              <w:t>Grip Streng</w:t>
            </w:r>
            <w:r w:rsidR="00812DB6" w:rsidRPr="00E3331A">
              <w:rPr>
                <w:snapToGrid w:val="0"/>
                <w:szCs w:val="20"/>
              </w:rPr>
              <w:t>th</w:t>
            </w:r>
          </w:p>
        </w:tc>
        <w:tc>
          <w:tcPr>
            <w:tcW w:w="884" w:type="pct"/>
            <w:shd w:val="clear" w:color="auto" w:fill="auto"/>
            <w:vAlign w:val="center"/>
          </w:tcPr>
          <w:p w:rsidR="00506328" w:rsidRPr="00E3331A" w:rsidRDefault="00A47A87" w:rsidP="002A2FE7">
            <w:pPr>
              <w:pStyle w:val="TableText0"/>
              <w:jc w:val="center"/>
              <w:rPr>
                <w:snapToGrid w:val="0"/>
                <w:szCs w:val="20"/>
              </w:rPr>
            </w:pPr>
            <w:r w:rsidRPr="00E3331A">
              <w:rPr>
                <w:snapToGrid w:val="0"/>
                <w:szCs w:val="20"/>
              </w:rPr>
              <w:t>Physician</w:t>
            </w:r>
          </w:p>
        </w:tc>
      </w:tr>
      <w:tr w:rsidR="00506328" w:rsidRPr="00E3331A" w:rsidTr="00C56114">
        <w:tc>
          <w:tcPr>
            <w:tcW w:w="901" w:type="pct"/>
            <w:shd w:val="clear" w:color="auto" w:fill="auto"/>
            <w:vAlign w:val="center"/>
          </w:tcPr>
          <w:p w:rsidR="00506328" w:rsidRPr="00E3331A" w:rsidRDefault="00506328" w:rsidP="002A2FE7">
            <w:pPr>
              <w:pStyle w:val="TableText0"/>
              <w:rPr>
                <w:snapToGrid w:val="0"/>
                <w:szCs w:val="20"/>
              </w:rPr>
            </w:pPr>
            <w:r w:rsidRPr="00E3331A">
              <w:rPr>
                <w:snapToGrid w:val="0"/>
                <w:szCs w:val="20"/>
              </w:rPr>
              <w:t>FSS</w:t>
            </w:r>
          </w:p>
        </w:tc>
        <w:tc>
          <w:tcPr>
            <w:tcW w:w="1599" w:type="pct"/>
            <w:shd w:val="clear" w:color="auto" w:fill="auto"/>
            <w:vAlign w:val="center"/>
          </w:tcPr>
          <w:p w:rsidR="00506328" w:rsidRPr="00E3331A" w:rsidRDefault="00C12535" w:rsidP="002A2FE7">
            <w:pPr>
              <w:pStyle w:val="TableText0"/>
              <w:jc w:val="center"/>
              <w:rPr>
                <w:snapToGrid w:val="0"/>
                <w:szCs w:val="20"/>
              </w:rPr>
            </w:pPr>
            <w:r w:rsidRPr="00E3331A">
              <w:rPr>
                <w:snapToGrid w:val="0"/>
                <w:szCs w:val="20"/>
              </w:rPr>
              <w:t>9–63</w:t>
            </w:r>
          </w:p>
        </w:tc>
        <w:tc>
          <w:tcPr>
            <w:tcW w:w="1616" w:type="pct"/>
            <w:shd w:val="clear" w:color="auto" w:fill="auto"/>
            <w:vAlign w:val="center"/>
          </w:tcPr>
          <w:p w:rsidR="00506328" w:rsidRPr="00E3331A" w:rsidRDefault="00C56114" w:rsidP="002A2FE7">
            <w:pPr>
              <w:pStyle w:val="TableText0"/>
              <w:jc w:val="center"/>
              <w:rPr>
                <w:snapToGrid w:val="0"/>
                <w:szCs w:val="20"/>
              </w:rPr>
            </w:pPr>
            <w:r w:rsidRPr="00E3331A">
              <w:rPr>
                <w:snapToGrid w:val="0"/>
                <w:szCs w:val="20"/>
              </w:rPr>
              <w:t>Questions relating to fatigue severity and the impact of fatigue on activities and lifestyle</w:t>
            </w:r>
          </w:p>
        </w:tc>
        <w:tc>
          <w:tcPr>
            <w:tcW w:w="884" w:type="pct"/>
            <w:shd w:val="clear" w:color="auto" w:fill="auto"/>
            <w:vAlign w:val="center"/>
          </w:tcPr>
          <w:p w:rsidR="00506328" w:rsidRPr="00E3331A" w:rsidRDefault="00A47A87" w:rsidP="002A2FE7">
            <w:pPr>
              <w:pStyle w:val="TableText0"/>
              <w:jc w:val="center"/>
              <w:rPr>
                <w:snapToGrid w:val="0"/>
                <w:szCs w:val="20"/>
              </w:rPr>
            </w:pPr>
            <w:r w:rsidRPr="00E3331A">
              <w:rPr>
                <w:snapToGrid w:val="0"/>
                <w:szCs w:val="20"/>
              </w:rPr>
              <w:t>Patient</w:t>
            </w:r>
          </w:p>
        </w:tc>
      </w:tr>
      <w:tr w:rsidR="00506328" w:rsidRPr="00E3331A" w:rsidTr="00C56114">
        <w:tc>
          <w:tcPr>
            <w:tcW w:w="901" w:type="pct"/>
            <w:shd w:val="clear" w:color="auto" w:fill="auto"/>
            <w:vAlign w:val="center"/>
          </w:tcPr>
          <w:p w:rsidR="00506328" w:rsidRPr="00E3331A" w:rsidRDefault="00506328" w:rsidP="002A2FE7">
            <w:pPr>
              <w:pStyle w:val="TableText0"/>
              <w:rPr>
                <w:snapToGrid w:val="0"/>
                <w:szCs w:val="20"/>
              </w:rPr>
            </w:pPr>
            <w:r w:rsidRPr="00E3331A">
              <w:rPr>
                <w:snapToGrid w:val="0"/>
                <w:szCs w:val="20"/>
              </w:rPr>
              <w:t>Rasch-based FSS</w:t>
            </w:r>
          </w:p>
        </w:tc>
        <w:tc>
          <w:tcPr>
            <w:tcW w:w="1599" w:type="pct"/>
            <w:shd w:val="clear" w:color="auto" w:fill="auto"/>
            <w:vAlign w:val="center"/>
          </w:tcPr>
          <w:p w:rsidR="00506328" w:rsidRPr="00E3331A" w:rsidRDefault="00506328" w:rsidP="002A2FE7">
            <w:pPr>
              <w:pStyle w:val="TableText0"/>
              <w:jc w:val="center"/>
              <w:rPr>
                <w:snapToGrid w:val="0"/>
                <w:szCs w:val="20"/>
              </w:rPr>
            </w:pPr>
          </w:p>
        </w:tc>
        <w:tc>
          <w:tcPr>
            <w:tcW w:w="1616" w:type="pct"/>
            <w:shd w:val="clear" w:color="auto" w:fill="auto"/>
            <w:vAlign w:val="center"/>
          </w:tcPr>
          <w:p w:rsidR="00506328" w:rsidRPr="00E3331A" w:rsidRDefault="00C56114" w:rsidP="002A2FE7">
            <w:pPr>
              <w:pStyle w:val="TableText0"/>
              <w:jc w:val="center"/>
              <w:rPr>
                <w:snapToGrid w:val="0"/>
                <w:szCs w:val="20"/>
              </w:rPr>
            </w:pPr>
            <w:r w:rsidRPr="00E3331A">
              <w:rPr>
                <w:snapToGrid w:val="0"/>
                <w:szCs w:val="20"/>
              </w:rPr>
              <w:t xml:space="preserve">As in FSS but with </w:t>
            </w:r>
            <w:r w:rsidR="00487022" w:rsidRPr="00E3331A">
              <w:rPr>
                <w:snapToGrid w:val="0"/>
                <w:szCs w:val="20"/>
              </w:rPr>
              <w:t>four</w:t>
            </w:r>
            <w:r w:rsidRPr="00E3331A">
              <w:rPr>
                <w:snapToGrid w:val="0"/>
                <w:szCs w:val="20"/>
              </w:rPr>
              <w:t xml:space="preserve"> response categories</w:t>
            </w:r>
          </w:p>
        </w:tc>
        <w:tc>
          <w:tcPr>
            <w:tcW w:w="884" w:type="pct"/>
            <w:shd w:val="clear" w:color="auto" w:fill="auto"/>
            <w:vAlign w:val="center"/>
          </w:tcPr>
          <w:p w:rsidR="00506328" w:rsidRPr="00E3331A" w:rsidRDefault="00A47A87" w:rsidP="002A2FE7">
            <w:pPr>
              <w:pStyle w:val="TableText0"/>
              <w:jc w:val="center"/>
              <w:rPr>
                <w:snapToGrid w:val="0"/>
                <w:szCs w:val="20"/>
              </w:rPr>
            </w:pPr>
            <w:r w:rsidRPr="00E3331A">
              <w:rPr>
                <w:snapToGrid w:val="0"/>
                <w:szCs w:val="20"/>
              </w:rPr>
              <w:t>Patient</w:t>
            </w:r>
          </w:p>
        </w:tc>
      </w:tr>
      <w:tr w:rsidR="00506328" w:rsidRPr="00E3331A" w:rsidTr="00C56114">
        <w:tc>
          <w:tcPr>
            <w:tcW w:w="901" w:type="pct"/>
            <w:shd w:val="clear" w:color="auto" w:fill="auto"/>
            <w:vAlign w:val="center"/>
          </w:tcPr>
          <w:p w:rsidR="00506328" w:rsidRPr="00E3331A" w:rsidRDefault="00506328" w:rsidP="002A2FE7">
            <w:pPr>
              <w:pStyle w:val="TableText0"/>
              <w:rPr>
                <w:snapToGrid w:val="0"/>
                <w:szCs w:val="20"/>
              </w:rPr>
            </w:pPr>
            <w:r w:rsidRPr="00E3331A">
              <w:rPr>
                <w:snapToGrid w:val="0"/>
                <w:szCs w:val="20"/>
              </w:rPr>
              <w:t>SF-36</w:t>
            </w:r>
            <w:r w:rsidR="00FF0254" w:rsidRPr="00E3331A">
              <w:rPr>
                <w:snapToGrid w:val="0"/>
                <w:szCs w:val="20"/>
              </w:rPr>
              <w:t>*</w:t>
            </w:r>
          </w:p>
        </w:tc>
        <w:tc>
          <w:tcPr>
            <w:tcW w:w="1599" w:type="pct"/>
            <w:shd w:val="clear" w:color="auto" w:fill="auto"/>
            <w:vAlign w:val="center"/>
          </w:tcPr>
          <w:p w:rsidR="00506328" w:rsidRPr="00E3331A" w:rsidRDefault="00C12535" w:rsidP="002A2FE7">
            <w:pPr>
              <w:pStyle w:val="TableText0"/>
              <w:jc w:val="center"/>
              <w:rPr>
                <w:snapToGrid w:val="0"/>
                <w:szCs w:val="20"/>
              </w:rPr>
            </w:pPr>
            <w:r w:rsidRPr="00E3331A">
              <w:rPr>
                <w:snapToGrid w:val="0"/>
                <w:szCs w:val="20"/>
              </w:rPr>
              <w:t>8 scaled scores, each directly transformed into a 0–100 scale</w:t>
            </w:r>
          </w:p>
        </w:tc>
        <w:tc>
          <w:tcPr>
            <w:tcW w:w="1616" w:type="pct"/>
            <w:shd w:val="clear" w:color="auto" w:fill="auto"/>
            <w:vAlign w:val="center"/>
          </w:tcPr>
          <w:p w:rsidR="00506328" w:rsidRPr="00E3331A" w:rsidRDefault="00C56114" w:rsidP="002A2FE7">
            <w:pPr>
              <w:pStyle w:val="TableText0"/>
              <w:jc w:val="center"/>
              <w:rPr>
                <w:snapToGrid w:val="0"/>
                <w:szCs w:val="20"/>
              </w:rPr>
            </w:pPr>
            <w:r w:rsidRPr="00E3331A">
              <w:rPr>
                <w:snapToGrid w:val="0"/>
                <w:szCs w:val="20"/>
              </w:rPr>
              <w:t>Physical functioning (10 items), role functioning – physical (4), role functioning – emotional (3), social functioning (2), body pain (2), mental health (5), vitality (4), general health perception (5) and change in health</w:t>
            </w:r>
          </w:p>
        </w:tc>
        <w:tc>
          <w:tcPr>
            <w:tcW w:w="884" w:type="pct"/>
            <w:shd w:val="clear" w:color="auto" w:fill="auto"/>
            <w:vAlign w:val="center"/>
          </w:tcPr>
          <w:p w:rsidR="00506328" w:rsidRPr="00E3331A" w:rsidRDefault="00A47A87" w:rsidP="002A2FE7">
            <w:pPr>
              <w:pStyle w:val="TableText0"/>
              <w:jc w:val="center"/>
              <w:rPr>
                <w:snapToGrid w:val="0"/>
                <w:szCs w:val="20"/>
              </w:rPr>
            </w:pPr>
            <w:r w:rsidRPr="00E3331A">
              <w:rPr>
                <w:snapToGrid w:val="0"/>
                <w:szCs w:val="20"/>
              </w:rPr>
              <w:t>Patient</w:t>
            </w:r>
          </w:p>
        </w:tc>
      </w:tr>
      <w:tr w:rsidR="00506328" w:rsidRPr="00E3331A" w:rsidTr="00C56114">
        <w:tc>
          <w:tcPr>
            <w:tcW w:w="901" w:type="pct"/>
            <w:shd w:val="clear" w:color="auto" w:fill="auto"/>
            <w:vAlign w:val="center"/>
          </w:tcPr>
          <w:p w:rsidR="00506328" w:rsidRPr="00E3331A" w:rsidRDefault="00506328" w:rsidP="002A2FE7">
            <w:pPr>
              <w:pStyle w:val="TableText0"/>
              <w:rPr>
                <w:snapToGrid w:val="0"/>
                <w:szCs w:val="20"/>
              </w:rPr>
            </w:pPr>
            <w:r w:rsidRPr="00E3331A">
              <w:rPr>
                <w:snapToGrid w:val="0"/>
                <w:szCs w:val="20"/>
              </w:rPr>
              <w:t>CAP-PRI</w:t>
            </w:r>
          </w:p>
        </w:tc>
        <w:tc>
          <w:tcPr>
            <w:tcW w:w="1599" w:type="pct"/>
            <w:shd w:val="clear" w:color="auto" w:fill="auto"/>
            <w:vAlign w:val="center"/>
          </w:tcPr>
          <w:p w:rsidR="00506328" w:rsidRPr="00E3331A" w:rsidRDefault="00C12535" w:rsidP="002A2FE7">
            <w:pPr>
              <w:pStyle w:val="TableText0"/>
              <w:jc w:val="center"/>
              <w:rPr>
                <w:snapToGrid w:val="0"/>
                <w:szCs w:val="20"/>
              </w:rPr>
            </w:pPr>
            <w:r w:rsidRPr="00E3331A">
              <w:rPr>
                <w:snapToGrid w:val="0"/>
                <w:szCs w:val="20"/>
              </w:rPr>
              <w:t>Single score comprising of 4 domains</w:t>
            </w:r>
          </w:p>
        </w:tc>
        <w:tc>
          <w:tcPr>
            <w:tcW w:w="1616" w:type="pct"/>
            <w:shd w:val="clear" w:color="auto" w:fill="auto"/>
            <w:vAlign w:val="center"/>
          </w:tcPr>
          <w:p w:rsidR="00506328" w:rsidRPr="00E3331A" w:rsidRDefault="00C12535" w:rsidP="002A2FE7">
            <w:pPr>
              <w:pStyle w:val="TableText0"/>
              <w:jc w:val="center"/>
              <w:rPr>
                <w:snapToGrid w:val="0"/>
                <w:szCs w:val="20"/>
              </w:rPr>
            </w:pPr>
            <w:r w:rsidRPr="00E3331A">
              <w:rPr>
                <w:snapToGrid w:val="0"/>
                <w:szCs w:val="20"/>
              </w:rPr>
              <w:t xml:space="preserve"> </w:t>
            </w:r>
            <w:r w:rsidR="00A47A87" w:rsidRPr="00E3331A">
              <w:rPr>
                <w:snapToGrid w:val="0"/>
                <w:szCs w:val="20"/>
              </w:rPr>
              <w:t>Physical function, social function, pain, emotional well-being</w:t>
            </w:r>
          </w:p>
        </w:tc>
        <w:tc>
          <w:tcPr>
            <w:tcW w:w="884" w:type="pct"/>
            <w:shd w:val="clear" w:color="auto" w:fill="auto"/>
            <w:vAlign w:val="center"/>
          </w:tcPr>
          <w:p w:rsidR="00506328" w:rsidRPr="00E3331A" w:rsidRDefault="00A47A87" w:rsidP="002A2FE7">
            <w:pPr>
              <w:pStyle w:val="TableText0"/>
              <w:jc w:val="center"/>
              <w:rPr>
                <w:snapToGrid w:val="0"/>
                <w:szCs w:val="20"/>
              </w:rPr>
            </w:pPr>
            <w:r w:rsidRPr="00E3331A">
              <w:rPr>
                <w:snapToGrid w:val="0"/>
                <w:szCs w:val="20"/>
              </w:rPr>
              <w:t>Patient</w:t>
            </w:r>
          </w:p>
        </w:tc>
      </w:tr>
    </w:tbl>
    <w:p w:rsidR="00751590" w:rsidRPr="00E3331A" w:rsidRDefault="00751590" w:rsidP="00632BCA">
      <w:pPr>
        <w:pStyle w:val="Tablenotes1"/>
      </w:pPr>
      <w:r w:rsidRPr="00E3331A">
        <w:t>Source: reproduced from literature (Allen et al., 2017)</w:t>
      </w:r>
    </w:p>
    <w:p w:rsidR="00A47A87" w:rsidRPr="00E3331A" w:rsidRDefault="00A47A87" w:rsidP="00632BCA">
      <w:pPr>
        <w:pStyle w:val="Tablenotes1"/>
      </w:pPr>
      <w:r w:rsidRPr="00E3331A">
        <w:t xml:space="preserve">*Outcome scales used in the studies included in this Assessment. </w:t>
      </w:r>
      <w:r w:rsidR="00761A75" w:rsidRPr="00E3331A">
        <w:t xml:space="preserve">CAP-PRI: Chronic Acquired Polyneuropathy Patient-reported Index; CIDP: chronic inflammatory demyelinating polyneuropathy; FSS: Fatigue Severity Scale; ICE: Immune Globulin Intravenous </w:t>
      </w:r>
      <w:r w:rsidR="00AB7B11">
        <w:t>CIDP</w:t>
      </w:r>
      <w:r w:rsidR="00761A75" w:rsidRPr="00E3331A">
        <w:t xml:space="preserve"> Efficacy; INCAT: Inflammatory Neuropathy Cause and Treatment; MMN: multifocal motor neuropathy; ODSS: INCAT overall disability sum score; ONLS: Overall Neuropathy Limitation Scale; RODS: Rasch-built Overall Disability Scale; TUG: Timed Up and Go; SF-36: Short</w:t>
      </w:r>
      <w:r w:rsidR="00D45BCF" w:rsidRPr="00E3331A">
        <w:t>-</w:t>
      </w:r>
      <w:r w:rsidR="00761A75" w:rsidRPr="00E3331A">
        <w:t>Form-36</w:t>
      </w:r>
    </w:p>
    <w:p w:rsidR="00090AB1" w:rsidRPr="00E3331A" w:rsidRDefault="00090AB1" w:rsidP="00090AB1">
      <w:pPr>
        <w:pStyle w:val="Caption"/>
        <w:ind w:left="1134" w:hanging="1134"/>
      </w:pPr>
      <w:bookmarkStart w:id="219" w:name="_Ref8730137"/>
      <w:bookmarkStart w:id="220" w:name="_Toc24103329"/>
      <w:r w:rsidRPr="00E3331A">
        <w:lastRenderedPageBreak/>
        <w:t xml:space="preserve">Table </w:t>
      </w:r>
      <w:r w:rsidR="006F35B9">
        <w:rPr>
          <w:noProof/>
        </w:rPr>
        <w:t>23</w:t>
      </w:r>
      <w:bookmarkEnd w:id="219"/>
      <w:r w:rsidRPr="00E3331A">
        <w:t xml:space="preserve"> </w:t>
      </w:r>
      <w:r w:rsidRPr="00E3331A">
        <w:tab/>
        <w:t xml:space="preserve">Outcome scales used in the studies included in this Assessment and </w:t>
      </w:r>
      <w:r w:rsidR="009C6B70" w:rsidRPr="00E3331A">
        <w:t xml:space="preserve">NOT </w:t>
      </w:r>
      <w:r w:rsidRPr="00E3331A">
        <w:t>included in the list of validated scales for use in CIDP</w:t>
      </w:r>
      <w:bookmarkEnd w:id="220"/>
      <w:r w:rsidRPr="00E3331A">
        <w:t xml:space="preserve"> </w:t>
      </w:r>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77"/>
        <w:gridCol w:w="2799"/>
        <w:gridCol w:w="2829"/>
        <w:gridCol w:w="1548"/>
      </w:tblGrid>
      <w:tr w:rsidR="00A47A87" w:rsidRPr="00E3331A" w:rsidTr="002A2FE7">
        <w:tc>
          <w:tcPr>
            <w:tcW w:w="901" w:type="pct"/>
            <w:shd w:val="clear" w:color="auto" w:fill="auto"/>
            <w:vAlign w:val="center"/>
          </w:tcPr>
          <w:p w:rsidR="00A47A87" w:rsidRPr="00E3331A" w:rsidRDefault="00A47A87" w:rsidP="002A2FE7">
            <w:pPr>
              <w:pStyle w:val="TableHeading"/>
              <w:rPr>
                <w:snapToGrid w:val="0"/>
                <w:lang w:eastAsia="en-US"/>
              </w:rPr>
            </w:pPr>
            <w:r w:rsidRPr="00E3331A">
              <w:rPr>
                <w:snapToGrid w:val="0"/>
                <w:lang w:eastAsia="en-US"/>
              </w:rPr>
              <w:t>Scale</w:t>
            </w:r>
          </w:p>
        </w:tc>
        <w:tc>
          <w:tcPr>
            <w:tcW w:w="1599" w:type="pct"/>
            <w:shd w:val="clear" w:color="auto" w:fill="auto"/>
            <w:vAlign w:val="center"/>
          </w:tcPr>
          <w:p w:rsidR="00A47A87" w:rsidRPr="00E3331A" w:rsidRDefault="00A47A87" w:rsidP="002A2FE7">
            <w:pPr>
              <w:pStyle w:val="TableHeading"/>
              <w:jc w:val="center"/>
              <w:rPr>
                <w:snapToGrid w:val="0"/>
                <w:lang w:eastAsia="en-US"/>
              </w:rPr>
            </w:pPr>
            <w:r w:rsidRPr="00E3331A">
              <w:rPr>
                <w:snapToGrid w:val="0"/>
                <w:lang w:eastAsia="en-US"/>
              </w:rPr>
              <w:t>Scoring Range</w:t>
            </w:r>
          </w:p>
        </w:tc>
        <w:tc>
          <w:tcPr>
            <w:tcW w:w="1616" w:type="pct"/>
            <w:shd w:val="clear" w:color="auto" w:fill="auto"/>
            <w:vAlign w:val="center"/>
          </w:tcPr>
          <w:p w:rsidR="00A47A87" w:rsidRPr="00E3331A" w:rsidRDefault="00A47A87" w:rsidP="002A2FE7">
            <w:pPr>
              <w:pStyle w:val="TableHeading"/>
              <w:jc w:val="center"/>
              <w:rPr>
                <w:snapToGrid w:val="0"/>
                <w:lang w:eastAsia="en-US"/>
              </w:rPr>
            </w:pPr>
            <w:r w:rsidRPr="00E3331A">
              <w:rPr>
                <w:snapToGrid w:val="0"/>
                <w:lang w:eastAsia="en-US"/>
              </w:rPr>
              <w:t>Key Measures</w:t>
            </w:r>
          </w:p>
        </w:tc>
        <w:tc>
          <w:tcPr>
            <w:tcW w:w="884" w:type="pct"/>
            <w:shd w:val="clear" w:color="auto" w:fill="auto"/>
            <w:vAlign w:val="center"/>
          </w:tcPr>
          <w:p w:rsidR="00A47A87" w:rsidRPr="00E3331A" w:rsidRDefault="00A47A87" w:rsidP="002A2FE7">
            <w:pPr>
              <w:pStyle w:val="TableHeading"/>
              <w:jc w:val="center"/>
              <w:rPr>
                <w:snapToGrid w:val="0"/>
                <w:lang w:eastAsia="en-US"/>
              </w:rPr>
            </w:pPr>
            <w:r w:rsidRPr="00E3331A">
              <w:rPr>
                <w:snapToGrid w:val="0"/>
                <w:lang w:eastAsia="en-US"/>
              </w:rPr>
              <w:t>Patient or physician reported</w:t>
            </w:r>
          </w:p>
        </w:tc>
      </w:tr>
      <w:tr w:rsidR="00A47A87" w:rsidRPr="00E3331A" w:rsidTr="002A2FE7">
        <w:tc>
          <w:tcPr>
            <w:tcW w:w="901" w:type="pct"/>
            <w:shd w:val="clear" w:color="auto" w:fill="auto"/>
            <w:vAlign w:val="center"/>
          </w:tcPr>
          <w:p w:rsidR="00A47A87" w:rsidRPr="00E3331A" w:rsidRDefault="00FF0254" w:rsidP="002A2FE7">
            <w:pPr>
              <w:pStyle w:val="TableText0"/>
              <w:rPr>
                <w:snapToGrid w:val="0"/>
                <w:szCs w:val="20"/>
              </w:rPr>
            </w:pPr>
            <w:r w:rsidRPr="00E3331A">
              <w:rPr>
                <w:snapToGrid w:val="0"/>
                <w:szCs w:val="20"/>
              </w:rPr>
              <w:t>40 metre walk test</w:t>
            </w:r>
          </w:p>
        </w:tc>
        <w:tc>
          <w:tcPr>
            <w:tcW w:w="1599" w:type="pct"/>
            <w:shd w:val="clear" w:color="auto" w:fill="auto"/>
            <w:vAlign w:val="center"/>
          </w:tcPr>
          <w:p w:rsidR="00A47A87" w:rsidRPr="00E3331A" w:rsidRDefault="00E94B10" w:rsidP="002A2FE7">
            <w:pPr>
              <w:pStyle w:val="TableText0"/>
              <w:jc w:val="center"/>
              <w:rPr>
                <w:snapToGrid w:val="0"/>
                <w:szCs w:val="20"/>
              </w:rPr>
            </w:pPr>
            <w:r w:rsidRPr="00E3331A">
              <w:rPr>
                <w:snapToGrid w:val="0"/>
                <w:szCs w:val="20"/>
              </w:rPr>
              <w:t>Timed activity test</w:t>
            </w:r>
          </w:p>
        </w:tc>
        <w:tc>
          <w:tcPr>
            <w:tcW w:w="1616" w:type="pct"/>
            <w:shd w:val="clear" w:color="auto" w:fill="auto"/>
            <w:vAlign w:val="center"/>
          </w:tcPr>
          <w:p w:rsidR="00A47A87" w:rsidRPr="00E3331A" w:rsidRDefault="00E94B10" w:rsidP="002A2FE7">
            <w:pPr>
              <w:pStyle w:val="TableText0"/>
              <w:jc w:val="center"/>
              <w:rPr>
                <w:snapToGrid w:val="0"/>
                <w:szCs w:val="20"/>
              </w:rPr>
            </w:pPr>
            <w:r w:rsidRPr="00E3331A">
              <w:rPr>
                <w:snapToGrid w:val="0"/>
                <w:szCs w:val="20"/>
              </w:rPr>
              <w:t>Time taken to walk 40 metres</w:t>
            </w:r>
            <w:r w:rsidR="000A1BD4">
              <w:rPr>
                <w:snapToGrid w:val="0"/>
                <w:szCs w:val="20"/>
              </w:rPr>
              <w:t>.</w:t>
            </w:r>
          </w:p>
        </w:tc>
        <w:tc>
          <w:tcPr>
            <w:tcW w:w="884" w:type="pct"/>
            <w:shd w:val="clear" w:color="auto" w:fill="auto"/>
            <w:vAlign w:val="center"/>
          </w:tcPr>
          <w:p w:rsidR="00A47A87" w:rsidRPr="00E3331A" w:rsidRDefault="00E94B10" w:rsidP="002A2FE7">
            <w:pPr>
              <w:pStyle w:val="TableText0"/>
              <w:jc w:val="center"/>
              <w:rPr>
                <w:snapToGrid w:val="0"/>
                <w:szCs w:val="20"/>
              </w:rPr>
            </w:pPr>
            <w:r w:rsidRPr="00E3331A">
              <w:rPr>
                <w:snapToGrid w:val="0"/>
                <w:szCs w:val="20"/>
              </w:rPr>
              <w:t>Physician</w:t>
            </w:r>
          </w:p>
        </w:tc>
      </w:tr>
      <w:tr w:rsidR="00A47A87" w:rsidRPr="00E3331A" w:rsidTr="002A2FE7">
        <w:tc>
          <w:tcPr>
            <w:tcW w:w="901" w:type="pct"/>
            <w:shd w:val="clear" w:color="auto" w:fill="auto"/>
            <w:vAlign w:val="center"/>
          </w:tcPr>
          <w:p w:rsidR="00A47A87" w:rsidRPr="00E3331A" w:rsidRDefault="00FF0254" w:rsidP="002A2FE7">
            <w:pPr>
              <w:pStyle w:val="TableText0"/>
              <w:rPr>
                <w:snapToGrid w:val="0"/>
                <w:szCs w:val="20"/>
              </w:rPr>
            </w:pPr>
            <w:r w:rsidRPr="00E3331A">
              <w:rPr>
                <w:snapToGrid w:val="0"/>
                <w:szCs w:val="20"/>
              </w:rPr>
              <w:t>9 peg hole test</w:t>
            </w:r>
            <w:r w:rsidR="006D3D9F" w:rsidRPr="00E3331A">
              <w:rPr>
                <w:snapToGrid w:val="0"/>
                <w:szCs w:val="20"/>
              </w:rPr>
              <w:t xml:space="preserve"> </w:t>
            </w:r>
            <w:r w:rsidR="00B85C75">
              <w:rPr>
                <w:noProof/>
                <w:snapToGrid w:val="0"/>
                <w:szCs w:val="20"/>
              </w:rPr>
              <w:t>(NMSS 2019)</w:t>
            </w:r>
          </w:p>
        </w:tc>
        <w:tc>
          <w:tcPr>
            <w:tcW w:w="1599" w:type="pct"/>
            <w:shd w:val="clear" w:color="auto" w:fill="auto"/>
            <w:vAlign w:val="center"/>
          </w:tcPr>
          <w:p w:rsidR="00A47A87" w:rsidRPr="00E3331A" w:rsidRDefault="00812DB6" w:rsidP="002A2FE7">
            <w:pPr>
              <w:pStyle w:val="TableText0"/>
              <w:jc w:val="center"/>
              <w:rPr>
                <w:snapToGrid w:val="0"/>
                <w:szCs w:val="20"/>
              </w:rPr>
            </w:pPr>
            <w:r w:rsidRPr="00E3331A">
              <w:rPr>
                <w:snapToGrid w:val="0"/>
                <w:szCs w:val="20"/>
              </w:rPr>
              <w:t>Timed activity test</w:t>
            </w:r>
          </w:p>
        </w:tc>
        <w:tc>
          <w:tcPr>
            <w:tcW w:w="1616" w:type="pct"/>
            <w:shd w:val="clear" w:color="auto" w:fill="auto"/>
            <w:vAlign w:val="center"/>
          </w:tcPr>
          <w:p w:rsidR="00A47A87" w:rsidRPr="00E3331A" w:rsidRDefault="00812DB6" w:rsidP="002A2FE7">
            <w:pPr>
              <w:pStyle w:val="TableText0"/>
              <w:jc w:val="center"/>
              <w:rPr>
                <w:snapToGrid w:val="0"/>
                <w:szCs w:val="20"/>
              </w:rPr>
            </w:pPr>
            <w:r w:rsidRPr="00E3331A">
              <w:rPr>
                <w:snapToGrid w:val="0"/>
                <w:szCs w:val="20"/>
              </w:rPr>
              <w:t xml:space="preserve">Measure of upper extremity function. Measures time to place </w:t>
            </w:r>
            <w:r w:rsidR="00D402F0" w:rsidRPr="00E3331A">
              <w:rPr>
                <w:snapToGrid w:val="0"/>
                <w:szCs w:val="20"/>
              </w:rPr>
              <w:t xml:space="preserve">9 </w:t>
            </w:r>
            <w:r w:rsidRPr="00E3331A">
              <w:rPr>
                <w:snapToGrid w:val="0"/>
                <w:szCs w:val="20"/>
              </w:rPr>
              <w:t xml:space="preserve">pegs into </w:t>
            </w:r>
            <w:r w:rsidR="00D402F0" w:rsidRPr="00E3331A">
              <w:rPr>
                <w:snapToGrid w:val="0"/>
                <w:szCs w:val="20"/>
              </w:rPr>
              <w:t xml:space="preserve">holes in </w:t>
            </w:r>
            <w:r w:rsidRPr="00E3331A">
              <w:rPr>
                <w:snapToGrid w:val="0"/>
                <w:szCs w:val="20"/>
              </w:rPr>
              <w:t>a block</w:t>
            </w:r>
            <w:r w:rsidR="00D402F0" w:rsidRPr="00E3331A">
              <w:rPr>
                <w:snapToGrid w:val="0"/>
                <w:szCs w:val="20"/>
              </w:rPr>
              <w:t xml:space="preserve"> and then remove them, one at a time and place them back into a container.</w:t>
            </w:r>
            <w:r w:rsidRPr="00E3331A">
              <w:rPr>
                <w:snapToGrid w:val="0"/>
                <w:szCs w:val="20"/>
              </w:rPr>
              <w:t xml:space="preserve"> Both hands are tested twice</w:t>
            </w:r>
            <w:r w:rsidR="000A1BD4">
              <w:rPr>
                <w:snapToGrid w:val="0"/>
                <w:szCs w:val="20"/>
              </w:rPr>
              <w:t>.</w:t>
            </w:r>
          </w:p>
        </w:tc>
        <w:tc>
          <w:tcPr>
            <w:tcW w:w="884" w:type="pct"/>
            <w:shd w:val="clear" w:color="auto" w:fill="auto"/>
            <w:vAlign w:val="center"/>
          </w:tcPr>
          <w:p w:rsidR="00A47A87" w:rsidRPr="00E3331A" w:rsidRDefault="00E94B10" w:rsidP="002A2FE7">
            <w:pPr>
              <w:pStyle w:val="TableText0"/>
              <w:jc w:val="center"/>
              <w:rPr>
                <w:snapToGrid w:val="0"/>
                <w:szCs w:val="20"/>
              </w:rPr>
            </w:pPr>
            <w:r w:rsidRPr="00E3331A">
              <w:rPr>
                <w:snapToGrid w:val="0"/>
                <w:szCs w:val="20"/>
              </w:rPr>
              <w:t>P</w:t>
            </w:r>
            <w:r w:rsidR="00812DB6" w:rsidRPr="00E3331A">
              <w:rPr>
                <w:snapToGrid w:val="0"/>
                <w:szCs w:val="20"/>
              </w:rPr>
              <w:t>hysician</w:t>
            </w:r>
          </w:p>
        </w:tc>
      </w:tr>
      <w:tr w:rsidR="00A47A87" w:rsidRPr="00E3331A" w:rsidTr="002A2FE7">
        <w:tc>
          <w:tcPr>
            <w:tcW w:w="901" w:type="pct"/>
            <w:shd w:val="clear" w:color="auto" w:fill="auto"/>
            <w:vAlign w:val="center"/>
          </w:tcPr>
          <w:p w:rsidR="00A47A87" w:rsidRPr="00E3331A" w:rsidRDefault="00FF0254" w:rsidP="002A2FE7">
            <w:pPr>
              <w:pStyle w:val="TableText0"/>
              <w:rPr>
                <w:snapToGrid w:val="0"/>
                <w:szCs w:val="20"/>
              </w:rPr>
            </w:pPr>
            <w:r w:rsidRPr="00E3331A">
              <w:rPr>
                <w:snapToGrid w:val="0"/>
                <w:szCs w:val="20"/>
              </w:rPr>
              <w:t>ALDS</w:t>
            </w:r>
            <w:r w:rsidR="006D3D9F" w:rsidRPr="00E3331A">
              <w:rPr>
                <w:snapToGrid w:val="0"/>
                <w:szCs w:val="20"/>
              </w:rPr>
              <w:t xml:space="preserve"> </w:t>
            </w:r>
            <w:r w:rsidR="00B85C75">
              <w:rPr>
                <w:noProof/>
                <w:snapToGrid w:val="0"/>
                <w:szCs w:val="20"/>
              </w:rPr>
              <w:t>(Met et al. 2009)</w:t>
            </w:r>
          </w:p>
        </w:tc>
        <w:tc>
          <w:tcPr>
            <w:tcW w:w="1599" w:type="pct"/>
            <w:shd w:val="clear" w:color="auto" w:fill="auto"/>
            <w:vAlign w:val="center"/>
          </w:tcPr>
          <w:p w:rsidR="00A47A87" w:rsidRPr="00E3331A" w:rsidRDefault="00E94B10" w:rsidP="002A2FE7">
            <w:pPr>
              <w:pStyle w:val="TableText0"/>
              <w:jc w:val="center"/>
              <w:rPr>
                <w:snapToGrid w:val="0"/>
                <w:szCs w:val="20"/>
              </w:rPr>
            </w:pPr>
            <w:r w:rsidRPr="00E3331A">
              <w:rPr>
                <w:snapToGrid w:val="0"/>
                <w:szCs w:val="20"/>
              </w:rPr>
              <w:t>Scores are linearly transformed into values between 0 and 100</w:t>
            </w:r>
          </w:p>
        </w:tc>
        <w:tc>
          <w:tcPr>
            <w:tcW w:w="1616" w:type="pct"/>
            <w:shd w:val="clear" w:color="auto" w:fill="auto"/>
            <w:vAlign w:val="center"/>
          </w:tcPr>
          <w:p w:rsidR="00A47A87" w:rsidRPr="00E3331A" w:rsidRDefault="00E94B10" w:rsidP="002A2FE7">
            <w:pPr>
              <w:pStyle w:val="TableText0"/>
              <w:jc w:val="center"/>
              <w:rPr>
                <w:snapToGrid w:val="0"/>
                <w:szCs w:val="20"/>
              </w:rPr>
            </w:pPr>
            <w:r w:rsidRPr="00E3331A">
              <w:rPr>
                <w:snapToGrid w:val="0"/>
                <w:szCs w:val="20"/>
              </w:rPr>
              <w:t xml:space="preserve">Measures disability, as expressed by the ability to perform activities of daily life. Consists of 77 items ranging from very easy to relatively difficult. Each item has 3 response options. </w:t>
            </w:r>
          </w:p>
        </w:tc>
        <w:tc>
          <w:tcPr>
            <w:tcW w:w="884" w:type="pct"/>
            <w:shd w:val="clear" w:color="auto" w:fill="auto"/>
            <w:vAlign w:val="center"/>
          </w:tcPr>
          <w:p w:rsidR="00A47A87" w:rsidRPr="00E3331A" w:rsidRDefault="00E94B10" w:rsidP="002A2FE7">
            <w:pPr>
              <w:pStyle w:val="TableText0"/>
              <w:jc w:val="center"/>
              <w:rPr>
                <w:snapToGrid w:val="0"/>
                <w:szCs w:val="20"/>
              </w:rPr>
            </w:pPr>
            <w:r w:rsidRPr="00E3331A">
              <w:rPr>
                <w:snapToGrid w:val="0"/>
                <w:szCs w:val="20"/>
              </w:rPr>
              <w:t>Patient</w:t>
            </w:r>
          </w:p>
        </w:tc>
      </w:tr>
      <w:tr w:rsidR="00A47A87" w:rsidRPr="00E3331A" w:rsidTr="002A2FE7">
        <w:tc>
          <w:tcPr>
            <w:tcW w:w="901" w:type="pct"/>
            <w:shd w:val="clear" w:color="auto" w:fill="auto"/>
            <w:vAlign w:val="center"/>
          </w:tcPr>
          <w:p w:rsidR="00A47A87" w:rsidRPr="00E3331A" w:rsidRDefault="00FF0254" w:rsidP="002A2FE7">
            <w:pPr>
              <w:pStyle w:val="TableText0"/>
              <w:rPr>
                <w:snapToGrid w:val="0"/>
                <w:szCs w:val="20"/>
              </w:rPr>
            </w:pPr>
            <w:r w:rsidRPr="00E3331A">
              <w:rPr>
                <w:snapToGrid w:val="0"/>
                <w:szCs w:val="20"/>
              </w:rPr>
              <w:t>Clinical grade</w:t>
            </w:r>
            <w:r w:rsidR="006D3D9F" w:rsidRPr="00E3331A">
              <w:rPr>
                <w:snapToGrid w:val="0"/>
                <w:szCs w:val="20"/>
              </w:rPr>
              <w:t xml:space="preserve"> </w:t>
            </w:r>
            <w:r w:rsidR="00B85C75">
              <w:rPr>
                <w:noProof/>
                <w:snapToGrid w:val="0"/>
                <w:szCs w:val="20"/>
              </w:rPr>
              <w:t>(Hahn et al. 1996a)</w:t>
            </w:r>
            <w:r w:rsidR="00A40E88" w:rsidRPr="00E3331A">
              <w:rPr>
                <w:snapToGrid w:val="0"/>
                <w:szCs w:val="20"/>
              </w:rPr>
              <w:t xml:space="preserve"> </w:t>
            </w:r>
          </w:p>
        </w:tc>
        <w:tc>
          <w:tcPr>
            <w:tcW w:w="1599" w:type="pct"/>
            <w:shd w:val="clear" w:color="auto" w:fill="auto"/>
            <w:vAlign w:val="center"/>
          </w:tcPr>
          <w:p w:rsidR="00A47A87" w:rsidRPr="00E3331A" w:rsidRDefault="00A40E88" w:rsidP="002A2FE7">
            <w:pPr>
              <w:pStyle w:val="TableText0"/>
              <w:jc w:val="center"/>
              <w:rPr>
                <w:snapToGrid w:val="0"/>
                <w:szCs w:val="20"/>
              </w:rPr>
            </w:pPr>
            <w:r w:rsidRPr="00E3331A">
              <w:rPr>
                <w:snapToGrid w:val="0"/>
                <w:szCs w:val="20"/>
              </w:rPr>
              <w:t>0</w:t>
            </w:r>
            <w:r w:rsidR="00CA4DCD" w:rsidRPr="00E3331A">
              <w:rPr>
                <w:snapToGrid w:val="0"/>
                <w:szCs w:val="20"/>
              </w:rPr>
              <w:t>-</w:t>
            </w:r>
            <w:r w:rsidRPr="00E3331A">
              <w:rPr>
                <w:snapToGrid w:val="0"/>
                <w:szCs w:val="20"/>
              </w:rPr>
              <w:t>10</w:t>
            </w:r>
          </w:p>
        </w:tc>
        <w:tc>
          <w:tcPr>
            <w:tcW w:w="1616" w:type="pct"/>
            <w:shd w:val="clear" w:color="auto" w:fill="auto"/>
            <w:vAlign w:val="center"/>
          </w:tcPr>
          <w:p w:rsidR="00A47A87" w:rsidRPr="00E3331A" w:rsidRDefault="00F93DCC" w:rsidP="002A2FE7">
            <w:pPr>
              <w:pStyle w:val="TableText0"/>
              <w:jc w:val="center"/>
              <w:rPr>
                <w:snapToGrid w:val="0"/>
                <w:szCs w:val="20"/>
              </w:rPr>
            </w:pPr>
            <w:r w:rsidRPr="00E3331A">
              <w:rPr>
                <w:snapToGrid w:val="0"/>
                <w:szCs w:val="20"/>
              </w:rPr>
              <w:t>Clinical grading scale used for functional assessments. Scores can range from 0 (normal) to 10 (</w:t>
            </w:r>
            <w:r w:rsidR="000A1BD4">
              <w:rPr>
                <w:snapToGrid w:val="0"/>
                <w:szCs w:val="20"/>
              </w:rPr>
              <w:t>dead).</w:t>
            </w:r>
          </w:p>
        </w:tc>
        <w:tc>
          <w:tcPr>
            <w:tcW w:w="884" w:type="pct"/>
            <w:shd w:val="clear" w:color="auto" w:fill="auto"/>
            <w:vAlign w:val="center"/>
          </w:tcPr>
          <w:p w:rsidR="00A47A87" w:rsidRPr="00E3331A" w:rsidRDefault="00D970A3" w:rsidP="002A2FE7">
            <w:pPr>
              <w:pStyle w:val="TableText0"/>
              <w:jc w:val="center"/>
              <w:rPr>
                <w:snapToGrid w:val="0"/>
                <w:szCs w:val="20"/>
              </w:rPr>
            </w:pPr>
            <w:r w:rsidRPr="00E3331A">
              <w:rPr>
                <w:snapToGrid w:val="0"/>
                <w:szCs w:val="20"/>
              </w:rPr>
              <w:t>Physician</w:t>
            </w:r>
          </w:p>
        </w:tc>
      </w:tr>
      <w:tr w:rsidR="00A47A87" w:rsidRPr="00E3331A" w:rsidTr="002A2FE7">
        <w:tc>
          <w:tcPr>
            <w:tcW w:w="901" w:type="pct"/>
            <w:shd w:val="clear" w:color="auto" w:fill="auto"/>
            <w:vAlign w:val="center"/>
          </w:tcPr>
          <w:p w:rsidR="00A47A87" w:rsidRPr="00E3331A" w:rsidRDefault="00FF0254" w:rsidP="002A2FE7">
            <w:pPr>
              <w:pStyle w:val="TableText0"/>
              <w:rPr>
                <w:snapToGrid w:val="0"/>
                <w:szCs w:val="20"/>
              </w:rPr>
            </w:pPr>
            <w:r w:rsidRPr="00E3331A">
              <w:rPr>
                <w:snapToGrid w:val="0"/>
                <w:szCs w:val="20"/>
              </w:rPr>
              <w:t>ISS</w:t>
            </w:r>
            <w:r w:rsidR="006D3D9F" w:rsidRPr="00E3331A">
              <w:rPr>
                <w:snapToGrid w:val="0"/>
                <w:szCs w:val="20"/>
              </w:rPr>
              <w:t xml:space="preserve"> </w:t>
            </w:r>
            <w:r w:rsidR="00B85C75">
              <w:rPr>
                <w:noProof/>
                <w:snapToGrid w:val="0"/>
                <w:szCs w:val="20"/>
              </w:rPr>
              <w:t>(NSW ITIM 2019)</w:t>
            </w:r>
          </w:p>
        </w:tc>
        <w:tc>
          <w:tcPr>
            <w:tcW w:w="1599" w:type="pct"/>
            <w:shd w:val="clear" w:color="auto" w:fill="auto"/>
            <w:vAlign w:val="center"/>
          </w:tcPr>
          <w:p w:rsidR="00A47A87" w:rsidRPr="00E3331A" w:rsidRDefault="009F2C10" w:rsidP="002A2FE7">
            <w:pPr>
              <w:pStyle w:val="TableText0"/>
              <w:jc w:val="center"/>
              <w:rPr>
                <w:snapToGrid w:val="0"/>
                <w:szCs w:val="20"/>
              </w:rPr>
            </w:pPr>
            <w:r w:rsidRPr="00E3331A">
              <w:rPr>
                <w:snapToGrid w:val="0"/>
                <w:szCs w:val="20"/>
              </w:rPr>
              <w:t>1</w:t>
            </w:r>
            <w:r w:rsidR="00CA4DCD" w:rsidRPr="00E3331A">
              <w:rPr>
                <w:snapToGrid w:val="0"/>
                <w:szCs w:val="20"/>
              </w:rPr>
              <w:t>-</w:t>
            </w:r>
            <w:r w:rsidRPr="00E3331A">
              <w:rPr>
                <w:snapToGrid w:val="0"/>
                <w:szCs w:val="20"/>
              </w:rPr>
              <w:t>75</w:t>
            </w:r>
          </w:p>
        </w:tc>
        <w:tc>
          <w:tcPr>
            <w:tcW w:w="1616" w:type="pct"/>
            <w:shd w:val="clear" w:color="auto" w:fill="auto"/>
            <w:vAlign w:val="center"/>
          </w:tcPr>
          <w:p w:rsidR="00A47A87" w:rsidRPr="00E3331A" w:rsidRDefault="009F2C10" w:rsidP="002A2FE7">
            <w:pPr>
              <w:pStyle w:val="TableText0"/>
              <w:jc w:val="center"/>
              <w:rPr>
                <w:snapToGrid w:val="0"/>
                <w:szCs w:val="20"/>
              </w:rPr>
            </w:pPr>
            <w:r w:rsidRPr="00E3331A">
              <w:rPr>
                <w:snapToGrid w:val="0"/>
                <w:szCs w:val="20"/>
              </w:rPr>
              <w:t xml:space="preserve">Calculated as the sum of the squares of the highest </w:t>
            </w:r>
            <w:r w:rsidR="001D7CD1" w:rsidRPr="00E3331A">
              <w:rPr>
                <w:snapToGrid w:val="0"/>
                <w:szCs w:val="20"/>
              </w:rPr>
              <w:t xml:space="preserve">Abbreviated Injury Scale code in each of the three most severely injured ISS body regions (head or neck, face, chest, abdominal or pelvic contents, extremities or pelvic girdle, </w:t>
            </w:r>
            <w:r w:rsidR="000A1BD4">
              <w:rPr>
                <w:snapToGrid w:val="0"/>
                <w:szCs w:val="20"/>
              </w:rPr>
              <w:t>external).</w:t>
            </w:r>
          </w:p>
        </w:tc>
        <w:tc>
          <w:tcPr>
            <w:tcW w:w="884" w:type="pct"/>
            <w:shd w:val="clear" w:color="auto" w:fill="auto"/>
            <w:vAlign w:val="center"/>
          </w:tcPr>
          <w:p w:rsidR="00A47A87" w:rsidRPr="00E3331A" w:rsidRDefault="00241A8C" w:rsidP="002A2FE7">
            <w:pPr>
              <w:pStyle w:val="TableText0"/>
              <w:jc w:val="center"/>
              <w:rPr>
                <w:snapToGrid w:val="0"/>
                <w:szCs w:val="20"/>
              </w:rPr>
            </w:pPr>
            <w:r w:rsidRPr="00E3331A">
              <w:rPr>
                <w:snapToGrid w:val="0"/>
                <w:szCs w:val="20"/>
              </w:rPr>
              <w:t>Physician</w:t>
            </w:r>
          </w:p>
        </w:tc>
      </w:tr>
      <w:tr w:rsidR="00FF0254" w:rsidRPr="00E3331A" w:rsidTr="002A2FE7">
        <w:tc>
          <w:tcPr>
            <w:tcW w:w="901" w:type="pct"/>
            <w:shd w:val="clear" w:color="auto" w:fill="auto"/>
            <w:vAlign w:val="center"/>
          </w:tcPr>
          <w:p w:rsidR="002639BB" w:rsidRPr="00E3331A" w:rsidRDefault="00FF0254" w:rsidP="000461E3">
            <w:pPr>
              <w:pStyle w:val="TableText0"/>
              <w:rPr>
                <w:snapToGrid w:val="0"/>
                <w:szCs w:val="20"/>
              </w:rPr>
            </w:pPr>
            <w:r w:rsidRPr="002A602E">
              <w:rPr>
                <w:snapToGrid w:val="0"/>
                <w:szCs w:val="20"/>
              </w:rPr>
              <w:t>MRC</w:t>
            </w:r>
            <w:r w:rsidR="00C77417" w:rsidRPr="002A602E">
              <w:rPr>
                <w:snapToGrid w:val="0"/>
                <w:szCs w:val="20"/>
              </w:rPr>
              <w:t xml:space="preserve"> Sum Score</w:t>
            </w:r>
          </w:p>
        </w:tc>
        <w:tc>
          <w:tcPr>
            <w:tcW w:w="1599" w:type="pct"/>
            <w:shd w:val="clear" w:color="auto" w:fill="auto"/>
            <w:vAlign w:val="center"/>
          </w:tcPr>
          <w:p w:rsidR="00FF0254" w:rsidRPr="00E3331A" w:rsidRDefault="00856953" w:rsidP="002A2FE7">
            <w:pPr>
              <w:pStyle w:val="TableText0"/>
              <w:jc w:val="center"/>
              <w:rPr>
                <w:snapToGrid w:val="0"/>
                <w:szCs w:val="20"/>
              </w:rPr>
            </w:pPr>
            <w:r w:rsidRPr="00E3331A">
              <w:rPr>
                <w:snapToGrid w:val="0"/>
                <w:szCs w:val="20"/>
              </w:rPr>
              <w:t>Total out of 60</w:t>
            </w:r>
          </w:p>
        </w:tc>
        <w:tc>
          <w:tcPr>
            <w:tcW w:w="1616" w:type="pct"/>
            <w:shd w:val="clear" w:color="auto" w:fill="auto"/>
            <w:vAlign w:val="center"/>
          </w:tcPr>
          <w:p w:rsidR="00FF0254" w:rsidRPr="00E3331A" w:rsidRDefault="00C77417" w:rsidP="002A2FE7">
            <w:pPr>
              <w:pStyle w:val="TableText0"/>
              <w:jc w:val="center"/>
              <w:rPr>
                <w:snapToGrid w:val="0"/>
                <w:szCs w:val="20"/>
              </w:rPr>
            </w:pPr>
            <w:r w:rsidRPr="00E3331A">
              <w:rPr>
                <w:snapToGrid w:val="0"/>
                <w:szCs w:val="20"/>
              </w:rPr>
              <w:t>Measure of m</w:t>
            </w:r>
            <w:r w:rsidR="002639BB" w:rsidRPr="00E3331A">
              <w:rPr>
                <w:snapToGrid w:val="0"/>
                <w:szCs w:val="20"/>
              </w:rPr>
              <w:t>uscle streng</w:t>
            </w:r>
            <w:r w:rsidRPr="00E3331A">
              <w:rPr>
                <w:snapToGrid w:val="0"/>
                <w:szCs w:val="20"/>
              </w:rPr>
              <w:t xml:space="preserve">th. Each muscle is grade from 0 (no visible contraction) to 5 (normal). The MRC sum score </w:t>
            </w:r>
            <w:r w:rsidR="00856953" w:rsidRPr="00E3331A">
              <w:rPr>
                <w:snapToGrid w:val="0"/>
                <w:szCs w:val="20"/>
              </w:rPr>
              <w:t xml:space="preserve">is the sum of MRC scores from six muscles in the upper and lower limbs on both sides (left and </w:t>
            </w:r>
            <w:r w:rsidR="000A1BD4">
              <w:rPr>
                <w:snapToGrid w:val="0"/>
                <w:szCs w:val="20"/>
              </w:rPr>
              <w:t>right).</w:t>
            </w:r>
          </w:p>
        </w:tc>
        <w:tc>
          <w:tcPr>
            <w:tcW w:w="884" w:type="pct"/>
            <w:shd w:val="clear" w:color="auto" w:fill="auto"/>
            <w:vAlign w:val="center"/>
          </w:tcPr>
          <w:p w:rsidR="00FF0254" w:rsidRPr="00E3331A" w:rsidRDefault="002639BB" w:rsidP="002A2FE7">
            <w:pPr>
              <w:pStyle w:val="TableText0"/>
              <w:jc w:val="center"/>
              <w:rPr>
                <w:snapToGrid w:val="0"/>
                <w:szCs w:val="20"/>
              </w:rPr>
            </w:pPr>
            <w:r w:rsidRPr="00E3331A">
              <w:rPr>
                <w:snapToGrid w:val="0"/>
                <w:szCs w:val="20"/>
              </w:rPr>
              <w:t>Phys</w:t>
            </w:r>
            <w:r w:rsidR="00A72944" w:rsidRPr="00E3331A">
              <w:rPr>
                <w:snapToGrid w:val="0"/>
                <w:szCs w:val="20"/>
              </w:rPr>
              <w:t>i</w:t>
            </w:r>
            <w:r w:rsidRPr="00E3331A">
              <w:rPr>
                <w:snapToGrid w:val="0"/>
                <w:szCs w:val="20"/>
              </w:rPr>
              <w:t>cian</w:t>
            </w:r>
          </w:p>
        </w:tc>
      </w:tr>
      <w:tr w:rsidR="00FF0254" w:rsidRPr="00E3331A" w:rsidTr="002A2FE7">
        <w:tc>
          <w:tcPr>
            <w:tcW w:w="901" w:type="pct"/>
            <w:shd w:val="clear" w:color="auto" w:fill="auto"/>
            <w:vAlign w:val="center"/>
          </w:tcPr>
          <w:p w:rsidR="00FF0254" w:rsidRPr="00E3331A" w:rsidRDefault="00FF0254" w:rsidP="002A2FE7">
            <w:pPr>
              <w:pStyle w:val="TableText0"/>
              <w:rPr>
                <w:snapToGrid w:val="0"/>
                <w:szCs w:val="20"/>
              </w:rPr>
            </w:pPr>
            <w:r w:rsidRPr="00E3331A">
              <w:rPr>
                <w:snapToGrid w:val="0"/>
                <w:szCs w:val="20"/>
              </w:rPr>
              <w:t>NDS</w:t>
            </w:r>
            <w:r w:rsidR="006D3D9F" w:rsidRPr="00E3331A">
              <w:rPr>
                <w:snapToGrid w:val="0"/>
                <w:szCs w:val="20"/>
              </w:rPr>
              <w:t xml:space="preserve"> </w:t>
            </w:r>
            <w:r w:rsidR="00B85C75">
              <w:rPr>
                <w:noProof/>
                <w:snapToGrid w:val="0"/>
                <w:szCs w:val="20"/>
              </w:rPr>
              <w:t>(Dyck et al. 1982)</w:t>
            </w:r>
          </w:p>
        </w:tc>
        <w:tc>
          <w:tcPr>
            <w:tcW w:w="1599" w:type="pct"/>
            <w:shd w:val="clear" w:color="auto" w:fill="auto"/>
            <w:vAlign w:val="center"/>
          </w:tcPr>
          <w:p w:rsidR="00FF0254" w:rsidRPr="00E3331A" w:rsidRDefault="00ED1823" w:rsidP="002A2FE7">
            <w:pPr>
              <w:pStyle w:val="TableText0"/>
              <w:jc w:val="center"/>
              <w:rPr>
                <w:snapToGrid w:val="0"/>
                <w:szCs w:val="20"/>
              </w:rPr>
            </w:pPr>
            <w:r w:rsidRPr="00E3331A">
              <w:rPr>
                <w:snapToGrid w:val="0"/>
                <w:szCs w:val="20"/>
              </w:rPr>
              <w:t>0</w:t>
            </w:r>
            <w:r w:rsidR="00CA4DCD" w:rsidRPr="00E3331A">
              <w:rPr>
                <w:snapToGrid w:val="0"/>
                <w:szCs w:val="20"/>
              </w:rPr>
              <w:t>-</w:t>
            </w:r>
            <w:r w:rsidRPr="00E3331A">
              <w:rPr>
                <w:snapToGrid w:val="0"/>
                <w:szCs w:val="20"/>
              </w:rPr>
              <w:t>280</w:t>
            </w:r>
          </w:p>
        </w:tc>
        <w:tc>
          <w:tcPr>
            <w:tcW w:w="1616" w:type="pct"/>
            <w:shd w:val="clear" w:color="auto" w:fill="auto"/>
            <w:vAlign w:val="center"/>
          </w:tcPr>
          <w:p w:rsidR="00FF0254" w:rsidRPr="00E3331A" w:rsidRDefault="00D970A3" w:rsidP="002A2FE7">
            <w:pPr>
              <w:pStyle w:val="TableText0"/>
              <w:jc w:val="center"/>
              <w:rPr>
                <w:snapToGrid w:val="0"/>
                <w:szCs w:val="20"/>
              </w:rPr>
            </w:pPr>
            <w:r w:rsidRPr="00E3331A">
              <w:rPr>
                <w:snapToGrid w:val="0"/>
                <w:szCs w:val="20"/>
              </w:rPr>
              <w:t xml:space="preserve">Summation of all neuropathic deficits of weakness. </w:t>
            </w:r>
            <w:r w:rsidR="00A72944" w:rsidRPr="00E3331A">
              <w:rPr>
                <w:snapToGrid w:val="0"/>
                <w:szCs w:val="20"/>
              </w:rPr>
              <w:t>Measur</w:t>
            </w:r>
            <w:r w:rsidR="00ED1823" w:rsidRPr="00E3331A">
              <w:rPr>
                <w:snapToGrid w:val="0"/>
                <w:szCs w:val="20"/>
              </w:rPr>
              <w:t>es</w:t>
            </w:r>
            <w:r w:rsidR="00A72944" w:rsidRPr="00E3331A">
              <w:rPr>
                <w:snapToGrid w:val="0"/>
                <w:szCs w:val="20"/>
              </w:rPr>
              <w:t xml:space="preserve"> weakness </w:t>
            </w:r>
            <w:r w:rsidRPr="00E3331A">
              <w:rPr>
                <w:snapToGrid w:val="0"/>
                <w:szCs w:val="20"/>
              </w:rPr>
              <w:t>in</w:t>
            </w:r>
            <w:r w:rsidR="00A72944" w:rsidRPr="00E3331A">
              <w:rPr>
                <w:snapToGrid w:val="0"/>
                <w:szCs w:val="20"/>
              </w:rPr>
              <w:t xml:space="preserve"> cranial nerves, muscles, reflexes and </w:t>
            </w:r>
            <w:r w:rsidR="00ED1823" w:rsidRPr="00E3331A">
              <w:rPr>
                <w:snapToGrid w:val="0"/>
                <w:szCs w:val="20"/>
              </w:rPr>
              <w:t xml:space="preserve">finger and toe </w:t>
            </w:r>
            <w:r w:rsidR="00A72944" w:rsidRPr="00E3331A">
              <w:rPr>
                <w:snapToGrid w:val="0"/>
                <w:szCs w:val="20"/>
              </w:rPr>
              <w:t>sensation</w:t>
            </w:r>
            <w:r w:rsidR="00401CB6" w:rsidRPr="00E3331A">
              <w:rPr>
                <w:snapToGrid w:val="0"/>
                <w:szCs w:val="20"/>
              </w:rPr>
              <w:t xml:space="preserve"> in both sides of body (35 items)</w:t>
            </w:r>
            <w:r w:rsidR="00ED1823" w:rsidRPr="00E3331A">
              <w:rPr>
                <w:snapToGrid w:val="0"/>
                <w:szCs w:val="20"/>
              </w:rPr>
              <w:t xml:space="preserve">. Score of 0 </w:t>
            </w:r>
            <w:r w:rsidR="00401CB6" w:rsidRPr="00E3331A">
              <w:rPr>
                <w:snapToGrid w:val="0"/>
                <w:szCs w:val="20"/>
              </w:rPr>
              <w:t>(no deficit) t</w:t>
            </w:r>
            <w:r w:rsidR="00ED1823" w:rsidRPr="00E3331A">
              <w:rPr>
                <w:snapToGrid w:val="0"/>
                <w:szCs w:val="20"/>
              </w:rPr>
              <w:t xml:space="preserve">o 4 </w:t>
            </w:r>
            <w:r w:rsidR="00401CB6" w:rsidRPr="00E3331A">
              <w:rPr>
                <w:snapToGrid w:val="0"/>
                <w:szCs w:val="20"/>
              </w:rPr>
              <w:t xml:space="preserve">(complete absence of function) </w:t>
            </w:r>
            <w:r w:rsidR="00ED1823" w:rsidRPr="00E3331A">
              <w:rPr>
                <w:snapToGrid w:val="0"/>
                <w:szCs w:val="20"/>
              </w:rPr>
              <w:t xml:space="preserve">for each </w:t>
            </w:r>
            <w:r w:rsidR="00401CB6" w:rsidRPr="00E3331A">
              <w:rPr>
                <w:snapToGrid w:val="0"/>
                <w:szCs w:val="20"/>
              </w:rPr>
              <w:t>item measured</w:t>
            </w:r>
            <w:r w:rsidR="000A1BD4">
              <w:rPr>
                <w:snapToGrid w:val="0"/>
                <w:szCs w:val="20"/>
              </w:rPr>
              <w:t>.</w:t>
            </w:r>
          </w:p>
        </w:tc>
        <w:tc>
          <w:tcPr>
            <w:tcW w:w="884" w:type="pct"/>
            <w:shd w:val="clear" w:color="auto" w:fill="auto"/>
            <w:vAlign w:val="center"/>
          </w:tcPr>
          <w:p w:rsidR="00FF0254" w:rsidRPr="00E3331A" w:rsidRDefault="00241A8C" w:rsidP="002A2FE7">
            <w:pPr>
              <w:pStyle w:val="TableText0"/>
              <w:jc w:val="center"/>
              <w:rPr>
                <w:snapToGrid w:val="0"/>
                <w:szCs w:val="20"/>
              </w:rPr>
            </w:pPr>
            <w:r w:rsidRPr="00E3331A">
              <w:rPr>
                <w:snapToGrid w:val="0"/>
                <w:szCs w:val="20"/>
              </w:rPr>
              <w:t xml:space="preserve">NR </w:t>
            </w:r>
          </w:p>
        </w:tc>
      </w:tr>
    </w:tbl>
    <w:p w:rsidR="009B3122" w:rsidRPr="00E3331A" w:rsidRDefault="009B3122" w:rsidP="00B0233F">
      <w:pPr>
        <w:pStyle w:val="Tablenotes1"/>
      </w:pPr>
      <w:r w:rsidRPr="00E3331A">
        <w:t xml:space="preserve">Source: reproduced from Allen </w:t>
      </w:r>
      <w:r w:rsidR="00983BA7">
        <w:t xml:space="preserve">et al. </w:t>
      </w:r>
      <w:r w:rsidRPr="00E3331A">
        <w:t xml:space="preserve">(2017) </w:t>
      </w:r>
    </w:p>
    <w:p w:rsidR="00A47A87" w:rsidRPr="00E3331A" w:rsidRDefault="00F95F6A" w:rsidP="00B0233F">
      <w:pPr>
        <w:pStyle w:val="Tablenotes1"/>
      </w:pPr>
      <w:r w:rsidRPr="00E3331A">
        <w:t>ALDS</w:t>
      </w:r>
      <w:r w:rsidR="00E94B10" w:rsidRPr="00E3331A">
        <w:t>: Academic Medical Cent</w:t>
      </w:r>
      <w:r w:rsidR="00591599" w:rsidRPr="00E3331A">
        <w:t>re</w:t>
      </w:r>
      <w:r w:rsidR="00E94B10" w:rsidRPr="00E3331A">
        <w:t xml:space="preserve"> Linear Disability Score; ISS: Injury Severity Score; </w:t>
      </w:r>
      <w:r w:rsidR="00FF0254" w:rsidRPr="00E3331A">
        <w:t xml:space="preserve">MRC: </w:t>
      </w:r>
      <w:bookmarkStart w:id="221" w:name="_Hlk8896584"/>
      <w:r w:rsidR="00E94B10" w:rsidRPr="00E3331A">
        <w:t>Medical Research Council Sum Score</w:t>
      </w:r>
      <w:bookmarkEnd w:id="221"/>
      <w:r w:rsidR="00E94B10" w:rsidRPr="00E3331A">
        <w:t>; NDS: Neurological Disability Score</w:t>
      </w:r>
      <w:r w:rsidR="00241A8C" w:rsidRPr="00E3331A">
        <w:t>; NR: not reported</w:t>
      </w:r>
    </w:p>
    <w:p w:rsidR="00704FB9" w:rsidRPr="00E3331A" w:rsidRDefault="00A47A87" w:rsidP="00474A17">
      <w:r w:rsidRPr="00E3331A">
        <w:t>Whil</w:t>
      </w:r>
      <w:r w:rsidR="00591599" w:rsidRPr="00E3331A">
        <w:t>e</w:t>
      </w:r>
      <w:r w:rsidRPr="00E3331A">
        <w:t xml:space="preserve"> no evidence-based guidelines were identified regarding which outcomes </w:t>
      </w:r>
      <w:r w:rsidR="008E1C82" w:rsidRPr="00E3331A">
        <w:t>to use</w:t>
      </w:r>
      <w:r w:rsidRPr="00E3331A">
        <w:t xml:space="preserve"> when assessing CIDP trials, r</w:t>
      </w:r>
      <w:r w:rsidR="00A0738D" w:rsidRPr="00E3331A">
        <w:t xml:space="preserve">ecommendations </w:t>
      </w:r>
      <w:r w:rsidRPr="00E3331A">
        <w:t xml:space="preserve">were </w:t>
      </w:r>
      <w:r w:rsidR="008E1C82" w:rsidRPr="00E3331A">
        <w:t>formulated</w:t>
      </w:r>
      <w:r w:rsidRPr="00E3331A">
        <w:t xml:space="preserve"> by a group of neuromuscular researchers from eight different countries</w:t>
      </w:r>
      <w:r w:rsidR="00A0738D" w:rsidRPr="00E3331A">
        <w:t xml:space="preserve"> </w:t>
      </w:r>
      <w:r w:rsidRPr="00E3331A">
        <w:t xml:space="preserve">at the </w:t>
      </w:r>
      <w:r w:rsidR="00A0738D" w:rsidRPr="00E3331A">
        <w:t>196</w:t>
      </w:r>
      <w:r w:rsidR="00A0738D" w:rsidRPr="00E3331A">
        <w:rPr>
          <w:vertAlign w:val="superscript"/>
        </w:rPr>
        <w:t>th</w:t>
      </w:r>
      <w:r w:rsidR="00A0738D" w:rsidRPr="00E3331A">
        <w:t xml:space="preserve"> European Neuromuscular Centre </w:t>
      </w:r>
      <w:r w:rsidR="00474A17" w:rsidRPr="00E3331A">
        <w:t>(ENMC)</w:t>
      </w:r>
      <w:r w:rsidRPr="00E3331A">
        <w:t xml:space="preserve"> </w:t>
      </w:r>
      <w:r w:rsidR="00A0738D" w:rsidRPr="00E3331A">
        <w:t>workshop on outcome measures in inflammatory</w:t>
      </w:r>
      <w:r w:rsidR="00951E86" w:rsidRPr="00E3331A">
        <w:t xml:space="preserve"> peripheral neuropathies</w:t>
      </w:r>
      <w:r w:rsidR="00CA4DCD" w:rsidRPr="00E3331A">
        <w:t xml:space="preserve"> </w:t>
      </w:r>
      <w:r w:rsidR="00B85C75">
        <w:rPr>
          <w:noProof/>
        </w:rPr>
        <w:t>(Vanhoutte et al. 2013a)</w:t>
      </w:r>
      <w:r w:rsidR="00CA4DCD" w:rsidRPr="00E3331A">
        <w:t>.</w:t>
      </w:r>
      <w:r w:rsidR="008E1C82" w:rsidRPr="00E3331A">
        <w:t xml:space="preserve"> </w:t>
      </w:r>
      <w:r w:rsidR="00CA4DCD" w:rsidRPr="00E3331A">
        <w:t>T</w:t>
      </w:r>
      <w:r w:rsidR="008E1C82" w:rsidRPr="00E3331A">
        <w:t xml:space="preserve">he recommendation </w:t>
      </w:r>
      <w:r w:rsidR="00CA4DCD" w:rsidRPr="00E3331A">
        <w:t xml:space="preserve">for outcome reporting in CIDP trials </w:t>
      </w:r>
      <w:r w:rsidR="008E1C82" w:rsidRPr="00E3331A">
        <w:t>was</w:t>
      </w:r>
      <w:r w:rsidR="00704FB9" w:rsidRPr="00E3331A">
        <w:t xml:space="preserve"> that </w:t>
      </w:r>
      <w:r w:rsidR="00B15EB8" w:rsidRPr="00E3331A">
        <w:t>“T</w:t>
      </w:r>
      <w:r w:rsidR="00704FB9" w:rsidRPr="00E3331A">
        <w:t xml:space="preserve">he minimum core set </w:t>
      </w:r>
      <w:r w:rsidR="00B15EB8" w:rsidRPr="00E3331A">
        <w:t>should include</w:t>
      </w:r>
      <w:r w:rsidR="00704FB9" w:rsidRPr="00E3331A">
        <w:t>:</w:t>
      </w:r>
    </w:p>
    <w:p w:rsidR="00B15EB8" w:rsidRPr="00E3331A" w:rsidRDefault="00704FB9" w:rsidP="001F5B33">
      <w:pPr>
        <w:pStyle w:val="ColorfulList-Accent11"/>
        <w:numPr>
          <w:ilvl w:val="0"/>
          <w:numId w:val="23"/>
        </w:numPr>
      </w:pPr>
      <w:r w:rsidRPr="00E3331A">
        <w:lastRenderedPageBreak/>
        <w:t>At the impairment level</w:t>
      </w:r>
      <w:r w:rsidR="00B15EB8" w:rsidRPr="00E3331A">
        <w:t xml:space="preserve">, the Martin Vigorimeter, the </w:t>
      </w:r>
      <w:r w:rsidR="00997ED0" w:rsidRPr="00E3331A">
        <w:t xml:space="preserve">Rasch transformed modified </w:t>
      </w:r>
      <w:r w:rsidR="00751590" w:rsidRPr="00E3331A">
        <w:t>INCAT</w:t>
      </w:r>
      <w:r w:rsidR="00997ED0" w:rsidRPr="00E3331A">
        <w:t xml:space="preserve"> sensory sum</w:t>
      </w:r>
      <w:r w:rsidR="00CA4DCD" w:rsidRPr="00E3331A">
        <w:t xml:space="preserve"> </w:t>
      </w:r>
      <w:r w:rsidR="00997ED0" w:rsidRPr="00E3331A">
        <w:t>score (</w:t>
      </w:r>
      <w:r w:rsidR="00B15EB8" w:rsidRPr="00E3331A">
        <w:t>RT-miSS</w:t>
      </w:r>
      <w:r w:rsidR="00997ED0" w:rsidRPr="00E3331A">
        <w:t>)</w:t>
      </w:r>
      <w:r w:rsidR="00CA4DCD" w:rsidRPr="00E3331A">
        <w:t>,</w:t>
      </w:r>
      <w:r w:rsidR="00B15EB8" w:rsidRPr="00E3331A">
        <w:t xml:space="preserve"> and a ‘manual muscle testing’ procedure, not otherwise defined</w:t>
      </w:r>
      <w:r w:rsidR="00CA4DCD" w:rsidRPr="00E3331A">
        <w:t>.</w:t>
      </w:r>
    </w:p>
    <w:p w:rsidR="00B15EB8" w:rsidRPr="00E3331A" w:rsidRDefault="00B15EB8" w:rsidP="001F5B33">
      <w:pPr>
        <w:pStyle w:val="ColorfulList-Accent11"/>
        <w:numPr>
          <w:ilvl w:val="0"/>
          <w:numId w:val="23"/>
        </w:numPr>
      </w:pPr>
      <w:r w:rsidRPr="00E3331A">
        <w:t xml:space="preserve">At the activity and participation level, the </w:t>
      </w:r>
      <w:r w:rsidR="00997ED0" w:rsidRPr="00E3331A">
        <w:t>Rasch-built overall disability scale (</w:t>
      </w:r>
      <w:r w:rsidRPr="00E3331A">
        <w:t>R-ODS</w:t>
      </w:r>
      <w:r w:rsidR="00997ED0" w:rsidRPr="00E3331A">
        <w:t>)</w:t>
      </w:r>
      <w:r w:rsidRPr="00E3331A">
        <w:t xml:space="preserve"> and the original INCAT disability score</w:t>
      </w:r>
      <w:r w:rsidR="00CA4DCD" w:rsidRPr="00E3331A">
        <w:t>.</w:t>
      </w:r>
    </w:p>
    <w:p w:rsidR="00704FB9" w:rsidRPr="00E3331A" w:rsidRDefault="00B15EB8" w:rsidP="001F5B33">
      <w:pPr>
        <w:pStyle w:val="ColorfulList-Accent11"/>
        <w:numPr>
          <w:ilvl w:val="0"/>
          <w:numId w:val="23"/>
        </w:numPr>
      </w:pPr>
      <w:r w:rsidRPr="00E3331A">
        <w:t xml:space="preserve">At the quality of life level, the 5-point patient global impression of change (PGIC) and </w:t>
      </w:r>
      <w:r w:rsidR="00CA4DCD" w:rsidRPr="00E3331A">
        <w:t xml:space="preserve">the </w:t>
      </w:r>
      <w:r w:rsidRPr="00E3331A">
        <w:t>SF-36 should be used until the data of the PeriNomS study regarding quality of life measures are further analysed.”</w:t>
      </w:r>
      <w:r w:rsidR="00345C95" w:rsidRPr="00E3331A">
        <w:t xml:space="preserve"> </w:t>
      </w:r>
    </w:p>
    <w:p w:rsidR="00812DB6" w:rsidRPr="00E3331A" w:rsidRDefault="00997ED0" w:rsidP="00474A17">
      <w:r w:rsidRPr="00E3331A">
        <w:t>A further</w:t>
      </w:r>
      <w:r w:rsidR="00704FB9" w:rsidRPr="00E3331A">
        <w:t xml:space="preserve"> </w:t>
      </w:r>
      <w:r w:rsidR="00490389" w:rsidRPr="00E3331A">
        <w:t xml:space="preserve">CIDP </w:t>
      </w:r>
      <w:r w:rsidR="00704FB9" w:rsidRPr="00E3331A">
        <w:t xml:space="preserve">recommendation from the ENMC </w:t>
      </w:r>
      <w:r w:rsidRPr="00E3331A">
        <w:t xml:space="preserve">workshop is that </w:t>
      </w:r>
      <w:r w:rsidR="002309D7" w:rsidRPr="00E3331A">
        <w:t xml:space="preserve">the primary outcome </w:t>
      </w:r>
      <w:r w:rsidRPr="00E3331A">
        <w:t xml:space="preserve">for </w:t>
      </w:r>
      <w:r w:rsidR="00AB7B11">
        <w:t>CIDP</w:t>
      </w:r>
      <w:r w:rsidRPr="00E3331A">
        <w:t xml:space="preserve"> trials </w:t>
      </w:r>
      <w:r w:rsidR="002309D7" w:rsidRPr="00E3331A">
        <w:t xml:space="preserve">should be the activity and participation level </w:t>
      </w:r>
      <w:r w:rsidRPr="00E3331A">
        <w:t xml:space="preserve">as </w:t>
      </w:r>
      <w:r w:rsidR="002309D7" w:rsidRPr="00E3331A">
        <w:t>measured by the R-ODS</w:t>
      </w:r>
      <w:r w:rsidR="00490389" w:rsidRPr="00E3331A">
        <w:t xml:space="preserve"> </w:t>
      </w:r>
      <w:r w:rsidR="00B85C75">
        <w:rPr>
          <w:noProof/>
        </w:rPr>
        <w:t>(Vanhoutte et al. 2013a)</w:t>
      </w:r>
      <w:r w:rsidR="00490389" w:rsidRPr="00E3331A">
        <w:t>.</w:t>
      </w:r>
      <w:r w:rsidR="00812DB6" w:rsidRPr="00E3331A">
        <w:t xml:space="preserve"> The primary outcome in several of the studies included in this Assessment was ‘response rate’</w:t>
      </w:r>
      <w:r w:rsidR="00490389" w:rsidRPr="00E3331A">
        <w:t xml:space="preserve">, </w:t>
      </w:r>
      <w:r w:rsidR="007E2521" w:rsidRPr="00E3331A">
        <w:t>although</w:t>
      </w:r>
      <w:r w:rsidR="00812DB6" w:rsidRPr="00E3331A">
        <w:t xml:space="preserve"> </w:t>
      </w:r>
      <w:r w:rsidR="00490389" w:rsidRPr="00E3331A">
        <w:t>h</w:t>
      </w:r>
      <w:r w:rsidR="00812DB6" w:rsidRPr="00E3331A">
        <w:t xml:space="preserve">ow response was defined </w:t>
      </w:r>
      <w:r w:rsidR="00490389" w:rsidRPr="00E3331A">
        <w:t xml:space="preserve">was inconsistent and </w:t>
      </w:r>
      <w:r w:rsidR="00812DB6" w:rsidRPr="00E3331A">
        <w:t xml:space="preserve">varied </w:t>
      </w:r>
      <w:r w:rsidR="00417823">
        <w:t>among</w:t>
      </w:r>
      <w:r w:rsidR="00812DB6" w:rsidRPr="00E3331A">
        <w:t xml:space="preserve"> the studies</w:t>
      </w:r>
      <w:r w:rsidR="00490389" w:rsidRPr="00E3331A">
        <w:t>.</w:t>
      </w:r>
      <w:r w:rsidR="00812DB6" w:rsidRPr="00E3331A">
        <w:t xml:space="preserve"> A list of the studies included in this Assessment that included response rate as their primary outcome, along with its definition, is provided in </w:t>
      </w:r>
      <w:r w:rsidR="006F35B9" w:rsidRPr="00E3331A">
        <w:t xml:space="preserve">Table </w:t>
      </w:r>
      <w:r w:rsidR="006F35B9">
        <w:rPr>
          <w:noProof/>
        </w:rPr>
        <w:t>24</w:t>
      </w:r>
      <w:r w:rsidR="00497005" w:rsidRPr="00E3331A">
        <w:t>.</w:t>
      </w:r>
    </w:p>
    <w:p w:rsidR="00F41969" w:rsidRPr="00E3331A" w:rsidRDefault="00F41969" w:rsidP="00F41969">
      <w:pPr>
        <w:pStyle w:val="Caption"/>
        <w:ind w:left="1134" w:hanging="1134"/>
      </w:pPr>
      <w:bookmarkStart w:id="222" w:name="_Ref9330309"/>
      <w:bookmarkStart w:id="223" w:name="_Toc24103330"/>
      <w:r w:rsidRPr="00E3331A">
        <w:t xml:space="preserve">Table </w:t>
      </w:r>
      <w:r w:rsidR="006F35B9">
        <w:rPr>
          <w:noProof/>
        </w:rPr>
        <w:t>24</w:t>
      </w:r>
      <w:bookmarkEnd w:id="222"/>
      <w:r w:rsidRPr="00E3331A">
        <w:t xml:space="preserve"> </w:t>
      </w:r>
      <w:r w:rsidRPr="00E3331A">
        <w:tab/>
        <w:t>Studies that included 'response rate' as one of their efficacy outcomes and their definition of 'response'</w:t>
      </w:r>
      <w:bookmarkEnd w:id="223"/>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55"/>
        <w:gridCol w:w="5598"/>
      </w:tblGrid>
      <w:tr w:rsidR="00812DB6" w:rsidRPr="00E3331A" w:rsidTr="00F41969">
        <w:tc>
          <w:tcPr>
            <w:tcW w:w="1802" w:type="pct"/>
            <w:shd w:val="clear" w:color="auto" w:fill="auto"/>
            <w:vAlign w:val="center"/>
          </w:tcPr>
          <w:p w:rsidR="00812DB6" w:rsidRPr="00E3331A" w:rsidRDefault="00812DB6" w:rsidP="002639BB">
            <w:pPr>
              <w:pStyle w:val="TableHeading"/>
              <w:rPr>
                <w:snapToGrid w:val="0"/>
                <w:lang w:eastAsia="en-US"/>
              </w:rPr>
            </w:pPr>
            <w:r w:rsidRPr="00E3331A">
              <w:rPr>
                <w:snapToGrid w:val="0"/>
                <w:lang w:eastAsia="en-US"/>
              </w:rPr>
              <w:t>Study</w:t>
            </w:r>
          </w:p>
        </w:tc>
        <w:tc>
          <w:tcPr>
            <w:tcW w:w="3198" w:type="pct"/>
            <w:shd w:val="clear" w:color="auto" w:fill="auto"/>
            <w:vAlign w:val="center"/>
          </w:tcPr>
          <w:p w:rsidR="00812DB6" w:rsidRPr="00E3331A" w:rsidRDefault="00812DB6" w:rsidP="002639BB">
            <w:pPr>
              <w:pStyle w:val="TableHeading"/>
              <w:jc w:val="center"/>
              <w:rPr>
                <w:snapToGrid w:val="0"/>
                <w:lang w:eastAsia="en-US"/>
              </w:rPr>
            </w:pPr>
            <w:r w:rsidRPr="00E3331A">
              <w:rPr>
                <w:snapToGrid w:val="0"/>
                <w:lang w:eastAsia="en-US"/>
              </w:rPr>
              <w:t>Definition</w:t>
            </w:r>
            <w:r w:rsidR="00F853A5" w:rsidRPr="00E3331A">
              <w:rPr>
                <w:snapToGrid w:val="0"/>
                <w:lang w:eastAsia="en-US"/>
              </w:rPr>
              <w:t>s</w:t>
            </w:r>
            <w:r w:rsidRPr="00E3331A">
              <w:rPr>
                <w:snapToGrid w:val="0"/>
                <w:lang w:eastAsia="en-US"/>
              </w:rPr>
              <w:t xml:space="preserve"> of</w:t>
            </w:r>
            <w:r w:rsidR="00F853A5" w:rsidRPr="00E3331A">
              <w:rPr>
                <w:snapToGrid w:val="0"/>
                <w:lang w:eastAsia="en-US"/>
              </w:rPr>
              <w:t xml:space="preserve"> </w:t>
            </w:r>
            <w:r w:rsidR="00506194" w:rsidRPr="00E3331A">
              <w:rPr>
                <w:snapToGrid w:val="0"/>
                <w:lang w:eastAsia="en-US"/>
              </w:rPr>
              <w:t xml:space="preserve">clinically meaningful </w:t>
            </w:r>
            <w:r w:rsidR="00634353" w:rsidRPr="00E3331A">
              <w:rPr>
                <w:snapToGrid w:val="0"/>
                <w:lang w:eastAsia="en-US"/>
              </w:rPr>
              <w:t>response</w:t>
            </w:r>
          </w:p>
        </w:tc>
      </w:tr>
      <w:tr w:rsidR="00812DB6" w:rsidRPr="00E3331A" w:rsidTr="00F41969">
        <w:tc>
          <w:tcPr>
            <w:tcW w:w="1802" w:type="pct"/>
            <w:shd w:val="clear" w:color="auto" w:fill="auto"/>
            <w:vAlign w:val="center"/>
          </w:tcPr>
          <w:p w:rsidR="00812DB6" w:rsidRPr="00E3331A" w:rsidRDefault="00537278" w:rsidP="002639BB">
            <w:pPr>
              <w:pStyle w:val="TableText0"/>
              <w:rPr>
                <w:snapToGrid w:val="0"/>
                <w:szCs w:val="20"/>
              </w:rPr>
            </w:pPr>
            <w:r w:rsidRPr="00E3331A">
              <w:rPr>
                <w:snapToGrid w:val="0"/>
                <w:szCs w:val="20"/>
              </w:rPr>
              <w:t>Hahn et al. (1996b) (crossover)</w:t>
            </w:r>
          </w:p>
          <w:p w:rsidR="00537278" w:rsidRPr="00E3331A" w:rsidRDefault="00537278" w:rsidP="002639BB">
            <w:pPr>
              <w:pStyle w:val="TableText0"/>
              <w:rPr>
                <w:snapToGrid w:val="0"/>
                <w:szCs w:val="20"/>
              </w:rPr>
            </w:pPr>
            <w:r w:rsidRPr="00E3331A">
              <w:rPr>
                <w:snapToGrid w:val="0"/>
                <w:szCs w:val="20"/>
              </w:rPr>
              <w:t>Dyck et al. (1982)</w:t>
            </w:r>
          </w:p>
        </w:tc>
        <w:tc>
          <w:tcPr>
            <w:tcW w:w="3198" w:type="pct"/>
            <w:shd w:val="clear" w:color="auto" w:fill="auto"/>
            <w:vAlign w:val="center"/>
          </w:tcPr>
          <w:p w:rsidR="00812DB6" w:rsidRPr="00E3331A" w:rsidRDefault="00537278" w:rsidP="00537278">
            <w:pPr>
              <w:pStyle w:val="TableText0"/>
              <w:ind w:left="720"/>
              <w:rPr>
                <w:snapToGrid w:val="0"/>
                <w:szCs w:val="20"/>
              </w:rPr>
            </w:pPr>
            <w:r w:rsidRPr="00E3331A">
              <w:rPr>
                <w:snapToGrid w:val="0"/>
                <w:szCs w:val="20"/>
              </w:rPr>
              <w:t>&gt;20 point improvement on NDS scale</w:t>
            </w:r>
          </w:p>
        </w:tc>
      </w:tr>
      <w:tr w:rsidR="00812DB6" w:rsidRPr="00E3331A" w:rsidTr="00F41969">
        <w:tc>
          <w:tcPr>
            <w:tcW w:w="1802" w:type="pct"/>
            <w:shd w:val="clear" w:color="auto" w:fill="auto"/>
            <w:vAlign w:val="center"/>
          </w:tcPr>
          <w:p w:rsidR="00812DB6" w:rsidRPr="00E3331A" w:rsidRDefault="00537278" w:rsidP="002639BB">
            <w:pPr>
              <w:pStyle w:val="TableText0"/>
              <w:rPr>
                <w:snapToGrid w:val="0"/>
                <w:szCs w:val="20"/>
              </w:rPr>
            </w:pPr>
            <w:r w:rsidRPr="00E3331A">
              <w:rPr>
                <w:snapToGrid w:val="0"/>
                <w:szCs w:val="20"/>
              </w:rPr>
              <w:t>Hughes et al. (2008), Donofrio et al. (2010), Bril et al. (2009), Merkies et al. (2009)</w:t>
            </w:r>
            <w:r w:rsidR="00017692" w:rsidRPr="00E3331A">
              <w:rPr>
                <w:snapToGrid w:val="0"/>
                <w:szCs w:val="20"/>
              </w:rPr>
              <w:t>, Van schaik et al. (2010), Eftimov et al. (2012) and van Shaik et al. (2018)</w:t>
            </w:r>
          </w:p>
        </w:tc>
        <w:tc>
          <w:tcPr>
            <w:tcW w:w="3198" w:type="pct"/>
            <w:shd w:val="clear" w:color="auto" w:fill="auto"/>
            <w:vAlign w:val="center"/>
          </w:tcPr>
          <w:p w:rsidR="00812DB6" w:rsidRPr="00E3331A" w:rsidRDefault="00017692" w:rsidP="002639BB">
            <w:pPr>
              <w:pStyle w:val="TableText0"/>
              <w:jc w:val="center"/>
              <w:rPr>
                <w:snapToGrid w:val="0"/>
                <w:szCs w:val="20"/>
              </w:rPr>
            </w:pPr>
            <w:r w:rsidRPr="00E3331A">
              <w:rPr>
                <w:snapToGrid w:val="0"/>
                <w:szCs w:val="20"/>
              </w:rPr>
              <w:t xml:space="preserve">&gt;1 point improvement on INCAT scale </w:t>
            </w:r>
          </w:p>
        </w:tc>
      </w:tr>
      <w:tr w:rsidR="00812DB6" w:rsidRPr="00E3331A" w:rsidTr="00F41969">
        <w:tc>
          <w:tcPr>
            <w:tcW w:w="1802" w:type="pct"/>
            <w:shd w:val="clear" w:color="auto" w:fill="auto"/>
            <w:vAlign w:val="center"/>
          </w:tcPr>
          <w:p w:rsidR="00812DB6" w:rsidRPr="00E3331A" w:rsidRDefault="00017692" w:rsidP="002639BB">
            <w:pPr>
              <w:pStyle w:val="TableText0"/>
              <w:rPr>
                <w:snapToGrid w:val="0"/>
                <w:szCs w:val="20"/>
              </w:rPr>
            </w:pPr>
            <w:r w:rsidRPr="00E3331A">
              <w:rPr>
                <w:snapToGrid w:val="0"/>
                <w:szCs w:val="20"/>
              </w:rPr>
              <w:t>Zinman et al. (2005)</w:t>
            </w:r>
          </w:p>
        </w:tc>
        <w:tc>
          <w:tcPr>
            <w:tcW w:w="3198" w:type="pct"/>
            <w:shd w:val="clear" w:color="auto" w:fill="auto"/>
            <w:vAlign w:val="center"/>
          </w:tcPr>
          <w:p w:rsidR="00812DB6" w:rsidRPr="00E3331A" w:rsidRDefault="00017692" w:rsidP="002639BB">
            <w:pPr>
              <w:pStyle w:val="TableText0"/>
              <w:jc w:val="center"/>
              <w:rPr>
                <w:snapToGrid w:val="0"/>
                <w:szCs w:val="20"/>
              </w:rPr>
            </w:pPr>
            <w:r w:rsidRPr="00E3331A">
              <w:rPr>
                <w:snapToGrid w:val="0"/>
                <w:szCs w:val="20"/>
              </w:rPr>
              <w:t xml:space="preserve">Stabilisation or improvement in </w:t>
            </w:r>
            <w:r w:rsidR="007E2521" w:rsidRPr="00E3331A">
              <w:rPr>
                <w:snapToGrid w:val="0"/>
                <w:szCs w:val="20"/>
              </w:rPr>
              <w:t>two</w:t>
            </w:r>
            <w:r w:rsidRPr="00E3331A">
              <w:rPr>
                <w:snapToGrid w:val="0"/>
                <w:szCs w:val="20"/>
              </w:rPr>
              <w:t xml:space="preserve"> out of </w:t>
            </w:r>
            <w:r w:rsidR="007E2521" w:rsidRPr="00E3331A">
              <w:rPr>
                <w:snapToGrid w:val="0"/>
                <w:szCs w:val="20"/>
              </w:rPr>
              <w:t xml:space="preserve">four </w:t>
            </w:r>
            <w:r w:rsidRPr="00E3331A">
              <w:rPr>
                <w:snapToGrid w:val="0"/>
                <w:szCs w:val="20"/>
              </w:rPr>
              <w:t>clinical measures with no deterioration in any measure.</w:t>
            </w:r>
          </w:p>
          <w:p w:rsidR="00017692" w:rsidRPr="00E3331A" w:rsidRDefault="00017692" w:rsidP="00017692">
            <w:pPr>
              <w:pStyle w:val="TableText0"/>
              <w:rPr>
                <w:snapToGrid w:val="0"/>
                <w:szCs w:val="20"/>
              </w:rPr>
            </w:pPr>
          </w:p>
        </w:tc>
      </w:tr>
      <w:tr w:rsidR="00812DB6" w:rsidRPr="00E3331A" w:rsidTr="00F41969">
        <w:tc>
          <w:tcPr>
            <w:tcW w:w="1802" w:type="pct"/>
            <w:shd w:val="clear" w:color="auto" w:fill="auto"/>
            <w:vAlign w:val="center"/>
          </w:tcPr>
          <w:p w:rsidR="00812DB6" w:rsidRPr="00E3331A" w:rsidRDefault="00017692" w:rsidP="002639BB">
            <w:pPr>
              <w:pStyle w:val="TableText0"/>
              <w:rPr>
                <w:snapToGrid w:val="0"/>
                <w:szCs w:val="20"/>
              </w:rPr>
            </w:pPr>
            <w:r w:rsidRPr="00E3331A">
              <w:rPr>
                <w:snapToGrid w:val="0"/>
                <w:szCs w:val="20"/>
              </w:rPr>
              <w:t>Vermeulen et al. (1993)</w:t>
            </w:r>
          </w:p>
        </w:tc>
        <w:tc>
          <w:tcPr>
            <w:tcW w:w="3198" w:type="pct"/>
            <w:shd w:val="clear" w:color="auto" w:fill="auto"/>
            <w:vAlign w:val="center"/>
          </w:tcPr>
          <w:p w:rsidR="00812DB6" w:rsidRPr="00E3331A" w:rsidRDefault="00017692" w:rsidP="002639BB">
            <w:pPr>
              <w:pStyle w:val="TableText0"/>
              <w:jc w:val="center"/>
              <w:rPr>
                <w:snapToGrid w:val="0"/>
                <w:szCs w:val="20"/>
              </w:rPr>
            </w:pPr>
            <w:r w:rsidRPr="00E3331A">
              <w:rPr>
                <w:snapToGrid w:val="0"/>
                <w:szCs w:val="20"/>
              </w:rPr>
              <w:t>Improvement (defined as at least 1 point decrease on the Rankin Scale)</w:t>
            </w:r>
          </w:p>
        </w:tc>
      </w:tr>
      <w:tr w:rsidR="00812DB6" w:rsidRPr="00E3331A" w:rsidTr="00F41969">
        <w:tc>
          <w:tcPr>
            <w:tcW w:w="1802" w:type="pct"/>
            <w:shd w:val="clear" w:color="auto" w:fill="auto"/>
            <w:vAlign w:val="center"/>
          </w:tcPr>
          <w:p w:rsidR="00812DB6" w:rsidRPr="00E3331A" w:rsidRDefault="00F853A5" w:rsidP="002639BB">
            <w:pPr>
              <w:pStyle w:val="TableText0"/>
              <w:rPr>
                <w:snapToGrid w:val="0"/>
                <w:szCs w:val="20"/>
              </w:rPr>
            </w:pPr>
            <w:r w:rsidRPr="00E3331A">
              <w:rPr>
                <w:snapToGrid w:val="0"/>
                <w:szCs w:val="20"/>
              </w:rPr>
              <w:t>Lieker et al. (2017)</w:t>
            </w:r>
          </w:p>
        </w:tc>
        <w:tc>
          <w:tcPr>
            <w:tcW w:w="3198" w:type="pct"/>
            <w:shd w:val="clear" w:color="auto" w:fill="auto"/>
            <w:vAlign w:val="center"/>
          </w:tcPr>
          <w:p w:rsidR="00812DB6" w:rsidRPr="00E3331A" w:rsidRDefault="00F853A5" w:rsidP="002639BB">
            <w:pPr>
              <w:pStyle w:val="TableText0"/>
              <w:jc w:val="center"/>
              <w:rPr>
                <w:snapToGrid w:val="0"/>
                <w:szCs w:val="20"/>
              </w:rPr>
            </w:pPr>
            <w:r w:rsidRPr="00E3331A">
              <w:rPr>
                <w:snapToGrid w:val="0"/>
                <w:szCs w:val="20"/>
              </w:rPr>
              <w:t>An improvement of 2 or more points on the MRC sum score in two different muscle groups or an improvement of 1 point o</w:t>
            </w:r>
            <w:r w:rsidR="007E2521" w:rsidRPr="00E3331A">
              <w:rPr>
                <w:snapToGrid w:val="0"/>
                <w:szCs w:val="20"/>
              </w:rPr>
              <w:t>r</w:t>
            </w:r>
            <w:r w:rsidRPr="00E3331A">
              <w:rPr>
                <w:snapToGrid w:val="0"/>
                <w:szCs w:val="20"/>
              </w:rPr>
              <w:t xml:space="preserve"> more on the INCAT score (except for the changes in upper limb function from 0 to 1)</w:t>
            </w:r>
          </w:p>
        </w:tc>
      </w:tr>
    </w:tbl>
    <w:p w:rsidR="00812DB6" w:rsidRPr="00E3331A" w:rsidRDefault="00017692" w:rsidP="00474A17">
      <w:pPr>
        <w:rPr>
          <w:rFonts w:ascii="Arial Narrow" w:hAnsi="Arial Narrow"/>
          <w:sz w:val="18"/>
          <w:szCs w:val="18"/>
        </w:rPr>
      </w:pPr>
      <w:r w:rsidRPr="00E3331A">
        <w:rPr>
          <w:rFonts w:ascii="Arial Narrow" w:hAnsi="Arial Narrow"/>
          <w:sz w:val="18"/>
          <w:szCs w:val="18"/>
        </w:rPr>
        <w:t>INCAT: Inflammatory Neuropathy Cause and Treatment</w:t>
      </w:r>
      <w:r w:rsidR="00F853A5" w:rsidRPr="00E3331A">
        <w:rPr>
          <w:rFonts w:ascii="Arial Narrow" w:hAnsi="Arial Narrow"/>
          <w:sz w:val="18"/>
          <w:szCs w:val="18"/>
        </w:rPr>
        <w:t>; MRC: Medical Research Council Sum Score;</w:t>
      </w:r>
      <w:r w:rsidRPr="00E3331A">
        <w:rPr>
          <w:rFonts w:ascii="Arial Narrow" w:hAnsi="Arial Narrow"/>
          <w:sz w:val="18"/>
          <w:szCs w:val="18"/>
        </w:rPr>
        <w:t xml:space="preserve"> </w:t>
      </w:r>
      <w:r w:rsidR="00537278" w:rsidRPr="00E3331A">
        <w:rPr>
          <w:rFonts w:ascii="Arial Narrow" w:hAnsi="Arial Narrow"/>
          <w:sz w:val="18"/>
          <w:szCs w:val="18"/>
        </w:rPr>
        <w:t>NDS: Neurological Disability Score</w:t>
      </w:r>
    </w:p>
    <w:p w:rsidR="008475E5" w:rsidRPr="00E3331A" w:rsidRDefault="008475E5" w:rsidP="008475E5">
      <w:pPr>
        <w:rPr>
          <w:b/>
        </w:rPr>
      </w:pPr>
      <w:r w:rsidRPr="00E3331A">
        <w:rPr>
          <w:b/>
        </w:rPr>
        <w:t xml:space="preserve">Safety in the randomised controlled trials </w:t>
      </w:r>
    </w:p>
    <w:p w:rsidR="008475E5" w:rsidRPr="00E3331A" w:rsidRDefault="008475E5" w:rsidP="008475E5">
      <w:r w:rsidRPr="00E3331A">
        <w:t xml:space="preserve">Safety outcomes reported in the </w:t>
      </w:r>
      <w:r w:rsidR="007E2521" w:rsidRPr="00E3331A">
        <w:t>RCTs</w:t>
      </w:r>
      <w:r w:rsidRPr="00E3331A">
        <w:t xml:space="preserve"> were not suitable for inclusion in a meta-analysis</w:t>
      </w:r>
      <w:r w:rsidR="003B36E5" w:rsidRPr="00E3331A">
        <w:t>.</w:t>
      </w:r>
      <w:r w:rsidRPr="00E3331A">
        <w:t xml:space="preserve"> </w:t>
      </w:r>
      <w:r w:rsidR="003B36E5" w:rsidRPr="00E3331A">
        <w:t>T</w:t>
      </w:r>
      <w:r w:rsidRPr="00E3331A">
        <w:t>here was a paucity of studies comparing safety across different interventions</w:t>
      </w:r>
      <w:r w:rsidR="003B36E5" w:rsidRPr="00E3331A">
        <w:t>,</w:t>
      </w:r>
      <w:r w:rsidRPr="00E3331A">
        <w:t xml:space="preserve"> follow-up duration was variable</w:t>
      </w:r>
      <w:r w:rsidR="003B36E5" w:rsidRPr="00E3331A">
        <w:t>,</w:t>
      </w:r>
      <w:r w:rsidRPr="00E3331A">
        <w:t xml:space="preserve"> and interventions were not consistent. Consequently, the approach to comparative safety taken in this </w:t>
      </w:r>
      <w:r w:rsidR="005541CA" w:rsidRPr="00E3331A">
        <w:t>A</w:t>
      </w:r>
      <w:r w:rsidRPr="00E3331A">
        <w:t xml:space="preserve">ssessment is to provide a narrative and tabular summary of all adverse events, serious adverse events and adverse events leading to discontinuation </w:t>
      </w:r>
      <w:r w:rsidR="003B36E5" w:rsidRPr="00E3331A">
        <w:t xml:space="preserve">that were </w:t>
      </w:r>
      <w:r w:rsidRPr="00E3331A">
        <w:t>reported in the included studies. Events across studies have been pooled to provide a general indication of the frequency of adverse events with each intervention</w:t>
      </w:r>
      <w:r w:rsidR="003B36E5" w:rsidRPr="00E3331A">
        <w:t>. But</w:t>
      </w:r>
      <w:r w:rsidRPr="00E3331A">
        <w:t xml:space="preserve"> </w:t>
      </w:r>
      <w:r w:rsidR="003B36E5" w:rsidRPr="00E3331A">
        <w:t>this analysis</w:t>
      </w:r>
      <w:r w:rsidRPr="00E3331A">
        <w:t xml:space="preserve"> should be interpreted with caution as the </w:t>
      </w:r>
      <w:r w:rsidRPr="00E3331A">
        <w:lastRenderedPageBreak/>
        <w:t xml:space="preserve">comparability of studies in terms of interventions and follow-up periods is extremely limited. Only one of the included studies performed a formal assessment of comparative safety. </w:t>
      </w:r>
    </w:p>
    <w:p w:rsidR="008475E5" w:rsidRPr="00E3331A" w:rsidRDefault="008475E5" w:rsidP="008475E5">
      <w:r w:rsidRPr="00E3331A">
        <w:t>Because the interventions for CIDP are broad ranging in terms of their mechanism of action, mode of delivery</w:t>
      </w:r>
      <w:r w:rsidR="00962349" w:rsidRPr="00E3331A">
        <w:t>,</w:t>
      </w:r>
      <w:r w:rsidRPr="00E3331A">
        <w:t xml:space="preserve"> and known adverse event profile</w:t>
      </w:r>
      <w:r w:rsidR="00962349" w:rsidRPr="00E3331A">
        <w:t>,</w:t>
      </w:r>
      <w:r w:rsidRPr="00E3331A">
        <w:t xml:space="preserve"> it was considered important to capture the differences in the nature of adverse events with each intervention. For example, long</w:t>
      </w:r>
      <w:r w:rsidR="00D45BCF" w:rsidRPr="00E3331A">
        <w:t>-</w:t>
      </w:r>
      <w:r w:rsidRPr="00E3331A">
        <w:t xml:space="preserve">term use of steroids is known to be associated with a range of psychiatric and metabolic adverse events </w:t>
      </w:r>
      <w:r w:rsidR="00B85C75">
        <w:rPr>
          <w:noProof/>
        </w:rPr>
        <w:t>(Buchman 2001)</w:t>
      </w:r>
      <w:r w:rsidR="00962349" w:rsidRPr="00E3331A">
        <w:t>,</w:t>
      </w:r>
      <w:r w:rsidRPr="00E3331A">
        <w:t xml:space="preserve"> whil</w:t>
      </w:r>
      <w:r w:rsidR="00591599" w:rsidRPr="00E3331A">
        <w:t>e</w:t>
      </w:r>
      <w:r w:rsidRPr="00E3331A">
        <w:t xml:space="preserve"> </w:t>
      </w:r>
      <w:bookmarkStart w:id="224" w:name="_Hlk9679679"/>
      <w:r w:rsidRPr="00E3331A">
        <w:t>plasma exchange may carry a small risk of</w:t>
      </w:r>
      <w:r w:rsidR="006F7B17" w:rsidRPr="00E3331A">
        <w:t xml:space="preserve"> infectious,</w:t>
      </w:r>
      <w:r w:rsidRPr="00E3331A">
        <w:t xml:space="preserve"> cardiovascular, respiratory and anaphylact</w:t>
      </w:r>
      <w:r w:rsidR="00352EAD" w:rsidRPr="00E3331A">
        <w:t>ic</w:t>
      </w:r>
      <w:r w:rsidRPr="00E3331A">
        <w:t xml:space="preserve"> events </w:t>
      </w:r>
      <w:r w:rsidR="00B85C75">
        <w:rPr>
          <w:noProof/>
        </w:rPr>
        <w:t>(Sutton et al. 1989)</w:t>
      </w:r>
      <w:r w:rsidR="00962349" w:rsidRPr="00E3331A">
        <w:t>.</w:t>
      </w:r>
      <w:r w:rsidRPr="00E3331A">
        <w:t xml:space="preserve"> </w:t>
      </w:r>
      <w:bookmarkEnd w:id="224"/>
      <w:r w:rsidRPr="00E3331A">
        <w:t>IVIg</w:t>
      </w:r>
      <w:r w:rsidR="00962349" w:rsidRPr="00E3331A">
        <w:t>, on the other hand,</w:t>
      </w:r>
      <w:r w:rsidRPr="00E3331A">
        <w:t xml:space="preserve"> is commonly associated with infusion reactions such as fever, chills and rash</w:t>
      </w:r>
      <w:r w:rsidR="00962349" w:rsidRPr="00E3331A">
        <w:t>,</w:t>
      </w:r>
      <w:r w:rsidRPr="00E3331A">
        <w:t xml:space="preserve"> with possible long</w:t>
      </w:r>
      <w:r w:rsidR="00D45BCF" w:rsidRPr="00E3331A">
        <w:t>-</w:t>
      </w:r>
      <w:r w:rsidRPr="00E3331A">
        <w:t>term complications involving haemolysis and reduced renal function</w:t>
      </w:r>
      <w:r w:rsidR="00C54848" w:rsidRPr="00E3331A">
        <w:t xml:space="preserve"> </w:t>
      </w:r>
      <w:r w:rsidR="00B85C75">
        <w:rPr>
          <w:noProof/>
        </w:rPr>
        <w:t>(Levine et al. 2017)</w:t>
      </w:r>
      <w:r w:rsidRPr="00E3331A">
        <w:t>. In order to investigate the nature of adverse events reported in patients with CIDP receiving IVIg or an alternative treatment</w:t>
      </w:r>
      <w:r w:rsidR="00962349" w:rsidRPr="00E3331A">
        <w:t>,</w:t>
      </w:r>
      <w:r w:rsidRPr="00E3331A">
        <w:t xml:space="preserve"> the events occurring within the included studies have been categorised according to the Common Terminology Criteria for Adverse Events (CTCAE)</w:t>
      </w:r>
      <w:r w:rsidR="00962349" w:rsidRPr="00E3331A">
        <w:t>,</w:t>
      </w:r>
      <w:r w:rsidRPr="00E3331A">
        <w:t xml:space="preserve"> with number of events pooled for each system</w:t>
      </w:r>
      <w:r w:rsidR="00C54848" w:rsidRPr="00E3331A">
        <w:t xml:space="preserve"> </w:t>
      </w:r>
      <w:r w:rsidR="00B85C75">
        <w:rPr>
          <w:noProof/>
        </w:rPr>
        <w:t>(NCI 2018)</w:t>
      </w:r>
      <w:r w:rsidRPr="00E3331A">
        <w:t xml:space="preserve">. </w:t>
      </w:r>
      <w:r w:rsidR="00962349" w:rsidRPr="00E3331A">
        <w:t>As a result</w:t>
      </w:r>
      <w:r w:rsidRPr="00E3331A">
        <w:t xml:space="preserve">, the same patient may contribute multiple times to the table if </w:t>
      </w:r>
      <w:r w:rsidR="00962349" w:rsidRPr="00E3331A">
        <w:t xml:space="preserve">that patient </w:t>
      </w:r>
      <w:r w:rsidRPr="00E3331A">
        <w:t xml:space="preserve">experienced multiple adverse events. The intent of this approach is to enable characterisation of the most frequent adverse events associated with each intervention in patients with CIDP. </w:t>
      </w:r>
    </w:p>
    <w:p w:rsidR="008475E5" w:rsidRPr="00E3331A" w:rsidRDefault="006F35B9" w:rsidP="008475E5">
      <w:r w:rsidRPr="00E3331A">
        <w:t xml:space="preserve">Table </w:t>
      </w:r>
      <w:r>
        <w:rPr>
          <w:noProof/>
        </w:rPr>
        <w:t>28</w:t>
      </w:r>
      <w:r w:rsidR="008475E5" w:rsidRPr="00E3331A">
        <w:t xml:space="preserve"> lists all adverse events that occurred in </w:t>
      </w:r>
      <w:r w:rsidR="00A80561" w:rsidRPr="00E3331A">
        <w:t>any</w:t>
      </w:r>
      <w:r w:rsidR="008475E5" w:rsidRPr="00E3331A">
        <w:t xml:space="preserve"> patient in any treatment arm of the included </w:t>
      </w:r>
      <w:r w:rsidR="00A80561" w:rsidRPr="00E3331A">
        <w:t>RCTs</w:t>
      </w:r>
      <w:r w:rsidR="00BA563B" w:rsidRPr="00E3331A">
        <w:t>. I</w:t>
      </w:r>
      <w:r w:rsidR="008475E5" w:rsidRPr="00E3331A">
        <w:t xml:space="preserve">n pooling the results across studies it has been assumed that </w:t>
      </w:r>
      <w:r w:rsidR="00BA563B" w:rsidRPr="00E3331A">
        <w:t xml:space="preserve">if </w:t>
      </w:r>
      <w:r w:rsidR="008475E5" w:rsidRPr="00E3331A">
        <w:t xml:space="preserve">an event was not mentioned it did not occur. If a study explicitly reported </w:t>
      </w:r>
      <w:r w:rsidR="00BA563B" w:rsidRPr="00E3331A">
        <w:t xml:space="preserve">zero </w:t>
      </w:r>
      <w:r w:rsidR="008475E5" w:rsidRPr="00E3331A">
        <w:t xml:space="preserve">events of that nature, this was recorded in the table. Since these were </w:t>
      </w:r>
      <w:r w:rsidR="00BA563B" w:rsidRPr="00E3331A">
        <w:t>RCTs</w:t>
      </w:r>
      <w:r w:rsidR="008475E5" w:rsidRPr="00E3331A">
        <w:t xml:space="preserve"> with a mandate to assess safety </w:t>
      </w:r>
      <w:r w:rsidR="00BA563B" w:rsidRPr="00E3331A">
        <w:t xml:space="preserve">it </w:t>
      </w:r>
      <w:r w:rsidR="008475E5" w:rsidRPr="00E3331A">
        <w:t xml:space="preserve">was considered reasonable </w:t>
      </w:r>
      <w:r w:rsidR="00BA563B" w:rsidRPr="00E3331A">
        <w:t xml:space="preserve">to </w:t>
      </w:r>
      <w:r w:rsidR="008475E5" w:rsidRPr="00E3331A">
        <w:t>assum</w:t>
      </w:r>
      <w:r w:rsidR="00BA563B" w:rsidRPr="00E3331A">
        <w:t>e</w:t>
      </w:r>
      <w:r w:rsidR="008475E5" w:rsidRPr="00E3331A">
        <w:t xml:space="preserve"> that </w:t>
      </w:r>
      <w:r w:rsidR="00BA563B" w:rsidRPr="00E3331A">
        <w:t xml:space="preserve">unreported </w:t>
      </w:r>
      <w:r w:rsidR="008475E5" w:rsidRPr="00E3331A">
        <w:t xml:space="preserve">events likely did not occur. </w:t>
      </w:r>
      <w:r w:rsidR="00BA563B" w:rsidRPr="00E3331A">
        <w:t>E</w:t>
      </w:r>
      <w:r w:rsidR="008475E5" w:rsidRPr="00E3331A">
        <w:t xml:space="preserve">vents reported by two studies </w:t>
      </w:r>
      <w:r w:rsidR="00B85C75">
        <w:rPr>
          <w:noProof/>
        </w:rPr>
        <w:t>(Dyck et al. 1994; Zinman et al. 2005)</w:t>
      </w:r>
      <w:r w:rsidR="008475E5" w:rsidRPr="00E3331A">
        <w:t xml:space="preserve"> are </w:t>
      </w:r>
      <w:r w:rsidR="00BA563B" w:rsidRPr="00E3331A">
        <w:t xml:space="preserve">included </w:t>
      </w:r>
      <w:r w:rsidR="008475E5" w:rsidRPr="00E3331A">
        <w:t>within the table but do not contribute to pooled rates because their reporting of safety outcomes was poor. Patient numbers have been pooled across studies to provide a general representation only of the proportion of patients experiencing adverse events with different interventions.</w:t>
      </w:r>
      <w:r w:rsidR="00345C95" w:rsidRPr="00E3331A">
        <w:t xml:space="preserve"> </w:t>
      </w:r>
    </w:p>
    <w:p w:rsidR="008475E5" w:rsidRPr="00E3331A" w:rsidRDefault="008475E5" w:rsidP="008475E5">
      <w:pPr>
        <w:rPr>
          <w:b/>
        </w:rPr>
      </w:pPr>
      <w:r w:rsidRPr="00E3331A">
        <w:rPr>
          <w:b/>
        </w:rPr>
        <w:t>The extended assessment of harms</w:t>
      </w:r>
    </w:p>
    <w:p w:rsidR="008475E5" w:rsidRPr="00E3331A" w:rsidRDefault="008475E5" w:rsidP="008475E5">
      <w:r w:rsidRPr="00E3331A">
        <w:t>A similar approach was taken for the extended assessment of harms.</w:t>
      </w:r>
      <w:r w:rsidR="00345C95" w:rsidRPr="00E3331A">
        <w:t xml:space="preserve"> </w:t>
      </w:r>
      <w:r w:rsidRPr="00E3331A">
        <w:t>Data was extracted from the included studies and a list of all adverse events reported with each intervention was generated and categorised according the CTCAE</w:t>
      </w:r>
      <w:r w:rsidR="00345C95" w:rsidRPr="00E3331A">
        <w:t xml:space="preserve"> </w:t>
      </w:r>
      <w:r w:rsidRPr="00E3331A">
        <w:t xml:space="preserve">classification. </w:t>
      </w:r>
      <w:r w:rsidR="00BA563B" w:rsidRPr="00E3331A">
        <w:t>Due to</w:t>
      </w:r>
      <w:r w:rsidR="00345C95" w:rsidRPr="00E3331A">
        <w:t xml:space="preserve"> </w:t>
      </w:r>
      <w:r w:rsidRPr="00E3331A">
        <w:t>the lower quality of the included studies it was not reasonable to assume that if an event was not reported</w:t>
      </w:r>
      <w:r w:rsidR="00BA563B" w:rsidRPr="00E3331A">
        <w:t>, that</w:t>
      </w:r>
      <w:r w:rsidRPr="00E3331A">
        <w:t xml:space="preserve"> it did not occur. Therefore,</w:t>
      </w:r>
      <w:r w:rsidR="00345C95" w:rsidRPr="00E3331A">
        <w:t xml:space="preserve"> </w:t>
      </w:r>
      <w:r w:rsidRPr="00E3331A">
        <w:t xml:space="preserve">data is presented as the number of patients reported to experience the event (n), the number of studies </w:t>
      </w:r>
      <w:r w:rsidR="00BA563B" w:rsidRPr="00E3331A">
        <w:t xml:space="preserve">that </w:t>
      </w:r>
      <w:r w:rsidRPr="00E3331A">
        <w:t>reported that outcome (k) and the total number of patients in the reporting studies (N).</w:t>
      </w:r>
      <w:r w:rsidR="00345C95" w:rsidRPr="00E3331A">
        <w:t xml:space="preserve"> </w:t>
      </w:r>
    </w:p>
    <w:p w:rsidR="004C5A84" w:rsidRDefault="008475E5" w:rsidP="008475E5">
      <w:r w:rsidRPr="00E3331A">
        <w:t>In the interests of providing a complete picture of the potential harms associated with each intervention</w:t>
      </w:r>
      <w:r w:rsidR="00BA563B" w:rsidRPr="00E3331A">
        <w:t>,</w:t>
      </w:r>
      <w:r w:rsidRPr="00E3331A">
        <w:t xml:space="preserve"> B.7 incorporates outcomes reported by all studies including the </w:t>
      </w:r>
      <w:r w:rsidR="00BA563B" w:rsidRPr="00E3331A">
        <w:t>RCTs</w:t>
      </w:r>
      <w:r w:rsidRPr="00E3331A">
        <w:t xml:space="preserve"> identified in B.6.</w:t>
      </w:r>
    </w:p>
    <w:p w:rsidR="00E56EAC" w:rsidRDefault="00E56EAC" w:rsidP="008475E5"/>
    <w:p w:rsidR="00E56EAC" w:rsidRDefault="00E56EAC" w:rsidP="008475E5">
      <w:pPr>
        <w:sectPr w:rsidR="00E56EAC" w:rsidSect="0080059D">
          <w:headerReference w:type="even" r:id="rId22"/>
          <w:headerReference w:type="default" r:id="rId23"/>
          <w:headerReference w:type="first" r:id="rId24"/>
          <w:pgSz w:w="11906" w:h="16838"/>
          <w:pgMar w:top="1440" w:right="1440" w:bottom="1440" w:left="1440" w:header="720" w:footer="720" w:gutter="0"/>
          <w:paperSrc w:first="2" w:other="2"/>
          <w:cols w:space="720"/>
        </w:sectPr>
      </w:pPr>
    </w:p>
    <w:p w:rsidR="00214F7B" w:rsidRPr="00E3331A" w:rsidRDefault="00214F7B" w:rsidP="003E4E1F">
      <w:pPr>
        <w:pStyle w:val="Heading2"/>
        <w:numPr>
          <w:ilvl w:val="1"/>
          <w:numId w:val="9"/>
        </w:numPr>
      </w:pPr>
      <w:bookmarkStart w:id="225" w:name="_Toc24103458"/>
      <w:bookmarkStart w:id="226" w:name="_Toc122538326"/>
      <w:bookmarkStart w:id="227" w:name="_Toc143663862"/>
      <w:bookmarkStart w:id="228" w:name="_Ref144697268"/>
      <w:bookmarkStart w:id="229" w:name="_Ref144697275"/>
      <w:r w:rsidRPr="00E3331A">
        <w:lastRenderedPageBreak/>
        <w:t>Results of the Systematic Literature review</w:t>
      </w:r>
      <w:bookmarkEnd w:id="225"/>
    </w:p>
    <w:p w:rsidR="008475E5" w:rsidRPr="00E3331A" w:rsidRDefault="008475E5" w:rsidP="003E4E1F">
      <w:pPr>
        <w:pStyle w:val="Heading2"/>
      </w:pPr>
      <w:bookmarkStart w:id="230" w:name="_Toc24103459"/>
      <w:bookmarkEnd w:id="191"/>
      <w:bookmarkEnd w:id="192"/>
      <w:bookmarkEnd w:id="193"/>
      <w:bookmarkEnd w:id="226"/>
      <w:bookmarkEnd w:id="227"/>
      <w:bookmarkEnd w:id="228"/>
      <w:bookmarkEnd w:id="229"/>
      <w:r w:rsidRPr="00E3331A">
        <w:t>Is it safe?</w:t>
      </w:r>
      <w:bookmarkEnd w:id="230"/>
      <w:r w:rsidRPr="00E3331A">
        <w:t xml:space="preserve"> </w:t>
      </w:r>
    </w:p>
    <w:p w:rsidR="008475E5" w:rsidRPr="00E3331A" w:rsidRDefault="008475E5" w:rsidP="008475E5">
      <w:pPr>
        <w:pStyle w:val="Summaryboxheading"/>
        <w:pBdr>
          <w:top w:val="single" w:sz="4" w:space="1" w:color="auto"/>
          <w:left w:val="single" w:sz="4" w:space="4" w:color="auto"/>
          <w:bottom w:val="single" w:sz="4" w:space="1" w:color="auto"/>
          <w:right w:val="single" w:sz="4" w:space="4" w:color="auto"/>
        </w:pBdr>
        <w:jc w:val="both"/>
      </w:pPr>
      <w:r w:rsidRPr="00E3331A">
        <w:t>What is the safety of Ig compared to steroids (oral and IV), plasma exchange, immunosuppressant and/or immunomodulatory drugs and therapies (not including steroids), a combination of two or more of the above therapies, or no active treatment?</w:t>
      </w:r>
    </w:p>
    <w:p w:rsidR="008475E5" w:rsidRPr="00E3331A" w:rsidRDefault="008475E5" w:rsidP="008475E5">
      <w:pPr>
        <w:pStyle w:val="Summaryboxheading"/>
        <w:pBdr>
          <w:top w:val="single" w:sz="4" w:space="1" w:color="auto"/>
          <w:left w:val="single" w:sz="4" w:space="4" w:color="auto"/>
          <w:bottom w:val="single" w:sz="4" w:space="1" w:color="auto"/>
          <w:right w:val="single" w:sz="4" w:space="4" w:color="auto"/>
        </w:pBdr>
        <w:jc w:val="both"/>
        <w:rPr>
          <w:b w:val="0"/>
        </w:rPr>
      </w:pPr>
      <w:r w:rsidRPr="00E3331A">
        <w:rPr>
          <w:b w:val="0"/>
        </w:rPr>
        <w:t xml:space="preserve">With respect to comparative safety, the only active comparator for which a direct comparison </w:t>
      </w:r>
      <w:r w:rsidR="003733A2" w:rsidRPr="00E3331A">
        <w:rPr>
          <w:b w:val="0"/>
        </w:rPr>
        <w:t xml:space="preserve">is </w:t>
      </w:r>
      <w:r w:rsidRPr="00E3331A">
        <w:rPr>
          <w:b w:val="0"/>
        </w:rPr>
        <w:t>available is for IVIg compared to oral prednisolone and IV methylprednisolone</w:t>
      </w:r>
      <w:r w:rsidR="003733A2" w:rsidRPr="00E3331A">
        <w:rPr>
          <w:b w:val="0"/>
        </w:rPr>
        <w:t>,</w:t>
      </w:r>
      <w:r w:rsidRPr="00E3331A">
        <w:rPr>
          <w:b w:val="0"/>
        </w:rPr>
        <w:t xml:space="preserve"> as reported by two RCTs </w:t>
      </w:r>
      <w:r w:rsidR="00B85C75">
        <w:rPr>
          <w:b w:val="0"/>
          <w:noProof/>
        </w:rPr>
        <w:t>(Hughes et al. 2001; Nobile-Orazio et al. 2012b)</w:t>
      </w:r>
      <w:r w:rsidRPr="00E3331A">
        <w:rPr>
          <w:b w:val="0"/>
        </w:rPr>
        <w:t>. Overall</w:t>
      </w:r>
      <w:r w:rsidR="003733A2" w:rsidRPr="00E3331A">
        <w:rPr>
          <w:b w:val="0"/>
        </w:rPr>
        <w:t>,</w:t>
      </w:r>
      <w:r w:rsidRPr="00E3331A">
        <w:rPr>
          <w:b w:val="0"/>
        </w:rPr>
        <w:t xml:space="preserve"> the rate of any adverse event was frequent (40-70%) with</w:t>
      </w:r>
      <w:r w:rsidR="00423145" w:rsidRPr="00E3331A">
        <w:rPr>
          <w:b w:val="0"/>
        </w:rPr>
        <w:t xml:space="preserve"> both</w:t>
      </w:r>
      <w:r w:rsidRPr="00E3331A">
        <w:rPr>
          <w:b w:val="0"/>
        </w:rPr>
        <w:t xml:space="preserve"> IVIg </w:t>
      </w:r>
      <w:r w:rsidR="00423145" w:rsidRPr="00E3331A">
        <w:rPr>
          <w:b w:val="0"/>
        </w:rPr>
        <w:t>and</w:t>
      </w:r>
      <w:r w:rsidRPr="00E3331A">
        <w:rPr>
          <w:b w:val="0"/>
        </w:rPr>
        <w:t xml:space="preserve"> steroids</w:t>
      </w:r>
      <w:r w:rsidR="003733A2" w:rsidRPr="00E3331A">
        <w:rPr>
          <w:b w:val="0"/>
        </w:rPr>
        <w:t>,</w:t>
      </w:r>
      <w:r w:rsidRPr="00E3331A">
        <w:rPr>
          <w:b w:val="0"/>
        </w:rPr>
        <w:t xml:space="preserve"> although serious adverse events and discontinuations were rare with either intervention.</w:t>
      </w:r>
      <w:r w:rsidR="00345C95" w:rsidRPr="00E3331A">
        <w:rPr>
          <w:b w:val="0"/>
        </w:rPr>
        <w:t xml:space="preserve"> </w:t>
      </w:r>
    </w:p>
    <w:p w:rsidR="008475E5" w:rsidRPr="00E3331A" w:rsidRDefault="008475E5" w:rsidP="008475E5">
      <w:pPr>
        <w:pStyle w:val="Summaryboxheading"/>
        <w:pBdr>
          <w:top w:val="single" w:sz="4" w:space="1" w:color="auto"/>
          <w:left w:val="single" w:sz="4" w:space="4" w:color="auto"/>
          <w:bottom w:val="single" w:sz="4" w:space="1" w:color="auto"/>
          <w:right w:val="single" w:sz="4" w:space="4" w:color="auto"/>
        </w:pBdr>
        <w:jc w:val="both"/>
        <w:rPr>
          <w:b w:val="0"/>
        </w:rPr>
      </w:pPr>
      <w:r w:rsidRPr="00E3331A">
        <w:rPr>
          <w:b w:val="0"/>
        </w:rPr>
        <w:t>Compared to no active treatment (i.e. placebo)</w:t>
      </w:r>
      <w:r w:rsidR="003733A2" w:rsidRPr="00E3331A">
        <w:rPr>
          <w:b w:val="0"/>
        </w:rPr>
        <w:t>,</w:t>
      </w:r>
      <w:r w:rsidRPr="00E3331A">
        <w:rPr>
          <w:b w:val="0"/>
        </w:rPr>
        <w:t xml:space="preserve"> more patients receiving IVIg will experience an adverse event relative to placebo (75% versus 45%)</w:t>
      </w:r>
      <w:r w:rsidR="003733A2" w:rsidRPr="00E3331A">
        <w:rPr>
          <w:b w:val="0"/>
        </w:rPr>
        <w:t>.</w:t>
      </w:r>
      <w:r w:rsidRPr="00E3331A">
        <w:rPr>
          <w:b w:val="0"/>
        </w:rPr>
        <w:t xml:space="preserve"> </w:t>
      </w:r>
      <w:r w:rsidR="003733A2" w:rsidRPr="00E3331A">
        <w:rPr>
          <w:b w:val="0"/>
        </w:rPr>
        <w:t>H</w:t>
      </w:r>
      <w:r w:rsidRPr="00E3331A">
        <w:rPr>
          <w:b w:val="0"/>
        </w:rPr>
        <w:t xml:space="preserve">owever, serious adverse events and </w:t>
      </w:r>
      <w:r w:rsidR="003733A2" w:rsidRPr="00E3331A">
        <w:rPr>
          <w:b w:val="0"/>
        </w:rPr>
        <w:t>those</w:t>
      </w:r>
      <w:r w:rsidRPr="00E3331A">
        <w:rPr>
          <w:b w:val="0"/>
        </w:rPr>
        <w:t xml:space="preserve"> resulting in discontinuation were </w:t>
      </w:r>
      <w:r w:rsidR="003733A2" w:rsidRPr="00E3331A">
        <w:rPr>
          <w:b w:val="0"/>
        </w:rPr>
        <w:t xml:space="preserve">nevertheless </w:t>
      </w:r>
      <w:r w:rsidR="002A5EED" w:rsidRPr="00E3331A">
        <w:rPr>
          <w:b w:val="0"/>
        </w:rPr>
        <w:t xml:space="preserve">reported </w:t>
      </w:r>
      <w:r w:rsidRPr="00E3331A">
        <w:rPr>
          <w:b w:val="0"/>
        </w:rPr>
        <w:t>in patients receiving placebo (no observable differences between arms)</w:t>
      </w:r>
      <w:r w:rsidR="002A5EED" w:rsidRPr="00E3331A">
        <w:rPr>
          <w:b w:val="0"/>
        </w:rPr>
        <w:t xml:space="preserve"> </w:t>
      </w:r>
      <w:r w:rsidR="00B85C75">
        <w:rPr>
          <w:b w:val="0"/>
          <w:noProof/>
        </w:rPr>
        <w:t>(Hughes et al. 2008; Mendell et al. 2001)</w:t>
      </w:r>
      <w:r w:rsidRPr="00E3331A">
        <w:rPr>
          <w:b w:val="0"/>
        </w:rPr>
        <w:t>.</w:t>
      </w:r>
    </w:p>
    <w:p w:rsidR="008475E5" w:rsidRPr="00E3331A" w:rsidRDefault="008475E5" w:rsidP="008475E5">
      <w:pPr>
        <w:pStyle w:val="Summaryboxheading"/>
        <w:pBdr>
          <w:top w:val="single" w:sz="4" w:space="1" w:color="auto"/>
          <w:left w:val="single" w:sz="4" w:space="4" w:color="auto"/>
          <w:bottom w:val="single" w:sz="4" w:space="1" w:color="auto"/>
          <w:right w:val="single" w:sz="4" w:space="4" w:color="auto"/>
        </w:pBdr>
        <w:jc w:val="both"/>
        <w:rPr>
          <w:b w:val="0"/>
        </w:rPr>
      </w:pPr>
      <w:bookmarkStart w:id="231" w:name="_Hlk9180899"/>
      <w:r w:rsidRPr="00E3331A">
        <w:rPr>
          <w:b w:val="0"/>
        </w:rPr>
        <w:t>No direct comparisons can be made between the safety of IVIg and plasma exchange, immunoadsorption or alternative immunosuppressive pharmacotherapy (azathioprine, methotrexate, cyclosporin, rituximab etc.) owing to poor reporting and/or a lack of identified studies.</w:t>
      </w:r>
    </w:p>
    <w:bookmarkEnd w:id="231"/>
    <w:p w:rsidR="008475E5" w:rsidRPr="00E3331A" w:rsidRDefault="008475E5" w:rsidP="008475E5">
      <w:pPr>
        <w:pStyle w:val="Summaryboxheading"/>
        <w:pBdr>
          <w:top w:val="single" w:sz="4" w:space="1" w:color="auto"/>
          <w:left w:val="single" w:sz="4" w:space="4" w:color="auto"/>
          <w:bottom w:val="single" w:sz="4" w:space="1" w:color="auto"/>
          <w:right w:val="single" w:sz="4" w:space="4" w:color="auto"/>
        </w:pBdr>
        <w:jc w:val="both"/>
        <w:rPr>
          <w:b w:val="0"/>
        </w:rPr>
      </w:pPr>
      <w:r w:rsidRPr="00E3331A">
        <w:rPr>
          <w:b w:val="0"/>
        </w:rPr>
        <w:t>Considering the nature of the adverse events occurring across all of the included studies</w:t>
      </w:r>
      <w:r w:rsidR="00D61777" w:rsidRPr="00E3331A">
        <w:rPr>
          <w:b w:val="0"/>
        </w:rPr>
        <w:t>,</w:t>
      </w:r>
      <w:r w:rsidRPr="00E3331A">
        <w:rPr>
          <w:b w:val="0"/>
        </w:rPr>
        <w:t xml:space="preserve"> the single most frequent adverse event associated with IVIg was headache (33% of all patients), followed by fever (14%), chills (9%), nausea (8%) and rash (5%). Other adverse events occurred in less than 5</w:t>
      </w:r>
      <w:r w:rsidR="00D61777" w:rsidRPr="00E3331A">
        <w:rPr>
          <w:b w:val="0"/>
        </w:rPr>
        <w:t>%</w:t>
      </w:r>
      <w:r w:rsidRPr="00E3331A">
        <w:rPr>
          <w:b w:val="0"/>
        </w:rPr>
        <w:t xml:space="preserve"> of patients. These events were rarely reported as reasons for discontinuation and were typically transient or isolated events. Abnormalities in renal function and haemolysis were not observed in the IVIg arms</w:t>
      </w:r>
      <w:r w:rsidR="00D61777" w:rsidRPr="00E3331A">
        <w:rPr>
          <w:b w:val="0"/>
        </w:rPr>
        <w:t>.</w:t>
      </w:r>
      <w:r w:rsidRPr="00E3331A">
        <w:rPr>
          <w:b w:val="0"/>
        </w:rPr>
        <w:t xml:space="preserve"> </w:t>
      </w:r>
      <w:r w:rsidR="00D61777" w:rsidRPr="00E3331A">
        <w:rPr>
          <w:b w:val="0"/>
        </w:rPr>
        <w:t>H</w:t>
      </w:r>
      <w:r w:rsidRPr="00E3331A">
        <w:rPr>
          <w:b w:val="0"/>
        </w:rPr>
        <w:t>owever, it should be noted that the longest observation period in any study</w:t>
      </w:r>
      <w:r w:rsidR="00D61777" w:rsidRPr="00E3331A">
        <w:rPr>
          <w:b w:val="0"/>
        </w:rPr>
        <w:t>,</w:t>
      </w:r>
      <w:r w:rsidRPr="00E3331A">
        <w:rPr>
          <w:b w:val="0"/>
        </w:rPr>
        <w:t xml:space="preserve"> including IVIg</w:t>
      </w:r>
      <w:r w:rsidR="00D61777" w:rsidRPr="00E3331A">
        <w:rPr>
          <w:b w:val="0"/>
        </w:rPr>
        <w:t>,</w:t>
      </w:r>
      <w:r w:rsidRPr="00E3331A">
        <w:rPr>
          <w:b w:val="0"/>
        </w:rPr>
        <w:t xml:space="preserve"> was 12 months. The extended assessment of harms (B.7) contains a more complete picture of possible adverse events. </w:t>
      </w:r>
    </w:p>
    <w:p w:rsidR="008475E5" w:rsidRPr="00E3331A" w:rsidRDefault="008475E5" w:rsidP="008475E5">
      <w:pPr>
        <w:pStyle w:val="Summaryboxheading"/>
        <w:pBdr>
          <w:top w:val="single" w:sz="4" w:space="1" w:color="auto"/>
          <w:left w:val="single" w:sz="4" w:space="4" w:color="auto"/>
          <w:bottom w:val="single" w:sz="4" w:space="1" w:color="auto"/>
          <w:right w:val="single" w:sz="4" w:space="4" w:color="auto"/>
        </w:pBdr>
        <w:jc w:val="both"/>
        <w:rPr>
          <w:b w:val="0"/>
        </w:rPr>
      </w:pPr>
      <w:r w:rsidRPr="00E3331A">
        <w:rPr>
          <w:b w:val="0"/>
        </w:rPr>
        <w:t xml:space="preserve">Corticosteroids were associated with a different profile of adverse events </w:t>
      </w:r>
      <w:r w:rsidR="006F7B17" w:rsidRPr="00E3331A">
        <w:rPr>
          <w:b w:val="0"/>
        </w:rPr>
        <w:t>(up to 52 weeks of follow-up)</w:t>
      </w:r>
      <w:r w:rsidR="002A5EED" w:rsidRPr="00E3331A">
        <w:rPr>
          <w:b w:val="0"/>
        </w:rPr>
        <w:t xml:space="preserve"> </w:t>
      </w:r>
      <w:r w:rsidRPr="00E3331A">
        <w:rPr>
          <w:b w:val="0"/>
        </w:rPr>
        <w:t>including</w:t>
      </w:r>
      <w:r w:rsidR="00D61777" w:rsidRPr="00E3331A">
        <w:rPr>
          <w:b w:val="0"/>
        </w:rPr>
        <w:t>,</w:t>
      </w:r>
      <w:r w:rsidRPr="00E3331A">
        <w:rPr>
          <w:b w:val="0"/>
        </w:rPr>
        <w:t xml:space="preserve"> insomnia and mood changes (</w:t>
      </w:r>
      <w:r w:rsidR="00D61777" w:rsidRPr="00E3331A">
        <w:rPr>
          <w:b w:val="0"/>
        </w:rPr>
        <w:t xml:space="preserve">both </w:t>
      </w:r>
      <w:r w:rsidRPr="00E3331A">
        <w:rPr>
          <w:b w:val="0"/>
        </w:rPr>
        <w:t xml:space="preserve">25%), weight gain (24%), indigestion (20%), increased appetite (19%), </w:t>
      </w:r>
      <w:r w:rsidR="00A5482A" w:rsidRPr="00E3331A">
        <w:rPr>
          <w:b w:val="0"/>
        </w:rPr>
        <w:t>Cushing</w:t>
      </w:r>
      <w:r w:rsidRPr="00E3331A">
        <w:rPr>
          <w:b w:val="0"/>
        </w:rPr>
        <w:t xml:space="preserve"> appearance (18%), unspecified (15%), minor infections and hypertension (both 9%), acne and headache (both 8%), skin thinning (6%) and delayed wound healing (5%). The majority of adverse events associated with steroids were reported by one study </w:t>
      </w:r>
      <w:r w:rsidR="00F63012" w:rsidRPr="00E3331A">
        <w:rPr>
          <w:b w:val="0"/>
        </w:rPr>
        <w:t xml:space="preserve">that </w:t>
      </w:r>
      <w:r w:rsidRPr="00E3331A">
        <w:rPr>
          <w:b w:val="0"/>
        </w:rPr>
        <w:t xml:space="preserve">followed patients for 12 months </w:t>
      </w:r>
      <w:r w:rsidR="00B85C75">
        <w:rPr>
          <w:b w:val="0"/>
          <w:noProof/>
        </w:rPr>
        <w:t>(Nobile-Orazio et al. 2012b)</w:t>
      </w:r>
      <w:r w:rsidR="00F63012" w:rsidRPr="00E3331A">
        <w:rPr>
          <w:b w:val="0"/>
        </w:rPr>
        <w:t>.</w:t>
      </w:r>
      <w:r w:rsidRPr="00E3331A">
        <w:rPr>
          <w:b w:val="0"/>
        </w:rPr>
        <w:t xml:space="preserve"> </w:t>
      </w:r>
      <w:r w:rsidR="00F63012" w:rsidRPr="00E3331A">
        <w:rPr>
          <w:b w:val="0"/>
        </w:rPr>
        <w:t>T</w:t>
      </w:r>
      <w:r w:rsidRPr="00E3331A">
        <w:rPr>
          <w:b w:val="0"/>
        </w:rPr>
        <w:t xml:space="preserve">he other study reporting adverse events with steroids </w:t>
      </w:r>
      <w:r w:rsidR="00B85C75">
        <w:rPr>
          <w:b w:val="0"/>
          <w:noProof/>
        </w:rPr>
        <w:t>(Hughes et al. 2001)</w:t>
      </w:r>
      <w:r w:rsidR="00F63012" w:rsidRPr="00E3331A">
        <w:rPr>
          <w:b w:val="0"/>
        </w:rPr>
        <w:t xml:space="preserve"> </w:t>
      </w:r>
      <w:r w:rsidRPr="00E3331A">
        <w:rPr>
          <w:b w:val="0"/>
        </w:rPr>
        <w:t xml:space="preserve">had a very short follow-up period (approximately </w:t>
      </w:r>
      <w:r w:rsidR="00F63012" w:rsidRPr="00E3331A">
        <w:rPr>
          <w:b w:val="0"/>
        </w:rPr>
        <w:t>eight</w:t>
      </w:r>
      <w:r w:rsidRPr="00E3331A">
        <w:rPr>
          <w:b w:val="0"/>
        </w:rPr>
        <w:t xml:space="preserve"> weeks</w:t>
      </w:r>
      <w:r w:rsidR="00F63012" w:rsidRPr="00E3331A">
        <w:rPr>
          <w:b w:val="0"/>
        </w:rPr>
        <w:t>)</w:t>
      </w:r>
      <w:r w:rsidRPr="00E3331A">
        <w:rPr>
          <w:b w:val="0"/>
        </w:rPr>
        <w:t>. Adverse events with placebo were less frequently reported</w:t>
      </w:r>
      <w:r w:rsidR="00F63012" w:rsidRPr="00E3331A">
        <w:rPr>
          <w:b w:val="0"/>
        </w:rPr>
        <w:t>, with the</w:t>
      </w:r>
      <w:r w:rsidRPr="00E3331A">
        <w:rPr>
          <w:b w:val="0"/>
        </w:rPr>
        <w:t xml:space="preserve"> only two </w:t>
      </w:r>
      <w:r w:rsidR="00F63012" w:rsidRPr="00E3331A">
        <w:rPr>
          <w:b w:val="0"/>
        </w:rPr>
        <w:t xml:space="preserve">consistently </w:t>
      </w:r>
      <w:r w:rsidRPr="00E3331A">
        <w:rPr>
          <w:b w:val="0"/>
        </w:rPr>
        <w:t xml:space="preserve">reported being headache (15%) and hypertension (5%). </w:t>
      </w:r>
    </w:p>
    <w:p w:rsidR="008475E5" w:rsidRPr="00E3331A" w:rsidRDefault="008475E5" w:rsidP="008475E5">
      <w:pPr>
        <w:pStyle w:val="Summaryboxheading"/>
        <w:pBdr>
          <w:top w:val="single" w:sz="4" w:space="1" w:color="auto"/>
          <w:left w:val="single" w:sz="4" w:space="4" w:color="auto"/>
          <w:bottom w:val="single" w:sz="4" w:space="1" w:color="auto"/>
          <w:right w:val="single" w:sz="4" w:space="4" w:color="auto"/>
        </w:pBdr>
        <w:jc w:val="both"/>
        <w:rPr>
          <w:b w:val="0"/>
        </w:rPr>
      </w:pPr>
      <w:r w:rsidRPr="00E3331A">
        <w:rPr>
          <w:b w:val="0"/>
        </w:rPr>
        <w:t>There was insufficient data on other active comparators to characterise the adverse event profiles of these interventions. However, there were isolated adverse events reported in studies on plasma exchange</w:t>
      </w:r>
      <w:r w:rsidR="00F63012" w:rsidRPr="00E3331A">
        <w:rPr>
          <w:b w:val="0"/>
        </w:rPr>
        <w:t>,</w:t>
      </w:r>
      <w:r w:rsidRPr="00E3331A">
        <w:rPr>
          <w:b w:val="0"/>
        </w:rPr>
        <w:t xml:space="preserve"> including one cardiac event (myocardial infarction), one vascular event (stroke) and one infection (of indwelling catheter). The extended assessment of harms provides further detail. </w:t>
      </w:r>
    </w:p>
    <w:p w:rsidR="00680FF2" w:rsidRPr="00E3331A" w:rsidRDefault="00680FF2" w:rsidP="008475E5">
      <w:pPr>
        <w:pStyle w:val="Summaryboxheading"/>
        <w:pBdr>
          <w:top w:val="single" w:sz="4" w:space="1" w:color="auto"/>
          <w:left w:val="single" w:sz="4" w:space="4" w:color="auto"/>
          <w:bottom w:val="single" w:sz="4" w:space="1" w:color="auto"/>
          <w:right w:val="single" w:sz="4" w:space="4" w:color="auto"/>
        </w:pBdr>
        <w:jc w:val="both"/>
        <w:rPr>
          <w:b w:val="0"/>
        </w:rPr>
      </w:pPr>
      <w:r w:rsidRPr="00E3331A">
        <w:rPr>
          <w:b w:val="0"/>
        </w:rPr>
        <w:lastRenderedPageBreak/>
        <w:t xml:space="preserve">The Reference Group noted that the evidence on the adverse events of steroids in CIDP patients did not </w:t>
      </w:r>
      <w:r w:rsidR="007C0A4E" w:rsidRPr="00E3331A">
        <w:rPr>
          <w:b w:val="0"/>
        </w:rPr>
        <w:t>adequately</w:t>
      </w:r>
      <w:r w:rsidRPr="00E3331A">
        <w:rPr>
          <w:b w:val="0"/>
        </w:rPr>
        <w:t xml:space="preserve"> capture the safety profile of steroids. Expert advice from the Reference Group is that a publication on the adverse events experienced by patients with giant </w:t>
      </w:r>
      <w:r w:rsidRPr="00AE0320">
        <w:rPr>
          <w:b w:val="0"/>
        </w:rPr>
        <w:t xml:space="preserve">cell </w:t>
      </w:r>
      <w:r w:rsidR="00AE0320" w:rsidRPr="00304276">
        <w:rPr>
          <w:b w:val="0"/>
        </w:rPr>
        <w:t xml:space="preserve">arteritis </w:t>
      </w:r>
      <w:r w:rsidRPr="00E3331A">
        <w:rPr>
          <w:b w:val="0"/>
        </w:rPr>
        <w:t xml:space="preserve">provided a more applicable safety profile of steroids </w:t>
      </w:r>
      <w:r w:rsidR="00B85C75">
        <w:rPr>
          <w:b w:val="0"/>
          <w:noProof/>
        </w:rPr>
        <w:t>(Wilson et al. 2017)</w:t>
      </w:r>
      <w:r w:rsidRPr="00E3331A">
        <w:rPr>
          <w:b w:val="0"/>
        </w:rPr>
        <w:t>. The rationale provided by the Reference Group for citing this paper is that patients with giant cell arthritis did not usually have treat</w:t>
      </w:r>
      <w:r w:rsidR="00CD2BF3" w:rsidRPr="00E3331A">
        <w:rPr>
          <w:b w:val="0"/>
        </w:rPr>
        <w:t>men</w:t>
      </w:r>
      <w:r w:rsidR="000C5A22" w:rsidRPr="00E3331A">
        <w:rPr>
          <w:b w:val="0"/>
        </w:rPr>
        <w:t>t</w:t>
      </w:r>
      <w:r w:rsidRPr="00E3331A">
        <w:rPr>
          <w:b w:val="0"/>
        </w:rPr>
        <w:t xml:space="preserve"> options other than steroids during the period that data was collected and that the use of steroids in this population was applicable to CIDP patients in Australia. Wilson et al. (2017) found steroid use is associated with increased risk of diabetes (incidence rate ration (IRR) 1.4, 95% CI [1.2, 1.7]), </w:t>
      </w:r>
      <w:r w:rsidR="004B5B83" w:rsidRPr="00E3331A">
        <w:rPr>
          <w:b w:val="0"/>
        </w:rPr>
        <w:t>osteoporosis</w:t>
      </w:r>
      <w:r w:rsidRPr="00E3331A">
        <w:rPr>
          <w:b w:val="0"/>
        </w:rPr>
        <w:t xml:space="preserve"> (IRR 2.4, 95% CI [2.1, 2.8]), fractures (IRR 1.4</w:t>
      </w:r>
      <w:r w:rsidR="00CD2BF3" w:rsidRPr="00E3331A">
        <w:rPr>
          <w:b w:val="0"/>
        </w:rPr>
        <w:t>,</w:t>
      </w:r>
      <w:r w:rsidRPr="00E3331A">
        <w:rPr>
          <w:b w:val="0"/>
        </w:rPr>
        <w:t xml:space="preserve"> 95% CI [1.2, 1.6]), glaucoma (IRR 2.0, 95% CI [1.6, 2.5]) and serious infection (IRR 1.5, 95% CI 1.3, 1.7]).</w:t>
      </w:r>
    </w:p>
    <w:p w:rsidR="008475E5" w:rsidRPr="00E3331A" w:rsidRDefault="008475E5" w:rsidP="008475E5">
      <w:r w:rsidRPr="00E3331A">
        <w:t xml:space="preserve">Five </w:t>
      </w:r>
      <w:r w:rsidR="00CB6B53" w:rsidRPr="00E3331A">
        <w:t>RCTs</w:t>
      </w:r>
      <w:r w:rsidRPr="00E3331A">
        <w:t xml:space="preserve"> reported comparative safety adequately </w:t>
      </w:r>
      <w:r w:rsidR="00B85C75">
        <w:rPr>
          <w:noProof/>
        </w:rPr>
        <w:t>(Hughes et al. 2001; Hughes et al. 2008; Mendell et al. 2001; Nobile-Orazio et al. 2012b; van Schaik et al. 2010)</w:t>
      </w:r>
      <w:r w:rsidR="00CB6B53" w:rsidRPr="00E3331A">
        <w:t>.</w:t>
      </w:r>
      <w:r w:rsidRPr="00E3331A">
        <w:t xml:space="preserve"> </w:t>
      </w:r>
      <w:r w:rsidR="00CB6B53" w:rsidRPr="00E3331A">
        <w:t>F</w:t>
      </w:r>
      <w:r w:rsidRPr="00E3331A">
        <w:t xml:space="preserve">our further studies </w:t>
      </w:r>
      <w:r w:rsidR="00B85C75">
        <w:rPr>
          <w:noProof/>
        </w:rPr>
        <w:t>(Dyck et al. 1994; Hahn et al. 1996a; Hahn et al. 1996b; Zinman et al. 2005)</w:t>
      </w:r>
      <w:r w:rsidRPr="00E3331A">
        <w:t xml:space="preserve"> reported isolated events</w:t>
      </w:r>
      <w:r w:rsidR="00CB6B53" w:rsidRPr="00E3331A">
        <w:t>,</w:t>
      </w:r>
      <w:r w:rsidRPr="00E3331A">
        <w:t xml:space="preserve"> which are discussed in this summary. Overall</w:t>
      </w:r>
      <w:r w:rsidR="00CB6B53" w:rsidRPr="00E3331A">
        <w:t>,</w:t>
      </w:r>
      <w:r w:rsidRPr="00E3331A">
        <w:t xml:space="preserve"> it is important to note the following when considering interpretation of the safety data reported by the </w:t>
      </w:r>
      <w:r w:rsidR="00CB6B53" w:rsidRPr="00E3331A">
        <w:t>RCTs</w:t>
      </w:r>
      <w:r w:rsidRPr="00E3331A">
        <w:t>:</w:t>
      </w:r>
    </w:p>
    <w:p w:rsidR="008475E5" w:rsidRPr="00E3331A" w:rsidRDefault="008475E5" w:rsidP="001F5B33">
      <w:pPr>
        <w:pStyle w:val="ColorfulList-Accent11"/>
        <w:numPr>
          <w:ilvl w:val="0"/>
          <w:numId w:val="26"/>
        </w:numPr>
      </w:pPr>
      <w:r w:rsidRPr="00E3331A">
        <w:t xml:space="preserve">Two studies providing comprehensive reporting employed a crossover study design. </w:t>
      </w:r>
      <w:bookmarkStart w:id="232" w:name="_Hlk8566533"/>
      <w:r w:rsidRPr="00E3331A">
        <w:t>Therefore</w:t>
      </w:r>
      <w:r w:rsidR="00A5482A" w:rsidRPr="00E3331A">
        <w:t>,</w:t>
      </w:r>
      <w:r w:rsidRPr="00E3331A">
        <w:t xml:space="preserve"> the same patient could contribute adverse event results for both the intervention and the comparator</w:t>
      </w:r>
      <w:bookmarkEnd w:id="232"/>
      <w:r w:rsidRPr="00E3331A">
        <w:t>.</w:t>
      </w:r>
    </w:p>
    <w:p w:rsidR="008475E5" w:rsidRPr="00E3331A" w:rsidRDefault="008475E5" w:rsidP="001F5B33">
      <w:pPr>
        <w:pStyle w:val="ColorfulList-Accent11"/>
        <w:numPr>
          <w:ilvl w:val="0"/>
          <w:numId w:val="26"/>
        </w:numPr>
      </w:pPr>
      <w:r w:rsidRPr="00E3331A">
        <w:t>Many patients treated for CIDP will require long</w:t>
      </w:r>
      <w:r w:rsidR="00D45BCF" w:rsidRPr="00E3331A">
        <w:t>-</w:t>
      </w:r>
      <w:r w:rsidRPr="00E3331A">
        <w:t>term treatment</w:t>
      </w:r>
      <w:r w:rsidR="001061A1" w:rsidRPr="00E3331A">
        <w:t>,</w:t>
      </w:r>
      <w:r w:rsidRPr="00E3331A">
        <w:t xml:space="preserve"> the side effects of which are poorly captured in the available RCTs</w:t>
      </w:r>
      <w:r w:rsidR="001061A1" w:rsidRPr="00E3331A">
        <w:t>,</w:t>
      </w:r>
      <w:r w:rsidRPr="00E3331A">
        <w:t xml:space="preserve"> owing to their limited follow-up periods and/or crossover study design. </w:t>
      </w:r>
    </w:p>
    <w:p w:rsidR="008475E5" w:rsidRPr="00E3331A" w:rsidRDefault="008475E5" w:rsidP="001F5B33">
      <w:pPr>
        <w:pStyle w:val="ColorfulList-Accent11"/>
        <w:numPr>
          <w:ilvl w:val="0"/>
          <w:numId w:val="26"/>
        </w:numPr>
      </w:pPr>
      <w:r w:rsidRPr="00E3331A">
        <w:t>Only one study made a formal statistical comparison of safety events across arms.</w:t>
      </w:r>
    </w:p>
    <w:p w:rsidR="008475E5" w:rsidRPr="00E3331A" w:rsidRDefault="008475E5" w:rsidP="001F5B33">
      <w:pPr>
        <w:pStyle w:val="ColorfulList-Accent11"/>
        <w:numPr>
          <w:ilvl w:val="0"/>
          <w:numId w:val="26"/>
        </w:numPr>
      </w:pPr>
      <w:r w:rsidRPr="00E3331A">
        <w:t>Due to the paucity of detail regarding safety</w:t>
      </w:r>
      <w:r w:rsidR="001061A1" w:rsidRPr="00E3331A">
        <w:t>,</w:t>
      </w:r>
      <w:r w:rsidRPr="00E3331A">
        <w:t xml:space="preserve"> serious adverse events may not be adequately captured (i.e. events were not typically reported with a grade).</w:t>
      </w:r>
    </w:p>
    <w:p w:rsidR="008475E5" w:rsidRPr="00E3331A" w:rsidRDefault="008475E5" w:rsidP="001F5B33">
      <w:pPr>
        <w:pStyle w:val="ColorfulList-Accent11"/>
        <w:numPr>
          <w:ilvl w:val="0"/>
          <w:numId w:val="26"/>
        </w:numPr>
      </w:pPr>
      <w:r w:rsidRPr="00E3331A">
        <w:t xml:space="preserve">No direct comparison was available to inform the safety of IVIg compared to plasma exchange, immunoadsorption or alternative immunosuppressant and/or immunomodulatory drugs (azathioprine, methotrexate, cyclosporin, rituximab etc). </w:t>
      </w:r>
    </w:p>
    <w:p w:rsidR="008475E5" w:rsidRPr="00E3331A" w:rsidRDefault="008475E5" w:rsidP="008475E5">
      <w:r w:rsidRPr="00E3331A">
        <w:t xml:space="preserve">The safety data presented below should be interpreted in light of these limitations. </w:t>
      </w:r>
    </w:p>
    <w:p w:rsidR="008475E5" w:rsidRPr="00E3331A" w:rsidRDefault="008475E5" w:rsidP="008475E5">
      <w:pPr>
        <w:pStyle w:val="Heading3"/>
        <w:jc w:val="both"/>
      </w:pPr>
      <w:bookmarkStart w:id="233" w:name="_Toc24103460"/>
      <w:r w:rsidRPr="00E3331A">
        <w:t>IVIg versus steroids</w:t>
      </w:r>
      <w:bookmarkEnd w:id="233"/>
    </w:p>
    <w:p w:rsidR="002E7A66" w:rsidRPr="00E3331A" w:rsidRDefault="008475E5" w:rsidP="008475E5">
      <w:r w:rsidRPr="00E3331A">
        <w:t>When considering IVIg compared to steroids</w:t>
      </w:r>
      <w:r w:rsidR="001061A1" w:rsidRPr="00E3331A">
        <w:t>,</w:t>
      </w:r>
      <w:r w:rsidRPr="00E3331A">
        <w:t xml:space="preserve"> two </w:t>
      </w:r>
      <w:r w:rsidR="001061A1" w:rsidRPr="00E3331A">
        <w:t>RCTs</w:t>
      </w:r>
      <w:r w:rsidRPr="00E3331A">
        <w:t xml:space="preserve"> are relevant </w:t>
      </w:r>
      <w:r w:rsidR="00B85C75">
        <w:rPr>
          <w:noProof/>
        </w:rPr>
        <w:t>(Hughes et al. 2001; Nobile-Orazio et al. 2012b)</w:t>
      </w:r>
      <w:r w:rsidRPr="00E3331A">
        <w:t xml:space="preserve">. </w:t>
      </w:r>
      <w:r w:rsidR="00B85C75" w:rsidRPr="00E3331A">
        <w:rPr>
          <w:noProof/>
        </w:rPr>
        <w:t>Hughes et al. (2001)</w:t>
      </w:r>
      <w:r w:rsidRPr="00E3331A">
        <w:t xml:space="preserve"> randomised patients to either IVIg 2.0 g/kg over </w:t>
      </w:r>
      <w:r w:rsidR="004C3C41" w:rsidRPr="00E3331A">
        <w:t xml:space="preserve">two </w:t>
      </w:r>
      <w:r w:rsidRPr="00E3331A">
        <w:t xml:space="preserve">days (single course) or oral prednisolone 60 mg each morning for </w:t>
      </w:r>
      <w:r w:rsidR="004C3C41" w:rsidRPr="00E3331A">
        <w:t xml:space="preserve">two </w:t>
      </w:r>
      <w:r w:rsidRPr="00E3331A">
        <w:t xml:space="preserve">weeks, 40 mg each morning for </w:t>
      </w:r>
      <w:r w:rsidR="004C3C41" w:rsidRPr="00E3331A">
        <w:t>one</w:t>
      </w:r>
      <w:r w:rsidRPr="00E3331A">
        <w:t xml:space="preserve"> week, 30 mg each morning for </w:t>
      </w:r>
      <w:r w:rsidR="004C3C41" w:rsidRPr="00E3331A">
        <w:t>one</w:t>
      </w:r>
      <w:r w:rsidRPr="00E3331A">
        <w:t xml:space="preserve"> week, 20 mg each morning for </w:t>
      </w:r>
      <w:r w:rsidR="004C3C41" w:rsidRPr="00E3331A">
        <w:t>one</w:t>
      </w:r>
      <w:r w:rsidRPr="00E3331A">
        <w:t xml:space="preserve"> week</w:t>
      </w:r>
      <w:r w:rsidR="004C3C41" w:rsidRPr="00E3331A">
        <w:t>,</w:t>
      </w:r>
      <w:r w:rsidRPr="00E3331A">
        <w:t xml:space="preserve"> then 10 mg each morning for </w:t>
      </w:r>
      <w:r w:rsidR="004C3C41" w:rsidRPr="00E3331A">
        <w:t>one</w:t>
      </w:r>
      <w:r w:rsidRPr="00E3331A">
        <w:t xml:space="preserve"> week. </w:t>
      </w:r>
      <w:r w:rsidR="00B921FB" w:rsidRPr="00E3331A">
        <w:t xml:space="preserve">After a four-week hiatus, </w:t>
      </w:r>
      <w:r w:rsidRPr="00E3331A">
        <w:t xml:space="preserve">patients </w:t>
      </w:r>
      <w:r w:rsidR="00B921FB" w:rsidRPr="00E3331A">
        <w:t xml:space="preserve">then </w:t>
      </w:r>
      <w:r w:rsidRPr="00E3331A">
        <w:t>crossed over</w:t>
      </w:r>
      <w:r w:rsidR="00B921FB" w:rsidRPr="00E3331A">
        <w:t>,</w:t>
      </w:r>
      <w:r w:rsidRPr="00E3331A">
        <w:t xml:space="preserve"> with IVIg treated patients entering the prednisolone arm and vice versa. Therefore, a single patient could experience adverse events attributable both to IVIg and prednisolone</w:t>
      </w:r>
      <w:r w:rsidR="00B921FB" w:rsidRPr="00E3331A">
        <w:t xml:space="preserve">. </w:t>
      </w:r>
      <w:bookmarkStart w:id="234" w:name="_Hlk12797561"/>
      <w:r w:rsidR="00B85C75" w:rsidRPr="00E3331A">
        <w:rPr>
          <w:noProof/>
        </w:rPr>
        <w:t>Nobile-Orazio et al. (2012b)</w:t>
      </w:r>
      <w:r w:rsidRPr="00E3331A">
        <w:t xml:space="preserve"> r</w:t>
      </w:r>
      <w:bookmarkEnd w:id="234"/>
      <w:r w:rsidRPr="00E3331A">
        <w:t>andomised patients to either IVIg 0.5 g/kg or 0.5g</w:t>
      </w:r>
      <w:r w:rsidR="00345C95" w:rsidRPr="00E3331A">
        <w:t xml:space="preserve"> </w:t>
      </w:r>
      <w:r w:rsidRPr="00E3331A">
        <w:t xml:space="preserve">IV methylprednisolone </w:t>
      </w:r>
      <w:r w:rsidR="007376EE" w:rsidRPr="00E3331A">
        <w:t>at</w:t>
      </w:r>
      <w:r w:rsidRPr="00E3331A">
        <w:t xml:space="preserve"> 250 m</w:t>
      </w:r>
      <w:r w:rsidR="007376EE" w:rsidRPr="00E3331A">
        <w:t>l</w:t>
      </w:r>
      <w:r w:rsidR="00345C95" w:rsidRPr="00E3331A">
        <w:t xml:space="preserve"> </w:t>
      </w:r>
      <w:r w:rsidRPr="00E3331A">
        <w:t xml:space="preserve">daily for </w:t>
      </w:r>
      <w:r w:rsidR="007376EE" w:rsidRPr="00E3331A">
        <w:t xml:space="preserve">four </w:t>
      </w:r>
      <w:r w:rsidRPr="00E3331A">
        <w:t>days and then every 28 days for six months thereafter.</w:t>
      </w:r>
      <w:r w:rsidR="00345C95" w:rsidRPr="00E3331A">
        <w:t xml:space="preserve"> </w:t>
      </w:r>
      <w:r w:rsidRPr="00E3331A">
        <w:t>Both trials included limited patient numbers</w:t>
      </w:r>
      <w:r w:rsidR="007376EE" w:rsidRPr="00E3331A">
        <w:t xml:space="preserve">. Due to the </w:t>
      </w:r>
      <w:r w:rsidR="007376EE" w:rsidRPr="00E3331A">
        <w:lastRenderedPageBreak/>
        <w:t>short follow-up in this study</w:t>
      </w:r>
      <w:r w:rsidRPr="00E3331A">
        <w:t xml:space="preserve"> and the crossover design of </w:t>
      </w:r>
      <w:r w:rsidR="00B85C75" w:rsidRPr="00E3331A">
        <w:rPr>
          <w:noProof/>
        </w:rPr>
        <w:t>Hughes et al. (2001)</w:t>
      </w:r>
      <w:r w:rsidR="007376EE" w:rsidRPr="00E3331A">
        <w:t>,</w:t>
      </w:r>
      <w:r w:rsidRPr="00E3331A">
        <w:t xml:space="preserve"> longer term complications of steroids such as weight gain and glucose intolerance are unlikely to have been captured. </w:t>
      </w:r>
    </w:p>
    <w:p w:rsidR="008475E5" w:rsidRPr="00E3331A" w:rsidRDefault="008475E5" w:rsidP="008475E5">
      <w:r w:rsidRPr="00E3331A">
        <w:t xml:space="preserve">Overall, a substantial proportion (40-67%) of patients receiving IVIg and steroids experienced an adverse event in these trials. </w:t>
      </w:r>
      <w:r w:rsidRPr="00E3331A">
        <w:rPr>
          <w:noProof/>
        </w:rPr>
        <w:t xml:space="preserve">Hughes </w:t>
      </w:r>
      <w:r w:rsidR="00983BA7">
        <w:rPr>
          <w:noProof/>
        </w:rPr>
        <w:t xml:space="preserve">et al. </w:t>
      </w:r>
      <w:r w:rsidRPr="00E3331A">
        <w:rPr>
          <w:noProof/>
        </w:rPr>
        <w:t>(2001)</w:t>
      </w:r>
      <w:r w:rsidRPr="00E3331A">
        <w:t xml:space="preserve"> also reported that urticaria led to the discontinuation of one IVIg course and psychosis </w:t>
      </w:r>
      <w:r w:rsidR="007376EE" w:rsidRPr="00E3331A">
        <w:t xml:space="preserve">prompted </w:t>
      </w:r>
      <w:r w:rsidRPr="00E3331A">
        <w:t xml:space="preserve">the discontinuation of one prednisolone course. </w:t>
      </w:r>
      <w:bookmarkStart w:id="235" w:name="_Hlk9686503"/>
      <w:r w:rsidRPr="00E3331A">
        <w:rPr>
          <w:noProof/>
        </w:rPr>
        <w:t xml:space="preserve">Nobile-Orazio </w:t>
      </w:r>
      <w:r w:rsidR="00983BA7">
        <w:rPr>
          <w:noProof/>
        </w:rPr>
        <w:t xml:space="preserve">et al. </w:t>
      </w:r>
      <w:r w:rsidRPr="00E3331A">
        <w:rPr>
          <w:noProof/>
        </w:rPr>
        <w:t xml:space="preserve">(2012) </w:t>
      </w:r>
      <w:bookmarkEnd w:id="235"/>
      <w:r w:rsidRPr="00E3331A">
        <w:t xml:space="preserve">reported </w:t>
      </w:r>
      <w:r w:rsidR="007376EE" w:rsidRPr="00E3331A">
        <w:t xml:space="preserve">that </w:t>
      </w:r>
      <w:r w:rsidRPr="00E3331A">
        <w:t xml:space="preserve">one patient in the methylprednisolone group withdrew due to gastritis. Overall, </w:t>
      </w:r>
      <w:r w:rsidR="00B85C75" w:rsidRPr="00E3331A">
        <w:rPr>
          <w:noProof/>
        </w:rPr>
        <w:t>Nobile-Orazio et al. (2012b)</w:t>
      </w:r>
      <w:r w:rsidRPr="00E3331A">
        <w:t xml:space="preserve"> reported that the proportion of patients experiencing adverse events did not differ significantly between the two arms.</w:t>
      </w:r>
    </w:p>
    <w:p w:rsidR="008475E5" w:rsidRPr="00E3331A" w:rsidRDefault="008475E5" w:rsidP="008475E5">
      <w:r w:rsidRPr="00E3331A">
        <w:t>In terms of serious adverse events</w:t>
      </w:r>
      <w:r w:rsidR="007376EE" w:rsidRPr="00E3331A">
        <w:t>,</w:t>
      </w:r>
      <w:r w:rsidRPr="00E3331A">
        <w:t xml:space="preserve"> </w:t>
      </w:r>
      <w:r w:rsidR="00B85C75" w:rsidRPr="00E3331A">
        <w:rPr>
          <w:noProof/>
        </w:rPr>
        <w:t>Hughes et al. (2001)</w:t>
      </w:r>
      <w:r w:rsidRPr="00E3331A">
        <w:t xml:space="preserve"> reported one case of previously unrecognised cancer in a patient receiving prednisolone, one case of psychosis in a patient receiving prednisolone</w:t>
      </w:r>
      <w:r w:rsidR="00BA3512" w:rsidRPr="00E3331A">
        <w:t>,</w:t>
      </w:r>
      <w:r w:rsidRPr="00E3331A">
        <w:t xml:space="preserve"> and one case of heart failure requiring hospitalisation four weeks after the first IVIg treatment. </w:t>
      </w:r>
      <w:r w:rsidRPr="00E3331A">
        <w:rPr>
          <w:noProof/>
        </w:rPr>
        <w:t xml:space="preserve">Nobile-Orazio </w:t>
      </w:r>
      <w:r w:rsidR="00983BA7">
        <w:rPr>
          <w:noProof/>
        </w:rPr>
        <w:t xml:space="preserve">et al. </w:t>
      </w:r>
      <w:r w:rsidRPr="00E3331A">
        <w:rPr>
          <w:noProof/>
        </w:rPr>
        <w:t>(2012)</w:t>
      </w:r>
      <w:r w:rsidRPr="00E3331A">
        <w:t xml:space="preserve"> reported two deaths in patients treated with IVIg, one due to cardiac arrest one month after the last course of IVIg (patient had hypertension, cardiovascular risk factors and was on oral anticoagulants), and a second in a patient who </w:t>
      </w:r>
      <w:r w:rsidR="00BA3512" w:rsidRPr="00E3331A">
        <w:t xml:space="preserve">had </w:t>
      </w:r>
      <w:r w:rsidRPr="00E3331A">
        <w:t xml:space="preserve">received six courses of IVIg after </w:t>
      </w:r>
      <w:r w:rsidR="00BA3512" w:rsidRPr="00E3331A">
        <w:t>deteriorating</w:t>
      </w:r>
      <w:r w:rsidRPr="00E3331A">
        <w:t xml:space="preserve"> after one course of </w:t>
      </w:r>
      <w:r w:rsidR="00BA3512" w:rsidRPr="00E3331A">
        <w:t xml:space="preserve">IV </w:t>
      </w:r>
      <w:r w:rsidRPr="00E3331A">
        <w:t>methylprednisolone</w:t>
      </w:r>
      <w:r w:rsidR="00BA3512" w:rsidRPr="00E3331A">
        <w:t>.</w:t>
      </w:r>
      <w:r w:rsidRPr="00E3331A">
        <w:t xml:space="preserve"> </w:t>
      </w:r>
      <w:r w:rsidR="00BA3512" w:rsidRPr="00E3331A">
        <w:t>T</w:t>
      </w:r>
      <w:r w:rsidRPr="00E3331A">
        <w:t xml:space="preserve">hree months after the last IVIg course </w:t>
      </w:r>
      <w:r w:rsidR="00036DA3" w:rsidRPr="00E3331A">
        <w:t xml:space="preserve">this patient </w:t>
      </w:r>
      <w:r w:rsidRPr="00E3331A">
        <w:t xml:space="preserve">died of respiratory failure. </w:t>
      </w:r>
      <w:r w:rsidRPr="00E3331A">
        <w:rPr>
          <w:noProof/>
        </w:rPr>
        <w:t xml:space="preserve">Nobile-Orazio </w:t>
      </w:r>
      <w:r w:rsidR="00983BA7">
        <w:rPr>
          <w:noProof/>
        </w:rPr>
        <w:t xml:space="preserve">et al. </w:t>
      </w:r>
      <w:r w:rsidRPr="00E3331A">
        <w:rPr>
          <w:noProof/>
        </w:rPr>
        <w:t xml:space="preserve">(2012) </w:t>
      </w:r>
      <w:r w:rsidRPr="00E3331A">
        <w:t>also report</w:t>
      </w:r>
      <w:r w:rsidR="00036DA3" w:rsidRPr="00E3331A">
        <w:t>ed</w:t>
      </w:r>
      <w:r w:rsidRPr="00E3331A">
        <w:t xml:space="preserve"> one case of gastritis resulting in treatment discontinuation in a patient receiving IV methylprednisolone</w:t>
      </w:r>
      <w:r w:rsidR="00F378DF" w:rsidRPr="00E3331A">
        <w:t>.</w:t>
      </w:r>
    </w:p>
    <w:p w:rsidR="00F378DF" w:rsidRPr="00E3331A" w:rsidRDefault="00F378DF" w:rsidP="00F378DF">
      <w:r w:rsidRPr="00E3331A">
        <w:t xml:space="preserve">The safety profile of steroids </w:t>
      </w:r>
      <w:r w:rsidR="001B7947" w:rsidRPr="00E3331A">
        <w:t>is</w:t>
      </w:r>
      <w:r w:rsidRPr="00E3331A">
        <w:t xml:space="preserve"> understood to be related both to dose and duration of treatment</w:t>
      </w:r>
      <w:r w:rsidR="001B7947" w:rsidRPr="00E3331A">
        <w:t>,</w:t>
      </w:r>
      <w:r w:rsidRPr="00E3331A">
        <w:t xml:space="preserve"> with higher-doses and extended treatments carrying a higher risk for serious adverse events such as cardiovascular and metabolic adverse events</w:t>
      </w:r>
      <w:r w:rsidR="001B7947" w:rsidRPr="00E3331A">
        <w:t xml:space="preserve"> </w:t>
      </w:r>
      <w:r w:rsidR="00B85C75">
        <w:rPr>
          <w:noProof/>
        </w:rPr>
        <w:t>(Rice et al. 2017)</w:t>
      </w:r>
      <w:r w:rsidRPr="00E3331A">
        <w:t xml:space="preserve">. </w:t>
      </w:r>
      <w:r w:rsidR="00B85C75" w:rsidRPr="00E3331A">
        <w:rPr>
          <w:noProof/>
        </w:rPr>
        <w:t>Nobile-Orazio et al. (2012b)</w:t>
      </w:r>
      <w:r w:rsidRPr="00E3331A">
        <w:t xml:space="preserve"> followed patients for 52 weeks</w:t>
      </w:r>
      <w:r w:rsidR="001B7947" w:rsidRPr="00E3331A">
        <w:t>.</w:t>
      </w:r>
      <w:r w:rsidRPr="00E3331A">
        <w:t xml:space="preserve"> </w:t>
      </w:r>
      <w:r w:rsidR="001B7947" w:rsidRPr="00E3331A">
        <w:t>A</w:t>
      </w:r>
      <w:r w:rsidRPr="00E3331A">
        <w:t xml:space="preserve"> subsequent publication with 4.5 years of follow-up identified no new cases of diabetes or glaucoma or other serious adverse events not identified in the 52</w:t>
      </w:r>
      <w:r w:rsidR="002B010C" w:rsidRPr="00E3331A">
        <w:t>-</w:t>
      </w:r>
      <w:r w:rsidRPr="00E3331A">
        <w:t xml:space="preserve">week analysis. However, clinical feedback indicates </w:t>
      </w:r>
      <w:r w:rsidR="001B7947" w:rsidRPr="00E3331A">
        <w:t xml:space="preserve">that </w:t>
      </w:r>
      <w:r w:rsidRPr="00E3331A">
        <w:t xml:space="preserve">this may not represent the true harms profile of steroids. </w:t>
      </w:r>
    </w:p>
    <w:p w:rsidR="00F378DF" w:rsidRPr="00E3331A" w:rsidRDefault="00F378DF" w:rsidP="008475E5">
      <w:r w:rsidRPr="00E3331A">
        <w:t>Studies published from large administrative data sets have identified substantially increased cardiovascular risk in patients taking corticosteroids</w:t>
      </w:r>
      <w:r w:rsidR="002B010C" w:rsidRPr="00E3331A">
        <w:t>.</w:t>
      </w:r>
      <w:r w:rsidRPr="00E3331A">
        <w:t xml:space="preserve"> </w:t>
      </w:r>
      <w:r w:rsidR="002B010C" w:rsidRPr="00E3331A">
        <w:t>H</w:t>
      </w:r>
      <w:r w:rsidRPr="00E3331A">
        <w:t>owever, findings are mixed in disease</w:t>
      </w:r>
      <w:r w:rsidR="002B010C" w:rsidRPr="00E3331A">
        <w:t>-</w:t>
      </w:r>
      <w:r w:rsidRPr="00E3331A">
        <w:t>specific cohorts</w:t>
      </w:r>
      <w:r w:rsidR="001239E8">
        <w:t xml:space="preserve"> </w:t>
      </w:r>
      <w:r w:rsidR="00B85C75">
        <w:rPr>
          <w:noProof/>
        </w:rPr>
        <w:t>(Bruce 2005; Johannesdottir et al. 2013; Kremers et al. 2007; Souverein et al. 2004)</w:t>
      </w:r>
      <w:r w:rsidRPr="00E3331A">
        <w:t>. Most published studies on steroid safety are retrospective and observational. Whil</w:t>
      </w:r>
      <w:r w:rsidR="00417823">
        <w:t>e</w:t>
      </w:r>
      <w:r w:rsidRPr="00E3331A">
        <w:t xml:space="preserve"> it is widely acknowledged that chronic steroid treatment is associate</w:t>
      </w:r>
      <w:r w:rsidR="00BB12E6" w:rsidRPr="00E3331A">
        <w:t>d</w:t>
      </w:r>
      <w:r w:rsidRPr="00E3331A">
        <w:t xml:space="preserve"> with serious side effects</w:t>
      </w:r>
      <w:r w:rsidR="00BB12E6" w:rsidRPr="00E3331A">
        <w:t>,</w:t>
      </w:r>
      <w:r w:rsidRPr="00E3331A">
        <w:t xml:space="preserve"> robust </w:t>
      </w:r>
      <w:r w:rsidR="00BB12E6" w:rsidRPr="00E3331A">
        <w:t xml:space="preserve">data on the </w:t>
      </w:r>
      <w:r w:rsidRPr="00E3331A">
        <w:t>rates of specific events stratified by corticosteroid dose and duration of exposure are still uncertain</w:t>
      </w:r>
      <w:r w:rsidR="0050520B" w:rsidRPr="00E3331A">
        <w:t xml:space="preserve"> </w:t>
      </w:r>
      <w:r w:rsidR="00B85C75">
        <w:rPr>
          <w:noProof/>
        </w:rPr>
        <w:t>(Rice et al. 2017)</w:t>
      </w:r>
      <w:r w:rsidRPr="00E3331A">
        <w:t xml:space="preserve">. Prospective trials are necessary to explore thresholds for certain side effects and </w:t>
      </w:r>
      <w:r w:rsidR="0050520B" w:rsidRPr="00E3331A">
        <w:t xml:space="preserve">to </w:t>
      </w:r>
      <w:r w:rsidRPr="00E3331A">
        <w:t xml:space="preserve">investigate independent effects attributable to steroids versus underlying disease </w:t>
      </w:r>
      <w:r w:rsidR="00B85C75">
        <w:rPr>
          <w:noProof/>
        </w:rPr>
        <w:t>(Oray et al. 2016)</w:t>
      </w:r>
      <w:r w:rsidRPr="00E3331A">
        <w:t>. Broadly speaking</w:t>
      </w:r>
      <w:r w:rsidR="0050520B" w:rsidRPr="00E3331A">
        <w:t>,</w:t>
      </w:r>
      <w:r w:rsidRPr="00E3331A">
        <w:t xml:space="preserve"> it appears that long</w:t>
      </w:r>
      <w:r w:rsidR="0050520B" w:rsidRPr="00E3331A">
        <w:t>-</w:t>
      </w:r>
      <w:r w:rsidRPr="00E3331A">
        <w:t xml:space="preserve">term harms with steroids are the most well established in patients taking more than 7.5 mg prednisone or equivalent per day. </w:t>
      </w:r>
      <w:r w:rsidR="0050520B" w:rsidRPr="00E3331A">
        <w:t>RCTs</w:t>
      </w:r>
      <w:r w:rsidRPr="00E3331A">
        <w:t xml:space="preserve"> of steroid</w:t>
      </w:r>
      <w:r w:rsidR="00B82306" w:rsidRPr="00E3331A">
        <w:t xml:space="preserve"> use</w:t>
      </w:r>
      <w:r w:rsidRPr="00E3331A">
        <w:t xml:space="preserve"> in CIDP patients typically start</w:t>
      </w:r>
      <w:r w:rsidR="00B82306" w:rsidRPr="00E3331A">
        <w:t xml:space="preserve"> </w:t>
      </w:r>
      <w:r w:rsidR="00163C39" w:rsidRPr="00E3331A">
        <w:t>patients</w:t>
      </w:r>
      <w:r w:rsidRPr="00E3331A">
        <w:t xml:space="preserve"> on a high dose (oral or IV when considering evidence from Van Shaik</w:t>
      </w:r>
      <w:r w:rsidR="00C54848" w:rsidRPr="00E3331A">
        <w:t xml:space="preserve"> et al. (2010)</w:t>
      </w:r>
      <w:r w:rsidR="00163C39" w:rsidRPr="00E3331A">
        <w:t>)</w:t>
      </w:r>
      <w:r w:rsidRPr="00E3331A">
        <w:t xml:space="preserve"> and then taper to 0. Therefore, the success of tapering in clinical practice may affect the side effect profile of this treatment option if patients require chronic steroid </w:t>
      </w:r>
      <w:r w:rsidRPr="00E3331A">
        <w:lastRenderedPageBreak/>
        <w:t>treatment. It is not clear from the peer</w:t>
      </w:r>
      <w:r w:rsidR="00163C39" w:rsidRPr="00E3331A">
        <w:t>-</w:t>
      </w:r>
      <w:r w:rsidRPr="00E3331A">
        <w:t xml:space="preserve">reviewed literature whether chronic steroid treatment is prevalent in this population. </w:t>
      </w:r>
    </w:p>
    <w:p w:rsidR="008475E5" w:rsidRPr="00E3331A" w:rsidRDefault="008475E5" w:rsidP="008475E5">
      <w:pPr>
        <w:pStyle w:val="Caption"/>
        <w:jc w:val="both"/>
        <w:rPr>
          <w:rFonts w:cs="Arial"/>
          <w:snapToGrid w:val="0"/>
          <w:szCs w:val="16"/>
          <w:lang w:eastAsia="en-US"/>
        </w:rPr>
      </w:pPr>
      <w:bookmarkStart w:id="236" w:name="_Toc9796898"/>
      <w:bookmarkStart w:id="237" w:name="_Toc24103331"/>
      <w:r w:rsidRPr="00E3331A">
        <w:t xml:space="preserve">Table </w:t>
      </w:r>
      <w:r w:rsidR="006F35B9">
        <w:rPr>
          <w:noProof/>
        </w:rPr>
        <w:t>25</w:t>
      </w:r>
      <w:r w:rsidRPr="00E3331A">
        <w:tab/>
      </w:r>
      <w:r w:rsidRPr="00E3331A">
        <w:rPr>
          <w:rFonts w:cs="Arial"/>
          <w:snapToGrid w:val="0"/>
          <w:szCs w:val="16"/>
          <w:lang w:eastAsia="en-US"/>
        </w:rPr>
        <w:t xml:space="preserve">Any adverse or serious adverse event reported in the randomised controlled trials (IVIg vs </w:t>
      </w:r>
      <w:r w:rsidR="00F326FA" w:rsidRPr="00E3331A">
        <w:rPr>
          <w:rFonts w:cs="Arial"/>
          <w:snapToGrid w:val="0"/>
          <w:szCs w:val="16"/>
          <w:lang w:eastAsia="en-US"/>
        </w:rPr>
        <w:t>s</w:t>
      </w:r>
      <w:r w:rsidRPr="00E3331A">
        <w:rPr>
          <w:rFonts w:cs="Arial"/>
          <w:snapToGrid w:val="0"/>
          <w:szCs w:val="16"/>
          <w:lang w:eastAsia="en-US"/>
        </w:rPr>
        <w:t>teroids)</w:t>
      </w:r>
      <w:bookmarkEnd w:id="236"/>
      <w:bookmarkEnd w:id="2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81"/>
        <w:gridCol w:w="1598"/>
        <w:gridCol w:w="1879"/>
        <w:gridCol w:w="1879"/>
        <w:gridCol w:w="1879"/>
      </w:tblGrid>
      <w:tr w:rsidR="008475E5" w:rsidRPr="00E3331A" w:rsidTr="00CD0563">
        <w:tc>
          <w:tcPr>
            <w:tcW w:w="988" w:type="pct"/>
            <w:shd w:val="clear" w:color="auto" w:fill="auto"/>
          </w:tcPr>
          <w:p w:rsidR="008475E5" w:rsidRPr="00E3331A" w:rsidRDefault="008475E5" w:rsidP="00CD0563">
            <w:pPr>
              <w:pStyle w:val="TableHeading"/>
              <w:rPr>
                <w:snapToGrid w:val="0"/>
                <w:lang w:eastAsia="en-US"/>
              </w:rPr>
            </w:pPr>
            <w:r w:rsidRPr="00E3331A">
              <w:rPr>
                <w:snapToGrid w:val="0"/>
                <w:lang w:eastAsia="en-US"/>
              </w:rPr>
              <w:t>Study ID</w:t>
            </w:r>
          </w:p>
        </w:tc>
        <w:tc>
          <w:tcPr>
            <w:tcW w:w="886" w:type="pct"/>
          </w:tcPr>
          <w:p w:rsidR="008475E5" w:rsidRPr="00E3331A" w:rsidRDefault="008475E5" w:rsidP="00CD0563">
            <w:pPr>
              <w:pStyle w:val="TableHeading"/>
              <w:ind w:left="16" w:right="117"/>
              <w:jc w:val="center"/>
              <w:rPr>
                <w:snapToGrid w:val="0"/>
                <w:lang w:eastAsia="en-US"/>
              </w:rPr>
            </w:pPr>
            <w:r w:rsidRPr="00E3331A">
              <w:rPr>
                <w:snapToGrid w:val="0"/>
                <w:lang w:eastAsia="en-US"/>
              </w:rPr>
              <w:t>Completeness of safety reporting</w:t>
            </w:r>
          </w:p>
        </w:tc>
        <w:tc>
          <w:tcPr>
            <w:tcW w:w="1042" w:type="pct"/>
            <w:shd w:val="clear" w:color="auto" w:fill="auto"/>
          </w:tcPr>
          <w:p w:rsidR="008475E5" w:rsidRPr="00E3331A" w:rsidRDefault="008475E5" w:rsidP="00CD0563">
            <w:pPr>
              <w:pStyle w:val="TableHeading"/>
              <w:ind w:left="111" w:right="117"/>
              <w:jc w:val="center"/>
              <w:rPr>
                <w:snapToGrid w:val="0"/>
                <w:lang w:eastAsia="en-US"/>
              </w:rPr>
            </w:pPr>
            <w:r w:rsidRPr="00E3331A">
              <w:rPr>
                <w:snapToGrid w:val="0"/>
                <w:lang w:eastAsia="en-US"/>
              </w:rPr>
              <w:t>Comparison</w:t>
            </w:r>
          </w:p>
          <w:p w:rsidR="008475E5" w:rsidRPr="00E3331A" w:rsidRDefault="008475E5" w:rsidP="00CD0563">
            <w:pPr>
              <w:pStyle w:val="TableHeading"/>
              <w:ind w:left="111" w:right="117"/>
              <w:jc w:val="center"/>
              <w:rPr>
                <w:snapToGrid w:val="0"/>
                <w:lang w:eastAsia="en-US"/>
              </w:rPr>
            </w:pPr>
          </w:p>
        </w:tc>
        <w:tc>
          <w:tcPr>
            <w:tcW w:w="1042" w:type="pct"/>
            <w:shd w:val="clear" w:color="auto" w:fill="auto"/>
          </w:tcPr>
          <w:p w:rsidR="008475E5" w:rsidRPr="00E3331A" w:rsidRDefault="008475E5" w:rsidP="00CD0563">
            <w:pPr>
              <w:pStyle w:val="TableHeading"/>
              <w:ind w:left="111" w:right="117"/>
              <w:jc w:val="center"/>
              <w:rPr>
                <w:snapToGrid w:val="0"/>
                <w:lang w:eastAsia="en-US"/>
              </w:rPr>
            </w:pPr>
            <w:r w:rsidRPr="00E3331A">
              <w:rPr>
                <w:snapToGrid w:val="0"/>
                <w:lang w:eastAsia="en-US"/>
              </w:rPr>
              <w:t>IVIg</w:t>
            </w:r>
          </w:p>
          <w:p w:rsidR="008475E5" w:rsidRPr="00E3331A" w:rsidRDefault="008475E5" w:rsidP="00CD0563">
            <w:pPr>
              <w:pStyle w:val="TableHeading"/>
              <w:ind w:left="111" w:right="117"/>
              <w:jc w:val="center"/>
              <w:rPr>
                <w:snapToGrid w:val="0"/>
                <w:lang w:eastAsia="en-US"/>
              </w:rPr>
            </w:pPr>
            <w:r w:rsidRPr="00E3331A">
              <w:rPr>
                <w:snapToGrid w:val="0"/>
                <w:lang w:eastAsia="en-US"/>
              </w:rPr>
              <w:t>n/N (%)</w:t>
            </w:r>
          </w:p>
          <w:p w:rsidR="008475E5" w:rsidRPr="00E3331A" w:rsidRDefault="008475E5" w:rsidP="00CD0563">
            <w:pPr>
              <w:pStyle w:val="TableHeading"/>
              <w:ind w:left="111" w:right="117"/>
              <w:jc w:val="center"/>
              <w:rPr>
                <w:snapToGrid w:val="0"/>
                <w:lang w:eastAsia="en-US"/>
              </w:rPr>
            </w:pPr>
            <w:r w:rsidRPr="00E3331A">
              <w:rPr>
                <w:snapToGrid w:val="0"/>
                <w:lang w:eastAsia="en-US"/>
              </w:rPr>
              <w:t>Any AE</w:t>
            </w:r>
          </w:p>
          <w:p w:rsidR="008475E5" w:rsidRPr="00E3331A" w:rsidRDefault="008475E5" w:rsidP="00CD0563">
            <w:pPr>
              <w:pStyle w:val="TableHeading"/>
              <w:ind w:left="111" w:right="117"/>
              <w:jc w:val="center"/>
              <w:rPr>
                <w:snapToGrid w:val="0"/>
                <w:lang w:eastAsia="en-US"/>
              </w:rPr>
            </w:pPr>
            <w:r w:rsidRPr="00E3331A">
              <w:rPr>
                <w:snapToGrid w:val="0"/>
                <w:lang w:eastAsia="en-US"/>
              </w:rPr>
              <w:t>Serious AE</w:t>
            </w:r>
          </w:p>
        </w:tc>
        <w:tc>
          <w:tcPr>
            <w:tcW w:w="1042" w:type="pct"/>
            <w:shd w:val="clear" w:color="auto" w:fill="auto"/>
          </w:tcPr>
          <w:p w:rsidR="008475E5" w:rsidRPr="00E3331A" w:rsidRDefault="008475E5" w:rsidP="00CD0563">
            <w:pPr>
              <w:pStyle w:val="TableHeading"/>
              <w:ind w:left="111" w:right="117"/>
              <w:jc w:val="center"/>
              <w:rPr>
                <w:snapToGrid w:val="0"/>
                <w:lang w:eastAsia="en-US"/>
              </w:rPr>
            </w:pPr>
            <w:r w:rsidRPr="00E3331A">
              <w:rPr>
                <w:snapToGrid w:val="0"/>
                <w:lang w:eastAsia="en-US"/>
              </w:rPr>
              <w:t>Steroids</w:t>
            </w:r>
          </w:p>
          <w:p w:rsidR="008475E5" w:rsidRPr="00E3331A" w:rsidRDefault="008475E5" w:rsidP="00CD0563">
            <w:pPr>
              <w:pStyle w:val="TableHeading"/>
              <w:ind w:left="111" w:right="117"/>
              <w:jc w:val="center"/>
              <w:rPr>
                <w:snapToGrid w:val="0"/>
                <w:lang w:eastAsia="en-US"/>
              </w:rPr>
            </w:pPr>
            <w:r w:rsidRPr="00E3331A">
              <w:rPr>
                <w:snapToGrid w:val="0"/>
                <w:lang w:eastAsia="en-US"/>
              </w:rPr>
              <w:t>n/N (%)</w:t>
            </w:r>
          </w:p>
          <w:p w:rsidR="008475E5" w:rsidRPr="00E3331A" w:rsidRDefault="008475E5" w:rsidP="00CD0563">
            <w:pPr>
              <w:pStyle w:val="TableHeading"/>
              <w:ind w:left="111" w:right="117"/>
              <w:jc w:val="center"/>
              <w:rPr>
                <w:snapToGrid w:val="0"/>
                <w:lang w:eastAsia="en-US"/>
              </w:rPr>
            </w:pPr>
            <w:r w:rsidRPr="00E3331A">
              <w:rPr>
                <w:snapToGrid w:val="0"/>
                <w:lang w:eastAsia="en-US"/>
              </w:rPr>
              <w:t>Any AE</w:t>
            </w:r>
          </w:p>
          <w:p w:rsidR="008475E5" w:rsidRPr="00E3331A" w:rsidRDefault="008475E5" w:rsidP="00CD0563">
            <w:pPr>
              <w:pStyle w:val="TableHeading"/>
              <w:ind w:left="111" w:right="117"/>
              <w:jc w:val="center"/>
              <w:rPr>
                <w:snapToGrid w:val="0"/>
                <w:lang w:eastAsia="en-US"/>
              </w:rPr>
            </w:pPr>
            <w:r w:rsidRPr="00E3331A">
              <w:rPr>
                <w:snapToGrid w:val="0"/>
                <w:lang w:eastAsia="en-US"/>
              </w:rPr>
              <w:t>Serious AE</w:t>
            </w:r>
          </w:p>
          <w:p w:rsidR="008475E5" w:rsidRPr="00E3331A" w:rsidRDefault="008475E5" w:rsidP="00CD0563">
            <w:pPr>
              <w:pStyle w:val="TableHeading"/>
              <w:ind w:right="117"/>
              <w:jc w:val="center"/>
              <w:rPr>
                <w:snapToGrid w:val="0"/>
                <w:lang w:eastAsia="en-US"/>
              </w:rPr>
            </w:pPr>
          </w:p>
        </w:tc>
      </w:tr>
      <w:tr w:rsidR="008475E5" w:rsidRPr="00E3331A" w:rsidTr="00CD0563">
        <w:tc>
          <w:tcPr>
            <w:tcW w:w="988" w:type="pct"/>
            <w:shd w:val="clear" w:color="auto" w:fill="auto"/>
            <w:vAlign w:val="center"/>
          </w:tcPr>
          <w:p w:rsidR="008475E5" w:rsidRPr="00E3331A" w:rsidRDefault="008475E5" w:rsidP="00CD0563">
            <w:pPr>
              <w:pStyle w:val="TableText0"/>
              <w:rPr>
                <w:snapToGrid w:val="0"/>
              </w:rPr>
            </w:pPr>
            <w:r w:rsidRPr="00E3331A">
              <w:rPr>
                <w:snapToGrid w:val="0"/>
              </w:rPr>
              <w:t>Hughes 2001</w:t>
            </w:r>
          </w:p>
        </w:tc>
        <w:tc>
          <w:tcPr>
            <w:tcW w:w="886" w:type="pct"/>
          </w:tcPr>
          <w:p w:rsidR="008475E5" w:rsidRPr="00E3331A" w:rsidRDefault="008475E5" w:rsidP="00CD0563">
            <w:pPr>
              <w:pStyle w:val="TableText0"/>
              <w:ind w:left="16" w:right="117"/>
              <w:jc w:val="center"/>
              <w:rPr>
                <w:snapToGrid w:val="0"/>
              </w:rPr>
            </w:pPr>
            <w:r w:rsidRPr="00E3331A">
              <w:rPr>
                <w:snapToGrid w:val="0"/>
              </w:rPr>
              <w:t xml:space="preserve">Moderate </w:t>
            </w:r>
          </w:p>
          <w:p w:rsidR="008475E5" w:rsidRPr="00E3331A" w:rsidRDefault="008475E5" w:rsidP="00CD0563">
            <w:pPr>
              <w:pStyle w:val="TableText0"/>
              <w:ind w:left="16" w:right="117"/>
              <w:jc w:val="center"/>
              <w:rPr>
                <w:snapToGrid w:val="0"/>
              </w:rPr>
            </w:pPr>
            <w:r w:rsidRPr="00E3331A">
              <w:rPr>
                <w:snapToGrid w:val="0"/>
              </w:rPr>
              <w:t>(&lt; 8 weeks)</w:t>
            </w:r>
          </w:p>
        </w:tc>
        <w:tc>
          <w:tcPr>
            <w:tcW w:w="1042" w:type="pct"/>
            <w:shd w:val="clear" w:color="auto" w:fill="auto"/>
            <w:vAlign w:val="center"/>
          </w:tcPr>
          <w:p w:rsidR="008475E5" w:rsidRPr="00E3331A" w:rsidRDefault="008475E5" w:rsidP="00CD0563">
            <w:pPr>
              <w:pStyle w:val="TableText0"/>
              <w:ind w:left="111" w:right="117"/>
              <w:jc w:val="center"/>
              <w:rPr>
                <w:snapToGrid w:val="0"/>
              </w:rPr>
            </w:pPr>
            <w:r w:rsidRPr="00E3331A">
              <w:rPr>
                <w:snapToGrid w:val="0"/>
              </w:rPr>
              <w:t>IVIg versus oral steroids</w:t>
            </w:r>
          </w:p>
        </w:tc>
        <w:tc>
          <w:tcPr>
            <w:tcW w:w="1042" w:type="pct"/>
            <w:shd w:val="clear" w:color="auto" w:fill="auto"/>
            <w:vAlign w:val="center"/>
          </w:tcPr>
          <w:p w:rsidR="008475E5" w:rsidRPr="00E3331A" w:rsidRDefault="008475E5" w:rsidP="00CD0563">
            <w:pPr>
              <w:pStyle w:val="TableText0"/>
              <w:ind w:left="77" w:right="117"/>
              <w:jc w:val="center"/>
              <w:rPr>
                <w:snapToGrid w:val="0"/>
                <w:vertAlign w:val="superscript"/>
              </w:rPr>
            </w:pPr>
            <w:r w:rsidRPr="00E3331A">
              <w:rPr>
                <w:snapToGrid w:val="0"/>
              </w:rPr>
              <w:t>18/30 (60%)</w:t>
            </w:r>
            <w:r w:rsidRPr="00E3331A">
              <w:rPr>
                <w:snapToGrid w:val="0"/>
                <w:vertAlign w:val="superscript"/>
              </w:rPr>
              <w:t>a</w:t>
            </w:r>
          </w:p>
          <w:p w:rsidR="008475E5" w:rsidRPr="00E3331A" w:rsidRDefault="008475E5" w:rsidP="00CD0563">
            <w:pPr>
              <w:pStyle w:val="TableText0"/>
              <w:ind w:left="77" w:right="117"/>
              <w:jc w:val="center"/>
              <w:rPr>
                <w:snapToGrid w:val="0"/>
              </w:rPr>
            </w:pPr>
            <w:r w:rsidRPr="00E3331A">
              <w:rPr>
                <w:snapToGrid w:val="0"/>
              </w:rPr>
              <w:t>1</w:t>
            </w:r>
            <w:r w:rsidRPr="00E3331A">
              <w:rPr>
                <w:snapToGrid w:val="0"/>
                <w:vertAlign w:val="superscript"/>
              </w:rPr>
              <w:t>b</w:t>
            </w:r>
            <w:r w:rsidRPr="00E3331A">
              <w:rPr>
                <w:snapToGrid w:val="0"/>
              </w:rPr>
              <w:t>/30</w:t>
            </w:r>
            <w:r w:rsidRPr="00E3331A">
              <w:rPr>
                <w:snapToGrid w:val="0"/>
                <w:vertAlign w:val="superscript"/>
              </w:rPr>
              <w:t xml:space="preserve"> </w:t>
            </w:r>
            <w:r w:rsidRPr="00E3331A">
              <w:rPr>
                <w:snapToGrid w:val="0"/>
              </w:rPr>
              <w:t>(3%)</w:t>
            </w:r>
          </w:p>
        </w:tc>
        <w:tc>
          <w:tcPr>
            <w:tcW w:w="1042" w:type="pct"/>
            <w:shd w:val="clear" w:color="auto" w:fill="auto"/>
            <w:vAlign w:val="center"/>
          </w:tcPr>
          <w:p w:rsidR="008475E5" w:rsidRPr="00E3331A" w:rsidRDefault="008475E5" w:rsidP="00CD0563">
            <w:pPr>
              <w:pStyle w:val="TableText0"/>
              <w:ind w:left="41" w:right="117"/>
              <w:jc w:val="center"/>
              <w:rPr>
                <w:snapToGrid w:val="0"/>
                <w:vertAlign w:val="superscript"/>
              </w:rPr>
            </w:pPr>
            <w:r w:rsidRPr="00E3331A">
              <w:rPr>
                <w:snapToGrid w:val="0"/>
              </w:rPr>
              <w:t>11/27 (41%)</w:t>
            </w:r>
            <w:r w:rsidRPr="00E3331A">
              <w:rPr>
                <w:snapToGrid w:val="0"/>
                <w:vertAlign w:val="superscript"/>
              </w:rPr>
              <w:t>a</w:t>
            </w:r>
          </w:p>
          <w:p w:rsidR="008475E5" w:rsidRPr="00E3331A" w:rsidRDefault="008475E5" w:rsidP="00CD0563">
            <w:pPr>
              <w:pStyle w:val="TableText0"/>
              <w:ind w:left="41" w:right="117"/>
              <w:jc w:val="center"/>
              <w:rPr>
                <w:snapToGrid w:val="0"/>
              </w:rPr>
            </w:pPr>
            <w:r w:rsidRPr="00E3331A">
              <w:rPr>
                <w:snapToGrid w:val="0"/>
              </w:rPr>
              <w:t>1/27</w:t>
            </w:r>
            <w:r w:rsidRPr="00E3331A">
              <w:rPr>
                <w:snapToGrid w:val="0"/>
                <w:vertAlign w:val="superscript"/>
              </w:rPr>
              <w:t xml:space="preserve">a </w:t>
            </w:r>
            <w:r w:rsidRPr="00E3331A">
              <w:rPr>
                <w:snapToGrid w:val="0"/>
              </w:rPr>
              <w:t>(4%)</w:t>
            </w:r>
          </w:p>
        </w:tc>
      </w:tr>
      <w:tr w:rsidR="008475E5" w:rsidRPr="00E3331A" w:rsidTr="00CD0563">
        <w:tc>
          <w:tcPr>
            <w:tcW w:w="988" w:type="pct"/>
            <w:shd w:val="clear" w:color="auto" w:fill="auto"/>
            <w:vAlign w:val="center"/>
          </w:tcPr>
          <w:p w:rsidR="008475E5" w:rsidRPr="00E3331A" w:rsidRDefault="008475E5" w:rsidP="00CD0563">
            <w:pPr>
              <w:pStyle w:val="TableText0"/>
              <w:rPr>
                <w:snapToGrid w:val="0"/>
              </w:rPr>
            </w:pPr>
            <w:r w:rsidRPr="00E3331A">
              <w:rPr>
                <w:snapToGrid w:val="0"/>
              </w:rPr>
              <w:t>Nobile</w:t>
            </w:r>
            <w:r w:rsidR="00D45BCF" w:rsidRPr="00E3331A">
              <w:rPr>
                <w:snapToGrid w:val="0"/>
              </w:rPr>
              <w:t>-</w:t>
            </w:r>
            <w:r w:rsidRPr="00E3331A">
              <w:rPr>
                <w:snapToGrid w:val="0"/>
              </w:rPr>
              <w:t>Orazio 2012</w:t>
            </w:r>
          </w:p>
        </w:tc>
        <w:tc>
          <w:tcPr>
            <w:tcW w:w="886" w:type="pct"/>
          </w:tcPr>
          <w:p w:rsidR="008475E5" w:rsidRPr="00E3331A" w:rsidRDefault="008475E5" w:rsidP="00CD0563">
            <w:pPr>
              <w:pStyle w:val="TableText0"/>
              <w:ind w:left="16" w:right="117"/>
              <w:jc w:val="center"/>
              <w:rPr>
                <w:snapToGrid w:val="0"/>
              </w:rPr>
            </w:pPr>
            <w:r w:rsidRPr="00E3331A">
              <w:rPr>
                <w:snapToGrid w:val="0"/>
              </w:rPr>
              <w:t xml:space="preserve">High </w:t>
            </w:r>
          </w:p>
          <w:p w:rsidR="008475E5" w:rsidRPr="00E3331A" w:rsidRDefault="008475E5" w:rsidP="00CD0563">
            <w:pPr>
              <w:pStyle w:val="TableText0"/>
              <w:ind w:left="16" w:right="117"/>
              <w:jc w:val="center"/>
              <w:rPr>
                <w:snapToGrid w:val="0"/>
              </w:rPr>
            </w:pPr>
            <w:r w:rsidRPr="00E3331A">
              <w:rPr>
                <w:snapToGrid w:val="0"/>
              </w:rPr>
              <w:t>(52 weeks)</w:t>
            </w:r>
          </w:p>
        </w:tc>
        <w:tc>
          <w:tcPr>
            <w:tcW w:w="1042" w:type="pct"/>
            <w:shd w:val="clear" w:color="auto" w:fill="auto"/>
            <w:vAlign w:val="center"/>
          </w:tcPr>
          <w:p w:rsidR="008475E5" w:rsidRPr="00E3331A" w:rsidRDefault="008475E5" w:rsidP="00CD0563">
            <w:pPr>
              <w:pStyle w:val="TableText0"/>
              <w:ind w:left="111" w:right="117"/>
              <w:jc w:val="center"/>
              <w:rPr>
                <w:snapToGrid w:val="0"/>
              </w:rPr>
            </w:pPr>
            <w:r w:rsidRPr="00E3331A">
              <w:rPr>
                <w:snapToGrid w:val="0"/>
              </w:rPr>
              <w:t>IVIg versus IV steroids</w:t>
            </w:r>
          </w:p>
        </w:tc>
        <w:tc>
          <w:tcPr>
            <w:tcW w:w="1042" w:type="pct"/>
            <w:shd w:val="clear" w:color="auto" w:fill="auto"/>
            <w:vAlign w:val="center"/>
          </w:tcPr>
          <w:p w:rsidR="008475E5" w:rsidRPr="00E3331A" w:rsidRDefault="008475E5" w:rsidP="00CD0563">
            <w:pPr>
              <w:pStyle w:val="TableText0"/>
              <w:ind w:left="77" w:right="117"/>
              <w:jc w:val="center"/>
              <w:rPr>
                <w:snapToGrid w:val="0"/>
              </w:rPr>
            </w:pPr>
            <w:r w:rsidRPr="00E3331A">
              <w:rPr>
                <w:snapToGrid w:val="0"/>
              </w:rPr>
              <w:t>11/24 (46%)</w:t>
            </w:r>
          </w:p>
          <w:p w:rsidR="008475E5" w:rsidRPr="00E3331A" w:rsidRDefault="008475E5" w:rsidP="00CD0563">
            <w:pPr>
              <w:pStyle w:val="TableText0"/>
              <w:ind w:left="77" w:right="117"/>
              <w:jc w:val="center"/>
              <w:rPr>
                <w:snapToGrid w:val="0"/>
              </w:rPr>
            </w:pPr>
            <w:r w:rsidRPr="00E3331A">
              <w:rPr>
                <w:snapToGrid w:val="0"/>
              </w:rPr>
              <w:t>2/24 (8%)</w:t>
            </w:r>
          </w:p>
        </w:tc>
        <w:tc>
          <w:tcPr>
            <w:tcW w:w="1042" w:type="pct"/>
            <w:shd w:val="clear" w:color="auto" w:fill="auto"/>
            <w:vAlign w:val="center"/>
          </w:tcPr>
          <w:p w:rsidR="008475E5" w:rsidRPr="00E3331A" w:rsidRDefault="008475E5" w:rsidP="00CD0563">
            <w:pPr>
              <w:pStyle w:val="TableText0"/>
              <w:ind w:left="41" w:right="117"/>
              <w:jc w:val="center"/>
              <w:rPr>
                <w:snapToGrid w:val="0"/>
              </w:rPr>
            </w:pPr>
            <w:r w:rsidRPr="00E3331A">
              <w:rPr>
                <w:snapToGrid w:val="0"/>
              </w:rPr>
              <w:t>14/21 (66%)</w:t>
            </w:r>
          </w:p>
          <w:p w:rsidR="008475E5" w:rsidRPr="00E3331A" w:rsidRDefault="008475E5" w:rsidP="00CD0563">
            <w:pPr>
              <w:pStyle w:val="TableText0"/>
              <w:ind w:left="41" w:right="117"/>
              <w:jc w:val="center"/>
              <w:rPr>
                <w:snapToGrid w:val="0"/>
              </w:rPr>
            </w:pPr>
            <w:r w:rsidRPr="00E3331A">
              <w:rPr>
                <w:snapToGrid w:val="0"/>
              </w:rPr>
              <w:t>1/21 (5%)</w:t>
            </w:r>
          </w:p>
        </w:tc>
      </w:tr>
    </w:tbl>
    <w:p w:rsidR="001C4E5C" w:rsidRPr="00E3331A" w:rsidRDefault="008475E5" w:rsidP="001D778E">
      <w:pPr>
        <w:pStyle w:val="Tablenotes1"/>
        <w:rPr>
          <w:snapToGrid w:val="0"/>
        </w:rPr>
      </w:pPr>
      <w:r w:rsidRPr="00E3331A">
        <w:rPr>
          <w:snapToGrid w:val="0"/>
          <w:vertAlign w:val="superscript"/>
        </w:rPr>
        <w:t>a</w:t>
      </w:r>
      <w:r w:rsidRPr="00E3331A">
        <w:rPr>
          <w:snapToGrid w:val="0"/>
        </w:rPr>
        <w:t xml:space="preserve"> reported out of courses not patients, however, most patients received only one course of </w:t>
      </w:r>
      <w:r w:rsidR="004B5B83" w:rsidRPr="00E3331A">
        <w:rPr>
          <w:snapToGrid w:val="0"/>
        </w:rPr>
        <w:t>IVIg,</w:t>
      </w:r>
      <w:r w:rsidRPr="00E3331A">
        <w:rPr>
          <w:snapToGrid w:val="0"/>
        </w:rPr>
        <w:t xml:space="preserve"> so this is a reasonable approximation of the number of patients. </w:t>
      </w:r>
    </w:p>
    <w:p w:rsidR="001C4E5C" w:rsidRPr="00E3331A" w:rsidRDefault="001C4E5C" w:rsidP="000C5A22">
      <w:pPr>
        <w:rPr>
          <w:lang w:eastAsia="en-GB"/>
        </w:rPr>
      </w:pPr>
      <w:r w:rsidRPr="00E3331A">
        <w:rPr>
          <w:lang w:eastAsia="en-GB"/>
        </w:rPr>
        <w:t xml:space="preserve">The Reference Group noted that the evidence on the adverse events of steroids in CIDP patients did not wholly capture the safety profile of steroids. Expert advice from the Reference Group is that a publication on the adverse events experienced by patients with giant cell </w:t>
      </w:r>
      <w:r w:rsidR="00AE0320" w:rsidRPr="00AE0320">
        <w:t xml:space="preserve">arteritis </w:t>
      </w:r>
      <w:r w:rsidRPr="00E3331A">
        <w:rPr>
          <w:lang w:eastAsia="en-GB"/>
        </w:rPr>
        <w:t xml:space="preserve">provided a more applicable safety profile of steroids </w:t>
      </w:r>
      <w:r w:rsidR="00B85C75">
        <w:rPr>
          <w:noProof/>
          <w:lang w:eastAsia="en-GB"/>
        </w:rPr>
        <w:t>(Wilson et al. 2017)</w:t>
      </w:r>
      <w:r w:rsidRPr="00E3331A">
        <w:rPr>
          <w:lang w:eastAsia="en-GB"/>
        </w:rPr>
        <w:t xml:space="preserve">. The rationale provided by the Reference Group for citing this paper is that patients with giant cell </w:t>
      </w:r>
      <w:r w:rsidR="00AE0320" w:rsidRPr="00AE0320">
        <w:t xml:space="preserve">arteritis </w:t>
      </w:r>
      <w:r w:rsidRPr="00E3331A">
        <w:rPr>
          <w:lang w:eastAsia="en-GB"/>
        </w:rPr>
        <w:t xml:space="preserve">did not usually have </w:t>
      </w:r>
      <w:r w:rsidR="004B5B83" w:rsidRPr="00E3331A">
        <w:rPr>
          <w:lang w:eastAsia="en-GB"/>
        </w:rPr>
        <w:t>treatment</w:t>
      </w:r>
      <w:r w:rsidRPr="00E3331A">
        <w:rPr>
          <w:lang w:eastAsia="en-GB"/>
        </w:rPr>
        <w:t xml:space="preserve"> options other than steroids during the period that data was collected and that the use of steroids in this population was applicable to CIDP patients in Australia. Wilson et al. (2017) examined the Health Episode Statistics dataset of patient admissions in NHS hospitals in England between 1997 and 2012. A cohort of 5,011 patients with giant cell </w:t>
      </w:r>
      <w:r w:rsidR="00AE0320" w:rsidRPr="00AE0320">
        <w:t xml:space="preserve">arteritis </w:t>
      </w:r>
      <w:r w:rsidRPr="00E3331A">
        <w:rPr>
          <w:lang w:eastAsia="en-GB"/>
        </w:rPr>
        <w:t>who had a recorded prednisolone prescription within six months of diagnosis were identified and matched 1:1 to a randomly selected group of patients. Patient</w:t>
      </w:r>
      <w:r w:rsidR="00CD2BF3" w:rsidRPr="00E3331A">
        <w:rPr>
          <w:lang w:eastAsia="en-GB"/>
        </w:rPr>
        <w:t xml:space="preserve">s </w:t>
      </w:r>
      <w:r w:rsidR="006D1062">
        <w:rPr>
          <w:lang w:eastAsia="en-GB"/>
        </w:rPr>
        <w:t>in</w:t>
      </w:r>
      <w:r w:rsidRPr="00E3331A">
        <w:rPr>
          <w:lang w:eastAsia="en-GB"/>
        </w:rPr>
        <w:t xml:space="preserve"> both cohorts were required to have at least three years medical history. Data from this study is presented in </w:t>
      </w:r>
      <w:r w:rsidR="006F35B9" w:rsidRPr="00E3331A">
        <w:t xml:space="preserve">Table </w:t>
      </w:r>
      <w:r w:rsidR="006F35B9">
        <w:rPr>
          <w:noProof/>
        </w:rPr>
        <w:t>26</w:t>
      </w:r>
      <w:r w:rsidRPr="00E3331A">
        <w:rPr>
          <w:lang w:eastAsia="en-GB"/>
        </w:rPr>
        <w:t>.</w:t>
      </w:r>
    </w:p>
    <w:p w:rsidR="00D612BA" w:rsidRPr="00E3331A" w:rsidRDefault="00D612BA" w:rsidP="000C5A22">
      <w:pPr>
        <w:pStyle w:val="Caption"/>
        <w:rPr>
          <w:lang w:eastAsia="en-GB"/>
        </w:rPr>
      </w:pPr>
      <w:bookmarkStart w:id="238" w:name="_Ref16675797"/>
      <w:bookmarkStart w:id="239" w:name="_Toc24103332"/>
      <w:r w:rsidRPr="00E3331A">
        <w:t xml:space="preserve">Table </w:t>
      </w:r>
      <w:r w:rsidR="006F35B9">
        <w:rPr>
          <w:noProof/>
        </w:rPr>
        <w:t>26</w:t>
      </w:r>
      <w:bookmarkEnd w:id="238"/>
      <w:r w:rsidRPr="00E3331A">
        <w:tab/>
        <w:t xml:space="preserve">Adverse events associated with steroid use in giant cell </w:t>
      </w:r>
      <w:r w:rsidR="00AE0320" w:rsidRPr="00AE0320">
        <w:t xml:space="preserve">arteritis </w:t>
      </w:r>
      <w:r w:rsidRPr="00E3331A">
        <w:t>patients</w:t>
      </w:r>
      <w:bookmarkEnd w:id="239"/>
    </w:p>
    <w:tbl>
      <w:tblPr>
        <w:tblpPr w:leftFromText="180" w:rightFromText="180" w:vertAnchor="text" w:horzAnchor="margin" w:tblpY="10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513"/>
        <w:gridCol w:w="1394"/>
        <w:gridCol w:w="1513"/>
        <w:gridCol w:w="1394"/>
        <w:gridCol w:w="1596"/>
      </w:tblGrid>
      <w:tr w:rsidR="00D612BA" w:rsidRPr="00E3331A" w:rsidTr="00304276">
        <w:tc>
          <w:tcPr>
            <w:tcW w:w="890" w:type="pct"/>
          </w:tcPr>
          <w:p w:rsidR="00EC668D" w:rsidRPr="00E3331A" w:rsidRDefault="00EC668D" w:rsidP="000C5A22">
            <w:pPr>
              <w:pStyle w:val="Tabletext1"/>
              <w:rPr>
                <w:b/>
                <w:lang w:eastAsia="en-GB"/>
              </w:rPr>
            </w:pPr>
          </w:p>
        </w:tc>
        <w:tc>
          <w:tcPr>
            <w:tcW w:w="839" w:type="pct"/>
          </w:tcPr>
          <w:p w:rsidR="00EC668D" w:rsidRPr="00E3331A" w:rsidRDefault="00F12022" w:rsidP="000C5A22">
            <w:pPr>
              <w:pStyle w:val="Tabletext1"/>
              <w:rPr>
                <w:b/>
                <w:lang w:eastAsia="en-GB"/>
              </w:rPr>
            </w:pPr>
            <w:r w:rsidRPr="00E3331A">
              <w:rPr>
                <w:b/>
                <w:lang w:eastAsia="en-GB"/>
              </w:rPr>
              <w:t>GCA cohort</w:t>
            </w:r>
          </w:p>
        </w:tc>
        <w:tc>
          <w:tcPr>
            <w:tcW w:w="773" w:type="pct"/>
          </w:tcPr>
          <w:p w:rsidR="00EC668D" w:rsidRPr="00E3331A" w:rsidRDefault="00EC668D" w:rsidP="000C5A22">
            <w:pPr>
              <w:pStyle w:val="Tabletext1"/>
              <w:rPr>
                <w:b/>
                <w:lang w:eastAsia="en-GB"/>
              </w:rPr>
            </w:pPr>
          </w:p>
        </w:tc>
        <w:tc>
          <w:tcPr>
            <w:tcW w:w="839" w:type="pct"/>
          </w:tcPr>
          <w:p w:rsidR="00EC668D" w:rsidRPr="00E3331A" w:rsidRDefault="00F12022" w:rsidP="000C5A22">
            <w:pPr>
              <w:pStyle w:val="Tabletext1"/>
              <w:rPr>
                <w:b/>
                <w:lang w:eastAsia="en-GB"/>
              </w:rPr>
            </w:pPr>
            <w:r w:rsidRPr="00E3331A">
              <w:rPr>
                <w:b/>
                <w:lang w:eastAsia="en-GB"/>
              </w:rPr>
              <w:t>Non-GCA cohort</w:t>
            </w:r>
          </w:p>
        </w:tc>
        <w:tc>
          <w:tcPr>
            <w:tcW w:w="773" w:type="pct"/>
          </w:tcPr>
          <w:p w:rsidR="00EC668D" w:rsidRPr="00E3331A" w:rsidRDefault="00EC668D" w:rsidP="000C5A22">
            <w:pPr>
              <w:pStyle w:val="Tabletext1"/>
              <w:rPr>
                <w:b/>
                <w:lang w:eastAsia="en-GB"/>
              </w:rPr>
            </w:pPr>
          </w:p>
        </w:tc>
        <w:tc>
          <w:tcPr>
            <w:tcW w:w="885" w:type="pct"/>
          </w:tcPr>
          <w:p w:rsidR="00D612BA" w:rsidRPr="00E3331A" w:rsidRDefault="004B0EE9" w:rsidP="000C5A22">
            <w:pPr>
              <w:pStyle w:val="Tabletext1"/>
              <w:rPr>
                <w:b/>
                <w:lang w:eastAsia="en-GB"/>
              </w:rPr>
            </w:pPr>
            <w:r w:rsidRPr="00E3331A">
              <w:rPr>
                <w:b/>
                <w:lang w:eastAsia="en-GB"/>
              </w:rPr>
              <w:t>Difference</w:t>
            </w:r>
          </w:p>
        </w:tc>
      </w:tr>
      <w:tr w:rsidR="00F12022" w:rsidRPr="00E3331A" w:rsidTr="00304276">
        <w:tc>
          <w:tcPr>
            <w:tcW w:w="890" w:type="pct"/>
          </w:tcPr>
          <w:p w:rsidR="00F12022" w:rsidRPr="00E3331A" w:rsidRDefault="00F12022" w:rsidP="00F12022">
            <w:pPr>
              <w:pStyle w:val="Tabletext1"/>
              <w:rPr>
                <w:b/>
                <w:lang w:eastAsia="en-GB"/>
              </w:rPr>
            </w:pPr>
            <w:r w:rsidRPr="00E3331A">
              <w:rPr>
                <w:b/>
                <w:lang w:eastAsia="en-GB"/>
              </w:rPr>
              <w:t>Adverse event</w:t>
            </w:r>
          </w:p>
        </w:tc>
        <w:tc>
          <w:tcPr>
            <w:tcW w:w="839" w:type="pct"/>
          </w:tcPr>
          <w:p w:rsidR="00F12022" w:rsidRPr="00E3331A" w:rsidRDefault="00F12022" w:rsidP="00F12022">
            <w:pPr>
              <w:pStyle w:val="Tabletext1"/>
              <w:rPr>
                <w:b/>
                <w:lang w:eastAsia="en-GB"/>
              </w:rPr>
            </w:pPr>
            <w:r w:rsidRPr="00E3331A">
              <w:rPr>
                <w:b/>
                <w:lang w:eastAsia="en-GB"/>
              </w:rPr>
              <w:t>Number</w:t>
            </w:r>
          </w:p>
          <w:p w:rsidR="00F12022" w:rsidRPr="00E3331A" w:rsidRDefault="00F12022" w:rsidP="00F12022">
            <w:pPr>
              <w:pStyle w:val="Tabletext1"/>
              <w:rPr>
                <w:b/>
                <w:lang w:eastAsia="en-GB"/>
              </w:rPr>
            </w:pPr>
            <w:r w:rsidRPr="00E3331A">
              <w:rPr>
                <w:b/>
                <w:lang w:eastAsia="en-GB"/>
              </w:rPr>
              <w:t>Patient years</w:t>
            </w:r>
          </w:p>
        </w:tc>
        <w:tc>
          <w:tcPr>
            <w:tcW w:w="773" w:type="pct"/>
          </w:tcPr>
          <w:p w:rsidR="00F12022" w:rsidRPr="00E3331A" w:rsidRDefault="00F12022" w:rsidP="00F12022">
            <w:pPr>
              <w:pStyle w:val="Tabletext1"/>
              <w:rPr>
                <w:b/>
                <w:lang w:eastAsia="en-GB"/>
              </w:rPr>
            </w:pPr>
            <w:r w:rsidRPr="00E3331A">
              <w:rPr>
                <w:b/>
                <w:lang w:eastAsia="en-GB"/>
              </w:rPr>
              <w:t>I</w:t>
            </w:r>
            <w:r w:rsidR="004B0EE9" w:rsidRPr="00E3331A">
              <w:rPr>
                <w:b/>
                <w:lang w:eastAsia="en-GB"/>
              </w:rPr>
              <w:t>/1000 p</w:t>
            </w:r>
            <w:r w:rsidR="004B5B83">
              <w:rPr>
                <w:b/>
                <w:lang w:eastAsia="en-GB"/>
              </w:rPr>
              <w:t>er year</w:t>
            </w:r>
            <w:r w:rsidRPr="00E3331A">
              <w:rPr>
                <w:b/>
                <w:lang w:eastAsia="en-GB"/>
              </w:rPr>
              <w:t xml:space="preserve"> (95% CI)</w:t>
            </w:r>
          </w:p>
          <w:p w:rsidR="00F12022" w:rsidRPr="00E3331A" w:rsidRDefault="00F12022" w:rsidP="00F12022">
            <w:pPr>
              <w:pStyle w:val="Tabletext1"/>
              <w:rPr>
                <w:b/>
                <w:lang w:eastAsia="en-GB"/>
              </w:rPr>
            </w:pPr>
            <w:r w:rsidRPr="00E3331A">
              <w:rPr>
                <w:b/>
                <w:lang w:eastAsia="en-GB"/>
              </w:rPr>
              <w:t xml:space="preserve">Annual </w:t>
            </w:r>
            <w:r w:rsidR="004B5B83" w:rsidRPr="00E3331A">
              <w:rPr>
                <w:b/>
                <w:lang w:eastAsia="en-GB"/>
              </w:rPr>
              <w:t>probability</w:t>
            </w:r>
          </w:p>
        </w:tc>
        <w:tc>
          <w:tcPr>
            <w:tcW w:w="839" w:type="pct"/>
          </w:tcPr>
          <w:p w:rsidR="00F12022" w:rsidRPr="00E3331A" w:rsidRDefault="00F12022" w:rsidP="00F12022">
            <w:pPr>
              <w:pStyle w:val="Tabletext1"/>
              <w:rPr>
                <w:b/>
                <w:lang w:eastAsia="en-GB"/>
              </w:rPr>
            </w:pPr>
            <w:r w:rsidRPr="00E3331A">
              <w:rPr>
                <w:b/>
                <w:lang w:eastAsia="en-GB"/>
              </w:rPr>
              <w:t>Number</w:t>
            </w:r>
          </w:p>
          <w:p w:rsidR="00F12022" w:rsidRPr="00E3331A" w:rsidRDefault="00F12022" w:rsidP="00F12022">
            <w:pPr>
              <w:pStyle w:val="Tabletext1"/>
              <w:rPr>
                <w:b/>
                <w:lang w:eastAsia="en-GB"/>
              </w:rPr>
            </w:pPr>
            <w:r w:rsidRPr="00E3331A">
              <w:rPr>
                <w:b/>
                <w:lang w:eastAsia="en-GB"/>
              </w:rPr>
              <w:t>Patient years</w:t>
            </w:r>
          </w:p>
        </w:tc>
        <w:tc>
          <w:tcPr>
            <w:tcW w:w="773" w:type="pct"/>
          </w:tcPr>
          <w:p w:rsidR="00F12022" w:rsidRPr="00E3331A" w:rsidRDefault="00F12022" w:rsidP="00F12022">
            <w:pPr>
              <w:pStyle w:val="Tabletext1"/>
              <w:rPr>
                <w:b/>
                <w:lang w:eastAsia="en-GB"/>
              </w:rPr>
            </w:pPr>
            <w:r w:rsidRPr="00E3331A">
              <w:rPr>
                <w:b/>
                <w:lang w:eastAsia="en-GB"/>
              </w:rPr>
              <w:t>IR (95% CI)</w:t>
            </w:r>
          </w:p>
          <w:p w:rsidR="00F12022" w:rsidRPr="00E3331A" w:rsidRDefault="00F12022" w:rsidP="00F12022">
            <w:pPr>
              <w:pStyle w:val="Tabletext1"/>
              <w:rPr>
                <w:b/>
                <w:lang w:eastAsia="en-GB"/>
              </w:rPr>
            </w:pPr>
            <w:r w:rsidRPr="00E3331A">
              <w:rPr>
                <w:b/>
                <w:lang w:eastAsia="en-GB"/>
              </w:rPr>
              <w:t xml:space="preserve">Annual </w:t>
            </w:r>
            <w:r w:rsidR="004B5B83" w:rsidRPr="00E3331A">
              <w:rPr>
                <w:b/>
                <w:lang w:eastAsia="en-GB"/>
              </w:rPr>
              <w:t>probability</w:t>
            </w:r>
          </w:p>
        </w:tc>
        <w:tc>
          <w:tcPr>
            <w:tcW w:w="885" w:type="pct"/>
          </w:tcPr>
          <w:p w:rsidR="00F12022" w:rsidRPr="00E3331A" w:rsidRDefault="00F12022" w:rsidP="00F12022">
            <w:pPr>
              <w:pStyle w:val="Tabletext1"/>
              <w:rPr>
                <w:b/>
                <w:lang w:eastAsia="en-GB"/>
              </w:rPr>
            </w:pPr>
            <w:r w:rsidRPr="00E3331A">
              <w:rPr>
                <w:b/>
                <w:lang w:eastAsia="en-GB"/>
              </w:rPr>
              <w:t>IRR</w:t>
            </w:r>
            <w:r w:rsidR="004B0EE9" w:rsidRPr="00E3331A">
              <w:rPr>
                <w:b/>
                <w:lang w:eastAsia="en-GB"/>
              </w:rPr>
              <w:t xml:space="preserve"> (95% CI)</w:t>
            </w:r>
          </w:p>
          <w:p w:rsidR="00F12022" w:rsidRPr="00E3331A" w:rsidRDefault="00F12022" w:rsidP="00F12022">
            <w:pPr>
              <w:pStyle w:val="Tabletext1"/>
              <w:rPr>
                <w:b/>
                <w:lang w:eastAsia="en-GB"/>
              </w:rPr>
            </w:pPr>
            <w:r w:rsidRPr="00E3331A">
              <w:rPr>
                <w:b/>
                <w:lang w:eastAsia="en-GB"/>
              </w:rPr>
              <w:t xml:space="preserve">Net annual </w:t>
            </w:r>
            <w:r w:rsidR="004B5B83" w:rsidRPr="00E3331A">
              <w:rPr>
                <w:b/>
                <w:lang w:eastAsia="en-GB"/>
              </w:rPr>
              <w:t>probability</w:t>
            </w:r>
          </w:p>
        </w:tc>
      </w:tr>
      <w:tr w:rsidR="00F12022" w:rsidRPr="00E3331A" w:rsidTr="00304276">
        <w:tc>
          <w:tcPr>
            <w:tcW w:w="890" w:type="pct"/>
          </w:tcPr>
          <w:p w:rsidR="00F12022" w:rsidRPr="00E3331A" w:rsidRDefault="00F12022" w:rsidP="000C5A22">
            <w:pPr>
              <w:pStyle w:val="Tabletext1"/>
              <w:rPr>
                <w:lang w:eastAsia="en-GB"/>
              </w:rPr>
            </w:pPr>
            <w:r w:rsidRPr="00E3331A">
              <w:rPr>
                <w:lang w:eastAsia="en-GB"/>
              </w:rPr>
              <w:t>Diabetes</w:t>
            </w:r>
          </w:p>
        </w:tc>
        <w:tc>
          <w:tcPr>
            <w:tcW w:w="839" w:type="pct"/>
          </w:tcPr>
          <w:p w:rsidR="00F12022" w:rsidRPr="00E3331A" w:rsidRDefault="004B0EE9" w:rsidP="00F12022">
            <w:pPr>
              <w:pStyle w:val="Tabletext1"/>
              <w:rPr>
                <w:lang w:eastAsia="en-GB"/>
              </w:rPr>
            </w:pPr>
            <w:r w:rsidRPr="00E3331A">
              <w:rPr>
                <w:lang w:eastAsia="en-GB"/>
              </w:rPr>
              <w:t>340</w:t>
            </w:r>
          </w:p>
          <w:p w:rsidR="004B0EE9" w:rsidRPr="00E3331A" w:rsidRDefault="004B0EE9" w:rsidP="000C5A22">
            <w:pPr>
              <w:pStyle w:val="Tabletext1"/>
              <w:rPr>
                <w:lang w:eastAsia="en-GB"/>
              </w:rPr>
            </w:pPr>
            <w:r w:rsidRPr="00E3331A">
              <w:rPr>
                <w:lang w:eastAsia="en-GB"/>
              </w:rPr>
              <w:t>24,017.8</w:t>
            </w:r>
          </w:p>
        </w:tc>
        <w:tc>
          <w:tcPr>
            <w:tcW w:w="773" w:type="pct"/>
          </w:tcPr>
          <w:p w:rsidR="00F12022" w:rsidRPr="00E3331A" w:rsidRDefault="004B0EE9" w:rsidP="00F12022">
            <w:pPr>
              <w:pStyle w:val="Tabletext1"/>
              <w:rPr>
                <w:lang w:eastAsia="en-GB"/>
              </w:rPr>
            </w:pPr>
            <w:r w:rsidRPr="00E3331A">
              <w:rPr>
                <w:lang w:eastAsia="en-GB"/>
              </w:rPr>
              <w:t>14.2 (12.7, 15.7)</w:t>
            </w:r>
          </w:p>
          <w:p w:rsidR="004B0EE9" w:rsidRPr="00E3331A" w:rsidRDefault="004B0EE9" w:rsidP="000C5A22">
            <w:pPr>
              <w:pStyle w:val="Tabletext1"/>
              <w:rPr>
                <w:lang w:eastAsia="en-GB"/>
              </w:rPr>
            </w:pPr>
            <w:r w:rsidRPr="00E3331A">
              <w:rPr>
                <w:lang w:eastAsia="en-GB"/>
              </w:rPr>
              <w:t>1.41%</w:t>
            </w:r>
          </w:p>
        </w:tc>
        <w:tc>
          <w:tcPr>
            <w:tcW w:w="839" w:type="pct"/>
          </w:tcPr>
          <w:p w:rsidR="00F12022" w:rsidRPr="00E3331A" w:rsidRDefault="004B0EE9" w:rsidP="00F12022">
            <w:pPr>
              <w:pStyle w:val="Tabletext1"/>
              <w:rPr>
                <w:lang w:eastAsia="en-GB"/>
              </w:rPr>
            </w:pPr>
            <w:r w:rsidRPr="00E3331A">
              <w:rPr>
                <w:lang w:eastAsia="en-GB"/>
              </w:rPr>
              <w:t>254</w:t>
            </w:r>
          </w:p>
          <w:p w:rsidR="004B0EE9" w:rsidRPr="00E3331A" w:rsidRDefault="004B0EE9" w:rsidP="000C5A22">
            <w:pPr>
              <w:pStyle w:val="Tabletext1"/>
              <w:rPr>
                <w:lang w:eastAsia="en-GB"/>
              </w:rPr>
            </w:pPr>
            <w:r w:rsidRPr="00E3331A">
              <w:rPr>
                <w:lang w:eastAsia="en-GB"/>
              </w:rPr>
              <w:t>25,395.7</w:t>
            </w:r>
          </w:p>
        </w:tc>
        <w:tc>
          <w:tcPr>
            <w:tcW w:w="773" w:type="pct"/>
          </w:tcPr>
          <w:p w:rsidR="00F12022" w:rsidRPr="00E3331A" w:rsidRDefault="004B0EE9" w:rsidP="00F12022">
            <w:pPr>
              <w:pStyle w:val="Tabletext1"/>
              <w:rPr>
                <w:lang w:eastAsia="en-GB"/>
              </w:rPr>
            </w:pPr>
            <w:r w:rsidRPr="00E3331A">
              <w:rPr>
                <w:lang w:eastAsia="en-GB"/>
              </w:rPr>
              <w:t>10.0 (8.9, 1.3)</w:t>
            </w:r>
          </w:p>
          <w:p w:rsidR="004B0EE9" w:rsidRPr="00E3331A" w:rsidRDefault="004B0EE9" w:rsidP="000C5A22">
            <w:pPr>
              <w:pStyle w:val="Tabletext1"/>
              <w:rPr>
                <w:lang w:eastAsia="en-GB"/>
              </w:rPr>
            </w:pPr>
            <w:r w:rsidRPr="00E3331A">
              <w:rPr>
                <w:lang w:eastAsia="en-GB"/>
              </w:rPr>
              <w:t>1.00%</w:t>
            </w:r>
          </w:p>
        </w:tc>
        <w:tc>
          <w:tcPr>
            <w:tcW w:w="885" w:type="pct"/>
          </w:tcPr>
          <w:p w:rsidR="00F12022" w:rsidRPr="00E3331A" w:rsidRDefault="004B0EE9" w:rsidP="00F12022">
            <w:pPr>
              <w:pStyle w:val="Tabletext1"/>
              <w:rPr>
                <w:lang w:eastAsia="en-GB"/>
              </w:rPr>
            </w:pPr>
            <w:r w:rsidRPr="00E3331A">
              <w:rPr>
                <w:lang w:eastAsia="en-GB"/>
              </w:rPr>
              <w:t>1.4 (1.2, 1.7)</w:t>
            </w:r>
          </w:p>
          <w:p w:rsidR="004B0EE9" w:rsidRPr="00E3331A" w:rsidRDefault="004B0EE9" w:rsidP="000C5A22">
            <w:pPr>
              <w:pStyle w:val="Tabletext1"/>
              <w:rPr>
                <w:lang w:eastAsia="en-GB"/>
              </w:rPr>
            </w:pPr>
            <w:r w:rsidRPr="00E3331A">
              <w:rPr>
                <w:lang w:eastAsia="en-GB"/>
              </w:rPr>
              <w:t>0.41%</w:t>
            </w:r>
          </w:p>
        </w:tc>
      </w:tr>
      <w:tr w:rsidR="00F12022" w:rsidRPr="00E3331A" w:rsidTr="00304276">
        <w:tc>
          <w:tcPr>
            <w:tcW w:w="890" w:type="pct"/>
          </w:tcPr>
          <w:p w:rsidR="00F12022" w:rsidRPr="00E3331A" w:rsidRDefault="00F12022" w:rsidP="000C5A22">
            <w:pPr>
              <w:pStyle w:val="Tabletext1"/>
              <w:rPr>
                <w:lang w:eastAsia="en-GB"/>
              </w:rPr>
            </w:pPr>
            <w:r w:rsidRPr="00E3331A">
              <w:rPr>
                <w:lang w:eastAsia="en-GB"/>
              </w:rPr>
              <w:t>Osteoporosis</w:t>
            </w:r>
          </w:p>
        </w:tc>
        <w:tc>
          <w:tcPr>
            <w:tcW w:w="839" w:type="pct"/>
          </w:tcPr>
          <w:p w:rsidR="00F12022" w:rsidRPr="00E3331A" w:rsidRDefault="004B0EE9" w:rsidP="00F12022">
            <w:pPr>
              <w:pStyle w:val="Tabletext1"/>
              <w:rPr>
                <w:lang w:eastAsia="en-GB"/>
              </w:rPr>
            </w:pPr>
            <w:r w:rsidRPr="00E3331A">
              <w:rPr>
                <w:lang w:eastAsia="en-GB"/>
              </w:rPr>
              <w:t>532</w:t>
            </w:r>
          </w:p>
          <w:p w:rsidR="004B0EE9" w:rsidRPr="00E3331A" w:rsidRDefault="004B0EE9" w:rsidP="000C5A22">
            <w:pPr>
              <w:pStyle w:val="Tabletext1"/>
              <w:rPr>
                <w:lang w:eastAsia="en-GB"/>
              </w:rPr>
            </w:pPr>
            <w:r w:rsidRPr="00E3331A">
              <w:rPr>
                <w:lang w:eastAsia="en-GB"/>
              </w:rPr>
              <w:t>23,203.1</w:t>
            </w:r>
          </w:p>
        </w:tc>
        <w:tc>
          <w:tcPr>
            <w:tcW w:w="773" w:type="pct"/>
          </w:tcPr>
          <w:p w:rsidR="00F12022" w:rsidRPr="00E3331A" w:rsidRDefault="004B0EE9" w:rsidP="00F12022">
            <w:pPr>
              <w:pStyle w:val="Tabletext1"/>
              <w:rPr>
                <w:lang w:eastAsia="en-GB"/>
              </w:rPr>
            </w:pPr>
            <w:r w:rsidRPr="00E3331A">
              <w:rPr>
                <w:lang w:eastAsia="en-GB"/>
              </w:rPr>
              <w:t>22.9 (21.1, 24.9)</w:t>
            </w:r>
          </w:p>
          <w:p w:rsidR="004B0EE9" w:rsidRPr="00E3331A" w:rsidRDefault="004B0EE9" w:rsidP="000C5A22">
            <w:pPr>
              <w:pStyle w:val="Tabletext1"/>
              <w:rPr>
                <w:lang w:eastAsia="en-GB"/>
              </w:rPr>
            </w:pPr>
            <w:r w:rsidRPr="00E3331A">
              <w:rPr>
                <w:lang w:eastAsia="en-GB"/>
              </w:rPr>
              <w:t>2.26%</w:t>
            </w:r>
          </w:p>
        </w:tc>
        <w:tc>
          <w:tcPr>
            <w:tcW w:w="839" w:type="pct"/>
          </w:tcPr>
          <w:p w:rsidR="00F12022" w:rsidRPr="00E3331A" w:rsidRDefault="004B0EE9" w:rsidP="00F12022">
            <w:pPr>
              <w:pStyle w:val="Tabletext1"/>
              <w:rPr>
                <w:lang w:eastAsia="en-GB"/>
              </w:rPr>
            </w:pPr>
            <w:r w:rsidRPr="00E3331A">
              <w:rPr>
                <w:lang w:eastAsia="en-GB"/>
              </w:rPr>
              <w:t>246</w:t>
            </w:r>
          </w:p>
          <w:p w:rsidR="004B0EE9" w:rsidRPr="00E3331A" w:rsidRDefault="004B0EE9" w:rsidP="000C5A22">
            <w:pPr>
              <w:pStyle w:val="Tabletext1"/>
              <w:rPr>
                <w:lang w:eastAsia="en-GB"/>
              </w:rPr>
            </w:pPr>
            <w:r w:rsidRPr="00E3331A">
              <w:rPr>
                <w:lang w:eastAsia="en-GB"/>
              </w:rPr>
              <w:t>26,124.4</w:t>
            </w:r>
          </w:p>
        </w:tc>
        <w:tc>
          <w:tcPr>
            <w:tcW w:w="773" w:type="pct"/>
          </w:tcPr>
          <w:p w:rsidR="00F12022" w:rsidRPr="00E3331A" w:rsidRDefault="004B0EE9" w:rsidP="00F12022">
            <w:pPr>
              <w:pStyle w:val="Tabletext1"/>
              <w:rPr>
                <w:lang w:eastAsia="en-GB"/>
              </w:rPr>
            </w:pPr>
            <w:r w:rsidRPr="00E3331A">
              <w:rPr>
                <w:lang w:eastAsia="en-GB"/>
              </w:rPr>
              <w:t>9.4 (8.3, 10.7)</w:t>
            </w:r>
          </w:p>
          <w:p w:rsidR="004B0EE9" w:rsidRPr="00E3331A" w:rsidRDefault="004B0EE9" w:rsidP="000C5A22">
            <w:pPr>
              <w:pStyle w:val="Tabletext1"/>
              <w:rPr>
                <w:lang w:eastAsia="en-GB"/>
              </w:rPr>
            </w:pPr>
            <w:r w:rsidRPr="00E3331A">
              <w:rPr>
                <w:lang w:eastAsia="en-GB"/>
              </w:rPr>
              <w:t>0.94%</w:t>
            </w:r>
          </w:p>
        </w:tc>
        <w:tc>
          <w:tcPr>
            <w:tcW w:w="885" w:type="pct"/>
          </w:tcPr>
          <w:p w:rsidR="00F12022" w:rsidRPr="00E3331A" w:rsidRDefault="004B0EE9" w:rsidP="00F12022">
            <w:pPr>
              <w:pStyle w:val="Tabletext1"/>
              <w:rPr>
                <w:lang w:eastAsia="en-GB"/>
              </w:rPr>
            </w:pPr>
            <w:r w:rsidRPr="00E3331A">
              <w:rPr>
                <w:lang w:eastAsia="en-GB"/>
              </w:rPr>
              <w:t>2.4 (2.1, 2.8)</w:t>
            </w:r>
          </w:p>
          <w:p w:rsidR="004B0EE9" w:rsidRPr="00E3331A" w:rsidRDefault="004B0EE9" w:rsidP="000C5A22">
            <w:pPr>
              <w:pStyle w:val="Tabletext1"/>
              <w:rPr>
                <w:lang w:eastAsia="en-GB"/>
              </w:rPr>
            </w:pPr>
            <w:r w:rsidRPr="00E3331A">
              <w:rPr>
                <w:lang w:eastAsia="en-GB"/>
              </w:rPr>
              <w:t>1.32%</w:t>
            </w:r>
          </w:p>
        </w:tc>
      </w:tr>
      <w:tr w:rsidR="00F12022" w:rsidRPr="00E3331A" w:rsidTr="00304276">
        <w:tc>
          <w:tcPr>
            <w:tcW w:w="890" w:type="pct"/>
          </w:tcPr>
          <w:p w:rsidR="00F12022" w:rsidRPr="00E3331A" w:rsidRDefault="00F12022" w:rsidP="000C5A22">
            <w:pPr>
              <w:pStyle w:val="Tabletext1"/>
              <w:rPr>
                <w:lang w:eastAsia="en-GB"/>
              </w:rPr>
            </w:pPr>
            <w:r w:rsidRPr="00E3331A">
              <w:rPr>
                <w:lang w:eastAsia="en-GB"/>
              </w:rPr>
              <w:t>Fractures</w:t>
            </w:r>
          </w:p>
        </w:tc>
        <w:tc>
          <w:tcPr>
            <w:tcW w:w="839" w:type="pct"/>
          </w:tcPr>
          <w:p w:rsidR="00F12022" w:rsidRPr="00E3331A" w:rsidRDefault="004B0EE9" w:rsidP="00F12022">
            <w:pPr>
              <w:pStyle w:val="Tabletext1"/>
              <w:rPr>
                <w:lang w:eastAsia="en-GB"/>
              </w:rPr>
            </w:pPr>
            <w:r w:rsidRPr="00E3331A">
              <w:rPr>
                <w:lang w:eastAsia="en-GB"/>
              </w:rPr>
              <w:t>433</w:t>
            </w:r>
          </w:p>
          <w:p w:rsidR="004B0EE9" w:rsidRPr="00E3331A" w:rsidRDefault="004B0EE9" w:rsidP="000C5A22">
            <w:pPr>
              <w:pStyle w:val="Tabletext1"/>
              <w:rPr>
                <w:lang w:eastAsia="en-GB"/>
              </w:rPr>
            </w:pPr>
            <w:r w:rsidRPr="00E3331A">
              <w:rPr>
                <w:lang w:eastAsia="en-GB"/>
              </w:rPr>
              <w:t>26,227.3</w:t>
            </w:r>
          </w:p>
        </w:tc>
        <w:tc>
          <w:tcPr>
            <w:tcW w:w="773" w:type="pct"/>
          </w:tcPr>
          <w:p w:rsidR="00F12022" w:rsidRPr="00E3331A" w:rsidRDefault="004B0EE9" w:rsidP="00F12022">
            <w:pPr>
              <w:pStyle w:val="Tabletext1"/>
              <w:rPr>
                <w:lang w:eastAsia="en-GB"/>
              </w:rPr>
            </w:pPr>
            <w:r w:rsidRPr="00E3331A">
              <w:rPr>
                <w:lang w:eastAsia="en-GB"/>
              </w:rPr>
              <w:t>16.5 (15.0, 18.1)</w:t>
            </w:r>
          </w:p>
          <w:p w:rsidR="004B0EE9" w:rsidRPr="00E3331A" w:rsidRDefault="004B0EE9" w:rsidP="000C5A22">
            <w:pPr>
              <w:pStyle w:val="Tabletext1"/>
              <w:rPr>
                <w:lang w:eastAsia="en-GB"/>
              </w:rPr>
            </w:pPr>
            <w:r w:rsidRPr="00E3331A">
              <w:rPr>
                <w:lang w:eastAsia="en-GB"/>
              </w:rPr>
              <w:t>1.64%</w:t>
            </w:r>
          </w:p>
        </w:tc>
        <w:tc>
          <w:tcPr>
            <w:tcW w:w="839" w:type="pct"/>
          </w:tcPr>
          <w:p w:rsidR="00F12022" w:rsidRPr="00E3331A" w:rsidRDefault="004B0EE9" w:rsidP="00F12022">
            <w:pPr>
              <w:pStyle w:val="Tabletext1"/>
              <w:rPr>
                <w:lang w:eastAsia="en-GB"/>
              </w:rPr>
            </w:pPr>
            <w:r w:rsidRPr="00E3331A">
              <w:rPr>
                <w:lang w:eastAsia="en-GB"/>
              </w:rPr>
              <w:t>340</w:t>
            </w:r>
          </w:p>
          <w:p w:rsidR="004B0EE9" w:rsidRPr="00E3331A" w:rsidRDefault="004B0EE9" w:rsidP="000C5A22">
            <w:pPr>
              <w:pStyle w:val="Tabletext1"/>
              <w:rPr>
                <w:lang w:eastAsia="en-GB"/>
              </w:rPr>
            </w:pPr>
            <w:r w:rsidRPr="00E3331A">
              <w:rPr>
                <w:lang w:eastAsia="en-GB"/>
              </w:rPr>
              <w:t>27,707.9</w:t>
            </w:r>
          </w:p>
        </w:tc>
        <w:tc>
          <w:tcPr>
            <w:tcW w:w="773" w:type="pct"/>
          </w:tcPr>
          <w:p w:rsidR="00F12022" w:rsidRPr="00E3331A" w:rsidRDefault="004B0EE9" w:rsidP="00F12022">
            <w:pPr>
              <w:pStyle w:val="Tabletext1"/>
              <w:rPr>
                <w:lang w:eastAsia="en-GB"/>
              </w:rPr>
            </w:pPr>
            <w:r w:rsidRPr="00E3331A">
              <w:rPr>
                <w:lang w:eastAsia="en-GB"/>
              </w:rPr>
              <w:t>12.3 (11.0, 13.6)</w:t>
            </w:r>
          </w:p>
          <w:p w:rsidR="004B0EE9" w:rsidRPr="00E3331A" w:rsidRDefault="004B0EE9" w:rsidP="000C5A22">
            <w:pPr>
              <w:pStyle w:val="Tabletext1"/>
              <w:rPr>
                <w:lang w:eastAsia="en-GB"/>
              </w:rPr>
            </w:pPr>
            <w:r w:rsidRPr="00E3331A">
              <w:rPr>
                <w:lang w:eastAsia="en-GB"/>
              </w:rPr>
              <w:t>1.22%</w:t>
            </w:r>
          </w:p>
        </w:tc>
        <w:tc>
          <w:tcPr>
            <w:tcW w:w="885" w:type="pct"/>
          </w:tcPr>
          <w:p w:rsidR="00F12022" w:rsidRPr="00E3331A" w:rsidRDefault="004B0EE9" w:rsidP="00F12022">
            <w:pPr>
              <w:pStyle w:val="Tabletext1"/>
              <w:rPr>
                <w:lang w:eastAsia="en-GB"/>
              </w:rPr>
            </w:pPr>
            <w:r w:rsidRPr="00E3331A">
              <w:rPr>
                <w:lang w:eastAsia="en-GB"/>
              </w:rPr>
              <w:t>1.4 (1.2, 1.6)</w:t>
            </w:r>
          </w:p>
          <w:p w:rsidR="004B0EE9" w:rsidRPr="00E3331A" w:rsidRDefault="004B0EE9" w:rsidP="000C5A22">
            <w:pPr>
              <w:pStyle w:val="Tabletext1"/>
              <w:rPr>
                <w:lang w:eastAsia="en-GB"/>
              </w:rPr>
            </w:pPr>
            <w:r w:rsidRPr="00E3331A">
              <w:rPr>
                <w:lang w:eastAsia="en-GB"/>
              </w:rPr>
              <w:t>0.42%</w:t>
            </w:r>
          </w:p>
        </w:tc>
      </w:tr>
      <w:tr w:rsidR="00F12022" w:rsidRPr="00E3331A" w:rsidTr="00304276">
        <w:tc>
          <w:tcPr>
            <w:tcW w:w="890" w:type="pct"/>
          </w:tcPr>
          <w:p w:rsidR="00F12022" w:rsidRPr="00E3331A" w:rsidRDefault="00F12022" w:rsidP="000C5A22">
            <w:pPr>
              <w:pStyle w:val="Tabletext1"/>
              <w:rPr>
                <w:lang w:eastAsia="en-GB"/>
              </w:rPr>
            </w:pPr>
            <w:r w:rsidRPr="00E3331A">
              <w:rPr>
                <w:lang w:eastAsia="en-GB"/>
              </w:rPr>
              <w:t>Glaucoma</w:t>
            </w:r>
          </w:p>
        </w:tc>
        <w:tc>
          <w:tcPr>
            <w:tcW w:w="839" w:type="pct"/>
          </w:tcPr>
          <w:p w:rsidR="00F12022" w:rsidRPr="00E3331A" w:rsidRDefault="004B0EE9" w:rsidP="00F12022">
            <w:pPr>
              <w:pStyle w:val="Tabletext1"/>
              <w:rPr>
                <w:lang w:eastAsia="en-GB"/>
              </w:rPr>
            </w:pPr>
            <w:r w:rsidRPr="00E3331A">
              <w:rPr>
                <w:lang w:eastAsia="en-GB"/>
              </w:rPr>
              <w:t>253</w:t>
            </w:r>
          </w:p>
          <w:p w:rsidR="004B0EE9" w:rsidRPr="00E3331A" w:rsidRDefault="004B0EE9" w:rsidP="000C5A22">
            <w:pPr>
              <w:pStyle w:val="Tabletext1"/>
              <w:rPr>
                <w:lang w:eastAsia="en-GB"/>
              </w:rPr>
            </w:pPr>
            <w:r w:rsidRPr="00E3331A">
              <w:rPr>
                <w:lang w:eastAsia="en-GB"/>
              </w:rPr>
              <w:t>24,837.9</w:t>
            </w:r>
          </w:p>
        </w:tc>
        <w:tc>
          <w:tcPr>
            <w:tcW w:w="773" w:type="pct"/>
          </w:tcPr>
          <w:p w:rsidR="00F12022" w:rsidRPr="00E3331A" w:rsidRDefault="004B0EE9" w:rsidP="00F12022">
            <w:pPr>
              <w:pStyle w:val="Tabletext1"/>
              <w:rPr>
                <w:lang w:eastAsia="en-GB"/>
              </w:rPr>
            </w:pPr>
            <w:r w:rsidRPr="00E3331A">
              <w:rPr>
                <w:lang w:eastAsia="en-GB"/>
              </w:rPr>
              <w:t>10.2 (9.0, 11.5)</w:t>
            </w:r>
          </w:p>
          <w:p w:rsidR="004B0EE9" w:rsidRPr="00E3331A" w:rsidRDefault="004B0EE9" w:rsidP="000C5A22">
            <w:pPr>
              <w:pStyle w:val="Tabletext1"/>
              <w:rPr>
                <w:lang w:eastAsia="en-GB"/>
              </w:rPr>
            </w:pPr>
            <w:r w:rsidRPr="00E3331A">
              <w:rPr>
                <w:lang w:eastAsia="en-GB"/>
              </w:rPr>
              <w:t>1.01%</w:t>
            </w:r>
          </w:p>
        </w:tc>
        <w:tc>
          <w:tcPr>
            <w:tcW w:w="839" w:type="pct"/>
          </w:tcPr>
          <w:p w:rsidR="00F12022" w:rsidRPr="00E3331A" w:rsidRDefault="004B0EE9" w:rsidP="00F12022">
            <w:pPr>
              <w:pStyle w:val="Tabletext1"/>
              <w:rPr>
                <w:lang w:eastAsia="en-GB"/>
              </w:rPr>
            </w:pPr>
            <w:r w:rsidRPr="00E3331A">
              <w:rPr>
                <w:lang w:eastAsia="en-GB"/>
              </w:rPr>
              <w:t>134</w:t>
            </w:r>
          </w:p>
          <w:p w:rsidR="004B0EE9" w:rsidRPr="00E3331A" w:rsidRDefault="004B0EE9" w:rsidP="000C5A22">
            <w:pPr>
              <w:pStyle w:val="Tabletext1"/>
              <w:rPr>
                <w:lang w:eastAsia="en-GB"/>
              </w:rPr>
            </w:pPr>
            <w:r w:rsidRPr="00E3331A">
              <w:rPr>
                <w:lang w:eastAsia="en-GB"/>
              </w:rPr>
              <w:t>26,451.0</w:t>
            </w:r>
          </w:p>
        </w:tc>
        <w:tc>
          <w:tcPr>
            <w:tcW w:w="773" w:type="pct"/>
          </w:tcPr>
          <w:p w:rsidR="00F12022" w:rsidRPr="00E3331A" w:rsidRDefault="004B0EE9" w:rsidP="00F12022">
            <w:pPr>
              <w:pStyle w:val="Tabletext1"/>
              <w:rPr>
                <w:lang w:eastAsia="en-GB"/>
              </w:rPr>
            </w:pPr>
            <w:r w:rsidRPr="00E3331A">
              <w:rPr>
                <w:lang w:eastAsia="en-GB"/>
              </w:rPr>
              <w:t>5.1 (4.3, 6.0)</w:t>
            </w:r>
          </w:p>
          <w:p w:rsidR="004B0EE9" w:rsidRPr="00E3331A" w:rsidRDefault="004B0EE9" w:rsidP="000C5A22">
            <w:pPr>
              <w:pStyle w:val="Tabletext1"/>
              <w:rPr>
                <w:lang w:eastAsia="en-GB"/>
              </w:rPr>
            </w:pPr>
            <w:r w:rsidRPr="00E3331A">
              <w:rPr>
                <w:lang w:eastAsia="en-GB"/>
              </w:rPr>
              <w:t>0.51%</w:t>
            </w:r>
          </w:p>
        </w:tc>
        <w:tc>
          <w:tcPr>
            <w:tcW w:w="885" w:type="pct"/>
          </w:tcPr>
          <w:p w:rsidR="00F12022" w:rsidRPr="00E3331A" w:rsidRDefault="004B0EE9" w:rsidP="00F12022">
            <w:pPr>
              <w:pStyle w:val="Tabletext1"/>
              <w:rPr>
                <w:lang w:eastAsia="en-GB"/>
              </w:rPr>
            </w:pPr>
            <w:r w:rsidRPr="00E3331A">
              <w:rPr>
                <w:lang w:eastAsia="en-GB"/>
              </w:rPr>
              <w:t>2.0 (1.6, 2.5)</w:t>
            </w:r>
          </w:p>
          <w:p w:rsidR="004B0EE9" w:rsidRPr="00E3331A" w:rsidRDefault="004B0EE9" w:rsidP="000C5A22">
            <w:pPr>
              <w:pStyle w:val="Tabletext1"/>
              <w:rPr>
                <w:lang w:eastAsia="en-GB"/>
              </w:rPr>
            </w:pPr>
            <w:r w:rsidRPr="00E3331A">
              <w:rPr>
                <w:lang w:eastAsia="en-GB"/>
              </w:rPr>
              <w:t>0.5%</w:t>
            </w:r>
          </w:p>
        </w:tc>
      </w:tr>
      <w:tr w:rsidR="00F12022" w:rsidRPr="00E3331A" w:rsidTr="00304276">
        <w:tc>
          <w:tcPr>
            <w:tcW w:w="890" w:type="pct"/>
          </w:tcPr>
          <w:p w:rsidR="00F12022" w:rsidRPr="00E3331A" w:rsidRDefault="00F12022" w:rsidP="000C5A22">
            <w:pPr>
              <w:pStyle w:val="Tabletext1"/>
              <w:rPr>
                <w:lang w:eastAsia="en-GB"/>
              </w:rPr>
            </w:pPr>
            <w:r w:rsidRPr="00E3331A">
              <w:rPr>
                <w:lang w:eastAsia="en-GB"/>
              </w:rPr>
              <w:lastRenderedPageBreak/>
              <w:t>Serious infection</w:t>
            </w:r>
          </w:p>
        </w:tc>
        <w:tc>
          <w:tcPr>
            <w:tcW w:w="839" w:type="pct"/>
          </w:tcPr>
          <w:p w:rsidR="00F12022" w:rsidRPr="00E3331A" w:rsidRDefault="004B0EE9" w:rsidP="00F12022">
            <w:pPr>
              <w:pStyle w:val="Tabletext1"/>
              <w:rPr>
                <w:lang w:eastAsia="en-GB"/>
              </w:rPr>
            </w:pPr>
            <w:r w:rsidRPr="00E3331A">
              <w:rPr>
                <w:lang w:eastAsia="en-GB"/>
              </w:rPr>
              <w:t>476</w:t>
            </w:r>
          </w:p>
          <w:p w:rsidR="004B0EE9" w:rsidRPr="00E3331A" w:rsidRDefault="004B0EE9" w:rsidP="000C5A22">
            <w:pPr>
              <w:pStyle w:val="Tabletext1"/>
              <w:rPr>
                <w:lang w:eastAsia="en-GB"/>
              </w:rPr>
            </w:pPr>
            <w:r w:rsidRPr="00E3331A">
              <w:rPr>
                <w:lang w:eastAsia="en-GB"/>
              </w:rPr>
              <w:t>12,559.8</w:t>
            </w:r>
          </w:p>
        </w:tc>
        <w:tc>
          <w:tcPr>
            <w:tcW w:w="773" w:type="pct"/>
          </w:tcPr>
          <w:p w:rsidR="00F12022" w:rsidRPr="00E3331A" w:rsidRDefault="004B0EE9" w:rsidP="00F12022">
            <w:pPr>
              <w:pStyle w:val="Tabletext1"/>
              <w:rPr>
                <w:lang w:eastAsia="en-GB"/>
              </w:rPr>
            </w:pPr>
            <w:r w:rsidRPr="00E3331A">
              <w:rPr>
                <w:lang w:eastAsia="en-GB"/>
              </w:rPr>
              <w:t>37.9 (34.7, 41.4)</w:t>
            </w:r>
          </w:p>
          <w:p w:rsidR="004B0EE9" w:rsidRPr="00E3331A" w:rsidRDefault="004B0EE9" w:rsidP="000C5A22">
            <w:pPr>
              <w:pStyle w:val="Tabletext1"/>
              <w:rPr>
                <w:lang w:eastAsia="en-GB"/>
              </w:rPr>
            </w:pPr>
            <w:r w:rsidRPr="00E3331A">
              <w:rPr>
                <w:lang w:eastAsia="en-GB"/>
              </w:rPr>
              <w:t>3.7%</w:t>
            </w:r>
          </w:p>
        </w:tc>
        <w:tc>
          <w:tcPr>
            <w:tcW w:w="839" w:type="pct"/>
          </w:tcPr>
          <w:p w:rsidR="00F12022" w:rsidRPr="00E3331A" w:rsidRDefault="004B0EE9" w:rsidP="00F12022">
            <w:pPr>
              <w:pStyle w:val="Tabletext1"/>
              <w:rPr>
                <w:lang w:eastAsia="en-GB"/>
              </w:rPr>
            </w:pPr>
            <w:r w:rsidRPr="00E3331A">
              <w:rPr>
                <w:lang w:eastAsia="en-GB"/>
              </w:rPr>
              <w:t>346</w:t>
            </w:r>
          </w:p>
          <w:p w:rsidR="004B0EE9" w:rsidRPr="00E3331A" w:rsidRDefault="004B0EE9" w:rsidP="000C5A22">
            <w:pPr>
              <w:pStyle w:val="Tabletext1"/>
              <w:rPr>
                <w:lang w:eastAsia="en-GB"/>
              </w:rPr>
            </w:pPr>
            <w:r w:rsidRPr="00E3331A">
              <w:rPr>
                <w:lang w:eastAsia="en-GB"/>
              </w:rPr>
              <w:t>13,454.1</w:t>
            </w:r>
          </w:p>
        </w:tc>
        <w:tc>
          <w:tcPr>
            <w:tcW w:w="773" w:type="pct"/>
          </w:tcPr>
          <w:p w:rsidR="004B0EE9" w:rsidRPr="00E3331A" w:rsidRDefault="004B0EE9" w:rsidP="00F12022">
            <w:pPr>
              <w:pStyle w:val="Tabletext1"/>
              <w:rPr>
                <w:lang w:eastAsia="en-GB"/>
              </w:rPr>
            </w:pPr>
            <w:r w:rsidRPr="00E3331A">
              <w:rPr>
                <w:lang w:eastAsia="en-GB"/>
              </w:rPr>
              <w:t>25.7 (23.2, 28.5)</w:t>
            </w:r>
          </w:p>
          <w:p w:rsidR="004B0EE9" w:rsidRPr="00E3331A" w:rsidRDefault="004B0EE9" w:rsidP="000C5A22">
            <w:pPr>
              <w:pStyle w:val="Tabletext1"/>
              <w:rPr>
                <w:lang w:eastAsia="en-GB"/>
              </w:rPr>
            </w:pPr>
            <w:r w:rsidRPr="00E3331A">
              <w:rPr>
                <w:lang w:eastAsia="en-GB"/>
              </w:rPr>
              <w:t>2.5%</w:t>
            </w:r>
          </w:p>
        </w:tc>
        <w:tc>
          <w:tcPr>
            <w:tcW w:w="885" w:type="pct"/>
          </w:tcPr>
          <w:p w:rsidR="00F12022" w:rsidRPr="00E3331A" w:rsidRDefault="004B0EE9" w:rsidP="00F12022">
            <w:pPr>
              <w:pStyle w:val="Tabletext1"/>
              <w:rPr>
                <w:lang w:eastAsia="en-GB"/>
              </w:rPr>
            </w:pPr>
            <w:r w:rsidRPr="00E3331A">
              <w:rPr>
                <w:lang w:eastAsia="en-GB"/>
              </w:rPr>
              <w:t>1.5 (1.3, 1.7)</w:t>
            </w:r>
          </w:p>
          <w:p w:rsidR="004B0EE9" w:rsidRPr="00E3331A" w:rsidRDefault="004B0EE9" w:rsidP="000C5A22">
            <w:pPr>
              <w:pStyle w:val="Tabletext1"/>
              <w:rPr>
                <w:lang w:eastAsia="en-GB"/>
              </w:rPr>
            </w:pPr>
            <w:r w:rsidRPr="00E3331A">
              <w:rPr>
                <w:lang w:eastAsia="en-GB"/>
              </w:rPr>
              <w:t>1.2%</w:t>
            </w:r>
          </w:p>
        </w:tc>
      </w:tr>
    </w:tbl>
    <w:p w:rsidR="00DD5F51" w:rsidRPr="00E3331A" w:rsidRDefault="00D612BA" w:rsidP="00321025">
      <w:pPr>
        <w:pStyle w:val="Tablenotes1"/>
      </w:pPr>
      <w:r w:rsidRPr="00E3331A">
        <w:t>Source: reproduced from Wilson et al. (2017)</w:t>
      </w:r>
      <w:r w:rsidR="00321025" w:rsidRPr="00E3331A">
        <w:t xml:space="preserve">. Annual </w:t>
      </w:r>
      <w:r w:rsidR="004B5B83" w:rsidRPr="00E3331A">
        <w:t>probabilities</w:t>
      </w:r>
      <w:r w:rsidR="00321025" w:rsidRPr="00E3331A">
        <w:t xml:space="preserve"> calculated by Assessment </w:t>
      </w:r>
      <w:r w:rsidR="00BE54F2">
        <w:t>G</w:t>
      </w:r>
      <w:r w:rsidR="00321025" w:rsidRPr="00E3331A">
        <w:t xml:space="preserve">roup using the formula: </w:t>
      </w:r>
    </w:p>
    <w:p w:rsidR="00321025" w:rsidRPr="00E3331A" w:rsidRDefault="004B5B83" w:rsidP="00321025">
      <w:pPr>
        <w:pStyle w:val="Tablenotes1"/>
      </w:pPr>
      <w:r w:rsidRPr="00E3331A">
        <w:t>probability</w:t>
      </w:r>
      <w:r w:rsidR="00321025" w:rsidRPr="00E3331A">
        <w:t xml:space="preserve"> = 1- exp^(-rt)</w:t>
      </w:r>
    </w:p>
    <w:p w:rsidR="00D612BA" w:rsidRPr="00E3331A" w:rsidRDefault="00D612BA" w:rsidP="00D612BA">
      <w:pPr>
        <w:pStyle w:val="Tablenotes1"/>
      </w:pPr>
      <w:r w:rsidRPr="00E3331A">
        <w:t xml:space="preserve">Note: Wilson et al. (2017) also reported hospitalisations; however, as the data allowed for previously reported adverse events to contribute to the number of hospitalisations this outcome has not been reported to avoid double counting. </w:t>
      </w:r>
    </w:p>
    <w:p w:rsidR="001C4E5C" w:rsidRPr="00E3331A" w:rsidRDefault="001C4E5C" w:rsidP="000C5A22">
      <w:r w:rsidRPr="00E3331A">
        <w:t xml:space="preserve">Based on the data presented in </w:t>
      </w:r>
      <w:r w:rsidR="006F35B9" w:rsidRPr="00E3331A">
        <w:t xml:space="preserve">Table </w:t>
      </w:r>
      <w:r w:rsidR="006F35B9">
        <w:rPr>
          <w:noProof/>
        </w:rPr>
        <w:t>26</w:t>
      </w:r>
      <w:r w:rsidR="00CE45AE" w:rsidRPr="00E3331A">
        <w:t xml:space="preserve">, </w:t>
      </w:r>
      <w:r w:rsidRPr="00E3331A">
        <w:t xml:space="preserve">steroid use is associated with increased risk of diabetes, </w:t>
      </w:r>
      <w:r w:rsidR="004B5B83" w:rsidRPr="00E3331A">
        <w:t>osteoporosis</w:t>
      </w:r>
      <w:r w:rsidRPr="00E3331A">
        <w:t xml:space="preserve">, fractures, glaucoma and serious infection. </w:t>
      </w:r>
    </w:p>
    <w:p w:rsidR="008475E5" w:rsidRPr="00E3331A" w:rsidRDefault="008475E5" w:rsidP="008475E5">
      <w:pPr>
        <w:pStyle w:val="Heading3"/>
        <w:jc w:val="both"/>
      </w:pPr>
      <w:bookmarkStart w:id="240" w:name="_Toc24103461"/>
      <w:r w:rsidRPr="00E3331A">
        <w:t>IVIg versus placebo</w:t>
      </w:r>
      <w:bookmarkEnd w:id="240"/>
    </w:p>
    <w:p w:rsidR="008475E5" w:rsidRPr="00E3331A" w:rsidRDefault="008475E5" w:rsidP="008475E5">
      <w:r w:rsidRPr="00E3331A">
        <w:t xml:space="preserve">When considering IVIg compared </w:t>
      </w:r>
      <w:r w:rsidR="00F326FA" w:rsidRPr="00E3331A">
        <w:t xml:space="preserve">to </w:t>
      </w:r>
      <w:r w:rsidRPr="00E3331A">
        <w:t>placebo</w:t>
      </w:r>
      <w:r w:rsidR="0061731A" w:rsidRPr="00E3331A">
        <w:t>,</w:t>
      </w:r>
      <w:r w:rsidRPr="00E3331A">
        <w:t xml:space="preserve"> only one </w:t>
      </w:r>
      <w:r w:rsidR="0061731A" w:rsidRPr="00E3331A">
        <w:t>RCT</w:t>
      </w:r>
      <w:r w:rsidRPr="00E3331A">
        <w:t xml:space="preserve"> </w:t>
      </w:r>
      <w:r w:rsidR="00B85C75">
        <w:rPr>
          <w:noProof/>
        </w:rPr>
        <w:t>(Hughes et al. 2008)</w:t>
      </w:r>
      <w:r w:rsidRPr="00E3331A">
        <w:t xml:space="preserve"> reported the rate of adverse events overall. A second trial reported the type but not rate of adverse events and is discussed elsewhere </w:t>
      </w:r>
      <w:r w:rsidR="00B85C75">
        <w:rPr>
          <w:noProof/>
        </w:rPr>
        <w:t>(Mendell et al. 2001)</w:t>
      </w:r>
      <w:r w:rsidRPr="00E3331A">
        <w:t xml:space="preserve">. Hughes </w:t>
      </w:r>
      <w:r w:rsidR="00983BA7">
        <w:t xml:space="preserve">et al. </w:t>
      </w:r>
      <w:r w:rsidRPr="00E3331A">
        <w:t>(2008) report that 85 of 113 patients</w:t>
      </w:r>
      <w:r w:rsidR="0061731A" w:rsidRPr="00E3331A">
        <w:t xml:space="preserve"> (75%) </w:t>
      </w:r>
      <w:r w:rsidRPr="00E3331A">
        <w:t>receiving IVIg (2</w:t>
      </w:r>
      <w:r w:rsidR="00B0233F" w:rsidRPr="00E3331A">
        <w:t xml:space="preserve"> </w:t>
      </w:r>
      <w:r w:rsidRPr="00E3331A">
        <w:t>g/kg over 2-4 days followed by 1</w:t>
      </w:r>
      <w:r w:rsidR="00B0233F" w:rsidRPr="00E3331A">
        <w:t xml:space="preserve"> </w:t>
      </w:r>
      <w:r w:rsidRPr="00E3331A">
        <w:t>g/kg over 1-2 days every 3 weeks) experienced an adverse event and 45 of 95 patients</w:t>
      </w:r>
      <w:r w:rsidR="00EA0B03" w:rsidRPr="00E3331A">
        <w:t xml:space="preserve"> (47%) </w:t>
      </w:r>
      <w:r w:rsidRPr="00E3331A">
        <w:t>who received a placebo infusion experienced an adverse event. It should be noted that responders to the first treatment were then eligible to be re</w:t>
      </w:r>
      <w:r w:rsidR="00EA0B03" w:rsidRPr="00E3331A">
        <w:t>-</w:t>
      </w:r>
      <w:r w:rsidRPr="00E3331A">
        <w:t>randomised into IVIg or placebo arms</w:t>
      </w:r>
      <w:r w:rsidR="00EA0B03" w:rsidRPr="00E3331A">
        <w:t>.</w:t>
      </w:r>
      <w:r w:rsidRPr="00E3331A">
        <w:t xml:space="preserve"> </w:t>
      </w:r>
      <w:r w:rsidR="00EA0B03" w:rsidRPr="00E3331A">
        <w:t>T</w:t>
      </w:r>
      <w:r w:rsidRPr="00E3331A">
        <w:t>herefore</w:t>
      </w:r>
      <w:r w:rsidR="004331A0" w:rsidRPr="00E3331A">
        <w:t>,</w:t>
      </w:r>
      <w:r w:rsidRPr="00E3331A">
        <w:t xml:space="preserve"> a single patient could experience adverse events attributable both to IVIg or placebo. Hughes </w:t>
      </w:r>
      <w:r w:rsidR="00983BA7">
        <w:t xml:space="preserve">et al. </w:t>
      </w:r>
      <w:r w:rsidR="004331A0" w:rsidRPr="00E3331A">
        <w:t>(</w:t>
      </w:r>
      <w:r w:rsidRPr="00E3331A">
        <w:t>2008</w:t>
      </w:r>
      <w:r w:rsidR="004331A0" w:rsidRPr="00E3331A">
        <w:t>)</w:t>
      </w:r>
      <w:r w:rsidRPr="00E3331A">
        <w:t xml:space="preserve"> reported discontinuation due to adverse events in two patients who received IVIg (during the initial or crossover phase) and in two patients </w:t>
      </w:r>
      <w:r w:rsidR="004331A0" w:rsidRPr="00E3331A">
        <w:t xml:space="preserve">who </w:t>
      </w:r>
      <w:r w:rsidRPr="00E3331A">
        <w:t>receiv</w:t>
      </w:r>
      <w:r w:rsidR="004331A0" w:rsidRPr="00E3331A">
        <w:t>ed</w:t>
      </w:r>
      <w:r w:rsidRPr="00E3331A">
        <w:t xml:space="preserve"> placebo. In total six patients</w:t>
      </w:r>
      <w:r w:rsidR="004331A0" w:rsidRPr="00E3331A">
        <w:t xml:space="preserve"> (5%) </w:t>
      </w:r>
      <w:r w:rsidRPr="00E3331A">
        <w:t xml:space="preserve">receiving IVIg and </w:t>
      </w:r>
      <w:r w:rsidR="004331A0" w:rsidRPr="00E3331A">
        <w:t>eight</w:t>
      </w:r>
      <w:r w:rsidRPr="00E3331A">
        <w:t xml:space="preserve"> (8%) receiving placebo experienced a serious adverse event</w:t>
      </w:r>
      <w:r w:rsidR="004331A0" w:rsidRPr="00E3331A">
        <w:t>.</w:t>
      </w:r>
      <w:r w:rsidRPr="00E3331A">
        <w:t xml:space="preserve"> </w:t>
      </w:r>
      <w:r w:rsidR="004331A0" w:rsidRPr="00E3331A">
        <w:t>H</w:t>
      </w:r>
      <w:r w:rsidRPr="00E3331A">
        <w:t>owever</w:t>
      </w:r>
      <w:r w:rsidR="004331A0" w:rsidRPr="00E3331A">
        <w:t>,</w:t>
      </w:r>
      <w:r w:rsidRPr="00E3331A">
        <w:t xml:space="preserve"> the nature of those events is not reported. </w:t>
      </w:r>
    </w:p>
    <w:p w:rsidR="008475E5" w:rsidRPr="00E3331A" w:rsidRDefault="008475E5" w:rsidP="008475E5">
      <w:r w:rsidRPr="00E3331A">
        <w:t>Another paper report</w:t>
      </w:r>
      <w:r w:rsidR="00B34EDB" w:rsidRPr="00E3331A">
        <w:t>ed</w:t>
      </w:r>
      <w:r w:rsidRPr="00E3331A">
        <w:t xml:space="preserve"> on the same patient cohort </w:t>
      </w:r>
      <w:r w:rsidR="00B85C75">
        <w:rPr>
          <w:noProof/>
        </w:rPr>
        <w:t>(Donofrio et al. 2010)</w:t>
      </w:r>
      <w:r w:rsidRPr="00E3331A">
        <w:t xml:space="preserve"> but express</w:t>
      </w:r>
      <w:r w:rsidR="00B34EDB" w:rsidRPr="00E3331A">
        <w:t>ed</w:t>
      </w:r>
      <w:r w:rsidRPr="00E3331A">
        <w:t xml:space="preserve"> adverse events per 100 infusions</w:t>
      </w:r>
      <w:r w:rsidR="00B34EDB" w:rsidRPr="00E3331A">
        <w:t>.</w:t>
      </w:r>
      <w:r w:rsidR="00345C95" w:rsidRPr="00E3331A">
        <w:t xml:space="preserve"> </w:t>
      </w:r>
      <w:r w:rsidR="00B34EDB" w:rsidRPr="00E3331A">
        <w:t>C</w:t>
      </w:r>
      <w:r w:rsidRPr="00E3331A">
        <w:t>onsidering only those that were drug related</w:t>
      </w:r>
      <w:r w:rsidR="00B34EDB" w:rsidRPr="00E3331A">
        <w:t>,</w:t>
      </w:r>
      <w:r w:rsidRPr="00E3331A">
        <w:t xml:space="preserve"> the rate of adverse events with IVIg compared to placebo </w:t>
      </w:r>
      <w:r w:rsidR="00B34EDB" w:rsidRPr="00E3331A">
        <w:t>was</w:t>
      </w:r>
      <w:r w:rsidRPr="00E3331A">
        <w:t xml:space="preserve"> 46.7 versus 9.3 </w:t>
      </w:r>
      <w:r w:rsidR="00B34EDB" w:rsidRPr="00E3331A">
        <w:t xml:space="preserve">per 100 infusions </w:t>
      </w:r>
      <w:r w:rsidRPr="00E3331A">
        <w:t>during the initiating phase</w:t>
      </w:r>
      <w:r w:rsidR="00B34EDB" w:rsidRPr="00E3331A">
        <w:t>,</w:t>
      </w:r>
      <w:r w:rsidRPr="00E3331A">
        <w:t xml:space="preserve"> and 10.1 versus 2.0 during the maintenance phase. </w:t>
      </w:r>
      <w:r w:rsidR="00B34EDB" w:rsidRPr="00E3331A">
        <w:t xml:space="preserve">A study by </w:t>
      </w:r>
      <w:r w:rsidRPr="00E3331A">
        <w:t>Hahn, Bolton et al. (1996b) randomised patients to IVIg or placebo and report</w:t>
      </w:r>
      <w:r w:rsidR="00B34EDB" w:rsidRPr="00E3331A">
        <w:t>ed that</w:t>
      </w:r>
      <w:r w:rsidRPr="00E3331A">
        <w:t xml:space="preserve"> one patient receiving IVIg developed symptoms resembling aseptic meningitis</w:t>
      </w:r>
      <w:r w:rsidR="00B34EDB" w:rsidRPr="00E3331A">
        <w:t>, but</w:t>
      </w:r>
      <w:r w:rsidRPr="00E3331A">
        <w:t xml:space="preserve"> </w:t>
      </w:r>
      <w:r w:rsidR="00B34EDB" w:rsidRPr="00E3331A">
        <w:t>this study did not provide sufficient detail regarding safety outcomes to be formally included.</w:t>
      </w:r>
    </w:p>
    <w:p w:rsidR="008475E5" w:rsidRPr="00E3331A" w:rsidRDefault="008475E5" w:rsidP="008475E5">
      <w:pPr>
        <w:pStyle w:val="Caption"/>
      </w:pPr>
      <w:bookmarkStart w:id="241" w:name="_Toc9796899"/>
      <w:bookmarkStart w:id="242" w:name="_Toc24103333"/>
      <w:r w:rsidRPr="00E3331A">
        <w:t xml:space="preserve">Table </w:t>
      </w:r>
      <w:r w:rsidR="006F35B9">
        <w:rPr>
          <w:noProof/>
        </w:rPr>
        <w:t>27</w:t>
      </w:r>
      <w:r w:rsidRPr="00E3331A">
        <w:tab/>
      </w:r>
      <w:r w:rsidRPr="00E3331A">
        <w:rPr>
          <w:rFonts w:cs="Arial"/>
          <w:snapToGrid w:val="0"/>
          <w:szCs w:val="16"/>
          <w:lang w:eastAsia="en-US"/>
        </w:rPr>
        <w:t xml:space="preserve">Any adverse or serious adverse event reported in the randomised controlled trials (IVIg vs </w:t>
      </w:r>
      <w:r w:rsidR="00B0233F" w:rsidRPr="00E3331A">
        <w:rPr>
          <w:rFonts w:cs="Arial"/>
          <w:snapToGrid w:val="0"/>
          <w:szCs w:val="16"/>
          <w:lang w:eastAsia="en-US"/>
        </w:rPr>
        <w:t>placebo</w:t>
      </w:r>
      <w:r w:rsidRPr="00E3331A">
        <w:rPr>
          <w:rFonts w:cs="Arial"/>
          <w:snapToGrid w:val="0"/>
          <w:szCs w:val="16"/>
          <w:lang w:eastAsia="en-US"/>
        </w:rPr>
        <w:t>)</w:t>
      </w:r>
      <w:bookmarkEnd w:id="241"/>
      <w:bookmarkEnd w:id="2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81"/>
        <w:gridCol w:w="1598"/>
        <w:gridCol w:w="1879"/>
        <w:gridCol w:w="1879"/>
        <w:gridCol w:w="1879"/>
      </w:tblGrid>
      <w:tr w:rsidR="008475E5" w:rsidRPr="00E3331A" w:rsidTr="00CD0563">
        <w:tc>
          <w:tcPr>
            <w:tcW w:w="988" w:type="pct"/>
            <w:shd w:val="clear" w:color="auto" w:fill="auto"/>
          </w:tcPr>
          <w:p w:rsidR="008475E5" w:rsidRPr="00E3331A" w:rsidRDefault="008475E5" w:rsidP="00CD0563">
            <w:pPr>
              <w:pStyle w:val="TableHeading"/>
              <w:rPr>
                <w:snapToGrid w:val="0"/>
                <w:lang w:eastAsia="en-US"/>
              </w:rPr>
            </w:pPr>
            <w:r w:rsidRPr="00E3331A">
              <w:rPr>
                <w:snapToGrid w:val="0"/>
                <w:lang w:eastAsia="en-US"/>
              </w:rPr>
              <w:t>Study ID</w:t>
            </w:r>
          </w:p>
        </w:tc>
        <w:tc>
          <w:tcPr>
            <w:tcW w:w="886" w:type="pct"/>
          </w:tcPr>
          <w:p w:rsidR="008475E5" w:rsidRPr="00E3331A" w:rsidRDefault="008475E5" w:rsidP="00CD0563">
            <w:pPr>
              <w:pStyle w:val="TableHeading"/>
              <w:ind w:left="16" w:right="117"/>
              <w:jc w:val="center"/>
              <w:rPr>
                <w:snapToGrid w:val="0"/>
                <w:lang w:eastAsia="en-US"/>
              </w:rPr>
            </w:pPr>
            <w:r w:rsidRPr="00E3331A">
              <w:rPr>
                <w:snapToGrid w:val="0"/>
                <w:lang w:eastAsia="en-US"/>
              </w:rPr>
              <w:t>Completeness of safety reporting</w:t>
            </w:r>
          </w:p>
        </w:tc>
        <w:tc>
          <w:tcPr>
            <w:tcW w:w="1042" w:type="pct"/>
            <w:shd w:val="clear" w:color="auto" w:fill="auto"/>
          </w:tcPr>
          <w:p w:rsidR="008475E5" w:rsidRPr="00E3331A" w:rsidRDefault="008475E5" w:rsidP="00CD0563">
            <w:pPr>
              <w:pStyle w:val="TableHeading"/>
              <w:ind w:left="111" w:right="117"/>
              <w:jc w:val="center"/>
              <w:rPr>
                <w:snapToGrid w:val="0"/>
                <w:lang w:eastAsia="en-US"/>
              </w:rPr>
            </w:pPr>
            <w:r w:rsidRPr="00E3331A">
              <w:rPr>
                <w:snapToGrid w:val="0"/>
                <w:lang w:eastAsia="en-US"/>
              </w:rPr>
              <w:t>Comparison</w:t>
            </w:r>
          </w:p>
          <w:p w:rsidR="008475E5" w:rsidRPr="00E3331A" w:rsidRDefault="008475E5" w:rsidP="00CD0563">
            <w:pPr>
              <w:pStyle w:val="TableHeading"/>
              <w:ind w:left="111" w:right="117"/>
              <w:jc w:val="center"/>
              <w:rPr>
                <w:snapToGrid w:val="0"/>
                <w:lang w:eastAsia="en-US"/>
              </w:rPr>
            </w:pPr>
          </w:p>
        </w:tc>
        <w:tc>
          <w:tcPr>
            <w:tcW w:w="1042" w:type="pct"/>
            <w:shd w:val="clear" w:color="auto" w:fill="auto"/>
          </w:tcPr>
          <w:p w:rsidR="008475E5" w:rsidRPr="00E3331A" w:rsidRDefault="008475E5" w:rsidP="00CD0563">
            <w:pPr>
              <w:pStyle w:val="TableHeading"/>
              <w:ind w:left="111" w:right="117"/>
              <w:jc w:val="center"/>
              <w:rPr>
                <w:snapToGrid w:val="0"/>
                <w:lang w:eastAsia="en-US"/>
              </w:rPr>
            </w:pPr>
            <w:r w:rsidRPr="00E3331A">
              <w:rPr>
                <w:snapToGrid w:val="0"/>
                <w:lang w:eastAsia="en-US"/>
              </w:rPr>
              <w:t>IVIg</w:t>
            </w:r>
          </w:p>
          <w:p w:rsidR="008475E5" w:rsidRPr="00E3331A" w:rsidRDefault="008475E5" w:rsidP="00CD0563">
            <w:pPr>
              <w:pStyle w:val="TableHeading"/>
              <w:ind w:left="111" w:right="117"/>
              <w:jc w:val="center"/>
              <w:rPr>
                <w:snapToGrid w:val="0"/>
                <w:lang w:eastAsia="en-US"/>
              </w:rPr>
            </w:pPr>
            <w:r w:rsidRPr="00E3331A">
              <w:rPr>
                <w:snapToGrid w:val="0"/>
                <w:lang w:eastAsia="en-US"/>
              </w:rPr>
              <w:t>n/N (%)</w:t>
            </w:r>
          </w:p>
          <w:p w:rsidR="008475E5" w:rsidRPr="00E3331A" w:rsidRDefault="008475E5" w:rsidP="00CD0563">
            <w:pPr>
              <w:pStyle w:val="TableHeading"/>
              <w:ind w:left="111" w:right="117"/>
              <w:jc w:val="center"/>
              <w:rPr>
                <w:snapToGrid w:val="0"/>
                <w:lang w:eastAsia="en-US"/>
              </w:rPr>
            </w:pPr>
            <w:r w:rsidRPr="00E3331A">
              <w:rPr>
                <w:snapToGrid w:val="0"/>
                <w:lang w:eastAsia="en-US"/>
              </w:rPr>
              <w:t>Any AE</w:t>
            </w:r>
          </w:p>
          <w:p w:rsidR="008475E5" w:rsidRPr="00E3331A" w:rsidRDefault="008475E5" w:rsidP="00CD0563">
            <w:pPr>
              <w:pStyle w:val="TableHeading"/>
              <w:ind w:left="111" w:right="117"/>
              <w:jc w:val="center"/>
              <w:rPr>
                <w:snapToGrid w:val="0"/>
                <w:lang w:eastAsia="en-US"/>
              </w:rPr>
            </w:pPr>
            <w:r w:rsidRPr="00E3331A">
              <w:rPr>
                <w:snapToGrid w:val="0"/>
                <w:lang w:eastAsia="en-US"/>
              </w:rPr>
              <w:t>Serious AE</w:t>
            </w:r>
          </w:p>
        </w:tc>
        <w:tc>
          <w:tcPr>
            <w:tcW w:w="1042" w:type="pct"/>
            <w:shd w:val="clear" w:color="auto" w:fill="auto"/>
          </w:tcPr>
          <w:p w:rsidR="008475E5" w:rsidRPr="00E3331A" w:rsidRDefault="008475E5" w:rsidP="00CD0563">
            <w:pPr>
              <w:pStyle w:val="TableHeading"/>
              <w:ind w:left="111" w:right="117"/>
              <w:jc w:val="center"/>
              <w:rPr>
                <w:snapToGrid w:val="0"/>
                <w:lang w:eastAsia="en-US"/>
              </w:rPr>
            </w:pPr>
            <w:r w:rsidRPr="00E3331A">
              <w:rPr>
                <w:snapToGrid w:val="0"/>
                <w:lang w:eastAsia="en-US"/>
              </w:rPr>
              <w:t>Placebo</w:t>
            </w:r>
          </w:p>
          <w:p w:rsidR="008475E5" w:rsidRPr="00E3331A" w:rsidRDefault="008475E5" w:rsidP="00CD0563">
            <w:pPr>
              <w:pStyle w:val="TableHeading"/>
              <w:ind w:left="111" w:right="117"/>
              <w:jc w:val="center"/>
              <w:rPr>
                <w:snapToGrid w:val="0"/>
                <w:lang w:eastAsia="en-US"/>
              </w:rPr>
            </w:pPr>
            <w:r w:rsidRPr="00E3331A">
              <w:rPr>
                <w:snapToGrid w:val="0"/>
                <w:lang w:eastAsia="en-US"/>
              </w:rPr>
              <w:t>n/N (%)</w:t>
            </w:r>
          </w:p>
          <w:p w:rsidR="008475E5" w:rsidRPr="00E3331A" w:rsidRDefault="008475E5" w:rsidP="00CD0563">
            <w:pPr>
              <w:pStyle w:val="TableHeading"/>
              <w:ind w:left="111" w:right="117"/>
              <w:jc w:val="center"/>
              <w:rPr>
                <w:snapToGrid w:val="0"/>
                <w:lang w:eastAsia="en-US"/>
              </w:rPr>
            </w:pPr>
            <w:r w:rsidRPr="00E3331A">
              <w:rPr>
                <w:snapToGrid w:val="0"/>
                <w:lang w:eastAsia="en-US"/>
              </w:rPr>
              <w:t>Any AE</w:t>
            </w:r>
          </w:p>
          <w:p w:rsidR="008475E5" w:rsidRPr="00E3331A" w:rsidRDefault="008475E5" w:rsidP="00CD0563">
            <w:pPr>
              <w:pStyle w:val="TableHeading"/>
              <w:ind w:left="111" w:right="117"/>
              <w:jc w:val="center"/>
              <w:rPr>
                <w:snapToGrid w:val="0"/>
                <w:lang w:eastAsia="en-US"/>
              </w:rPr>
            </w:pPr>
            <w:r w:rsidRPr="00E3331A">
              <w:rPr>
                <w:snapToGrid w:val="0"/>
                <w:lang w:eastAsia="en-US"/>
              </w:rPr>
              <w:t>Serious AE</w:t>
            </w:r>
          </w:p>
        </w:tc>
      </w:tr>
      <w:tr w:rsidR="008475E5" w:rsidRPr="00E3331A" w:rsidTr="00CD0563">
        <w:tc>
          <w:tcPr>
            <w:tcW w:w="988" w:type="pct"/>
            <w:tcBorders>
              <w:bottom w:val="single" w:sz="4" w:space="0" w:color="auto"/>
            </w:tcBorders>
            <w:shd w:val="clear" w:color="auto" w:fill="auto"/>
            <w:vAlign w:val="center"/>
          </w:tcPr>
          <w:p w:rsidR="008475E5" w:rsidRPr="00E3331A" w:rsidRDefault="008475E5" w:rsidP="00CD0563">
            <w:pPr>
              <w:pStyle w:val="TableText0"/>
              <w:rPr>
                <w:snapToGrid w:val="0"/>
              </w:rPr>
            </w:pPr>
            <w:r w:rsidRPr="00E3331A">
              <w:rPr>
                <w:snapToGrid w:val="0"/>
              </w:rPr>
              <w:t>Hughes 2008</w:t>
            </w:r>
          </w:p>
        </w:tc>
        <w:tc>
          <w:tcPr>
            <w:tcW w:w="886" w:type="pct"/>
            <w:tcBorders>
              <w:bottom w:val="single" w:sz="4" w:space="0" w:color="auto"/>
            </w:tcBorders>
          </w:tcPr>
          <w:p w:rsidR="008475E5" w:rsidRPr="00E3331A" w:rsidRDefault="008475E5" w:rsidP="00CD0563">
            <w:pPr>
              <w:pStyle w:val="TableText0"/>
              <w:ind w:right="117"/>
              <w:jc w:val="center"/>
              <w:rPr>
                <w:snapToGrid w:val="0"/>
              </w:rPr>
            </w:pPr>
            <w:r w:rsidRPr="00E3331A">
              <w:rPr>
                <w:snapToGrid w:val="0"/>
              </w:rPr>
              <w:t xml:space="preserve">High </w:t>
            </w:r>
          </w:p>
          <w:p w:rsidR="008475E5" w:rsidRPr="00E3331A" w:rsidRDefault="008475E5" w:rsidP="00CD0563">
            <w:pPr>
              <w:pStyle w:val="TableText0"/>
              <w:ind w:right="117"/>
              <w:jc w:val="center"/>
              <w:rPr>
                <w:snapToGrid w:val="0"/>
              </w:rPr>
            </w:pPr>
            <w:r w:rsidRPr="00E3331A">
              <w:rPr>
                <w:snapToGrid w:val="0"/>
              </w:rPr>
              <w:t>(at least 24 weeks)</w:t>
            </w:r>
          </w:p>
        </w:tc>
        <w:tc>
          <w:tcPr>
            <w:tcW w:w="1042" w:type="pct"/>
            <w:tcBorders>
              <w:bottom w:val="single" w:sz="4" w:space="0" w:color="auto"/>
            </w:tcBorders>
            <w:shd w:val="clear" w:color="auto" w:fill="auto"/>
            <w:vAlign w:val="center"/>
          </w:tcPr>
          <w:p w:rsidR="008475E5" w:rsidRPr="00E3331A" w:rsidRDefault="008475E5" w:rsidP="00CD0563">
            <w:pPr>
              <w:pStyle w:val="TableText0"/>
              <w:ind w:left="111" w:right="117"/>
              <w:jc w:val="center"/>
              <w:rPr>
                <w:snapToGrid w:val="0"/>
              </w:rPr>
            </w:pPr>
            <w:r w:rsidRPr="00E3331A">
              <w:rPr>
                <w:snapToGrid w:val="0"/>
              </w:rPr>
              <w:t>IVIg versus placebo</w:t>
            </w:r>
          </w:p>
        </w:tc>
        <w:tc>
          <w:tcPr>
            <w:tcW w:w="1042" w:type="pct"/>
            <w:tcBorders>
              <w:bottom w:val="single" w:sz="4" w:space="0" w:color="auto"/>
            </w:tcBorders>
            <w:shd w:val="clear" w:color="auto" w:fill="auto"/>
            <w:vAlign w:val="center"/>
          </w:tcPr>
          <w:p w:rsidR="008475E5" w:rsidRPr="00E3331A" w:rsidRDefault="008475E5" w:rsidP="00CD0563">
            <w:pPr>
              <w:pStyle w:val="TableText0"/>
              <w:ind w:left="77" w:right="117"/>
              <w:jc w:val="center"/>
              <w:rPr>
                <w:snapToGrid w:val="0"/>
              </w:rPr>
            </w:pPr>
            <w:r w:rsidRPr="00E3331A">
              <w:rPr>
                <w:snapToGrid w:val="0"/>
              </w:rPr>
              <w:t>85/113 (75%)</w:t>
            </w:r>
          </w:p>
          <w:p w:rsidR="008475E5" w:rsidRPr="00E3331A" w:rsidRDefault="008475E5" w:rsidP="00CD0563">
            <w:pPr>
              <w:pStyle w:val="TableText0"/>
              <w:ind w:left="77" w:right="117"/>
              <w:jc w:val="center"/>
              <w:rPr>
                <w:snapToGrid w:val="0"/>
              </w:rPr>
            </w:pPr>
            <w:r w:rsidRPr="00E3331A">
              <w:rPr>
                <w:snapToGrid w:val="0"/>
              </w:rPr>
              <w:t>6/113 (5%)</w:t>
            </w:r>
          </w:p>
        </w:tc>
        <w:tc>
          <w:tcPr>
            <w:tcW w:w="1042" w:type="pct"/>
            <w:tcBorders>
              <w:bottom w:val="single" w:sz="4" w:space="0" w:color="auto"/>
            </w:tcBorders>
            <w:shd w:val="clear" w:color="auto" w:fill="auto"/>
            <w:vAlign w:val="center"/>
          </w:tcPr>
          <w:p w:rsidR="008475E5" w:rsidRPr="00E3331A" w:rsidRDefault="008475E5" w:rsidP="00CD0563">
            <w:pPr>
              <w:pStyle w:val="TableText0"/>
              <w:ind w:right="117"/>
              <w:jc w:val="center"/>
              <w:rPr>
                <w:snapToGrid w:val="0"/>
              </w:rPr>
            </w:pPr>
            <w:r w:rsidRPr="00E3331A">
              <w:rPr>
                <w:snapToGrid w:val="0"/>
              </w:rPr>
              <w:t>45/95 (47%)</w:t>
            </w:r>
          </w:p>
          <w:p w:rsidR="008475E5" w:rsidRPr="00E3331A" w:rsidRDefault="008475E5" w:rsidP="00CD0563">
            <w:pPr>
              <w:pStyle w:val="TableText0"/>
              <w:ind w:right="117"/>
              <w:jc w:val="center"/>
              <w:rPr>
                <w:snapToGrid w:val="0"/>
              </w:rPr>
            </w:pPr>
            <w:r w:rsidRPr="00E3331A">
              <w:rPr>
                <w:snapToGrid w:val="0"/>
              </w:rPr>
              <w:t>8/95 (8%)</w:t>
            </w:r>
          </w:p>
        </w:tc>
      </w:tr>
    </w:tbl>
    <w:p w:rsidR="008475E5" w:rsidRPr="00E3331A" w:rsidRDefault="008475E5" w:rsidP="008475E5">
      <w:r w:rsidRPr="00E3331A">
        <w:rPr>
          <w:rFonts w:ascii="Arial Narrow" w:hAnsi="Arial Narrow" w:cs="Arial"/>
          <w:snapToGrid w:val="0"/>
          <w:sz w:val="18"/>
          <w:szCs w:val="20"/>
          <w:lang w:eastAsia="en-US"/>
        </w:rPr>
        <w:t>AE: adverse event</w:t>
      </w:r>
    </w:p>
    <w:p w:rsidR="008475E5" w:rsidRPr="00E3331A" w:rsidRDefault="008475E5" w:rsidP="008475E5">
      <w:pPr>
        <w:pStyle w:val="Heading3"/>
        <w:jc w:val="both"/>
      </w:pPr>
      <w:bookmarkStart w:id="243" w:name="_Toc24103462"/>
      <w:r w:rsidRPr="00E3331A">
        <w:t>IVIg versus other active treatments</w:t>
      </w:r>
      <w:bookmarkEnd w:id="243"/>
    </w:p>
    <w:p w:rsidR="008475E5" w:rsidRPr="00E3331A" w:rsidRDefault="008475E5" w:rsidP="008475E5">
      <w:r w:rsidRPr="00E3331A">
        <w:t xml:space="preserve">No direct comparisons can be made between the safety of IVIg and plasma exchange, immunoadsorption or alternative immunosuppressive pharmacotherapy (azathioprine, </w:t>
      </w:r>
      <w:r w:rsidRPr="00E3331A">
        <w:lastRenderedPageBreak/>
        <w:t>methotrexate, cyclosporin, rituximab etc.) owing to poor reporting and/or a lack of identified studies. The extended assessment of harms contains information on these treatment options.</w:t>
      </w:r>
    </w:p>
    <w:p w:rsidR="008475E5" w:rsidRPr="00E3331A" w:rsidRDefault="008475E5" w:rsidP="008475E5">
      <w:pPr>
        <w:pStyle w:val="Heading3"/>
        <w:jc w:val="both"/>
      </w:pPr>
      <w:bookmarkStart w:id="244" w:name="_Toc24103463"/>
      <w:r w:rsidRPr="00E3331A">
        <w:t>Nature of the adverse events reported in any randomised controlled trial</w:t>
      </w:r>
      <w:bookmarkEnd w:id="244"/>
    </w:p>
    <w:p w:rsidR="008475E5" w:rsidRPr="00E3331A" w:rsidRDefault="008348FD" w:rsidP="008475E5">
      <w:r w:rsidRPr="00E3331A">
        <w:t xml:space="preserve">Adverse </w:t>
      </w:r>
      <w:r w:rsidR="008475E5" w:rsidRPr="00E3331A">
        <w:t xml:space="preserve">events occurring within the included studies have been categorised according to the Common Terminology Criteria for Adverse Events classification </w:t>
      </w:r>
      <w:r w:rsidR="00B85C75">
        <w:rPr>
          <w:noProof/>
        </w:rPr>
        <w:t>(NCI 2018)</w:t>
      </w:r>
      <w:r w:rsidR="008475E5" w:rsidRPr="00E3331A">
        <w:t>.</w:t>
      </w:r>
      <w:r w:rsidR="00345C95" w:rsidRPr="00E3331A">
        <w:t xml:space="preserve"> </w:t>
      </w:r>
      <w:bookmarkStart w:id="245" w:name="_Hlk8569336"/>
      <w:r w:rsidR="008475E5" w:rsidRPr="00E3331A">
        <w:t>This allows for consideration of all of the high</w:t>
      </w:r>
      <w:r w:rsidRPr="00E3331A">
        <w:t>-</w:t>
      </w:r>
      <w:r w:rsidR="008475E5" w:rsidRPr="00E3331A">
        <w:t xml:space="preserve">level evidence associated with </w:t>
      </w:r>
      <w:r w:rsidRPr="00E3331A">
        <w:t xml:space="preserve">each </w:t>
      </w:r>
      <w:r w:rsidR="008475E5" w:rsidRPr="00E3331A">
        <w:t xml:space="preserve">intervention </w:t>
      </w:r>
      <w:r w:rsidRPr="00E3331A">
        <w:t xml:space="preserve">across the RCTs in order to construct </w:t>
      </w:r>
      <w:r w:rsidR="008475E5" w:rsidRPr="00E3331A">
        <w:t xml:space="preserve">adverse event </w:t>
      </w:r>
      <w:r w:rsidRPr="00E3331A">
        <w:t xml:space="preserve">profiles </w:t>
      </w:r>
      <w:r w:rsidR="008475E5" w:rsidRPr="00E3331A">
        <w:t xml:space="preserve">of different interventions. This </w:t>
      </w:r>
      <w:r w:rsidRPr="00E3331A">
        <w:t>analysis</w:t>
      </w:r>
      <w:r w:rsidR="008475E5" w:rsidRPr="00E3331A">
        <w:t xml:space="preserve"> </w:t>
      </w:r>
      <w:r w:rsidRPr="00E3331A">
        <w:t xml:space="preserve">is </w:t>
      </w:r>
      <w:r w:rsidR="008475E5" w:rsidRPr="00E3331A">
        <w:t xml:space="preserve">provided for information purposes only and no statistical comparison across interventions can be made. </w:t>
      </w:r>
      <w:r w:rsidR="006F35B9" w:rsidRPr="00E3331A">
        <w:t xml:space="preserve">Table </w:t>
      </w:r>
      <w:r w:rsidR="006F35B9">
        <w:rPr>
          <w:noProof/>
        </w:rPr>
        <w:t>28</w:t>
      </w:r>
      <w:r w:rsidR="008475E5" w:rsidRPr="00E3331A">
        <w:t xml:space="preserve"> lists all adverse events that occurred in one or more patients in any treatment arm of the included studies. Events are categorised according </w:t>
      </w:r>
      <w:r w:rsidR="00BA1AC7" w:rsidRPr="00E3331A">
        <w:t xml:space="preserve">to </w:t>
      </w:r>
      <w:r w:rsidR="008475E5" w:rsidRPr="00E3331A">
        <w:t xml:space="preserve">system and the same patient may contribute multiple times to the table if </w:t>
      </w:r>
      <w:r w:rsidR="00BA1AC7" w:rsidRPr="00E3331A">
        <w:t xml:space="preserve">multiple adverse events were </w:t>
      </w:r>
      <w:r w:rsidR="008475E5" w:rsidRPr="00E3331A">
        <w:t xml:space="preserve">experienced. </w:t>
      </w:r>
    </w:p>
    <w:p w:rsidR="008475E5" w:rsidRPr="00E3331A" w:rsidRDefault="008475E5" w:rsidP="008475E5">
      <w:r w:rsidRPr="00E3331A">
        <w:t>Considering the nature of the adverse events occurring across the included studies</w:t>
      </w:r>
      <w:r w:rsidR="002A0C24" w:rsidRPr="00E3331A">
        <w:t>,</w:t>
      </w:r>
      <w:r w:rsidRPr="00E3331A">
        <w:t xml:space="preserve"> the single most frequent adverse event associated with IVIg was headache (33% of all patients), followed by fever (14%), chills (9%), nausea (8%) and rash (5%). Other adverse events</w:t>
      </w:r>
      <w:r w:rsidR="002A0C24" w:rsidRPr="00E3331A">
        <w:t xml:space="preserve"> </w:t>
      </w:r>
      <w:r w:rsidRPr="00E3331A">
        <w:t>occurred in less than 5</w:t>
      </w:r>
      <w:r w:rsidR="002A0C24" w:rsidRPr="00E3331A">
        <w:t>%</w:t>
      </w:r>
      <w:r w:rsidRPr="00E3331A">
        <w:t xml:space="preserve"> of patients. These events were rarely reported as reasons for discontinuation and </w:t>
      </w:r>
      <w:r w:rsidR="002A0C24" w:rsidRPr="00E3331A">
        <w:t xml:space="preserve">were </w:t>
      </w:r>
      <w:r w:rsidRPr="00E3331A">
        <w:t>typically transient or isolated events. Steroids were associated with a different profile of adverse events, typically metabolic or psychiatric in nature</w:t>
      </w:r>
      <w:r w:rsidR="002A0C24" w:rsidRPr="00E3331A">
        <w:t>.</w:t>
      </w:r>
      <w:r w:rsidRPr="00E3331A">
        <w:t xml:space="preserve"> </w:t>
      </w:r>
      <w:r w:rsidR="002A0C24" w:rsidRPr="00E3331A">
        <w:t>F</w:t>
      </w:r>
      <w:r w:rsidRPr="00E3331A">
        <w:t xml:space="preserve">requent adverse events </w:t>
      </w:r>
      <w:r w:rsidR="004B5B83" w:rsidRPr="00E3331A">
        <w:t>included</w:t>
      </w:r>
      <w:r w:rsidRPr="00E3331A">
        <w:t xml:space="preserve"> insomnia and mood changes (</w:t>
      </w:r>
      <w:r w:rsidR="002A0C24" w:rsidRPr="00E3331A">
        <w:t xml:space="preserve">both </w:t>
      </w:r>
      <w:r w:rsidRPr="00E3331A">
        <w:t xml:space="preserve">25%), weight gain (24%), indigestion (20%), increased appetite (19%), </w:t>
      </w:r>
      <w:r w:rsidR="00A07838">
        <w:t>Cushing</w:t>
      </w:r>
      <w:r w:rsidRPr="00E3331A">
        <w:t xml:space="preserve"> appearance (18%), unspecified (15%), minor infections and hypertension (both 9%), acne and headache (both 8%), skin thinning (6%) and delayed wound healing (5%). There was insufficient data on other active comparators to inform this table, however, as noted earlier there were isolated adverse events reported in studies on plasma exchange including one cardiac event (myocardial infarction), one vascular event (stroke) and one infection (of indwelling catheter). </w:t>
      </w:r>
      <w:bookmarkEnd w:id="245"/>
      <w:r w:rsidRPr="00E3331A">
        <w:t>Since it was unclear whether these were the only adverse events in these studies or only those deemed notable by authors</w:t>
      </w:r>
      <w:r w:rsidR="0057647B" w:rsidRPr="00E3331A">
        <w:t>,</w:t>
      </w:r>
      <w:r w:rsidRPr="00E3331A">
        <w:t xml:space="preserve"> no true proportion can be calculated. </w:t>
      </w:r>
      <w:bookmarkStart w:id="246" w:name="_Hlk8570670"/>
      <w:r w:rsidRPr="00E3331A">
        <w:t>Adverse events with placebo were less frequently reported</w:t>
      </w:r>
      <w:r w:rsidR="0057647B" w:rsidRPr="00E3331A">
        <w:t>, with the</w:t>
      </w:r>
      <w:r w:rsidRPr="00E3331A">
        <w:t xml:space="preserve"> only two consistently </w:t>
      </w:r>
      <w:r w:rsidR="0057647B" w:rsidRPr="00E3331A">
        <w:t xml:space="preserve">reported </w:t>
      </w:r>
      <w:r w:rsidRPr="00E3331A">
        <w:t>being headache (15%) and hypertension (5%).</w:t>
      </w:r>
      <w:bookmarkEnd w:id="246"/>
    </w:p>
    <w:p w:rsidR="008475E5" w:rsidRPr="00E3331A" w:rsidRDefault="008475E5" w:rsidP="008475E5">
      <w:pPr>
        <w:sectPr w:rsidR="008475E5" w:rsidRPr="00E3331A" w:rsidSect="004C5A84">
          <w:type w:val="oddPage"/>
          <w:pgSz w:w="11906" w:h="16838"/>
          <w:pgMar w:top="1440" w:right="1440" w:bottom="1440" w:left="1440" w:header="720" w:footer="720" w:gutter="0"/>
          <w:paperSrc w:first="2" w:other="2"/>
          <w:cols w:space="720"/>
        </w:sectPr>
      </w:pPr>
      <w:r w:rsidRPr="00E3331A">
        <w:t xml:space="preserve">The extended assessment of harms </w:t>
      </w:r>
      <w:r w:rsidR="00B0233F" w:rsidRPr="00E3331A">
        <w:t>s</w:t>
      </w:r>
      <w:r w:rsidRPr="00E3331A">
        <w:t>ection</w:t>
      </w:r>
      <w:r w:rsidR="00B0233F" w:rsidRPr="00E3331A">
        <w:t xml:space="preserve"> (Section B.7)</w:t>
      </w:r>
      <w:r w:rsidRPr="00E3331A">
        <w:t xml:space="preserve"> considers these events in as well as those reported in</w:t>
      </w:r>
      <w:r w:rsidR="00345C95" w:rsidRPr="00E3331A">
        <w:t xml:space="preserve"> </w:t>
      </w:r>
      <w:r w:rsidRPr="00E3331A">
        <w:t xml:space="preserve">observational series across a broader range of interventions. </w:t>
      </w:r>
    </w:p>
    <w:p w:rsidR="008475E5" w:rsidRPr="00E3331A" w:rsidRDefault="008475E5" w:rsidP="008475E5">
      <w:pPr>
        <w:pStyle w:val="Caption"/>
      </w:pPr>
      <w:bookmarkStart w:id="247" w:name="_Ref8568879"/>
      <w:bookmarkStart w:id="248" w:name="_Toc9796900"/>
      <w:bookmarkStart w:id="249" w:name="_Toc24103334"/>
      <w:r w:rsidRPr="00E3331A">
        <w:lastRenderedPageBreak/>
        <w:t xml:space="preserve">Table </w:t>
      </w:r>
      <w:r w:rsidR="006F35B9">
        <w:rPr>
          <w:noProof/>
        </w:rPr>
        <w:t>28</w:t>
      </w:r>
      <w:bookmarkEnd w:id="247"/>
      <w:r w:rsidRPr="00E3331A">
        <w:tab/>
        <w:t>Nature of the adverse events reported by the randomised controlled trials</w:t>
      </w:r>
      <w:bookmarkEnd w:id="248"/>
      <w:bookmarkEnd w:id="2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328"/>
        <w:gridCol w:w="3328"/>
        <w:gridCol w:w="3328"/>
      </w:tblGrid>
      <w:tr w:rsidR="00281EC2" w:rsidRPr="00E3331A" w:rsidTr="0007007F">
        <w:tc>
          <w:tcPr>
            <w:tcW w:w="1421"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System</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AE</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AEs reported in patients receiving IVIg of any dose and frequency</w:t>
            </w:r>
          </w:p>
          <w:p w:rsidR="008475E5" w:rsidRPr="00E3331A" w:rsidRDefault="008475E5" w:rsidP="0007007F">
            <w:pPr>
              <w:spacing w:after="0" w:line="240" w:lineRule="auto"/>
              <w:rPr>
                <w:rFonts w:ascii="Arial Narrow" w:eastAsia="Calibri" w:hAnsi="Arial Narrow" w:cs="Times New Roman"/>
                <w:b/>
                <w:sz w:val="20"/>
                <w:szCs w:val="20"/>
                <w:lang w:eastAsia="en-US"/>
              </w:rPr>
            </w:pPr>
          </w:p>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Studies = 4, N</w:t>
            </w:r>
            <w:r w:rsidR="00F96F1E" w:rsidRPr="00E3331A">
              <w:rPr>
                <w:rFonts w:ascii="Arial Narrow" w:eastAsia="Calibri" w:hAnsi="Arial Narrow" w:cs="Times New Roman"/>
                <w:b/>
                <w:sz w:val="20"/>
                <w:szCs w:val="20"/>
                <w:lang w:eastAsia="en-US"/>
              </w:rPr>
              <w:t xml:space="preserve"> </w:t>
            </w:r>
            <w:r w:rsidRPr="00E3331A">
              <w:rPr>
                <w:rFonts w:ascii="Arial Narrow" w:eastAsia="Calibri" w:hAnsi="Arial Narrow" w:cs="Times New Roman"/>
                <w:b/>
                <w:sz w:val="20"/>
                <w:szCs w:val="20"/>
                <w:lang w:eastAsia="en-US"/>
              </w:rPr>
              <w:t>= 197</w:t>
            </w:r>
            <w:r w:rsidRPr="00E3331A">
              <w:rPr>
                <w:rStyle w:val="FootnoteReference"/>
                <w:rFonts w:ascii="Arial Narrow" w:eastAsia="Calibri" w:hAnsi="Arial Narrow" w:cs="Times New Roman"/>
                <w:b/>
                <w:sz w:val="20"/>
                <w:szCs w:val="20"/>
                <w:lang w:eastAsia="en-US"/>
              </w:rPr>
              <w:footnoteReference w:id="7"/>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AEs in patient receiving intravenous methylprednisolone, pulsed dexamethasone or oral prednisone</w:t>
            </w:r>
          </w:p>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Studies = 3, N</w:t>
            </w:r>
            <w:r w:rsidR="00037FB8" w:rsidRPr="00E3331A">
              <w:rPr>
                <w:rFonts w:ascii="Arial Narrow" w:eastAsia="Calibri" w:hAnsi="Arial Narrow" w:cs="Times New Roman"/>
                <w:b/>
                <w:sz w:val="20"/>
                <w:szCs w:val="20"/>
                <w:lang w:eastAsia="en-US"/>
              </w:rPr>
              <w:t xml:space="preserve"> </w:t>
            </w:r>
            <w:r w:rsidRPr="00E3331A">
              <w:rPr>
                <w:rFonts w:ascii="Arial Narrow" w:eastAsia="Calibri" w:hAnsi="Arial Narrow" w:cs="Times New Roman"/>
                <w:b/>
                <w:sz w:val="20"/>
                <w:szCs w:val="20"/>
                <w:lang w:eastAsia="en-US"/>
              </w:rPr>
              <w:t>=</w:t>
            </w:r>
            <w:r w:rsidR="00037FB8" w:rsidRPr="00E3331A">
              <w:rPr>
                <w:rFonts w:ascii="Arial Narrow" w:eastAsia="Calibri" w:hAnsi="Arial Narrow" w:cs="Times New Roman"/>
                <w:b/>
                <w:sz w:val="20"/>
                <w:szCs w:val="20"/>
                <w:lang w:eastAsia="en-US"/>
              </w:rPr>
              <w:t xml:space="preserve"> </w:t>
            </w:r>
            <w:r w:rsidRPr="00E3331A">
              <w:rPr>
                <w:rFonts w:ascii="Arial Narrow" w:eastAsia="Calibri" w:hAnsi="Arial Narrow" w:cs="Times New Roman"/>
                <w:b/>
                <w:sz w:val="20"/>
                <w:szCs w:val="20"/>
                <w:lang w:eastAsia="en-US"/>
              </w:rPr>
              <w:t>88</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AEs in patients receiving placebo</w:t>
            </w:r>
          </w:p>
          <w:p w:rsidR="008475E5" w:rsidRPr="00E3331A" w:rsidRDefault="008475E5" w:rsidP="0007007F">
            <w:pPr>
              <w:spacing w:after="0" w:line="240" w:lineRule="auto"/>
              <w:rPr>
                <w:rFonts w:ascii="Arial Narrow" w:eastAsia="Calibri" w:hAnsi="Arial Narrow" w:cs="Times New Roman"/>
                <w:b/>
                <w:sz w:val="20"/>
                <w:szCs w:val="20"/>
                <w:lang w:eastAsia="en-US"/>
              </w:rPr>
            </w:pPr>
          </w:p>
          <w:p w:rsidR="008475E5" w:rsidRPr="00E3331A" w:rsidRDefault="008475E5" w:rsidP="0007007F">
            <w:pPr>
              <w:spacing w:after="0" w:line="240" w:lineRule="auto"/>
              <w:rPr>
                <w:rFonts w:ascii="Arial Narrow" w:eastAsia="Calibri" w:hAnsi="Arial Narrow" w:cs="Times New Roman"/>
                <w:b/>
                <w:sz w:val="20"/>
                <w:szCs w:val="20"/>
                <w:lang w:eastAsia="en-US"/>
              </w:rPr>
            </w:pPr>
          </w:p>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Studies</w:t>
            </w:r>
            <w:r w:rsidR="00037FB8" w:rsidRPr="00E3331A">
              <w:rPr>
                <w:rFonts w:ascii="Arial Narrow" w:eastAsia="Calibri" w:hAnsi="Arial Narrow" w:cs="Times New Roman"/>
                <w:b/>
                <w:sz w:val="20"/>
                <w:szCs w:val="20"/>
                <w:lang w:eastAsia="en-US"/>
              </w:rPr>
              <w:t xml:space="preserve"> </w:t>
            </w:r>
            <w:r w:rsidRPr="00E3331A">
              <w:rPr>
                <w:rFonts w:ascii="Arial Narrow" w:eastAsia="Calibri" w:hAnsi="Arial Narrow" w:cs="Times New Roman"/>
                <w:b/>
                <w:sz w:val="20"/>
                <w:szCs w:val="20"/>
                <w:lang w:eastAsia="en-US"/>
              </w:rPr>
              <w:t>=</w:t>
            </w:r>
            <w:r w:rsidR="00037FB8" w:rsidRPr="00E3331A">
              <w:rPr>
                <w:rFonts w:ascii="Arial Narrow" w:eastAsia="Calibri" w:hAnsi="Arial Narrow" w:cs="Times New Roman"/>
                <w:b/>
                <w:sz w:val="20"/>
                <w:szCs w:val="20"/>
                <w:lang w:eastAsia="en-US"/>
              </w:rPr>
              <w:t xml:space="preserve"> </w:t>
            </w:r>
            <w:r w:rsidRPr="00E3331A">
              <w:rPr>
                <w:rFonts w:ascii="Arial Narrow" w:eastAsia="Calibri" w:hAnsi="Arial Narrow" w:cs="Times New Roman"/>
                <w:b/>
                <w:sz w:val="20"/>
                <w:szCs w:val="20"/>
                <w:lang w:eastAsia="en-US"/>
              </w:rPr>
              <w:t>2, N</w:t>
            </w:r>
            <w:r w:rsidR="00037FB8" w:rsidRPr="00E3331A">
              <w:rPr>
                <w:rFonts w:ascii="Arial Narrow" w:eastAsia="Calibri" w:hAnsi="Arial Narrow" w:cs="Times New Roman"/>
                <w:b/>
                <w:sz w:val="20"/>
                <w:szCs w:val="20"/>
                <w:lang w:eastAsia="en-US"/>
              </w:rPr>
              <w:t xml:space="preserve"> </w:t>
            </w:r>
            <w:r w:rsidRPr="00E3331A">
              <w:rPr>
                <w:rFonts w:ascii="Arial Narrow" w:eastAsia="Calibri" w:hAnsi="Arial Narrow" w:cs="Times New Roman"/>
                <w:b/>
                <w:sz w:val="20"/>
                <w:szCs w:val="20"/>
                <w:lang w:eastAsia="en-US"/>
              </w:rPr>
              <w:t>= 118</w:t>
            </w:r>
          </w:p>
        </w:tc>
      </w:tr>
      <w:tr w:rsidR="00281EC2" w:rsidRPr="00E3331A" w:rsidTr="0007007F">
        <w:tc>
          <w:tcPr>
            <w:tcW w:w="1421" w:type="pct"/>
            <w:tcBorders>
              <w:right w:val="nil"/>
            </w:tcBorders>
            <w:shd w:val="clear" w:color="auto" w:fill="F2F2F2"/>
          </w:tcPr>
          <w:p w:rsidR="008475E5" w:rsidRPr="00E3331A" w:rsidRDefault="008475E5" w:rsidP="0007007F">
            <w:pPr>
              <w:spacing w:after="0" w:line="240" w:lineRule="auto"/>
              <w:rPr>
                <w:rFonts w:ascii="Arial Narrow" w:eastAsia="Calibri" w:hAnsi="Arial Narrow" w:cs="Calibri"/>
                <w:b/>
                <w:sz w:val="20"/>
                <w:szCs w:val="20"/>
                <w:lang w:eastAsia="en-US"/>
              </w:rPr>
            </w:pPr>
            <w:r w:rsidRPr="00E3331A">
              <w:rPr>
                <w:rFonts w:ascii="Arial Narrow" w:eastAsia="Calibri" w:hAnsi="Arial Narrow" w:cs="Calibri"/>
                <w:b/>
                <w:sz w:val="20"/>
                <w:szCs w:val="20"/>
                <w:lang w:eastAsia="en-US"/>
              </w:rPr>
              <w:t>Cardiac disorders</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2/197 (1%)</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0</w:t>
            </w:r>
          </w:p>
        </w:tc>
        <w:tc>
          <w:tcPr>
            <w:tcW w:w="1193" w:type="pct"/>
            <w:tcBorders>
              <w:lef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0</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Cardiac arrest</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i/>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00B0233F" w:rsidRPr="00E3331A">
              <w:rPr>
                <w:rFonts w:ascii="Arial Narrow" w:eastAsia="Calibri" w:hAnsi="Arial Narrow" w:cs="Times New Roman"/>
                <w:sz w:val="20"/>
                <w:szCs w:val="20"/>
                <w:lang w:eastAsia="en-US"/>
              </w:rPr>
              <w:t>O</w:t>
            </w:r>
            <w:r w:rsidRPr="00E3331A">
              <w:rPr>
                <w:rFonts w:ascii="Arial Narrow" w:eastAsia="Calibri" w:hAnsi="Arial Narrow" w:cs="Times New Roman"/>
                <w:sz w:val="20"/>
                <w:szCs w:val="20"/>
                <w:lang w:eastAsia="en-US"/>
              </w:rPr>
              <w:t xml:space="preserve">razio 2012: 1/24 (4%) </w:t>
            </w:r>
            <w:r w:rsidRPr="00E3331A">
              <w:rPr>
                <w:rFonts w:ascii="Arial Narrow" w:eastAsia="Calibri" w:hAnsi="Arial Narrow" w:cs="Times New Roman"/>
                <w:i/>
                <w:sz w:val="20"/>
                <w:szCs w:val="20"/>
                <w:lang w:eastAsia="en-US"/>
              </w:rPr>
              <w:t>fatal</w:t>
            </w:r>
            <w:r w:rsidRPr="00E3331A">
              <w:rPr>
                <w:rFonts w:ascii="Arial Narrow" w:eastAsia="Calibri" w:hAnsi="Arial Narrow" w:cs="Times New Roman"/>
                <w:i/>
                <w:sz w:val="20"/>
                <w:szCs w:val="20"/>
                <w:vertAlign w:val="superscript"/>
                <w:lang w:eastAsia="en-US"/>
              </w:rPr>
              <w:footnoteReference w:id="8"/>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Heart failure</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Hughes 2001: 1/30 (4%)</w:t>
            </w:r>
            <w:r w:rsidRPr="00E3331A">
              <w:rPr>
                <w:rFonts w:ascii="Arial Narrow" w:eastAsia="Calibri" w:hAnsi="Arial Narrow" w:cs="Times New Roman"/>
                <w:sz w:val="20"/>
                <w:szCs w:val="20"/>
                <w:vertAlign w:val="superscript"/>
                <w:lang w:eastAsia="en-US"/>
              </w:rPr>
              <w:footnoteReference w:id="9"/>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right w:val="nil"/>
            </w:tcBorders>
            <w:shd w:val="clear" w:color="auto" w:fill="F2F2F2"/>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b/>
                <w:sz w:val="20"/>
                <w:szCs w:val="20"/>
                <w:lang w:eastAsia="en-US"/>
              </w:rPr>
              <w:t>Eye disorders</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0</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1/88 (1%)</w:t>
            </w:r>
          </w:p>
        </w:tc>
        <w:tc>
          <w:tcPr>
            <w:tcW w:w="1193" w:type="pct"/>
            <w:tcBorders>
              <w:lef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0</w:t>
            </w:r>
          </w:p>
        </w:tc>
      </w:tr>
      <w:tr w:rsidR="00281EC2" w:rsidRPr="00E3331A" w:rsidTr="0007007F">
        <w:tc>
          <w:tcPr>
            <w:tcW w:w="1421"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Increased ocular pressure</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00B0233F" w:rsidRPr="00E3331A">
              <w:rPr>
                <w:rFonts w:ascii="Arial Narrow" w:eastAsia="Calibri" w:hAnsi="Arial Narrow" w:cs="Times New Roman"/>
                <w:sz w:val="20"/>
                <w:szCs w:val="20"/>
                <w:lang w:eastAsia="en-US"/>
              </w:rPr>
              <w:t xml:space="preserve"> Orazio </w:t>
            </w:r>
            <w:r w:rsidRPr="00E3331A">
              <w:rPr>
                <w:rFonts w:ascii="Arial Narrow" w:eastAsia="Calibri" w:hAnsi="Arial Narrow" w:cs="Times New Roman"/>
                <w:sz w:val="20"/>
                <w:szCs w:val="20"/>
                <w:lang w:eastAsia="en-US"/>
              </w:rPr>
              <w:t>2012: 0/24 (0)</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00B0233F" w:rsidRPr="00E3331A">
              <w:rPr>
                <w:rFonts w:ascii="Arial Narrow" w:eastAsia="Calibri" w:hAnsi="Arial Narrow" w:cs="Times New Roman"/>
                <w:sz w:val="20"/>
                <w:szCs w:val="20"/>
                <w:lang w:eastAsia="en-US"/>
              </w:rPr>
              <w:t xml:space="preserve"> Orazio </w:t>
            </w:r>
            <w:r w:rsidRPr="00E3331A">
              <w:rPr>
                <w:rFonts w:ascii="Arial Narrow" w:eastAsia="Calibri" w:hAnsi="Arial Narrow" w:cs="Times New Roman"/>
                <w:sz w:val="20"/>
                <w:szCs w:val="20"/>
                <w:lang w:eastAsia="en-US"/>
              </w:rPr>
              <w:t>2012: 1/21 (5%)</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right w:val="nil"/>
            </w:tcBorders>
            <w:shd w:val="clear" w:color="auto" w:fill="F2F2F2"/>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b/>
                <w:sz w:val="20"/>
                <w:szCs w:val="20"/>
                <w:lang w:eastAsia="en-US"/>
              </w:rPr>
              <w:t>Gastrointestinal disorders</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28/197 (14%)</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21/88 (24%)</w:t>
            </w:r>
          </w:p>
        </w:tc>
        <w:tc>
          <w:tcPr>
            <w:tcW w:w="1193" w:type="pct"/>
            <w:tcBorders>
              <w:lef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5/118 (4%)</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Abdominal/gastric pain</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00B0233F" w:rsidRPr="00E3331A">
              <w:rPr>
                <w:rFonts w:ascii="Arial Narrow" w:eastAsia="Calibri" w:hAnsi="Arial Narrow" w:cs="Times New Roman"/>
                <w:sz w:val="20"/>
                <w:szCs w:val="20"/>
                <w:lang w:eastAsia="en-US"/>
              </w:rPr>
              <w:t xml:space="preserve"> Orazio </w:t>
            </w:r>
            <w:r w:rsidRPr="00E3331A">
              <w:rPr>
                <w:rFonts w:ascii="Arial Narrow" w:eastAsia="Calibri" w:hAnsi="Arial Narrow" w:cs="Times New Roman"/>
                <w:sz w:val="20"/>
                <w:szCs w:val="20"/>
                <w:lang w:eastAsia="en-US"/>
              </w:rPr>
              <w:t>2012: 3/24 (12.5%)</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00B0233F" w:rsidRPr="00E3331A">
              <w:rPr>
                <w:rFonts w:ascii="Arial Narrow" w:eastAsia="Calibri" w:hAnsi="Arial Narrow" w:cs="Times New Roman"/>
                <w:sz w:val="20"/>
                <w:szCs w:val="20"/>
                <w:lang w:eastAsia="en-US"/>
              </w:rPr>
              <w:t xml:space="preserve"> Orazio </w:t>
            </w:r>
            <w:r w:rsidRPr="00E3331A">
              <w:rPr>
                <w:rFonts w:ascii="Arial Narrow" w:eastAsia="Calibri" w:hAnsi="Arial Narrow" w:cs="Times New Roman"/>
                <w:sz w:val="20"/>
                <w:szCs w:val="20"/>
                <w:lang w:eastAsia="en-US"/>
              </w:rPr>
              <w:t>2012: 2/21 (9.5%)</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Colitis</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00B0233F" w:rsidRPr="00E3331A">
              <w:rPr>
                <w:rFonts w:ascii="Arial Narrow" w:eastAsia="Calibri" w:hAnsi="Arial Narrow" w:cs="Times New Roman"/>
                <w:sz w:val="20"/>
                <w:szCs w:val="20"/>
                <w:lang w:eastAsia="en-US"/>
              </w:rPr>
              <w:t xml:space="preserve"> Orazio </w:t>
            </w:r>
            <w:r w:rsidRPr="00E3331A">
              <w:rPr>
                <w:rFonts w:ascii="Arial Narrow" w:eastAsia="Calibri" w:hAnsi="Arial Narrow" w:cs="Times New Roman"/>
                <w:sz w:val="20"/>
                <w:szCs w:val="20"/>
                <w:lang w:eastAsia="en-US"/>
              </w:rPr>
              <w:t>2012: 1/24 (4%)</w:t>
            </w:r>
            <w:r w:rsidRPr="00E3331A">
              <w:rPr>
                <w:rFonts w:ascii="Arial Narrow" w:eastAsia="Calibri" w:hAnsi="Arial Narrow" w:cs="Times New Roman"/>
                <w:sz w:val="20"/>
                <w:szCs w:val="20"/>
                <w:vertAlign w:val="superscript"/>
                <w:lang w:eastAsia="en-US"/>
              </w:rPr>
              <w:footnoteReference w:id="10"/>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00B0233F" w:rsidRPr="00E3331A">
              <w:rPr>
                <w:rFonts w:ascii="Arial Narrow" w:eastAsia="Calibri" w:hAnsi="Arial Narrow" w:cs="Times New Roman"/>
                <w:sz w:val="20"/>
                <w:szCs w:val="20"/>
                <w:lang w:eastAsia="en-US"/>
              </w:rPr>
              <w:t xml:space="preserve"> Orazio </w:t>
            </w:r>
            <w:r w:rsidRPr="00E3331A">
              <w:rPr>
                <w:rFonts w:ascii="Arial Narrow" w:eastAsia="Calibri" w:hAnsi="Arial Narrow" w:cs="Times New Roman"/>
                <w:sz w:val="20"/>
                <w:szCs w:val="20"/>
                <w:lang w:eastAsia="en-US"/>
              </w:rPr>
              <w:t>2012: 0/21 (0)</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Gastritis</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00B0233F" w:rsidRPr="00E3331A">
              <w:rPr>
                <w:rFonts w:ascii="Arial Narrow" w:eastAsia="Calibri" w:hAnsi="Arial Narrow" w:cs="Times New Roman"/>
                <w:sz w:val="20"/>
                <w:szCs w:val="20"/>
                <w:lang w:eastAsia="en-US"/>
              </w:rPr>
              <w:t xml:space="preserve"> Orazio </w:t>
            </w:r>
            <w:r w:rsidRPr="00E3331A">
              <w:rPr>
                <w:rFonts w:ascii="Arial Narrow" w:eastAsia="Calibri" w:hAnsi="Arial Narrow" w:cs="Times New Roman"/>
                <w:sz w:val="20"/>
                <w:szCs w:val="20"/>
                <w:lang w:eastAsia="en-US"/>
              </w:rPr>
              <w:t>2012: 0/24 (0)</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i/>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00B0233F" w:rsidRPr="00E3331A">
              <w:rPr>
                <w:rFonts w:ascii="Arial Narrow" w:eastAsia="Calibri" w:hAnsi="Arial Narrow" w:cs="Times New Roman"/>
                <w:sz w:val="20"/>
                <w:szCs w:val="20"/>
                <w:lang w:eastAsia="en-US"/>
              </w:rPr>
              <w:t xml:space="preserve"> Orazio </w:t>
            </w:r>
            <w:r w:rsidRPr="00E3331A">
              <w:rPr>
                <w:rFonts w:ascii="Arial Narrow" w:eastAsia="Calibri" w:hAnsi="Arial Narrow" w:cs="Times New Roman"/>
                <w:sz w:val="20"/>
                <w:szCs w:val="20"/>
                <w:lang w:eastAsia="en-US"/>
              </w:rPr>
              <w:t xml:space="preserve">2012: 1/21 (5%) </w:t>
            </w:r>
            <w:r w:rsidRPr="00E3331A">
              <w:rPr>
                <w:rFonts w:ascii="Arial Narrow" w:eastAsia="Calibri" w:hAnsi="Arial Narrow" w:cs="Times New Roman"/>
                <w:i/>
                <w:sz w:val="20"/>
                <w:szCs w:val="20"/>
                <w:lang w:eastAsia="en-US"/>
              </w:rPr>
              <w:t>lead to discontinuation</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Indigestion</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Hughes 2001: 6/30 (20%)</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Hughes 2001: 4/27 (20%)</w:t>
            </w:r>
          </w:p>
          <w:p w:rsidR="008475E5" w:rsidRPr="00E3331A" w:rsidRDefault="008475E5" w:rsidP="0007007F">
            <w:pPr>
              <w:spacing w:after="0" w:line="240" w:lineRule="auto"/>
              <w:rPr>
                <w:rFonts w:ascii="Arial Narrow" w:eastAsia="Calibri" w:hAnsi="Arial Narrow" w:cs="Times New Roman"/>
                <w:i/>
                <w:sz w:val="20"/>
                <w:szCs w:val="20"/>
                <w:lang w:eastAsia="en-US"/>
              </w:rPr>
            </w:pPr>
            <w:r w:rsidRPr="00E3331A">
              <w:rPr>
                <w:rFonts w:ascii="Arial Narrow" w:eastAsia="Calibri" w:hAnsi="Arial Narrow" w:cs="Times New Roman"/>
                <w:sz w:val="20"/>
                <w:szCs w:val="20"/>
                <w:lang w:eastAsia="en-US"/>
              </w:rPr>
              <w:t xml:space="preserve">Van Shaik 2010a: 8/24 (33%) </w:t>
            </w:r>
            <w:r w:rsidRPr="00E3331A">
              <w:rPr>
                <w:rFonts w:ascii="Arial Narrow" w:eastAsia="Calibri" w:hAnsi="Arial Narrow" w:cs="Times New Roman"/>
                <w:i/>
                <w:sz w:val="20"/>
                <w:szCs w:val="20"/>
                <w:lang w:eastAsia="en-US"/>
              </w:rPr>
              <w:t xml:space="preserve">1/24 in f/u </w:t>
            </w:r>
            <w:r w:rsidRPr="00E3331A">
              <w:rPr>
                <w:rFonts w:ascii="Arial Narrow" w:eastAsia="Calibri" w:hAnsi="Arial Narrow" w:cs="Times New Roman"/>
                <w:i/>
                <w:sz w:val="20"/>
                <w:szCs w:val="20"/>
                <w:vertAlign w:val="superscript"/>
                <w:lang w:eastAsia="en-US"/>
              </w:rPr>
              <w:footnoteReference w:id="11"/>
            </w:r>
          </w:p>
          <w:p w:rsidR="008475E5" w:rsidRPr="00E3331A" w:rsidRDefault="008475E5" w:rsidP="0007007F">
            <w:pPr>
              <w:spacing w:after="0" w:line="240" w:lineRule="auto"/>
              <w:rPr>
                <w:rFonts w:ascii="Arial Narrow" w:eastAsia="Calibri" w:hAnsi="Arial Narrow" w:cs="Times New Roman"/>
                <w:i/>
                <w:sz w:val="20"/>
                <w:szCs w:val="20"/>
                <w:lang w:eastAsia="en-US"/>
              </w:rPr>
            </w:pPr>
            <w:r w:rsidRPr="00E3331A">
              <w:rPr>
                <w:rFonts w:ascii="Arial Narrow" w:eastAsia="Calibri" w:hAnsi="Arial Narrow" w:cs="Times New Roman"/>
                <w:sz w:val="20"/>
                <w:szCs w:val="20"/>
                <w:lang w:eastAsia="en-US"/>
              </w:rPr>
              <w:t xml:space="preserve">Van Shaik 2010b: 6/16 (38%) </w:t>
            </w:r>
            <w:r w:rsidRPr="00E3331A">
              <w:rPr>
                <w:rFonts w:ascii="Arial Narrow" w:eastAsia="Calibri" w:hAnsi="Arial Narrow" w:cs="Times New Roman"/>
                <w:i/>
                <w:sz w:val="20"/>
                <w:szCs w:val="20"/>
                <w:lang w:eastAsia="en-US"/>
              </w:rPr>
              <w:t>2/16 in f/u</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Nausea</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Hughes 2008: 7/113 (6%)</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Mendell 2001: 10/30 (33%)^</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Hughes </w:t>
            </w:r>
            <w:r w:rsidR="00983BA7">
              <w:rPr>
                <w:rFonts w:ascii="Arial Narrow" w:eastAsia="Calibri" w:hAnsi="Arial Narrow" w:cs="Times New Roman"/>
                <w:sz w:val="20"/>
                <w:szCs w:val="20"/>
                <w:lang w:eastAsia="en-US"/>
              </w:rPr>
              <w:t xml:space="preserve">et al. </w:t>
            </w:r>
            <w:r w:rsidRPr="00E3331A">
              <w:rPr>
                <w:rFonts w:ascii="Arial Narrow" w:eastAsia="Calibri" w:hAnsi="Arial Narrow" w:cs="Times New Roman"/>
                <w:sz w:val="20"/>
                <w:szCs w:val="20"/>
                <w:lang w:eastAsia="en-US"/>
              </w:rPr>
              <w:t>2008: 3/95 (3%)</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Mendell 2001: 2/23 (9%)^</w:t>
            </w:r>
          </w:p>
        </w:tc>
      </w:tr>
      <w:tr w:rsidR="00281EC2" w:rsidRPr="00E3331A" w:rsidTr="0007007F">
        <w:tc>
          <w:tcPr>
            <w:tcW w:w="1421"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Vomiting</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i/>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00B0233F" w:rsidRPr="00E3331A">
              <w:rPr>
                <w:rFonts w:ascii="Arial Narrow" w:eastAsia="Calibri" w:hAnsi="Arial Narrow" w:cs="Times New Roman"/>
                <w:sz w:val="20"/>
                <w:szCs w:val="20"/>
                <w:lang w:eastAsia="en-US"/>
              </w:rPr>
              <w:t xml:space="preserve"> Orazio </w:t>
            </w:r>
            <w:r w:rsidRPr="00E3331A">
              <w:rPr>
                <w:rFonts w:ascii="Arial Narrow" w:eastAsia="Calibri" w:hAnsi="Arial Narrow" w:cs="Times New Roman"/>
                <w:sz w:val="20"/>
                <w:szCs w:val="20"/>
                <w:lang w:eastAsia="en-US"/>
              </w:rPr>
              <w:t>2012: 1/24 (4%)</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00B0233F" w:rsidRPr="00E3331A">
              <w:rPr>
                <w:rFonts w:ascii="Arial Narrow" w:eastAsia="Calibri" w:hAnsi="Arial Narrow" w:cs="Times New Roman"/>
                <w:sz w:val="20"/>
                <w:szCs w:val="20"/>
                <w:lang w:eastAsia="en-US"/>
              </w:rPr>
              <w:t xml:space="preserve"> Orazio </w:t>
            </w:r>
            <w:r w:rsidRPr="00E3331A">
              <w:rPr>
                <w:rFonts w:ascii="Arial Narrow" w:eastAsia="Calibri" w:hAnsi="Arial Narrow" w:cs="Times New Roman"/>
                <w:sz w:val="20"/>
                <w:szCs w:val="20"/>
                <w:lang w:eastAsia="en-US"/>
              </w:rPr>
              <w:t>2012: 0/21 (0)</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right w:val="nil"/>
            </w:tcBorders>
            <w:shd w:val="clear" w:color="auto" w:fill="F2F2F2"/>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b/>
                <w:sz w:val="20"/>
                <w:szCs w:val="20"/>
                <w:lang w:eastAsia="en-US"/>
              </w:rPr>
              <w:t>General disorders and administration site conditions</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53/197 (27%)</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3/88 (3%)</w:t>
            </w:r>
          </w:p>
        </w:tc>
        <w:tc>
          <w:tcPr>
            <w:tcW w:w="1193" w:type="pct"/>
            <w:tcBorders>
              <w:lef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1/118 (1%)</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Fever</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Hughes 2008 15/113 (13%)</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Hughes 2001: 5/30 (17%)</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Mendell 2001: 10/30 (33%)^</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Hughes </w:t>
            </w:r>
            <w:r w:rsidR="00983BA7">
              <w:rPr>
                <w:rFonts w:ascii="Arial Narrow" w:eastAsia="Calibri" w:hAnsi="Arial Narrow" w:cs="Times New Roman"/>
                <w:sz w:val="20"/>
                <w:szCs w:val="20"/>
                <w:lang w:eastAsia="en-US"/>
              </w:rPr>
              <w:t xml:space="preserve">et al. </w:t>
            </w:r>
            <w:r w:rsidRPr="00E3331A">
              <w:rPr>
                <w:rFonts w:ascii="Arial Narrow" w:eastAsia="Calibri" w:hAnsi="Arial Narrow" w:cs="Times New Roman"/>
                <w:sz w:val="20"/>
                <w:szCs w:val="20"/>
                <w:lang w:eastAsia="en-US"/>
              </w:rPr>
              <w:t>2001: 0/27 (0)</w:t>
            </w:r>
          </w:p>
          <w:p w:rsidR="008475E5" w:rsidRPr="00E3331A" w:rsidRDefault="008475E5" w:rsidP="0007007F">
            <w:pPr>
              <w:spacing w:after="0" w:line="240" w:lineRule="auto"/>
              <w:rPr>
                <w:rFonts w:eastAsia="Calibri" w:cs="Times New Roman"/>
                <w:lang w:eastAsia="en-US"/>
              </w:rPr>
            </w:pP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Hughes </w:t>
            </w:r>
            <w:r w:rsidR="00983BA7">
              <w:rPr>
                <w:rFonts w:ascii="Arial Narrow" w:eastAsia="Calibri" w:hAnsi="Arial Narrow" w:cs="Times New Roman"/>
                <w:sz w:val="20"/>
                <w:szCs w:val="20"/>
                <w:lang w:eastAsia="en-US"/>
              </w:rPr>
              <w:t xml:space="preserve">et al. </w:t>
            </w:r>
            <w:r w:rsidRPr="00E3331A">
              <w:rPr>
                <w:rFonts w:ascii="Arial Narrow" w:eastAsia="Calibri" w:hAnsi="Arial Narrow" w:cs="Times New Roman"/>
                <w:sz w:val="20"/>
                <w:szCs w:val="20"/>
                <w:lang w:eastAsia="en-US"/>
              </w:rPr>
              <w:t>2008: 0/95 (0)</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Mendell 2001: 0/23 (0)</w:t>
            </w:r>
          </w:p>
          <w:p w:rsidR="008475E5" w:rsidRPr="00E3331A" w:rsidRDefault="008475E5" w:rsidP="0007007F">
            <w:pPr>
              <w:spacing w:after="0" w:line="240" w:lineRule="auto"/>
              <w:rPr>
                <w:rFonts w:eastAsia="Calibri" w:cs="Times New Roman"/>
                <w:lang w:eastAsia="en-US"/>
              </w:rPr>
            </w:pP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lastRenderedPageBreak/>
              <w:t>Flu-like syndrome</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3/24 (12.5%)</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0/21 (0)</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Chills</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Hughes 2008: 9/113 (8%)</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Mendell 2001: 9/30 (30%)^</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Mendell 2001: 1/23 (4%)^</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Hughes </w:t>
            </w:r>
            <w:r w:rsidR="00983BA7">
              <w:rPr>
                <w:rFonts w:ascii="Arial Narrow" w:eastAsia="Calibri" w:hAnsi="Arial Narrow" w:cs="Times New Roman"/>
                <w:sz w:val="20"/>
                <w:szCs w:val="20"/>
                <w:lang w:eastAsia="en-US"/>
              </w:rPr>
              <w:t xml:space="preserve">et al. </w:t>
            </w:r>
            <w:r w:rsidRPr="00E3331A">
              <w:rPr>
                <w:rFonts w:ascii="Arial Narrow" w:eastAsia="Calibri" w:hAnsi="Arial Narrow" w:cs="Times New Roman"/>
                <w:sz w:val="20"/>
                <w:szCs w:val="20"/>
                <w:lang w:eastAsia="en-US"/>
              </w:rPr>
              <w:t>2008: 0/95 (0)</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Oedema (limbs/peripheral)</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0/24 (0)</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2/21 (10%)</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Malaise</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0/24 (0)</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1/21 (5%)</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Thoracic pain or oppression</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2/24 (8%)</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0/21 (0)</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right w:val="nil"/>
            </w:tcBorders>
            <w:shd w:val="clear" w:color="auto" w:fill="F2F2F2"/>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b/>
                <w:sz w:val="20"/>
                <w:szCs w:val="20"/>
                <w:lang w:eastAsia="en-US"/>
              </w:rPr>
              <w:t>Infections and infestations</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11/197 (6%)</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14/88 (16%)</w:t>
            </w:r>
          </w:p>
        </w:tc>
        <w:tc>
          <w:tcPr>
            <w:tcW w:w="1193" w:type="pct"/>
            <w:tcBorders>
              <w:lef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2/118 (2%)</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Conjunctivitis</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0/24 (0)</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1/21 (5%)</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Cutaneous infection</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1/24 (4%)</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0/21 (0)</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037FB8"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C</w:t>
            </w:r>
            <w:r w:rsidR="008475E5" w:rsidRPr="00E3331A">
              <w:rPr>
                <w:rFonts w:ascii="Arial Narrow" w:eastAsia="Calibri" w:hAnsi="Arial Narrow" w:cs="Calibri"/>
                <w:sz w:val="20"/>
                <w:szCs w:val="20"/>
                <w:lang w:eastAsia="en-US"/>
              </w:rPr>
              <w:t>ystitis</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1/24 (4%)</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0/21 (0)</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Influenza</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Hughes 2008: 6/113 (5%)</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Hughes </w:t>
            </w:r>
            <w:r w:rsidR="00983BA7">
              <w:rPr>
                <w:rFonts w:ascii="Arial Narrow" w:eastAsia="Calibri" w:hAnsi="Arial Narrow" w:cs="Times New Roman"/>
                <w:sz w:val="20"/>
                <w:szCs w:val="20"/>
                <w:lang w:eastAsia="en-US"/>
              </w:rPr>
              <w:t xml:space="preserve">et al. </w:t>
            </w:r>
            <w:r w:rsidRPr="00E3331A">
              <w:rPr>
                <w:rFonts w:ascii="Arial Narrow" w:eastAsia="Calibri" w:hAnsi="Arial Narrow" w:cs="Times New Roman"/>
                <w:sz w:val="20"/>
                <w:szCs w:val="20"/>
                <w:lang w:eastAsia="en-US"/>
              </w:rPr>
              <w:t>2008: 2/95 (2%)</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Infection of catheter</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Dyck 1994: 1/9 (11%)</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Minor infections</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i/>
                <w:sz w:val="20"/>
                <w:szCs w:val="20"/>
                <w:lang w:eastAsia="en-US"/>
              </w:rPr>
            </w:pPr>
            <w:r w:rsidRPr="00E3331A">
              <w:rPr>
                <w:rFonts w:ascii="Arial Narrow" w:eastAsia="Calibri" w:hAnsi="Arial Narrow" w:cs="Times New Roman"/>
                <w:sz w:val="20"/>
                <w:szCs w:val="20"/>
                <w:lang w:eastAsia="en-US"/>
              </w:rPr>
              <w:t>Van Shaik 2010a: 6/24 (25%) 4</w:t>
            </w:r>
            <w:r w:rsidRPr="00E3331A">
              <w:rPr>
                <w:rFonts w:ascii="Arial Narrow" w:eastAsia="Calibri" w:hAnsi="Arial Narrow" w:cs="Times New Roman"/>
                <w:i/>
                <w:sz w:val="20"/>
                <w:szCs w:val="20"/>
                <w:lang w:eastAsia="en-US"/>
              </w:rPr>
              <w:t xml:space="preserve">/24 in f/u </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Van Shaik 2010b: 2/16 (12.5%) 9</w:t>
            </w:r>
            <w:r w:rsidRPr="00E3331A">
              <w:rPr>
                <w:rFonts w:ascii="Arial Narrow" w:eastAsia="Calibri" w:hAnsi="Arial Narrow" w:cs="Times New Roman"/>
                <w:i/>
                <w:sz w:val="20"/>
                <w:szCs w:val="20"/>
                <w:lang w:eastAsia="en-US"/>
              </w:rPr>
              <w:t>/16 in f/u</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Pleuritis</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0/24 (0)</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1/21 (5%)</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Pneumonia</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Hughes 2008: 1/113 (&lt;1%)</w:t>
            </w:r>
            <w:r w:rsidRPr="00E3331A">
              <w:rPr>
                <w:rFonts w:ascii="Arial Narrow" w:eastAsia="Calibri" w:hAnsi="Arial Narrow" w:cs="Times New Roman"/>
                <w:sz w:val="20"/>
                <w:szCs w:val="20"/>
                <w:vertAlign w:val="superscript"/>
                <w:lang w:eastAsia="en-US"/>
              </w:rPr>
              <w:footnoteReference w:id="12"/>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0/24 (0)</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1/21 (5%)</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Pharyngitis</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0/24 (0)</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1/21 (5%)</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Sepsis</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Hughes 2008: 1/113 (&lt;1%)</w:t>
            </w:r>
            <w:r w:rsidRPr="00E3331A">
              <w:rPr>
                <w:rFonts w:ascii="Arial Narrow" w:eastAsia="Calibri" w:hAnsi="Arial Narrow" w:cs="Times New Roman"/>
                <w:sz w:val="20"/>
                <w:szCs w:val="20"/>
                <w:vertAlign w:val="superscript"/>
                <w:lang w:eastAsia="en-US"/>
              </w:rPr>
              <w:footnoteReference w:id="13"/>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Sinusitis</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0/24 (0)</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1/21 (5%)</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right w:val="nil"/>
            </w:tcBorders>
            <w:shd w:val="clear" w:color="auto" w:fill="F2F2F2"/>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b/>
                <w:sz w:val="20"/>
                <w:szCs w:val="20"/>
                <w:lang w:eastAsia="en-US"/>
              </w:rPr>
              <w:t>Injury, poisoning and procedural complications</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0</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21/88 (24%)</w:t>
            </w:r>
          </w:p>
        </w:tc>
        <w:tc>
          <w:tcPr>
            <w:tcW w:w="1193" w:type="pct"/>
            <w:tcBorders>
              <w:lef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0</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Investigations</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Laboratory abnormalities</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Mendell 2001: 0/30 (0)</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Mendell 2001: 0/23 (0%)</w:t>
            </w:r>
          </w:p>
        </w:tc>
      </w:tr>
      <w:tr w:rsidR="00281EC2" w:rsidRPr="00E3331A" w:rsidTr="0007007F">
        <w:tc>
          <w:tcPr>
            <w:tcW w:w="1421"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Weight gain</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0/24 (0)</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2/21 (9.5%)</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Van Shaik 2010a: 10/24 (42%) </w:t>
            </w:r>
            <w:r w:rsidRPr="00E3331A">
              <w:rPr>
                <w:rFonts w:ascii="Arial Narrow" w:eastAsia="Calibri" w:hAnsi="Arial Narrow" w:cs="Times New Roman"/>
                <w:i/>
                <w:sz w:val="20"/>
                <w:szCs w:val="20"/>
                <w:lang w:eastAsia="en-US"/>
              </w:rPr>
              <w:t>3/24 in f/u</w:t>
            </w:r>
            <w:r w:rsidRPr="00E3331A">
              <w:rPr>
                <w:rFonts w:ascii="Arial Narrow" w:eastAsia="Calibri" w:hAnsi="Arial Narrow" w:cs="Times New Roman"/>
                <w:sz w:val="20"/>
                <w:szCs w:val="20"/>
                <w:lang w:eastAsia="en-US"/>
              </w:rPr>
              <w:t xml:space="preserve"> </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Van Shaik 2010b: 9/16 (56%) </w:t>
            </w:r>
            <w:r w:rsidRPr="00E3331A">
              <w:rPr>
                <w:rFonts w:ascii="Arial Narrow" w:eastAsia="Calibri" w:hAnsi="Arial Narrow" w:cs="Times New Roman"/>
                <w:i/>
                <w:sz w:val="20"/>
                <w:szCs w:val="20"/>
                <w:lang w:eastAsia="en-US"/>
              </w:rPr>
              <w:t>0/16 in f/u</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bottom w:val="single" w:sz="4" w:space="0" w:color="auto"/>
              <w:right w:val="nil"/>
            </w:tcBorders>
            <w:shd w:val="clear" w:color="auto" w:fill="F2F2F2"/>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b/>
                <w:sz w:val="20"/>
                <w:szCs w:val="20"/>
                <w:lang w:eastAsia="en-US"/>
              </w:rPr>
              <w:t>Metabolism and nutrition disorders</w:t>
            </w:r>
          </w:p>
        </w:tc>
        <w:tc>
          <w:tcPr>
            <w:tcW w:w="1193" w:type="pct"/>
            <w:tcBorders>
              <w:left w:val="nil"/>
              <w:bottom w:val="single" w:sz="4" w:space="0" w:color="auto"/>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1/197 (1%)</w:t>
            </w:r>
          </w:p>
        </w:tc>
        <w:tc>
          <w:tcPr>
            <w:tcW w:w="1193" w:type="pct"/>
            <w:tcBorders>
              <w:left w:val="nil"/>
              <w:bottom w:val="single" w:sz="4" w:space="0" w:color="auto"/>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22/88 (25%)</w:t>
            </w:r>
          </w:p>
        </w:tc>
        <w:tc>
          <w:tcPr>
            <w:tcW w:w="1193" w:type="pct"/>
            <w:tcBorders>
              <w:left w:val="nil"/>
              <w:bottom w:val="single" w:sz="4" w:space="0" w:color="auto"/>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0</w:t>
            </w:r>
          </w:p>
        </w:tc>
      </w:tr>
      <w:tr w:rsidR="00281EC2" w:rsidRPr="00E3331A" w:rsidTr="0007007F">
        <w:tc>
          <w:tcPr>
            <w:tcW w:w="1421" w:type="pct"/>
            <w:tcBorders>
              <w:right w:val="single" w:sz="4" w:space="0" w:color="auto"/>
            </w:tcBorders>
            <w:shd w:val="clear" w:color="auto" w:fill="FFFFFF"/>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Diabetes</w:t>
            </w:r>
          </w:p>
        </w:tc>
        <w:tc>
          <w:tcPr>
            <w:tcW w:w="1193" w:type="pct"/>
            <w:tcBorders>
              <w:left w:val="single" w:sz="4" w:space="0" w:color="auto"/>
              <w:right w:val="single" w:sz="4" w:space="0" w:color="auto"/>
            </w:tcBorders>
            <w:shd w:val="clear" w:color="auto" w:fill="FFFFFF"/>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sz w:val="20"/>
                <w:szCs w:val="20"/>
                <w:lang w:eastAsia="en-US"/>
              </w:rPr>
              <w:t>Presumed nil</w:t>
            </w:r>
          </w:p>
        </w:tc>
        <w:tc>
          <w:tcPr>
            <w:tcW w:w="1193" w:type="pct"/>
            <w:tcBorders>
              <w:left w:val="single" w:sz="4" w:space="0" w:color="auto"/>
              <w:right w:val="single" w:sz="4" w:space="0" w:color="auto"/>
            </w:tcBorders>
            <w:shd w:val="clear" w:color="auto" w:fill="FFFFFF"/>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Van Shaik 2010a: 1/24 (4%) </w:t>
            </w:r>
            <w:r w:rsidRPr="00E3331A">
              <w:rPr>
                <w:rFonts w:ascii="Arial Narrow" w:eastAsia="Calibri" w:hAnsi="Arial Narrow" w:cs="Times New Roman"/>
                <w:i/>
                <w:iCs/>
                <w:sz w:val="20"/>
                <w:szCs w:val="20"/>
                <w:lang w:eastAsia="en-US"/>
              </w:rPr>
              <w:t xml:space="preserve">0/24 in f/u </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Van Shaik 2010b: 3/16 (19%) </w:t>
            </w:r>
            <w:r w:rsidRPr="00E3331A">
              <w:rPr>
                <w:rFonts w:ascii="Arial Narrow" w:eastAsia="Calibri" w:hAnsi="Arial Narrow" w:cs="Times New Roman"/>
                <w:i/>
                <w:iCs/>
                <w:sz w:val="20"/>
                <w:szCs w:val="20"/>
                <w:lang w:eastAsia="en-US"/>
              </w:rPr>
              <w:t>2/16 in f/u</w:t>
            </w:r>
          </w:p>
        </w:tc>
        <w:tc>
          <w:tcPr>
            <w:tcW w:w="1193" w:type="pct"/>
            <w:tcBorders>
              <w:left w:val="single" w:sz="4" w:space="0" w:color="auto"/>
            </w:tcBorders>
            <w:shd w:val="clear" w:color="auto" w:fill="FFFFFF"/>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right w:val="single" w:sz="4" w:space="0" w:color="auto"/>
            </w:tcBorders>
            <w:shd w:val="clear" w:color="auto" w:fill="FFFFFF"/>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Cushing appearance</w:t>
            </w:r>
          </w:p>
        </w:tc>
        <w:tc>
          <w:tcPr>
            <w:tcW w:w="1193" w:type="pct"/>
            <w:tcBorders>
              <w:left w:val="single" w:sz="4" w:space="0" w:color="auto"/>
              <w:right w:val="single" w:sz="4" w:space="0" w:color="auto"/>
            </w:tcBorders>
            <w:shd w:val="clear" w:color="auto" w:fill="FFFFFF"/>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sz w:val="20"/>
                <w:szCs w:val="20"/>
                <w:lang w:eastAsia="en-US"/>
              </w:rPr>
              <w:t>Presumed nil</w:t>
            </w:r>
          </w:p>
        </w:tc>
        <w:tc>
          <w:tcPr>
            <w:tcW w:w="1193" w:type="pct"/>
            <w:tcBorders>
              <w:left w:val="single" w:sz="4" w:space="0" w:color="auto"/>
              <w:right w:val="single" w:sz="4" w:space="0" w:color="auto"/>
            </w:tcBorders>
            <w:shd w:val="clear" w:color="auto" w:fill="FFFFFF"/>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Van Shaik 2010a: 6/24 (25%) </w:t>
            </w:r>
            <w:r w:rsidRPr="00E3331A">
              <w:rPr>
                <w:rFonts w:ascii="Arial Narrow" w:eastAsia="Calibri" w:hAnsi="Arial Narrow" w:cs="Times New Roman"/>
                <w:i/>
                <w:iCs/>
                <w:sz w:val="20"/>
                <w:szCs w:val="20"/>
                <w:lang w:eastAsia="en-US"/>
              </w:rPr>
              <w:t>2/24 in f/u</w:t>
            </w:r>
            <w:r w:rsidRPr="00E3331A">
              <w:rPr>
                <w:rFonts w:ascii="Arial Narrow" w:eastAsia="Calibri" w:hAnsi="Arial Narrow" w:cs="Times New Roman"/>
                <w:sz w:val="20"/>
                <w:szCs w:val="20"/>
                <w:lang w:eastAsia="en-US"/>
              </w:rPr>
              <w:t xml:space="preserve"> </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Van Shaik 2010b: 10/16 (63%) </w:t>
            </w:r>
            <w:r w:rsidRPr="00E3331A">
              <w:rPr>
                <w:rFonts w:ascii="Arial Narrow" w:eastAsia="Calibri" w:hAnsi="Arial Narrow" w:cs="Times New Roman"/>
                <w:i/>
                <w:iCs/>
                <w:sz w:val="20"/>
                <w:szCs w:val="20"/>
                <w:lang w:eastAsia="en-US"/>
              </w:rPr>
              <w:t>3/16 in f/u</w:t>
            </w:r>
          </w:p>
        </w:tc>
        <w:tc>
          <w:tcPr>
            <w:tcW w:w="1193" w:type="pct"/>
            <w:tcBorders>
              <w:left w:val="single" w:sz="4" w:space="0" w:color="auto"/>
            </w:tcBorders>
            <w:shd w:val="clear" w:color="auto" w:fill="FFFFFF"/>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lastRenderedPageBreak/>
              <w:t>Hyperglycaemia</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1/24 (4%)</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2/21 (9.5%)</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right w:val="nil"/>
            </w:tcBorders>
            <w:shd w:val="clear" w:color="auto" w:fill="F2F2F2"/>
          </w:tcPr>
          <w:p w:rsidR="008475E5" w:rsidRPr="00E3331A" w:rsidRDefault="008475E5" w:rsidP="0007007F">
            <w:pPr>
              <w:spacing w:after="0" w:line="240" w:lineRule="auto"/>
              <w:rPr>
                <w:rFonts w:ascii="Arial Narrow" w:eastAsia="Calibri" w:hAnsi="Arial Narrow" w:cs="Calibri"/>
                <w:b/>
                <w:sz w:val="20"/>
                <w:szCs w:val="20"/>
                <w:lang w:eastAsia="en-US"/>
              </w:rPr>
            </w:pPr>
            <w:r w:rsidRPr="00E3331A">
              <w:rPr>
                <w:rFonts w:ascii="Arial Narrow" w:eastAsia="Calibri" w:hAnsi="Arial Narrow" w:cs="Calibri"/>
                <w:b/>
                <w:sz w:val="20"/>
                <w:szCs w:val="20"/>
                <w:lang w:eastAsia="en-US"/>
              </w:rPr>
              <w:t>Musculoskeletal</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9/197 (5%)</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1/88 (1%)</w:t>
            </w:r>
          </w:p>
        </w:tc>
        <w:tc>
          <w:tcPr>
            <w:tcW w:w="1193" w:type="pct"/>
            <w:tcBorders>
              <w:lef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7/118 (6%)</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Arthralgia</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Hughes </w:t>
            </w:r>
            <w:r w:rsidR="00983BA7">
              <w:rPr>
                <w:rFonts w:ascii="Arial Narrow" w:eastAsia="Calibri" w:hAnsi="Arial Narrow" w:cs="Times New Roman"/>
                <w:sz w:val="20"/>
                <w:szCs w:val="20"/>
                <w:lang w:eastAsia="en-US"/>
              </w:rPr>
              <w:t xml:space="preserve">et al. </w:t>
            </w:r>
            <w:r w:rsidRPr="00E3331A">
              <w:rPr>
                <w:rFonts w:ascii="Arial Narrow" w:eastAsia="Calibri" w:hAnsi="Arial Narrow" w:cs="Times New Roman"/>
                <w:sz w:val="20"/>
                <w:szCs w:val="20"/>
                <w:lang w:eastAsia="en-US"/>
              </w:rPr>
              <w:t>2008: 1/95 (1%)</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Back pain</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Hughes </w:t>
            </w:r>
            <w:r w:rsidR="00983BA7">
              <w:rPr>
                <w:rFonts w:ascii="Arial Narrow" w:eastAsia="Calibri" w:hAnsi="Arial Narrow" w:cs="Times New Roman"/>
                <w:sz w:val="20"/>
                <w:szCs w:val="20"/>
                <w:lang w:eastAsia="en-US"/>
              </w:rPr>
              <w:t xml:space="preserve">et al. </w:t>
            </w:r>
            <w:r w:rsidRPr="00E3331A">
              <w:rPr>
                <w:rFonts w:ascii="Arial Narrow" w:eastAsia="Calibri" w:hAnsi="Arial Narrow" w:cs="Times New Roman"/>
                <w:sz w:val="20"/>
                <w:szCs w:val="20"/>
                <w:lang w:eastAsia="en-US"/>
              </w:rPr>
              <w:t>2008:</w:t>
            </w:r>
            <w:r w:rsidR="00037FB8" w:rsidRPr="00E3331A">
              <w:rPr>
                <w:rFonts w:ascii="Arial Narrow" w:eastAsia="Calibri" w:hAnsi="Arial Narrow" w:cs="Times New Roman"/>
                <w:sz w:val="20"/>
                <w:szCs w:val="20"/>
                <w:lang w:eastAsia="en-US"/>
              </w:rPr>
              <w:t xml:space="preserve"> </w:t>
            </w:r>
            <w:r w:rsidRPr="00E3331A">
              <w:rPr>
                <w:rFonts w:ascii="Arial Narrow" w:eastAsia="Calibri" w:hAnsi="Arial Narrow" w:cs="Times New Roman"/>
                <w:sz w:val="20"/>
                <w:szCs w:val="20"/>
                <w:lang w:eastAsia="en-US"/>
              </w:rPr>
              <w:t>3/95 (3%)</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Limb pain</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0/24 (0)</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1/21 (5%)</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Weakness (Asthenia)</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Hughes 2008: 9/113 (7%)</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Hughes </w:t>
            </w:r>
            <w:r w:rsidR="00983BA7">
              <w:rPr>
                <w:rFonts w:ascii="Arial Narrow" w:eastAsia="Calibri" w:hAnsi="Arial Narrow" w:cs="Times New Roman"/>
                <w:sz w:val="20"/>
                <w:szCs w:val="20"/>
                <w:lang w:eastAsia="en-US"/>
              </w:rPr>
              <w:t xml:space="preserve">et al. </w:t>
            </w:r>
            <w:r w:rsidRPr="00E3331A">
              <w:rPr>
                <w:rFonts w:ascii="Arial Narrow" w:eastAsia="Calibri" w:hAnsi="Arial Narrow" w:cs="Times New Roman"/>
                <w:sz w:val="20"/>
                <w:szCs w:val="20"/>
                <w:lang w:eastAsia="en-US"/>
              </w:rPr>
              <w:t>2008: 3/95 (3%)</w:t>
            </w:r>
          </w:p>
        </w:tc>
      </w:tr>
      <w:tr w:rsidR="00281EC2" w:rsidRPr="00E3331A" w:rsidTr="0007007F">
        <w:tc>
          <w:tcPr>
            <w:tcW w:w="1421" w:type="pct"/>
            <w:tcBorders>
              <w:right w:val="nil"/>
            </w:tcBorders>
            <w:shd w:val="clear" w:color="auto" w:fill="F2F2F2"/>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b/>
                <w:sz w:val="20"/>
                <w:szCs w:val="20"/>
                <w:lang w:eastAsia="en-US"/>
              </w:rPr>
              <w:t>Neoplasms benign, malignant and unspecified (incl cysts and polyps)</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2/197 (1%)</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1/88 (1%)</w:t>
            </w:r>
          </w:p>
        </w:tc>
        <w:tc>
          <w:tcPr>
            <w:tcW w:w="1193" w:type="pct"/>
            <w:tcBorders>
              <w:lef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0</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Carcinoma of the bronchus</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Hughes 2001: 1/27 (4%)</w:t>
            </w:r>
            <w:r w:rsidRPr="00E3331A">
              <w:rPr>
                <w:rFonts w:ascii="Arial Narrow" w:eastAsia="Calibri" w:hAnsi="Arial Narrow" w:cs="Times New Roman"/>
                <w:sz w:val="20"/>
                <w:szCs w:val="20"/>
                <w:vertAlign w:val="superscript"/>
                <w:lang w:eastAsia="en-US"/>
              </w:rPr>
              <w:footnoteReference w:id="14"/>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Rectum polyp</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0/24 (0)</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1/21 (5%)</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 xml:space="preserve">Uterine </w:t>
            </w:r>
            <w:r w:rsidR="00037FB8" w:rsidRPr="00E3331A">
              <w:rPr>
                <w:rFonts w:ascii="Arial Narrow" w:eastAsia="Calibri" w:hAnsi="Arial Narrow" w:cs="Calibri"/>
                <w:sz w:val="20"/>
                <w:szCs w:val="20"/>
                <w:lang w:eastAsia="en-US"/>
              </w:rPr>
              <w:t>l</w:t>
            </w:r>
            <w:r w:rsidRPr="00E3331A">
              <w:rPr>
                <w:rFonts w:ascii="Arial Narrow" w:eastAsia="Calibri" w:hAnsi="Arial Narrow" w:cs="Calibri"/>
                <w:sz w:val="20"/>
                <w:szCs w:val="20"/>
                <w:lang w:eastAsia="en-US"/>
              </w:rPr>
              <w:t>eiomyoma</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1/24 (4%)</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0/21 (0)</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right w:val="nil"/>
            </w:tcBorders>
            <w:shd w:val="clear" w:color="auto" w:fill="F2F2F2"/>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b/>
                <w:sz w:val="20"/>
                <w:szCs w:val="20"/>
                <w:lang w:eastAsia="en-US"/>
              </w:rPr>
              <w:t>Nervous system disorders</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77/197 (39%)</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11/88 (13%)</w:t>
            </w:r>
          </w:p>
        </w:tc>
        <w:tc>
          <w:tcPr>
            <w:tcW w:w="1193" w:type="pct"/>
            <w:tcBorders>
              <w:lef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19/118 (16%)</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Dizziness/light headedness</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Hughes 2008: 7/113 (6%)</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0/24 (0)</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2/21 (10%)</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Hughes </w:t>
            </w:r>
            <w:r w:rsidR="00983BA7">
              <w:rPr>
                <w:rFonts w:ascii="Arial Narrow" w:eastAsia="Calibri" w:hAnsi="Arial Narrow" w:cs="Times New Roman"/>
                <w:sz w:val="20"/>
                <w:szCs w:val="20"/>
                <w:lang w:eastAsia="en-US"/>
              </w:rPr>
              <w:t xml:space="preserve">et al. </w:t>
            </w:r>
            <w:r w:rsidRPr="00E3331A">
              <w:rPr>
                <w:rFonts w:ascii="Arial Narrow" w:eastAsia="Calibri" w:hAnsi="Arial Narrow" w:cs="Times New Roman"/>
                <w:sz w:val="20"/>
                <w:szCs w:val="20"/>
                <w:lang w:eastAsia="en-US"/>
              </w:rPr>
              <w:t>2008: 1/95 (1%)</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Headache</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Hughes 2008: 36/113 (32%)</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Hughes 2001: 10/30 (33%)</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Mendell 2001: 20/30 (67%)^</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Zinman 2005: 2/8 (25%)</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1/24 (4%)</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Hughes 2001: 7/27 (25%)</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0/21 (0)</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Hughes </w:t>
            </w:r>
            <w:r w:rsidR="00983BA7">
              <w:rPr>
                <w:rFonts w:ascii="Arial Narrow" w:eastAsia="Calibri" w:hAnsi="Arial Narrow" w:cs="Times New Roman"/>
                <w:sz w:val="20"/>
                <w:szCs w:val="20"/>
                <w:lang w:eastAsia="en-US"/>
              </w:rPr>
              <w:t xml:space="preserve">et al. </w:t>
            </w:r>
            <w:r w:rsidRPr="00E3331A">
              <w:rPr>
                <w:rFonts w:ascii="Arial Narrow" w:eastAsia="Calibri" w:hAnsi="Arial Narrow" w:cs="Times New Roman"/>
                <w:sz w:val="20"/>
                <w:szCs w:val="20"/>
                <w:lang w:eastAsia="en-US"/>
              </w:rPr>
              <w:t>2008: 8/95 (8%)</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Mendell 2001: 10/23 (44%)^</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Neuralgia</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0/24 (0)</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1/21 (5%)</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Paraesthesia</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1/24 (4%)</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0/21 (0)</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Tremor</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0/24 (0)</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1/21 (5%)</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right w:val="nil"/>
            </w:tcBorders>
            <w:shd w:val="clear" w:color="auto" w:fill="F2F2F2"/>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b/>
                <w:sz w:val="20"/>
                <w:szCs w:val="20"/>
                <w:lang w:eastAsia="en-US"/>
              </w:rPr>
              <w:t>Psychiatric disorders</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0</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50/88 (57%)</w:t>
            </w:r>
          </w:p>
        </w:tc>
        <w:tc>
          <w:tcPr>
            <w:tcW w:w="1193" w:type="pct"/>
            <w:tcBorders>
              <w:lef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0</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Anxiety</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0/24 (0)</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1/21 (5%)</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Agitation</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0/24 (0)</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1/21 (5%)</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Delirium</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0/24 (0)</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1/21 (5%)</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Depression</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0/24 (0)</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1/21 (5%)</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Insomnia</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0/24 (0)</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1/21 (5%)</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Van Shaik 2010a: 9/24 (38%) </w:t>
            </w:r>
            <w:r w:rsidRPr="00E3331A">
              <w:rPr>
                <w:rFonts w:ascii="Arial Narrow" w:eastAsia="Calibri" w:hAnsi="Arial Narrow" w:cs="Times New Roman"/>
                <w:i/>
                <w:iCs/>
                <w:sz w:val="20"/>
                <w:szCs w:val="20"/>
                <w:lang w:eastAsia="en-US"/>
              </w:rPr>
              <w:t>2/24 in f/u</w:t>
            </w:r>
            <w:r w:rsidRPr="00E3331A">
              <w:rPr>
                <w:rFonts w:ascii="Arial Narrow" w:eastAsia="Calibri" w:hAnsi="Arial Narrow" w:cs="Times New Roman"/>
                <w:sz w:val="20"/>
                <w:szCs w:val="20"/>
                <w:lang w:eastAsia="en-US"/>
              </w:rPr>
              <w:t xml:space="preserve"> </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Van Shaik 2010b: 12/16 (75%) </w:t>
            </w:r>
            <w:r w:rsidRPr="00E3331A">
              <w:rPr>
                <w:rFonts w:ascii="Arial Narrow" w:eastAsia="Calibri" w:hAnsi="Arial Narrow" w:cs="Times New Roman"/>
                <w:i/>
                <w:iCs/>
                <w:sz w:val="20"/>
                <w:szCs w:val="20"/>
                <w:lang w:eastAsia="en-US"/>
              </w:rPr>
              <w:t>2/16 in f/u</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Mood changes</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Van Shaik 2010a: 10/24 (42%) </w:t>
            </w:r>
            <w:r w:rsidRPr="00E3331A">
              <w:rPr>
                <w:rFonts w:ascii="Arial Narrow" w:eastAsia="Calibri" w:hAnsi="Arial Narrow" w:cs="Times New Roman"/>
                <w:i/>
                <w:iCs/>
                <w:sz w:val="20"/>
                <w:szCs w:val="20"/>
                <w:lang w:eastAsia="en-US"/>
              </w:rPr>
              <w:t>4/24 in f/u</w:t>
            </w:r>
            <w:r w:rsidRPr="00E3331A">
              <w:rPr>
                <w:rFonts w:ascii="Arial Narrow" w:eastAsia="Calibri" w:hAnsi="Arial Narrow" w:cs="Times New Roman"/>
                <w:sz w:val="20"/>
                <w:szCs w:val="20"/>
                <w:lang w:eastAsia="en-US"/>
              </w:rPr>
              <w:t xml:space="preserve"> </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Van Shaik 2010b: 12/16 (75%) </w:t>
            </w:r>
            <w:r w:rsidRPr="00E3331A">
              <w:rPr>
                <w:rFonts w:ascii="Arial Narrow" w:eastAsia="Calibri" w:hAnsi="Arial Narrow" w:cs="Times New Roman"/>
                <w:i/>
                <w:iCs/>
                <w:sz w:val="20"/>
                <w:szCs w:val="20"/>
                <w:lang w:eastAsia="en-US"/>
              </w:rPr>
              <w:t>1/16 in f/u</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Psychosis</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Hughes 2001: 1/27 (4%)</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Visual hallucinations</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0/24 (0)</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1/21 (5%)</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right w:val="nil"/>
            </w:tcBorders>
            <w:shd w:val="clear" w:color="auto" w:fill="F2F2F2"/>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b/>
                <w:sz w:val="20"/>
                <w:szCs w:val="20"/>
                <w:lang w:eastAsia="en-US"/>
              </w:rPr>
              <w:lastRenderedPageBreak/>
              <w:t>Respiratory, thoracic and mediastinal disorders</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2/197 (1%)</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1/88 (1%)</w:t>
            </w:r>
          </w:p>
        </w:tc>
        <w:tc>
          <w:tcPr>
            <w:tcW w:w="1193" w:type="pct"/>
            <w:tcBorders>
              <w:lef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0</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Asthma</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i/>
                <w:sz w:val="20"/>
                <w:szCs w:val="20"/>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Cough</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0/21 (0)</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Dyspnoea</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1/24 (4%)</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1/21 (5%)</w:t>
            </w:r>
          </w:p>
        </w:tc>
        <w:tc>
          <w:tcPr>
            <w:tcW w:w="1193" w:type="pct"/>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Respiratory failure</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i/>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 xml:space="preserve">orazio 2012: 1/24 (4%) </w:t>
            </w:r>
            <w:r w:rsidRPr="00E3331A">
              <w:rPr>
                <w:rFonts w:ascii="Arial Narrow" w:eastAsia="Calibri" w:hAnsi="Arial Narrow" w:cs="Times New Roman"/>
                <w:i/>
                <w:sz w:val="20"/>
                <w:szCs w:val="20"/>
                <w:lang w:eastAsia="en-US"/>
              </w:rPr>
              <w:t>fatal</w:t>
            </w:r>
            <w:r w:rsidRPr="00E3331A">
              <w:rPr>
                <w:rFonts w:ascii="Arial Narrow" w:eastAsia="Calibri" w:hAnsi="Arial Narrow" w:cs="Times New Roman"/>
                <w:i/>
                <w:sz w:val="20"/>
                <w:szCs w:val="20"/>
                <w:vertAlign w:val="superscript"/>
                <w:lang w:eastAsia="en-US"/>
              </w:rPr>
              <w:footnoteReference w:id="15"/>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bottom w:val="single" w:sz="4" w:space="0" w:color="auto"/>
              <w:right w:val="nil"/>
            </w:tcBorders>
            <w:shd w:val="clear" w:color="auto" w:fill="F2F2F2"/>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b/>
                <w:sz w:val="20"/>
                <w:szCs w:val="20"/>
                <w:lang w:eastAsia="en-US"/>
              </w:rPr>
              <w:t>Skin and subcutaneous tissue disorders</w:t>
            </w:r>
          </w:p>
        </w:tc>
        <w:tc>
          <w:tcPr>
            <w:tcW w:w="1193" w:type="pct"/>
            <w:tcBorders>
              <w:left w:val="nil"/>
              <w:bottom w:val="single" w:sz="4" w:space="0" w:color="auto"/>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11/197 (6%)</w:t>
            </w:r>
          </w:p>
        </w:tc>
        <w:tc>
          <w:tcPr>
            <w:tcW w:w="1193" w:type="pct"/>
            <w:tcBorders>
              <w:left w:val="nil"/>
              <w:bottom w:val="single" w:sz="4" w:space="0" w:color="auto"/>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16/88 (18%)</w:t>
            </w:r>
          </w:p>
        </w:tc>
        <w:tc>
          <w:tcPr>
            <w:tcW w:w="1193" w:type="pct"/>
            <w:tcBorders>
              <w:left w:val="nil"/>
              <w:bottom w:val="single" w:sz="4" w:space="0" w:color="auto"/>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2/118 (2%)</w:t>
            </w:r>
          </w:p>
        </w:tc>
      </w:tr>
      <w:tr w:rsidR="00281EC2" w:rsidRPr="00E3331A" w:rsidTr="0007007F">
        <w:tc>
          <w:tcPr>
            <w:tcW w:w="1421" w:type="pct"/>
            <w:tcBorders>
              <w:right w:val="single" w:sz="4" w:space="0" w:color="auto"/>
            </w:tcBorders>
            <w:shd w:val="clear" w:color="auto" w:fill="FFFFFF"/>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Acne vulgaris</w:t>
            </w:r>
          </w:p>
        </w:tc>
        <w:tc>
          <w:tcPr>
            <w:tcW w:w="1193" w:type="pct"/>
            <w:tcBorders>
              <w:left w:val="single" w:sz="4" w:space="0" w:color="auto"/>
              <w:right w:val="single" w:sz="4" w:space="0" w:color="auto"/>
            </w:tcBorders>
            <w:shd w:val="clear" w:color="auto" w:fill="FFFFFF"/>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sz w:val="20"/>
                <w:szCs w:val="20"/>
                <w:lang w:eastAsia="en-US"/>
              </w:rPr>
              <w:t>Presumed nil</w:t>
            </w:r>
          </w:p>
        </w:tc>
        <w:tc>
          <w:tcPr>
            <w:tcW w:w="1193" w:type="pct"/>
            <w:tcBorders>
              <w:left w:val="single" w:sz="4" w:space="0" w:color="auto"/>
              <w:right w:val="single" w:sz="4" w:space="0" w:color="auto"/>
            </w:tcBorders>
            <w:shd w:val="clear" w:color="auto" w:fill="FFFFFF"/>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Van Shaik 2010a: 4/24 (17%) </w:t>
            </w:r>
            <w:r w:rsidRPr="00E3331A">
              <w:rPr>
                <w:rFonts w:ascii="Arial Narrow" w:eastAsia="Calibri" w:hAnsi="Arial Narrow" w:cs="Times New Roman"/>
                <w:i/>
                <w:sz w:val="20"/>
                <w:szCs w:val="20"/>
                <w:lang w:eastAsia="en-US"/>
              </w:rPr>
              <w:t>0/24 in f/u</w:t>
            </w:r>
            <w:r w:rsidRPr="00E3331A">
              <w:rPr>
                <w:rFonts w:ascii="Arial Narrow" w:eastAsia="Calibri" w:hAnsi="Arial Narrow" w:cs="Times New Roman"/>
                <w:sz w:val="20"/>
                <w:szCs w:val="20"/>
                <w:lang w:eastAsia="en-US"/>
              </w:rPr>
              <w:t xml:space="preserve"> </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Van Shaik 2010b: 3/16 (19%) </w:t>
            </w:r>
            <w:r w:rsidRPr="00E3331A">
              <w:rPr>
                <w:rFonts w:ascii="Arial Narrow" w:eastAsia="Calibri" w:hAnsi="Arial Narrow" w:cs="Times New Roman"/>
                <w:i/>
                <w:iCs/>
                <w:sz w:val="20"/>
                <w:szCs w:val="20"/>
                <w:lang w:eastAsia="en-US"/>
              </w:rPr>
              <w:t>0/16 in f/u</w:t>
            </w:r>
          </w:p>
        </w:tc>
        <w:tc>
          <w:tcPr>
            <w:tcW w:w="1193" w:type="pct"/>
            <w:tcBorders>
              <w:left w:val="single" w:sz="4" w:space="0" w:color="auto"/>
            </w:tcBorders>
            <w:shd w:val="clear" w:color="auto" w:fill="FFFFFF"/>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Rash</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Hughes 2008: 8/13 (7%)</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Hughes 2001: 2/30 (6%)</w:t>
            </w:r>
          </w:p>
          <w:p w:rsidR="008475E5" w:rsidRPr="00E3331A" w:rsidRDefault="008475E5" w:rsidP="0007007F">
            <w:pPr>
              <w:spacing w:after="0" w:line="240" w:lineRule="auto"/>
              <w:rPr>
                <w:rFonts w:ascii="Arial Narrow" w:eastAsia="Calibri" w:hAnsi="Arial Narrow" w:cs="Times New Roman"/>
                <w:i/>
                <w:sz w:val="20"/>
                <w:szCs w:val="20"/>
                <w:lang w:eastAsia="en-US"/>
              </w:rPr>
            </w:pPr>
            <w:r w:rsidRPr="00E3331A">
              <w:rPr>
                <w:rFonts w:ascii="Arial Narrow" w:eastAsia="Calibri" w:hAnsi="Arial Narrow" w:cs="Times New Roman"/>
                <w:sz w:val="20"/>
                <w:szCs w:val="20"/>
                <w:lang w:eastAsia="en-US"/>
              </w:rPr>
              <w:t xml:space="preserve">Zinman 2005: 2/8 (25%) </w:t>
            </w:r>
            <w:r w:rsidRPr="00E3331A">
              <w:rPr>
                <w:rFonts w:ascii="Arial Narrow" w:eastAsia="Calibri" w:hAnsi="Arial Narrow" w:cs="Times New Roman"/>
                <w:i/>
                <w:sz w:val="20"/>
                <w:szCs w:val="20"/>
                <w:lang w:eastAsia="en-US"/>
              </w:rPr>
              <w:t>resulting in discontinuation</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Hughes </w:t>
            </w:r>
            <w:r w:rsidR="00983BA7">
              <w:rPr>
                <w:rFonts w:ascii="Arial Narrow" w:eastAsia="Calibri" w:hAnsi="Arial Narrow" w:cs="Times New Roman"/>
                <w:sz w:val="20"/>
                <w:szCs w:val="20"/>
                <w:lang w:eastAsia="en-US"/>
              </w:rPr>
              <w:t xml:space="preserve">et al. </w:t>
            </w:r>
            <w:r w:rsidRPr="00E3331A">
              <w:rPr>
                <w:rFonts w:ascii="Arial Narrow" w:eastAsia="Calibri" w:hAnsi="Arial Narrow" w:cs="Times New Roman"/>
                <w:sz w:val="20"/>
                <w:szCs w:val="20"/>
                <w:lang w:eastAsia="en-US"/>
              </w:rPr>
              <w:t>2001: 0/27 (0)</w:t>
            </w:r>
          </w:p>
          <w:p w:rsidR="008475E5" w:rsidRPr="00E3331A" w:rsidRDefault="008475E5" w:rsidP="0007007F">
            <w:pPr>
              <w:spacing w:after="0" w:line="240" w:lineRule="auto"/>
              <w:rPr>
                <w:rFonts w:ascii="Arial Narrow" w:eastAsia="Calibri" w:hAnsi="Arial Narrow" w:cs="Times New Roman"/>
                <w:sz w:val="20"/>
                <w:szCs w:val="20"/>
                <w:lang w:eastAsia="en-US"/>
              </w:rPr>
            </w:pP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Hughes </w:t>
            </w:r>
            <w:r w:rsidR="00983BA7">
              <w:rPr>
                <w:rFonts w:ascii="Arial Narrow" w:eastAsia="Calibri" w:hAnsi="Arial Narrow" w:cs="Times New Roman"/>
                <w:sz w:val="20"/>
                <w:szCs w:val="20"/>
                <w:lang w:eastAsia="en-US"/>
              </w:rPr>
              <w:t xml:space="preserve">et al. </w:t>
            </w:r>
            <w:r w:rsidRPr="00E3331A">
              <w:rPr>
                <w:rFonts w:ascii="Arial Narrow" w:eastAsia="Calibri" w:hAnsi="Arial Narrow" w:cs="Times New Roman"/>
                <w:sz w:val="20"/>
                <w:szCs w:val="20"/>
                <w:lang w:eastAsia="en-US"/>
              </w:rPr>
              <w:t>2008: 1/95 (1%)</w:t>
            </w:r>
          </w:p>
          <w:p w:rsidR="008475E5" w:rsidRPr="00E3331A" w:rsidRDefault="008475E5" w:rsidP="0007007F">
            <w:pPr>
              <w:spacing w:after="0" w:line="240" w:lineRule="auto"/>
              <w:rPr>
                <w:rFonts w:ascii="Arial Narrow" w:eastAsia="Calibri" w:hAnsi="Arial Narrow" w:cs="Times New Roman"/>
                <w:i/>
                <w:sz w:val="20"/>
                <w:szCs w:val="20"/>
                <w:lang w:eastAsia="en-US"/>
              </w:rPr>
            </w:pPr>
            <w:r w:rsidRPr="00E3331A">
              <w:rPr>
                <w:rFonts w:ascii="Arial Narrow" w:eastAsia="Calibri" w:hAnsi="Arial Narrow" w:cs="Times New Roman"/>
                <w:sz w:val="20"/>
                <w:szCs w:val="20"/>
                <w:lang w:eastAsia="en-US"/>
              </w:rPr>
              <w:t>Mendell 2001: 1/23 (4%)</w:t>
            </w:r>
            <w:r w:rsidRPr="00E3331A">
              <w:rPr>
                <w:rFonts w:ascii="Arial Narrow" w:eastAsia="Calibri" w:hAnsi="Arial Narrow" w:cs="Times New Roman"/>
                <w:i/>
                <w:sz w:val="20"/>
                <w:szCs w:val="20"/>
                <w:lang w:eastAsia="en-US"/>
              </w:rPr>
              <w:t xml:space="preserve"> dropped out due to </w:t>
            </w:r>
            <w:r w:rsidR="004B5B83" w:rsidRPr="00E3331A">
              <w:rPr>
                <w:rFonts w:ascii="Arial Narrow" w:eastAsia="Calibri" w:hAnsi="Arial Narrow" w:cs="Times New Roman"/>
                <w:i/>
                <w:sz w:val="20"/>
                <w:szCs w:val="20"/>
                <w:lang w:eastAsia="en-US"/>
              </w:rPr>
              <w:t>urticaria</w:t>
            </w:r>
            <w:r w:rsidRPr="00E3331A">
              <w:rPr>
                <w:rFonts w:ascii="Arial Narrow" w:eastAsia="Calibri" w:hAnsi="Arial Narrow" w:cs="Times New Roman"/>
                <w:i/>
                <w:sz w:val="20"/>
                <w:szCs w:val="20"/>
                <w:lang w:eastAsia="en-US"/>
              </w:rPr>
              <w:t xml:space="preserve"> on 1</w:t>
            </w:r>
            <w:r w:rsidRPr="00E3331A">
              <w:rPr>
                <w:rFonts w:ascii="Arial Narrow" w:eastAsia="Calibri" w:hAnsi="Arial Narrow" w:cs="Times New Roman"/>
                <w:i/>
                <w:sz w:val="20"/>
                <w:szCs w:val="20"/>
                <w:vertAlign w:val="superscript"/>
                <w:lang w:eastAsia="en-US"/>
              </w:rPr>
              <w:t>st</w:t>
            </w:r>
            <w:r w:rsidRPr="00E3331A">
              <w:rPr>
                <w:rFonts w:ascii="Arial Narrow" w:eastAsia="Calibri" w:hAnsi="Arial Narrow" w:cs="Times New Roman"/>
                <w:i/>
                <w:sz w:val="20"/>
                <w:szCs w:val="20"/>
                <w:lang w:eastAsia="en-US"/>
              </w:rPr>
              <w:t xml:space="preserve"> infusion</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Delayed wound healing</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Van Shaik 2010a: 1/24 (4%) </w:t>
            </w:r>
            <w:r w:rsidRPr="00E3331A">
              <w:rPr>
                <w:rFonts w:ascii="Arial Narrow" w:eastAsia="Calibri" w:hAnsi="Arial Narrow" w:cs="Times New Roman"/>
                <w:i/>
                <w:iCs/>
                <w:sz w:val="20"/>
                <w:szCs w:val="20"/>
                <w:lang w:eastAsia="en-US"/>
              </w:rPr>
              <w:t>3/24 in f/u</w:t>
            </w:r>
            <w:r w:rsidRPr="00E3331A">
              <w:rPr>
                <w:rFonts w:ascii="Arial Narrow" w:eastAsia="Calibri" w:hAnsi="Arial Narrow" w:cs="Times New Roman"/>
                <w:sz w:val="20"/>
                <w:szCs w:val="20"/>
                <w:lang w:eastAsia="en-US"/>
              </w:rPr>
              <w:t xml:space="preserve"> </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Van Shaik 2010b: 3/16 (19%) </w:t>
            </w:r>
            <w:r w:rsidRPr="00E3331A">
              <w:rPr>
                <w:rFonts w:ascii="Arial Narrow" w:eastAsia="Calibri" w:hAnsi="Arial Narrow" w:cs="Times New Roman"/>
                <w:i/>
                <w:iCs/>
                <w:sz w:val="20"/>
                <w:szCs w:val="20"/>
                <w:lang w:eastAsia="en-US"/>
              </w:rPr>
              <w:t>0/16 in f/u</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Dermatitis</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1/24 (4%)</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eastAsia="Calibri" w:cs="Times New Roman"/>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0/21 (0)</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 xml:space="preserve">Skin </w:t>
            </w:r>
            <w:r w:rsidR="00037FB8" w:rsidRPr="00E3331A">
              <w:rPr>
                <w:rFonts w:ascii="Arial Narrow" w:eastAsia="Calibri" w:hAnsi="Arial Narrow" w:cs="Calibri"/>
                <w:sz w:val="20"/>
                <w:szCs w:val="20"/>
                <w:lang w:eastAsia="en-US"/>
              </w:rPr>
              <w:t>t</w:t>
            </w:r>
            <w:r w:rsidRPr="00E3331A">
              <w:rPr>
                <w:rFonts w:ascii="Arial Narrow" w:eastAsia="Calibri" w:hAnsi="Arial Narrow" w:cs="Calibri"/>
                <w:sz w:val="20"/>
                <w:szCs w:val="20"/>
                <w:lang w:eastAsia="en-US"/>
              </w:rPr>
              <w:t>hinning</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Van Shaik 2010a: 2/24 (8%) </w:t>
            </w:r>
            <w:r w:rsidRPr="00E3331A">
              <w:rPr>
                <w:rFonts w:ascii="Arial Narrow" w:eastAsia="Calibri" w:hAnsi="Arial Narrow" w:cs="Times New Roman"/>
                <w:i/>
                <w:iCs/>
                <w:sz w:val="20"/>
                <w:szCs w:val="20"/>
                <w:lang w:eastAsia="en-US"/>
              </w:rPr>
              <w:t>2/24 in f/u</w:t>
            </w:r>
            <w:r w:rsidRPr="00E3331A">
              <w:rPr>
                <w:rFonts w:ascii="Arial Narrow" w:eastAsia="Calibri" w:hAnsi="Arial Narrow" w:cs="Times New Roman"/>
                <w:sz w:val="20"/>
                <w:szCs w:val="20"/>
                <w:lang w:eastAsia="en-US"/>
              </w:rPr>
              <w:t xml:space="preserve"> </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Van Shaik 2010b: 3/16 (19%) </w:t>
            </w:r>
            <w:r w:rsidRPr="00E3331A">
              <w:rPr>
                <w:rFonts w:ascii="Arial Narrow" w:eastAsia="Calibri" w:hAnsi="Arial Narrow" w:cs="Times New Roman"/>
                <w:i/>
                <w:iCs/>
                <w:sz w:val="20"/>
                <w:szCs w:val="20"/>
                <w:lang w:eastAsia="en-US"/>
              </w:rPr>
              <w:t>0/16 in f/u</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right w:val="nil"/>
            </w:tcBorders>
            <w:shd w:val="clear" w:color="auto" w:fill="F2F2F2"/>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b/>
                <w:sz w:val="20"/>
                <w:szCs w:val="20"/>
                <w:lang w:eastAsia="en-US"/>
              </w:rPr>
              <w:t>Vascular disorders</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6/197 (3%)</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9/88 (10%)</w:t>
            </w:r>
          </w:p>
        </w:tc>
        <w:tc>
          <w:tcPr>
            <w:tcW w:w="1193" w:type="pct"/>
            <w:tcBorders>
              <w:lef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6/118 (5%)</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Cerebrovascular event</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i/>
                <w:sz w:val="20"/>
                <w:szCs w:val="20"/>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Deep vein thrombosis</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Flushing/blushing</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0/24 (0)</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1/21 (5%)</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Hypertension</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Mendell 2001: 3/30 (10%)^</w:t>
            </w:r>
          </w:p>
          <w:p w:rsidR="008475E5" w:rsidRPr="00E3331A" w:rsidRDefault="008475E5" w:rsidP="0007007F">
            <w:pPr>
              <w:spacing w:after="0" w:line="240" w:lineRule="auto"/>
              <w:rPr>
                <w:rFonts w:ascii="Arial Narrow" w:eastAsia="Calibri" w:hAnsi="Arial Narrow" w:cs="Times New Roman"/>
                <w:i/>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2/24 (8%)</w:t>
            </w:r>
            <w:r w:rsidRPr="00E3331A">
              <w:rPr>
                <w:rFonts w:ascii="Arial Narrow" w:eastAsia="Calibri" w:hAnsi="Arial Narrow" w:cs="Times New Roman"/>
                <w:sz w:val="20"/>
                <w:szCs w:val="20"/>
                <w:vertAlign w:val="superscript"/>
                <w:lang w:eastAsia="en-US"/>
              </w:rPr>
              <w:footnoteReference w:id="16"/>
            </w:r>
            <w:r w:rsidRPr="00E3331A">
              <w:rPr>
                <w:rFonts w:ascii="Arial Narrow" w:eastAsia="Calibri" w:hAnsi="Arial Narrow" w:cs="Times New Roman"/>
                <w:sz w:val="20"/>
                <w:szCs w:val="20"/>
                <w:lang w:eastAsia="en-US"/>
              </w:rPr>
              <w:t xml:space="preserve"> </w:t>
            </w:r>
            <w:r w:rsidRPr="00E3331A">
              <w:rPr>
                <w:rFonts w:ascii="Arial Narrow" w:eastAsia="Calibri" w:hAnsi="Arial Narrow" w:cs="Times New Roman"/>
                <w:i/>
                <w:sz w:val="20"/>
                <w:szCs w:val="20"/>
                <w:lang w:eastAsia="en-US"/>
              </w:rPr>
              <w:t>lead to discontinuation in both</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Nobile</w:t>
            </w:r>
            <w:r w:rsidR="00D45BCF" w:rsidRPr="00E3331A">
              <w:rPr>
                <w:rFonts w:ascii="Arial Narrow" w:eastAsia="Calibri" w:hAnsi="Arial Narrow" w:cs="Times New Roman"/>
                <w:sz w:val="20"/>
                <w:szCs w:val="20"/>
                <w:lang w:eastAsia="en-US"/>
              </w:rPr>
              <w:t>-</w:t>
            </w:r>
            <w:r w:rsidRPr="00E3331A">
              <w:rPr>
                <w:rFonts w:ascii="Arial Narrow" w:eastAsia="Calibri" w:hAnsi="Arial Narrow" w:cs="Times New Roman"/>
                <w:sz w:val="20"/>
                <w:szCs w:val="20"/>
                <w:lang w:eastAsia="en-US"/>
              </w:rPr>
              <w:t>orazio 2012: 3/21 (14%)</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Van Shaik 2010a: 3/24 (12.5%) </w:t>
            </w:r>
            <w:r w:rsidRPr="00E3331A">
              <w:rPr>
                <w:rFonts w:ascii="Arial Narrow" w:eastAsia="Calibri" w:hAnsi="Arial Narrow" w:cs="Times New Roman"/>
                <w:i/>
                <w:iCs/>
                <w:sz w:val="20"/>
                <w:szCs w:val="20"/>
                <w:lang w:eastAsia="en-US"/>
              </w:rPr>
              <w:t xml:space="preserve">3/24 in f/u </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Van Shaik 2010b: 2/16 (12.5%) </w:t>
            </w:r>
            <w:r w:rsidRPr="00E3331A">
              <w:rPr>
                <w:rFonts w:ascii="Arial Narrow" w:eastAsia="Calibri" w:hAnsi="Arial Narrow" w:cs="Times New Roman"/>
                <w:i/>
                <w:iCs/>
                <w:sz w:val="20"/>
                <w:szCs w:val="20"/>
                <w:lang w:eastAsia="en-US"/>
              </w:rPr>
              <w:t>2/16 in f/u</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Hughes </w:t>
            </w:r>
            <w:r w:rsidR="00983BA7">
              <w:rPr>
                <w:rFonts w:ascii="Arial Narrow" w:eastAsia="Calibri" w:hAnsi="Arial Narrow" w:cs="Times New Roman"/>
                <w:sz w:val="20"/>
                <w:szCs w:val="20"/>
                <w:lang w:eastAsia="en-US"/>
              </w:rPr>
              <w:t xml:space="preserve">et al. </w:t>
            </w:r>
            <w:r w:rsidRPr="00E3331A">
              <w:rPr>
                <w:rFonts w:ascii="Arial Narrow" w:eastAsia="Calibri" w:hAnsi="Arial Narrow" w:cs="Times New Roman"/>
                <w:sz w:val="20"/>
                <w:szCs w:val="20"/>
                <w:lang w:eastAsia="en-US"/>
              </w:rPr>
              <w:t>2008: 4/95 (4%)</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Mendell 2001: 2/23 (9%)^</w:t>
            </w:r>
          </w:p>
        </w:tc>
      </w:tr>
      <w:tr w:rsidR="00281EC2" w:rsidRPr="00E3331A" w:rsidTr="0007007F">
        <w:tc>
          <w:tcPr>
            <w:tcW w:w="1421"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Hypotension</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Hughes 2001: 1/30 (3%)</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Hughes </w:t>
            </w:r>
            <w:r w:rsidR="00983BA7">
              <w:rPr>
                <w:rFonts w:ascii="Arial Narrow" w:eastAsia="Calibri" w:hAnsi="Arial Narrow" w:cs="Times New Roman"/>
                <w:sz w:val="20"/>
                <w:szCs w:val="20"/>
                <w:lang w:eastAsia="en-US"/>
              </w:rPr>
              <w:t xml:space="preserve">et al. </w:t>
            </w:r>
            <w:r w:rsidRPr="00E3331A">
              <w:rPr>
                <w:rFonts w:ascii="Arial Narrow" w:eastAsia="Calibri" w:hAnsi="Arial Narrow" w:cs="Times New Roman"/>
                <w:sz w:val="20"/>
                <w:szCs w:val="20"/>
                <w:lang w:eastAsia="en-US"/>
              </w:rPr>
              <w:t>2001: 0/27 (0)</w:t>
            </w:r>
          </w:p>
        </w:tc>
        <w:tc>
          <w:tcPr>
            <w:tcW w:w="1193" w:type="pct"/>
            <w:tcBorders>
              <w:bottom w:val="single" w:sz="4" w:space="0" w:color="auto"/>
            </w:tcBorders>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r>
      <w:tr w:rsidR="00281EC2" w:rsidRPr="00E3331A" w:rsidTr="0007007F">
        <w:tc>
          <w:tcPr>
            <w:tcW w:w="1421" w:type="pct"/>
            <w:tcBorders>
              <w:right w:val="nil"/>
            </w:tcBorders>
            <w:shd w:val="clear" w:color="auto" w:fill="F2F2F2"/>
          </w:tcPr>
          <w:p w:rsidR="008475E5" w:rsidRPr="00E3331A" w:rsidRDefault="008475E5" w:rsidP="0007007F">
            <w:pPr>
              <w:spacing w:after="0" w:line="240" w:lineRule="auto"/>
              <w:rPr>
                <w:rFonts w:ascii="Arial Narrow" w:eastAsia="Calibri" w:hAnsi="Arial Narrow" w:cs="Calibri"/>
                <w:b/>
                <w:sz w:val="20"/>
                <w:szCs w:val="20"/>
                <w:lang w:eastAsia="en-US"/>
              </w:rPr>
            </w:pPr>
            <w:r w:rsidRPr="00E3331A">
              <w:rPr>
                <w:rFonts w:ascii="Arial Narrow" w:eastAsia="Calibri" w:hAnsi="Arial Narrow" w:cs="Calibri"/>
                <w:b/>
                <w:sz w:val="20"/>
                <w:szCs w:val="20"/>
                <w:lang w:eastAsia="en-US"/>
              </w:rPr>
              <w:t>Unspecified</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0</w:t>
            </w:r>
          </w:p>
        </w:tc>
        <w:tc>
          <w:tcPr>
            <w:tcW w:w="1193" w:type="pct"/>
            <w:tcBorders>
              <w:left w:val="nil"/>
              <w:righ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30/88 (34%)</w:t>
            </w:r>
          </w:p>
        </w:tc>
        <w:tc>
          <w:tcPr>
            <w:tcW w:w="1193" w:type="pct"/>
            <w:tcBorders>
              <w:left w:val="nil"/>
            </w:tcBorders>
            <w:shd w:val="clear" w:color="auto" w:fill="F2F2F2"/>
          </w:tcPr>
          <w:p w:rsidR="008475E5" w:rsidRPr="00E3331A" w:rsidRDefault="008475E5" w:rsidP="0007007F">
            <w:pPr>
              <w:spacing w:after="0" w:line="240" w:lineRule="auto"/>
              <w:rPr>
                <w:rFonts w:ascii="Arial Narrow" w:eastAsia="Calibri" w:hAnsi="Arial Narrow" w:cs="Times New Roman"/>
                <w:b/>
                <w:sz w:val="20"/>
                <w:szCs w:val="20"/>
                <w:lang w:eastAsia="en-US"/>
              </w:rPr>
            </w:pPr>
            <w:r w:rsidRPr="00E3331A">
              <w:rPr>
                <w:rFonts w:ascii="Arial Narrow" w:eastAsia="Calibri" w:hAnsi="Arial Narrow" w:cs="Times New Roman"/>
                <w:b/>
                <w:sz w:val="20"/>
                <w:szCs w:val="20"/>
                <w:lang w:eastAsia="en-US"/>
              </w:rPr>
              <w:t>0</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Increased appetite</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Van Shaik 2010a: 9/24 (38%) </w:t>
            </w:r>
            <w:r w:rsidRPr="00E3331A">
              <w:rPr>
                <w:rFonts w:ascii="Arial Narrow" w:eastAsia="Calibri" w:hAnsi="Arial Narrow" w:cs="Times New Roman"/>
                <w:i/>
                <w:sz w:val="20"/>
                <w:szCs w:val="20"/>
                <w:lang w:eastAsia="en-US"/>
              </w:rPr>
              <w:t>3/24 in f/u</w:t>
            </w:r>
            <w:r w:rsidRPr="00E3331A">
              <w:rPr>
                <w:rFonts w:ascii="Arial Narrow" w:eastAsia="Calibri" w:hAnsi="Arial Narrow" w:cs="Times New Roman"/>
                <w:sz w:val="20"/>
                <w:szCs w:val="20"/>
                <w:lang w:eastAsia="en-US"/>
              </w:rPr>
              <w:t xml:space="preserve"> </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Van Shaik 2010b: 8/16 (50%) </w:t>
            </w:r>
            <w:r w:rsidRPr="00E3331A">
              <w:rPr>
                <w:rFonts w:ascii="Arial Narrow" w:eastAsia="Calibri" w:hAnsi="Arial Narrow" w:cs="Times New Roman"/>
                <w:i/>
                <w:sz w:val="20"/>
                <w:szCs w:val="20"/>
                <w:lang w:eastAsia="en-US"/>
              </w:rPr>
              <w:t>1/16 in f/u</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r>
      <w:tr w:rsidR="008475E5" w:rsidRPr="00E3331A" w:rsidTr="0007007F">
        <w:tc>
          <w:tcPr>
            <w:tcW w:w="1421" w:type="pct"/>
            <w:shd w:val="clear" w:color="auto" w:fill="auto"/>
          </w:tcPr>
          <w:p w:rsidR="008475E5" w:rsidRPr="00E3331A" w:rsidRDefault="008475E5" w:rsidP="0007007F">
            <w:pPr>
              <w:spacing w:after="0" w:line="240" w:lineRule="auto"/>
              <w:rPr>
                <w:rFonts w:ascii="Arial Narrow" w:eastAsia="Calibri" w:hAnsi="Arial Narrow" w:cs="Calibri"/>
                <w:sz w:val="20"/>
                <w:szCs w:val="20"/>
                <w:lang w:eastAsia="en-US"/>
              </w:rPr>
            </w:pPr>
            <w:r w:rsidRPr="00E3331A">
              <w:rPr>
                <w:rFonts w:ascii="Arial Narrow" w:eastAsia="Calibri" w:hAnsi="Arial Narrow" w:cs="Calibri"/>
                <w:sz w:val="20"/>
                <w:szCs w:val="20"/>
                <w:lang w:eastAsia="en-US"/>
              </w:rPr>
              <w:t>Other</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Van Shaik 2010a: 7/24 (30%) 1</w:t>
            </w:r>
            <w:r w:rsidRPr="00E3331A">
              <w:rPr>
                <w:rFonts w:ascii="Arial Narrow" w:eastAsia="Calibri" w:hAnsi="Arial Narrow" w:cs="Times New Roman"/>
                <w:i/>
                <w:sz w:val="20"/>
                <w:szCs w:val="20"/>
                <w:lang w:eastAsia="en-US"/>
              </w:rPr>
              <w:t>/24 in f/u</w:t>
            </w:r>
            <w:r w:rsidRPr="00E3331A">
              <w:rPr>
                <w:rFonts w:ascii="Arial Narrow" w:eastAsia="Calibri" w:hAnsi="Arial Narrow" w:cs="Times New Roman"/>
                <w:sz w:val="20"/>
                <w:szCs w:val="20"/>
                <w:lang w:eastAsia="en-US"/>
              </w:rPr>
              <w:t xml:space="preserve"> </w:t>
            </w:r>
          </w:p>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 xml:space="preserve">Van Shaik 2010b: 6/16 (38%) </w:t>
            </w:r>
            <w:r w:rsidRPr="00E3331A">
              <w:rPr>
                <w:rFonts w:ascii="Arial Narrow" w:eastAsia="Calibri" w:hAnsi="Arial Narrow" w:cs="Times New Roman"/>
                <w:i/>
                <w:sz w:val="20"/>
                <w:szCs w:val="20"/>
                <w:lang w:eastAsia="en-US"/>
              </w:rPr>
              <w:t>1/16 in f/u</w:t>
            </w:r>
          </w:p>
        </w:tc>
        <w:tc>
          <w:tcPr>
            <w:tcW w:w="1193" w:type="pct"/>
            <w:shd w:val="clear" w:color="auto" w:fill="auto"/>
          </w:tcPr>
          <w:p w:rsidR="008475E5" w:rsidRPr="00E3331A" w:rsidRDefault="008475E5" w:rsidP="0007007F">
            <w:pPr>
              <w:spacing w:after="0" w:line="240" w:lineRule="auto"/>
              <w:rPr>
                <w:rFonts w:ascii="Arial Narrow" w:eastAsia="Calibri" w:hAnsi="Arial Narrow" w:cs="Times New Roman"/>
                <w:sz w:val="20"/>
                <w:szCs w:val="20"/>
                <w:lang w:eastAsia="en-US"/>
              </w:rPr>
            </w:pPr>
            <w:r w:rsidRPr="00E3331A">
              <w:rPr>
                <w:rFonts w:ascii="Arial Narrow" w:eastAsia="Calibri" w:hAnsi="Arial Narrow" w:cs="Times New Roman"/>
                <w:sz w:val="20"/>
                <w:szCs w:val="20"/>
                <w:lang w:eastAsia="en-US"/>
              </w:rPr>
              <w:t>Presumed nil</w:t>
            </w:r>
          </w:p>
        </w:tc>
      </w:tr>
    </w:tbl>
    <w:p w:rsidR="006E72C9" w:rsidRPr="00E3331A" w:rsidRDefault="008475E5" w:rsidP="008475E5">
      <w:pPr>
        <w:spacing w:after="60"/>
        <w:rPr>
          <w:rFonts w:ascii="Arial Narrow" w:hAnsi="Arial Narrow" w:cs="Arial"/>
          <w:snapToGrid w:val="0"/>
          <w:sz w:val="18"/>
          <w:szCs w:val="20"/>
          <w:lang w:eastAsia="en-US"/>
        </w:rPr>
      </w:pPr>
      <w:r w:rsidRPr="00E3331A">
        <w:rPr>
          <w:rFonts w:ascii="Arial Narrow" w:hAnsi="Arial Narrow" w:cs="Arial"/>
          <w:snapToGrid w:val="0"/>
          <w:sz w:val="18"/>
          <w:szCs w:val="20"/>
          <w:lang w:eastAsia="en-US"/>
        </w:rPr>
        <w:t>AE: adverse event; NR: not reported.</w:t>
      </w:r>
    </w:p>
    <w:p w:rsidR="008475E5" w:rsidRPr="00E3331A" w:rsidRDefault="008475E5" w:rsidP="008475E5">
      <w:pPr>
        <w:spacing w:after="60"/>
        <w:rPr>
          <w:rFonts w:ascii="Arial Narrow" w:hAnsi="Arial Narrow"/>
          <w:sz w:val="20"/>
          <w:szCs w:val="20"/>
        </w:rPr>
      </w:pPr>
      <w:r w:rsidRPr="00E3331A">
        <w:rPr>
          <w:rFonts w:ascii="Arial Narrow" w:hAnsi="Arial Narrow"/>
          <w:sz w:val="20"/>
          <w:szCs w:val="20"/>
        </w:rPr>
        <w:lastRenderedPageBreak/>
        <w:t xml:space="preserve">Explanatory notes: </w:t>
      </w:r>
    </w:p>
    <w:p w:rsidR="008475E5" w:rsidRPr="00E3331A" w:rsidRDefault="008475E5" w:rsidP="001F5B33">
      <w:pPr>
        <w:pStyle w:val="ColorfulList-Accent11"/>
        <w:numPr>
          <w:ilvl w:val="0"/>
          <w:numId w:val="28"/>
        </w:numPr>
        <w:spacing w:after="0" w:line="259" w:lineRule="auto"/>
        <w:ind w:left="714" w:hanging="357"/>
        <w:rPr>
          <w:rFonts w:ascii="Arial Narrow" w:hAnsi="Arial Narrow"/>
          <w:sz w:val="20"/>
          <w:szCs w:val="20"/>
        </w:rPr>
      </w:pPr>
      <w:r w:rsidRPr="00E3331A">
        <w:rPr>
          <w:rFonts w:ascii="Arial Narrow" w:hAnsi="Arial Narrow"/>
          <w:sz w:val="20"/>
          <w:szCs w:val="20"/>
        </w:rPr>
        <w:t>Where an AE was explicitly reported as not having occurred this was recorded as 0</w:t>
      </w:r>
      <w:r w:rsidR="006E72C9" w:rsidRPr="00E3331A">
        <w:rPr>
          <w:rFonts w:ascii="Arial Narrow" w:hAnsi="Arial Narrow"/>
          <w:sz w:val="20"/>
          <w:szCs w:val="20"/>
        </w:rPr>
        <w:t>. W</w:t>
      </w:r>
      <w:r w:rsidRPr="00E3331A">
        <w:rPr>
          <w:rFonts w:ascii="Arial Narrow" w:hAnsi="Arial Narrow"/>
          <w:sz w:val="20"/>
          <w:szCs w:val="20"/>
        </w:rPr>
        <w:t>hen the event was not mentioned in the text it was presumed not to have occurred</w:t>
      </w:r>
    </w:p>
    <w:p w:rsidR="008475E5" w:rsidRPr="00E3331A" w:rsidRDefault="008475E5" w:rsidP="001F5B33">
      <w:pPr>
        <w:pStyle w:val="ColorfulList-Accent11"/>
        <w:numPr>
          <w:ilvl w:val="0"/>
          <w:numId w:val="28"/>
        </w:numPr>
        <w:spacing w:after="0" w:line="259" w:lineRule="auto"/>
        <w:ind w:left="714" w:hanging="357"/>
        <w:rPr>
          <w:rFonts w:ascii="Arial Narrow" w:hAnsi="Arial Narrow"/>
          <w:sz w:val="20"/>
          <w:szCs w:val="20"/>
        </w:rPr>
      </w:pPr>
      <w:r w:rsidRPr="00E3331A">
        <w:rPr>
          <w:rFonts w:ascii="Arial Narrow" w:hAnsi="Arial Narrow"/>
          <w:sz w:val="20"/>
          <w:szCs w:val="20"/>
        </w:rPr>
        <w:t>Events are classified according to the CTCAE definitions</w:t>
      </w:r>
    </w:p>
    <w:p w:rsidR="008475E5" w:rsidRPr="00E3331A" w:rsidRDefault="008475E5" w:rsidP="001F5B33">
      <w:pPr>
        <w:pStyle w:val="ColorfulList-Accent11"/>
        <w:numPr>
          <w:ilvl w:val="0"/>
          <w:numId w:val="28"/>
        </w:numPr>
        <w:spacing w:after="0" w:line="259" w:lineRule="auto"/>
        <w:ind w:left="714" w:hanging="357"/>
        <w:rPr>
          <w:rFonts w:ascii="Arial Narrow" w:hAnsi="Arial Narrow"/>
          <w:sz w:val="20"/>
          <w:szCs w:val="20"/>
        </w:rPr>
      </w:pPr>
      <w:r w:rsidRPr="00E3331A">
        <w:rPr>
          <w:rFonts w:ascii="Arial Narrow" w:hAnsi="Arial Narrow"/>
          <w:sz w:val="20"/>
          <w:szCs w:val="20"/>
        </w:rPr>
        <w:t>The same patient could experience multiple events and therefore will be counted multiple times within the table</w:t>
      </w:r>
    </w:p>
    <w:p w:rsidR="008475E5" w:rsidRPr="00E3331A" w:rsidRDefault="008475E5" w:rsidP="001F5B33">
      <w:pPr>
        <w:pStyle w:val="ColorfulList-Accent11"/>
        <w:numPr>
          <w:ilvl w:val="0"/>
          <w:numId w:val="28"/>
        </w:numPr>
        <w:spacing w:after="0" w:line="259" w:lineRule="auto"/>
        <w:ind w:left="714" w:hanging="357"/>
        <w:rPr>
          <w:rFonts w:ascii="Arial Narrow" w:hAnsi="Arial Narrow"/>
          <w:sz w:val="20"/>
          <w:szCs w:val="20"/>
        </w:rPr>
      </w:pPr>
      <w:r w:rsidRPr="00E3331A">
        <w:rPr>
          <w:rFonts w:ascii="Arial Narrow" w:hAnsi="Arial Narrow"/>
          <w:sz w:val="20"/>
          <w:szCs w:val="20"/>
        </w:rPr>
        <w:t>^ indicate</w:t>
      </w:r>
      <w:r w:rsidR="006E72C9" w:rsidRPr="00E3331A">
        <w:rPr>
          <w:rFonts w:ascii="Arial Narrow" w:hAnsi="Arial Narrow"/>
          <w:sz w:val="20"/>
          <w:szCs w:val="20"/>
        </w:rPr>
        <w:t>s</w:t>
      </w:r>
      <w:r w:rsidRPr="00E3331A">
        <w:rPr>
          <w:rFonts w:ascii="Arial Narrow" w:hAnsi="Arial Narrow"/>
          <w:sz w:val="20"/>
          <w:szCs w:val="20"/>
        </w:rPr>
        <w:t xml:space="preserve"> that the n/N back</w:t>
      </w:r>
      <w:r w:rsidR="006E72C9" w:rsidRPr="00E3331A">
        <w:rPr>
          <w:rFonts w:ascii="Arial Narrow" w:hAnsi="Arial Narrow"/>
          <w:sz w:val="20"/>
          <w:szCs w:val="20"/>
        </w:rPr>
        <w:t>-</w:t>
      </w:r>
      <w:r w:rsidRPr="00E3331A">
        <w:rPr>
          <w:rFonts w:ascii="Arial Narrow" w:hAnsi="Arial Narrow"/>
          <w:sz w:val="20"/>
          <w:szCs w:val="20"/>
        </w:rPr>
        <w:t>calculated from % owing to a paucity of follow-up data</w:t>
      </w:r>
    </w:p>
    <w:p w:rsidR="008475E5" w:rsidRPr="00E3331A" w:rsidRDefault="008475E5" w:rsidP="001F5B33">
      <w:pPr>
        <w:pStyle w:val="ColorfulList-Accent11"/>
        <w:numPr>
          <w:ilvl w:val="0"/>
          <w:numId w:val="28"/>
        </w:numPr>
        <w:spacing w:after="0" w:line="259" w:lineRule="auto"/>
        <w:ind w:left="714" w:hanging="357"/>
        <w:rPr>
          <w:rFonts w:ascii="Arial Narrow" w:hAnsi="Arial Narrow"/>
          <w:sz w:val="20"/>
          <w:szCs w:val="20"/>
        </w:rPr>
      </w:pPr>
      <w:r w:rsidRPr="00E3331A">
        <w:rPr>
          <w:rFonts w:ascii="Arial Narrow" w:hAnsi="Arial Narrow" w:cs="Times New Roman"/>
          <w:sz w:val="20"/>
          <w:szCs w:val="20"/>
        </w:rPr>
        <w:t>Van Shaik 2010a: oral dexamethasone</w:t>
      </w:r>
    </w:p>
    <w:p w:rsidR="008475E5" w:rsidRPr="00E3331A" w:rsidRDefault="008475E5" w:rsidP="001F5B33">
      <w:pPr>
        <w:pStyle w:val="ColorfulList-Accent11"/>
        <w:numPr>
          <w:ilvl w:val="0"/>
          <w:numId w:val="28"/>
        </w:numPr>
        <w:spacing w:after="0" w:line="259" w:lineRule="auto"/>
        <w:ind w:left="714" w:hanging="357"/>
        <w:rPr>
          <w:rFonts w:ascii="Arial Narrow" w:hAnsi="Arial Narrow"/>
          <w:sz w:val="20"/>
          <w:szCs w:val="20"/>
        </w:rPr>
      </w:pPr>
      <w:r w:rsidRPr="00E3331A">
        <w:rPr>
          <w:rFonts w:ascii="Arial Narrow" w:hAnsi="Arial Narrow" w:cs="Times New Roman"/>
          <w:sz w:val="20"/>
          <w:szCs w:val="20"/>
        </w:rPr>
        <w:t>Van Shaik 2010b: oral prednisolone</w:t>
      </w:r>
    </w:p>
    <w:p w:rsidR="008475E5" w:rsidRPr="00E3331A" w:rsidRDefault="008475E5" w:rsidP="008475E5"/>
    <w:p w:rsidR="008475E5" w:rsidRPr="00E3331A" w:rsidRDefault="008475E5" w:rsidP="008475E5">
      <w:pPr>
        <w:sectPr w:rsidR="008475E5" w:rsidRPr="00E3331A" w:rsidSect="00CD0563">
          <w:pgSz w:w="16838" w:h="11906" w:orient="landscape"/>
          <w:pgMar w:top="1440" w:right="1440" w:bottom="1440" w:left="1440" w:header="720" w:footer="720" w:gutter="0"/>
          <w:paperSrc w:first="2" w:other="2"/>
          <w:cols w:space="720"/>
          <w:docGrid w:linePitch="299"/>
        </w:sectPr>
      </w:pPr>
    </w:p>
    <w:p w:rsidR="008F59A8" w:rsidRPr="00E3331A" w:rsidRDefault="008F59A8" w:rsidP="003E4E1F">
      <w:pPr>
        <w:pStyle w:val="Heading2"/>
      </w:pPr>
      <w:bookmarkStart w:id="250" w:name="_Toc379118084"/>
      <w:bookmarkStart w:id="251" w:name="_Toc381796469"/>
      <w:bookmarkStart w:id="252" w:name="_Toc24103464"/>
      <w:r w:rsidRPr="00E3331A">
        <w:lastRenderedPageBreak/>
        <w:t>Is it effective?</w:t>
      </w:r>
      <w:bookmarkEnd w:id="250"/>
      <w:bookmarkEnd w:id="251"/>
      <w:bookmarkEnd w:id="252"/>
      <w:r w:rsidRPr="00E3331A">
        <w:t xml:space="preserve"> </w:t>
      </w:r>
    </w:p>
    <w:p w:rsidR="00A56D77" w:rsidRPr="00E3331A" w:rsidRDefault="00DD207E" w:rsidP="00F4142B">
      <w:pPr>
        <w:pStyle w:val="Summaryboxheading"/>
        <w:pBdr>
          <w:top w:val="single" w:sz="4" w:space="1" w:color="auto"/>
          <w:left w:val="single" w:sz="4" w:space="0" w:color="auto"/>
          <w:bottom w:val="single" w:sz="4" w:space="1" w:color="auto"/>
          <w:right w:val="single" w:sz="4" w:space="4" w:color="auto"/>
        </w:pBdr>
        <w:jc w:val="both"/>
      </w:pPr>
      <w:r w:rsidRPr="00E3331A">
        <w:t>What is the efficacy of IVIg compared to steroids (oral and IV), plasma exchange, immunosuppressant and/or immunomodulatory drugs and therapies (not including steroids), a combination of two or more of the above therapies, or no active treatment?</w:t>
      </w:r>
    </w:p>
    <w:p w:rsidR="00A5482A" w:rsidRPr="00E3331A" w:rsidRDefault="006D1B05" w:rsidP="00F4142B">
      <w:pPr>
        <w:pStyle w:val="Summaryboxheading"/>
        <w:pBdr>
          <w:top w:val="single" w:sz="4" w:space="1" w:color="auto"/>
          <w:left w:val="single" w:sz="4" w:space="0" w:color="auto"/>
          <w:bottom w:val="single" w:sz="4" w:space="1" w:color="auto"/>
          <w:right w:val="single" w:sz="4" w:space="4" w:color="auto"/>
        </w:pBdr>
        <w:jc w:val="both"/>
        <w:rPr>
          <w:b w:val="0"/>
        </w:rPr>
      </w:pPr>
      <w:r w:rsidRPr="00E3331A">
        <w:rPr>
          <w:b w:val="0"/>
        </w:rPr>
        <w:t xml:space="preserve">Ig </w:t>
      </w:r>
      <w:r w:rsidR="009A4722" w:rsidRPr="00E3331A">
        <w:rPr>
          <w:b w:val="0"/>
        </w:rPr>
        <w:t>appears to have</w:t>
      </w:r>
      <w:r w:rsidRPr="00E3331A">
        <w:rPr>
          <w:b w:val="0"/>
        </w:rPr>
        <w:t xml:space="preserve"> superior </w:t>
      </w:r>
      <w:r w:rsidR="00A5482A" w:rsidRPr="00E3331A">
        <w:rPr>
          <w:b w:val="0"/>
        </w:rPr>
        <w:t xml:space="preserve">short-term </w:t>
      </w:r>
      <w:r w:rsidRPr="00E3331A">
        <w:rPr>
          <w:b w:val="0"/>
        </w:rPr>
        <w:t>effectiveness compared to no treatment</w:t>
      </w:r>
      <w:r w:rsidR="00A5482A" w:rsidRPr="00E3331A">
        <w:rPr>
          <w:b w:val="0"/>
        </w:rPr>
        <w:t>. T</w:t>
      </w:r>
      <w:r w:rsidR="005010CB" w:rsidRPr="00E3331A">
        <w:rPr>
          <w:b w:val="0"/>
        </w:rPr>
        <w:t>hree out of four</w:t>
      </w:r>
      <w:r w:rsidR="009A4722" w:rsidRPr="00E3331A">
        <w:rPr>
          <w:b w:val="0"/>
        </w:rPr>
        <w:t xml:space="preserve"> </w:t>
      </w:r>
      <w:r w:rsidR="005010CB" w:rsidRPr="00E3331A">
        <w:rPr>
          <w:b w:val="0"/>
        </w:rPr>
        <w:t>RCTs</w:t>
      </w:r>
      <w:r w:rsidR="009A4722" w:rsidRPr="00E3331A">
        <w:rPr>
          <w:b w:val="0"/>
        </w:rPr>
        <w:t xml:space="preserve"> report</w:t>
      </w:r>
      <w:r w:rsidR="00CD2BF3" w:rsidRPr="00E3331A">
        <w:rPr>
          <w:b w:val="0"/>
        </w:rPr>
        <w:t>ed</w:t>
      </w:r>
      <w:r w:rsidR="009A4722" w:rsidRPr="00E3331A">
        <w:rPr>
          <w:b w:val="0"/>
        </w:rPr>
        <w:t xml:space="preserve"> an improvement in disability measures. </w:t>
      </w:r>
      <w:r w:rsidR="00A5482A" w:rsidRPr="00E3331A">
        <w:rPr>
          <w:b w:val="0"/>
        </w:rPr>
        <w:t xml:space="preserve">A higher proportion of patients receiving Ig had a clinically meaningful response compared to patients receiving no treatment (48% vs 18%). </w:t>
      </w:r>
    </w:p>
    <w:p w:rsidR="00A56D77" w:rsidRPr="00E3331A" w:rsidRDefault="009302F9" w:rsidP="00F4142B">
      <w:pPr>
        <w:pStyle w:val="Summaryboxheading"/>
        <w:pBdr>
          <w:top w:val="single" w:sz="4" w:space="1" w:color="auto"/>
          <w:left w:val="single" w:sz="4" w:space="0" w:color="auto"/>
          <w:bottom w:val="single" w:sz="4" w:space="1" w:color="auto"/>
          <w:right w:val="single" w:sz="4" w:space="4" w:color="auto"/>
        </w:pBdr>
        <w:jc w:val="both"/>
        <w:rPr>
          <w:b w:val="0"/>
        </w:rPr>
      </w:pPr>
      <w:r w:rsidRPr="00E3331A">
        <w:rPr>
          <w:b w:val="0"/>
        </w:rPr>
        <w:t>In the l</w:t>
      </w:r>
      <w:r w:rsidR="005010CB" w:rsidRPr="00E3331A">
        <w:rPr>
          <w:b w:val="0"/>
        </w:rPr>
        <w:t>ong</w:t>
      </w:r>
      <w:r w:rsidRPr="00E3331A">
        <w:rPr>
          <w:b w:val="0"/>
        </w:rPr>
        <w:t xml:space="preserve"> </w:t>
      </w:r>
      <w:r w:rsidR="005010CB" w:rsidRPr="00E3331A">
        <w:rPr>
          <w:b w:val="0"/>
        </w:rPr>
        <w:t>term</w:t>
      </w:r>
      <w:r w:rsidRPr="00E3331A">
        <w:rPr>
          <w:b w:val="0"/>
        </w:rPr>
        <w:t>,</w:t>
      </w:r>
      <w:r w:rsidR="009A4722" w:rsidRPr="00E3331A">
        <w:rPr>
          <w:b w:val="0"/>
        </w:rPr>
        <w:t xml:space="preserve"> </w:t>
      </w:r>
      <w:r w:rsidR="00A5482A" w:rsidRPr="00E3331A">
        <w:rPr>
          <w:b w:val="0"/>
        </w:rPr>
        <w:t xml:space="preserve">continued </w:t>
      </w:r>
      <w:r w:rsidR="009A4722" w:rsidRPr="00E3331A">
        <w:rPr>
          <w:b w:val="0"/>
        </w:rPr>
        <w:t xml:space="preserve">Ig </w:t>
      </w:r>
      <w:r w:rsidRPr="00E3331A">
        <w:rPr>
          <w:b w:val="0"/>
        </w:rPr>
        <w:t xml:space="preserve">use </w:t>
      </w:r>
      <w:r w:rsidR="009A4722" w:rsidRPr="00E3331A">
        <w:rPr>
          <w:b w:val="0"/>
        </w:rPr>
        <w:t xml:space="preserve">appears to maintain </w:t>
      </w:r>
      <w:r w:rsidRPr="00E3331A">
        <w:rPr>
          <w:b w:val="0"/>
        </w:rPr>
        <w:t xml:space="preserve">a </w:t>
      </w:r>
      <w:r w:rsidR="009A4722" w:rsidRPr="00E3331A">
        <w:rPr>
          <w:b w:val="0"/>
        </w:rPr>
        <w:t xml:space="preserve">response in </w:t>
      </w:r>
      <w:r w:rsidRPr="00E3331A">
        <w:rPr>
          <w:b w:val="0"/>
        </w:rPr>
        <w:t xml:space="preserve">a greater </w:t>
      </w:r>
      <w:r w:rsidR="005010CB" w:rsidRPr="00E3331A">
        <w:rPr>
          <w:b w:val="0"/>
        </w:rPr>
        <w:t>number</w:t>
      </w:r>
      <w:r w:rsidR="009A4722" w:rsidRPr="00E3331A">
        <w:rPr>
          <w:b w:val="0"/>
        </w:rPr>
        <w:t xml:space="preserve"> of patients than </w:t>
      </w:r>
      <w:r w:rsidRPr="00E3331A">
        <w:rPr>
          <w:b w:val="0"/>
        </w:rPr>
        <w:t xml:space="preserve">those receiving </w:t>
      </w:r>
      <w:r w:rsidR="009A4722" w:rsidRPr="00E3331A">
        <w:rPr>
          <w:b w:val="0"/>
        </w:rPr>
        <w:t xml:space="preserve">no </w:t>
      </w:r>
      <w:r w:rsidR="005010CB" w:rsidRPr="00E3331A">
        <w:rPr>
          <w:b w:val="0"/>
        </w:rPr>
        <w:t>continuing</w:t>
      </w:r>
      <w:r w:rsidR="009A4722" w:rsidRPr="00E3331A">
        <w:rPr>
          <w:b w:val="0"/>
        </w:rPr>
        <w:t xml:space="preserve"> </w:t>
      </w:r>
      <w:r w:rsidR="005010CB" w:rsidRPr="00E3331A">
        <w:rPr>
          <w:b w:val="0"/>
        </w:rPr>
        <w:t>treatment</w:t>
      </w:r>
      <w:r w:rsidRPr="00E3331A">
        <w:rPr>
          <w:b w:val="0"/>
        </w:rPr>
        <w:t>.</w:t>
      </w:r>
      <w:r w:rsidR="009A4722" w:rsidRPr="00E3331A">
        <w:rPr>
          <w:b w:val="0"/>
        </w:rPr>
        <w:t xml:space="preserve"> </w:t>
      </w:r>
      <w:r w:rsidRPr="00E3331A">
        <w:rPr>
          <w:b w:val="0"/>
        </w:rPr>
        <w:t>H</w:t>
      </w:r>
      <w:r w:rsidR="009A4722" w:rsidRPr="00E3331A">
        <w:rPr>
          <w:b w:val="0"/>
        </w:rPr>
        <w:t>owever</w:t>
      </w:r>
      <w:r w:rsidR="00A5482A" w:rsidRPr="00E3331A">
        <w:rPr>
          <w:b w:val="0"/>
        </w:rPr>
        <w:t xml:space="preserve">, </w:t>
      </w:r>
      <w:r w:rsidR="009A4722" w:rsidRPr="00E3331A">
        <w:rPr>
          <w:b w:val="0"/>
        </w:rPr>
        <w:t xml:space="preserve">mixed </w:t>
      </w:r>
      <w:r w:rsidR="005010CB" w:rsidRPr="00E3331A">
        <w:rPr>
          <w:b w:val="0"/>
        </w:rPr>
        <w:t>results</w:t>
      </w:r>
      <w:r w:rsidR="00A5482A" w:rsidRPr="00E3331A">
        <w:rPr>
          <w:b w:val="0"/>
        </w:rPr>
        <w:t xml:space="preserve"> were reported with respect to the difference in disability</w:t>
      </w:r>
      <w:r w:rsidR="009A4722" w:rsidRPr="00E3331A">
        <w:rPr>
          <w:b w:val="0"/>
        </w:rPr>
        <w:t xml:space="preserve"> </w:t>
      </w:r>
      <w:r w:rsidR="005010CB" w:rsidRPr="00E3331A">
        <w:rPr>
          <w:b w:val="0"/>
        </w:rPr>
        <w:t>(</w:t>
      </w:r>
      <w:r w:rsidR="009A4722" w:rsidRPr="00E3331A">
        <w:rPr>
          <w:b w:val="0"/>
        </w:rPr>
        <w:t xml:space="preserve">two </w:t>
      </w:r>
      <w:r w:rsidR="005010CB" w:rsidRPr="00E3331A">
        <w:rPr>
          <w:b w:val="0"/>
        </w:rPr>
        <w:t>RCTs</w:t>
      </w:r>
      <w:r w:rsidR="009A4722" w:rsidRPr="00E3331A">
        <w:rPr>
          <w:b w:val="0"/>
        </w:rPr>
        <w:t xml:space="preserve"> found </w:t>
      </w:r>
      <w:r w:rsidR="005010CB" w:rsidRPr="00E3331A">
        <w:rPr>
          <w:b w:val="0"/>
        </w:rPr>
        <w:t xml:space="preserve">a significant reduction </w:t>
      </w:r>
      <w:r w:rsidRPr="00E3331A">
        <w:rPr>
          <w:b w:val="0"/>
        </w:rPr>
        <w:t xml:space="preserve">in </w:t>
      </w:r>
      <w:r w:rsidR="005010CB" w:rsidRPr="00E3331A">
        <w:rPr>
          <w:b w:val="0"/>
        </w:rPr>
        <w:t>d</w:t>
      </w:r>
      <w:r w:rsidR="009A4722" w:rsidRPr="00E3331A">
        <w:rPr>
          <w:b w:val="0"/>
        </w:rPr>
        <w:t xml:space="preserve">isability </w:t>
      </w:r>
      <w:r w:rsidR="005010CB" w:rsidRPr="00E3331A">
        <w:rPr>
          <w:b w:val="0"/>
        </w:rPr>
        <w:t xml:space="preserve">while </w:t>
      </w:r>
      <w:r w:rsidR="009A4722" w:rsidRPr="00E3331A">
        <w:rPr>
          <w:b w:val="0"/>
        </w:rPr>
        <w:t xml:space="preserve">one </w:t>
      </w:r>
      <w:r w:rsidR="005010CB" w:rsidRPr="00E3331A">
        <w:rPr>
          <w:b w:val="0"/>
        </w:rPr>
        <w:t>RCT</w:t>
      </w:r>
      <w:r w:rsidR="009A4722" w:rsidRPr="00E3331A">
        <w:rPr>
          <w:b w:val="0"/>
        </w:rPr>
        <w:t xml:space="preserve"> found no difference</w:t>
      </w:r>
      <w:r w:rsidR="005010CB" w:rsidRPr="00E3331A">
        <w:rPr>
          <w:b w:val="0"/>
        </w:rPr>
        <w:t>)</w:t>
      </w:r>
      <w:r w:rsidR="009A4722" w:rsidRPr="00E3331A">
        <w:rPr>
          <w:b w:val="0"/>
        </w:rPr>
        <w:t>.</w:t>
      </w:r>
      <w:r w:rsidR="00A5482A" w:rsidRPr="00E3331A">
        <w:rPr>
          <w:b w:val="0"/>
        </w:rPr>
        <w:t xml:space="preserve"> </w:t>
      </w:r>
    </w:p>
    <w:p w:rsidR="00981D62" w:rsidRPr="00E3331A" w:rsidRDefault="006D1B05" w:rsidP="00981D62">
      <w:pPr>
        <w:pStyle w:val="Summaryboxheading"/>
        <w:pBdr>
          <w:top w:val="single" w:sz="4" w:space="1" w:color="auto"/>
          <w:left w:val="single" w:sz="4" w:space="0" w:color="auto"/>
          <w:bottom w:val="single" w:sz="4" w:space="1" w:color="auto"/>
          <w:right w:val="single" w:sz="4" w:space="4" w:color="auto"/>
        </w:pBdr>
        <w:jc w:val="both"/>
        <w:rPr>
          <w:b w:val="0"/>
        </w:rPr>
      </w:pPr>
      <w:r w:rsidRPr="00E3331A">
        <w:rPr>
          <w:b w:val="0"/>
        </w:rPr>
        <w:t xml:space="preserve">Compared to steroids, Ig </w:t>
      </w:r>
      <w:r w:rsidR="00EB08C2" w:rsidRPr="00E3331A">
        <w:rPr>
          <w:b w:val="0"/>
        </w:rPr>
        <w:t>appears to have</w:t>
      </w:r>
      <w:r w:rsidR="00BC60A8" w:rsidRPr="00E3331A">
        <w:rPr>
          <w:b w:val="0"/>
        </w:rPr>
        <w:t xml:space="preserve"> at least</w:t>
      </w:r>
      <w:r w:rsidRPr="00E3331A">
        <w:rPr>
          <w:b w:val="0"/>
        </w:rPr>
        <w:t xml:space="preserve"> non-inferior effectiveness</w:t>
      </w:r>
      <w:r w:rsidR="009A4722" w:rsidRPr="00E3331A">
        <w:rPr>
          <w:b w:val="0"/>
        </w:rPr>
        <w:t xml:space="preserve"> </w:t>
      </w:r>
      <w:r w:rsidR="00A5482A" w:rsidRPr="00E3331A">
        <w:rPr>
          <w:b w:val="0"/>
        </w:rPr>
        <w:t xml:space="preserve">in the </w:t>
      </w:r>
      <w:r w:rsidR="009A4722" w:rsidRPr="00E3331A">
        <w:rPr>
          <w:b w:val="0"/>
        </w:rPr>
        <w:t>short-term</w:t>
      </w:r>
      <w:r w:rsidR="00BC60A8" w:rsidRPr="00E3331A">
        <w:rPr>
          <w:b w:val="0"/>
        </w:rPr>
        <w:t>.</w:t>
      </w:r>
      <w:r w:rsidR="008F30DA" w:rsidRPr="00E3331A">
        <w:rPr>
          <w:b w:val="0"/>
        </w:rPr>
        <w:t xml:space="preserve"> </w:t>
      </w:r>
      <w:r w:rsidR="00981D62" w:rsidRPr="00E3331A">
        <w:rPr>
          <w:b w:val="0"/>
        </w:rPr>
        <w:t>Nobile-Orazio et al. (2012b)</w:t>
      </w:r>
      <w:r w:rsidR="008F30DA" w:rsidRPr="00E3331A">
        <w:rPr>
          <w:b w:val="0"/>
        </w:rPr>
        <w:t xml:space="preserve"> included 45 patients. F</w:t>
      </w:r>
      <w:r w:rsidR="00981D62" w:rsidRPr="00E3331A">
        <w:rPr>
          <w:b w:val="0"/>
        </w:rPr>
        <w:t>or the composite outcome of discontinuation (any cause), steroid use was associate</w:t>
      </w:r>
      <w:r w:rsidR="006D1062">
        <w:rPr>
          <w:b w:val="0"/>
        </w:rPr>
        <w:t>d</w:t>
      </w:r>
      <w:r w:rsidR="00981D62" w:rsidRPr="00E3331A">
        <w:rPr>
          <w:b w:val="0"/>
        </w:rPr>
        <w:t xml:space="preserve"> with higher risk of discontinuation than Ig (relative risk (RR) 0.54, 95% CI [ 0.34, 0.87]). It is not known what the RR would be if only discontinuations due to inefficacy were considered. Following cessation of treatment, patients treated with methylprednisolone remained in remission longer than those treated with Ig. The authors reported no difference between Ig and methyl prednisolone with respect to secondary outcomes of MRC, grip strength, ONLS, SF36, ISS and W10M tests. Hughes et al. (2001) </w:t>
      </w:r>
      <w:r w:rsidR="008F30DA" w:rsidRPr="00E3331A">
        <w:rPr>
          <w:b w:val="0"/>
        </w:rPr>
        <w:t xml:space="preserve">included 42 patients and </w:t>
      </w:r>
      <w:r w:rsidR="00981D62" w:rsidRPr="00E3331A">
        <w:rPr>
          <w:b w:val="0"/>
        </w:rPr>
        <w:t>reported no difference between IVIg and oral prednisolone with respect to INCAT, 10MWS and 9HPB outcomes.</w:t>
      </w:r>
    </w:p>
    <w:p w:rsidR="006D1B05" w:rsidRPr="00E3331A" w:rsidRDefault="00981D62" w:rsidP="00F4142B">
      <w:pPr>
        <w:pStyle w:val="Summaryboxheading"/>
        <w:pBdr>
          <w:top w:val="single" w:sz="4" w:space="1" w:color="auto"/>
          <w:left w:val="single" w:sz="4" w:space="0" w:color="auto"/>
          <w:bottom w:val="single" w:sz="4" w:space="1" w:color="auto"/>
          <w:right w:val="single" w:sz="4" w:space="4" w:color="auto"/>
        </w:pBdr>
        <w:jc w:val="both"/>
        <w:rPr>
          <w:b w:val="0"/>
        </w:rPr>
      </w:pPr>
      <w:r w:rsidRPr="00E3331A">
        <w:rPr>
          <w:b w:val="0"/>
        </w:rPr>
        <w:t xml:space="preserve">The Reference Group noted that the </w:t>
      </w:r>
      <w:r w:rsidR="008F30DA" w:rsidRPr="00E3331A">
        <w:rPr>
          <w:b w:val="0"/>
        </w:rPr>
        <w:t>results from Nobile-Orazio et al. (2012b)</w:t>
      </w:r>
      <w:r w:rsidRPr="00E3331A">
        <w:rPr>
          <w:b w:val="0"/>
        </w:rPr>
        <w:t xml:space="preserve"> may support a finding of superior </w:t>
      </w:r>
      <w:r w:rsidR="004B5B83" w:rsidRPr="00E3331A">
        <w:rPr>
          <w:b w:val="0"/>
        </w:rPr>
        <w:t>effectiveness</w:t>
      </w:r>
      <w:r w:rsidRPr="00E3331A">
        <w:rPr>
          <w:b w:val="0"/>
        </w:rPr>
        <w:t xml:space="preserve"> based on non-significant improvements in various disability measures and a statistically significant difference in discontinuations favouring Ig. Discontinuations was a composite endpoint of discontinuations due to inefficacy and intolerance</w:t>
      </w:r>
      <w:r w:rsidR="008F30DA" w:rsidRPr="00E3331A">
        <w:rPr>
          <w:b w:val="0"/>
        </w:rPr>
        <w:t>.</w:t>
      </w:r>
    </w:p>
    <w:p w:rsidR="00A5482A" w:rsidRPr="00E3331A" w:rsidRDefault="009302F9" w:rsidP="00F4142B">
      <w:pPr>
        <w:pStyle w:val="Summaryboxheading"/>
        <w:pBdr>
          <w:top w:val="single" w:sz="4" w:space="1" w:color="auto"/>
          <w:left w:val="single" w:sz="4" w:space="0" w:color="auto"/>
          <w:bottom w:val="single" w:sz="4" w:space="1" w:color="auto"/>
          <w:right w:val="single" w:sz="4" w:space="4" w:color="auto"/>
        </w:pBdr>
        <w:jc w:val="both"/>
        <w:rPr>
          <w:b w:val="0"/>
        </w:rPr>
      </w:pPr>
      <w:r w:rsidRPr="00E3331A">
        <w:rPr>
          <w:b w:val="0"/>
        </w:rPr>
        <w:t xml:space="preserve">A single </w:t>
      </w:r>
      <w:r w:rsidR="00A5482A" w:rsidRPr="00E3331A">
        <w:rPr>
          <w:b w:val="0"/>
        </w:rPr>
        <w:t xml:space="preserve">RCT of 38 </w:t>
      </w:r>
      <w:r w:rsidR="003617A5" w:rsidRPr="00E3331A">
        <w:rPr>
          <w:b w:val="0"/>
        </w:rPr>
        <w:t>patients</w:t>
      </w:r>
      <w:r w:rsidR="00A5482A" w:rsidRPr="00E3331A">
        <w:rPr>
          <w:b w:val="0"/>
        </w:rPr>
        <w:t xml:space="preserve"> reported no </w:t>
      </w:r>
      <w:r w:rsidR="003617A5" w:rsidRPr="00E3331A">
        <w:rPr>
          <w:b w:val="0"/>
        </w:rPr>
        <w:t>difference</w:t>
      </w:r>
      <w:r w:rsidR="00A5482A" w:rsidRPr="00E3331A">
        <w:rPr>
          <w:b w:val="0"/>
        </w:rPr>
        <w:t xml:space="preserve"> in Ig and plasma exchange.</w:t>
      </w:r>
      <w:r w:rsidR="00255740" w:rsidRPr="00E3331A">
        <w:rPr>
          <w:b w:val="0"/>
        </w:rPr>
        <w:t xml:space="preserve"> </w:t>
      </w:r>
    </w:p>
    <w:p w:rsidR="006D1B05" w:rsidRPr="00E3331A" w:rsidRDefault="006D1B05" w:rsidP="00F4142B">
      <w:pPr>
        <w:pStyle w:val="Summaryboxheading"/>
        <w:pBdr>
          <w:top w:val="single" w:sz="4" w:space="1" w:color="auto"/>
          <w:left w:val="single" w:sz="4" w:space="0" w:color="auto"/>
          <w:bottom w:val="single" w:sz="4" w:space="1" w:color="auto"/>
          <w:right w:val="single" w:sz="4" w:space="4" w:color="auto"/>
        </w:pBdr>
        <w:jc w:val="both"/>
        <w:rPr>
          <w:b w:val="0"/>
        </w:rPr>
      </w:pPr>
      <w:r w:rsidRPr="00E3331A">
        <w:rPr>
          <w:b w:val="0"/>
        </w:rPr>
        <w:t xml:space="preserve">No evidence </w:t>
      </w:r>
      <w:r w:rsidR="00A5482A" w:rsidRPr="00E3331A">
        <w:rPr>
          <w:b w:val="0"/>
        </w:rPr>
        <w:t>comparing</w:t>
      </w:r>
      <w:r w:rsidRPr="00E3331A">
        <w:rPr>
          <w:b w:val="0"/>
        </w:rPr>
        <w:t xml:space="preserve"> Ig to immunosuppressants</w:t>
      </w:r>
      <w:r w:rsidR="00F67E61" w:rsidRPr="00E3331A">
        <w:rPr>
          <w:b w:val="0"/>
        </w:rPr>
        <w:t xml:space="preserve"> was identified</w:t>
      </w:r>
      <w:r w:rsidR="009302F9" w:rsidRPr="00E3331A">
        <w:rPr>
          <w:b w:val="0"/>
        </w:rPr>
        <w:t>.</w:t>
      </w:r>
      <w:r w:rsidR="00A5482A" w:rsidRPr="00E3331A">
        <w:rPr>
          <w:b w:val="0"/>
        </w:rPr>
        <w:t xml:space="preserve"> </w:t>
      </w:r>
      <w:r w:rsidR="009302F9" w:rsidRPr="00E3331A">
        <w:rPr>
          <w:b w:val="0"/>
        </w:rPr>
        <w:t>T</w:t>
      </w:r>
      <w:r w:rsidR="00A5482A" w:rsidRPr="00E3331A">
        <w:rPr>
          <w:b w:val="0"/>
        </w:rPr>
        <w:t>wo studies reported no short-term effect from immunosuppressants used as Ig</w:t>
      </w:r>
      <w:r w:rsidR="009302F9" w:rsidRPr="00E3331A">
        <w:rPr>
          <w:b w:val="0"/>
        </w:rPr>
        <w:t>-</w:t>
      </w:r>
      <w:r w:rsidR="00A5482A" w:rsidRPr="00E3331A">
        <w:rPr>
          <w:b w:val="0"/>
        </w:rPr>
        <w:t xml:space="preserve"> or steroid</w:t>
      </w:r>
      <w:r w:rsidR="00D45BCF" w:rsidRPr="00E3331A">
        <w:rPr>
          <w:b w:val="0"/>
        </w:rPr>
        <w:t>-</w:t>
      </w:r>
      <w:r w:rsidR="00A5482A" w:rsidRPr="00E3331A">
        <w:rPr>
          <w:b w:val="0"/>
        </w:rPr>
        <w:t xml:space="preserve">sparing agents. </w:t>
      </w:r>
    </w:p>
    <w:p w:rsidR="00A56D77" w:rsidRPr="00E3331A" w:rsidRDefault="00A5482A" w:rsidP="00F4142B">
      <w:pPr>
        <w:pStyle w:val="Summaryboxheading"/>
        <w:pBdr>
          <w:top w:val="single" w:sz="4" w:space="1" w:color="auto"/>
          <w:left w:val="single" w:sz="4" w:space="0" w:color="auto"/>
          <w:bottom w:val="single" w:sz="4" w:space="1" w:color="auto"/>
          <w:right w:val="single" w:sz="4" w:space="4" w:color="auto"/>
        </w:pBdr>
        <w:jc w:val="both"/>
      </w:pPr>
      <w:r w:rsidRPr="00E3331A">
        <w:rPr>
          <w:b w:val="0"/>
        </w:rPr>
        <w:t>The e</w:t>
      </w:r>
      <w:r w:rsidR="00F4142B" w:rsidRPr="00E3331A">
        <w:rPr>
          <w:b w:val="0"/>
        </w:rPr>
        <w:t>vidence</w:t>
      </w:r>
      <w:r w:rsidR="00885268" w:rsidRPr="00E3331A">
        <w:rPr>
          <w:b w:val="0"/>
        </w:rPr>
        <w:t xml:space="preserve"> base</w:t>
      </w:r>
      <w:r w:rsidR="00F67E61" w:rsidRPr="00E3331A">
        <w:rPr>
          <w:b w:val="0"/>
        </w:rPr>
        <w:t xml:space="preserve"> is</w:t>
      </w:r>
      <w:r w:rsidR="00885268" w:rsidRPr="00E3331A">
        <w:rPr>
          <w:b w:val="0"/>
        </w:rPr>
        <w:t xml:space="preserve"> limited by</w:t>
      </w:r>
      <w:r w:rsidRPr="00E3331A">
        <w:rPr>
          <w:b w:val="0"/>
        </w:rPr>
        <w:t xml:space="preserve"> s</w:t>
      </w:r>
      <w:r w:rsidR="00F4142B" w:rsidRPr="00E3331A">
        <w:rPr>
          <w:b w:val="0"/>
        </w:rPr>
        <w:t>mall studies</w:t>
      </w:r>
      <w:r w:rsidR="009302F9" w:rsidRPr="00E3331A">
        <w:rPr>
          <w:b w:val="0"/>
        </w:rPr>
        <w:t>,</w:t>
      </w:r>
      <w:r w:rsidRPr="00E3331A">
        <w:rPr>
          <w:b w:val="0"/>
        </w:rPr>
        <w:t xml:space="preserve"> </w:t>
      </w:r>
      <w:r w:rsidR="000226D8" w:rsidRPr="00E3331A">
        <w:rPr>
          <w:b w:val="0"/>
        </w:rPr>
        <w:t xml:space="preserve">usually </w:t>
      </w:r>
      <w:r w:rsidRPr="00E3331A">
        <w:rPr>
          <w:b w:val="0"/>
        </w:rPr>
        <w:t xml:space="preserve">with </w:t>
      </w:r>
      <w:r w:rsidR="00F4142B" w:rsidRPr="00E3331A">
        <w:rPr>
          <w:b w:val="0"/>
        </w:rPr>
        <w:t>short follow-up</w:t>
      </w:r>
      <w:r w:rsidRPr="00E3331A">
        <w:rPr>
          <w:b w:val="0"/>
        </w:rPr>
        <w:t xml:space="preserve"> durations</w:t>
      </w:r>
      <w:r w:rsidR="000226D8" w:rsidRPr="00E3331A">
        <w:rPr>
          <w:b w:val="0"/>
        </w:rPr>
        <w:t xml:space="preserve">. </w:t>
      </w:r>
      <w:r w:rsidR="00F4142B" w:rsidRPr="00E3331A">
        <w:rPr>
          <w:b w:val="0"/>
        </w:rPr>
        <w:t>Each study used different disability</w:t>
      </w:r>
      <w:r w:rsidR="000226D8" w:rsidRPr="00E3331A">
        <w:rPr>
          <w:b w:val="0"/>
        </w:rPr>
        <w:t xml:space="preserve"> measurement</w:t>
      </w:r>
      <w:r w:rsidR="009302F9" w:rsidRPr="00E3331A">
        <w:rPr>
          <w:b w:val="0"/>
        </w:rPr>
        <w:t>s</w:t>
      </w:r>
      <w:r w:rsidR="00F4142B" w:rsidRPr="00E3331A">
        <w:rPr>
          <w:b w:val="0"/>
        </w:rPr>
        <w:t xml:space="preserve"> and different definitions for a clinically meaningful response</w:t>
      </w:r>
      <w:r w:rsidR="009302F9" w:rsidRPr="00E3331A">
        <w:rPr>
          <w:b w:val="0"/>
        </w:rPr>
        <w:t>, which</w:t>
      </w:r>
      <w:r w:rsidR="000226D8" w:rsidRPr="00E3331A">
        <w:rPr>
          <w:b w:val="0"/>
        </w:rPr>
        <w:t xml:space="preserve"> prevent</w:t>
      </w:r>
      <w:r w:rsidR="009302F9" w:rsidRPr="00E3331A">
        <w:rPr>
          <w:b w:val="0"/>
        </w:rPr>
        <w:t>ed</w:t>
      </w:r>
      <w:r w:rsidR="000226D8" w:rsidRPr="00E3331A">
        <w:rPr>
          <w:b w:val="0"/>
        </w:rPr>
        <w:t xml:space="preserve"> any meta-analysis of results</w:t>
      </w:r>
      <w:r w:rsidR="00F4142B" w:rsidRPr="00E3331A">
        <w:rPr>
          <w:b w:val="0"/>
        </w:rPr>
        <w:t>.</w:t>
      </w:r>
    </w:p>
    <w:p w:rsidR="00F321A8" w:rsidRPr="00E3331A" w:rsidRDefault="000226D8" w:rsidP="004670BD">
      <w:r w:rsidRPr="00E3331A">
        <w:t>Comparative e</w:t>
      </w:r>
      <w:r w:rsidR="00D22209" w:rsidRPr="00E3331A">
        <w:t xml:space="preserve">ffectiveness results for Ig are summarised in </w:t>
      </w:r>
      <w:r w:rsidR="006F35B9" w:rsidRPr="00E3331A">
        <w:t xml:space="preserve">Table </w:t>
      </w:r>
      <w:r w:rsidR="006F35B9">
        <w:rPr>
          <w:noProof/>
        </w:rPr>
        <w:t>29</w:t>
      </w:r>
      <w:r w:rsidR="008A3A7B" w:rsidRPr="00E3331A">
        <w:t xml:space="preserve"> and </w:t>
      </w:r>
      <w:r w:rsidR="006F35B9" w:rsidRPr="00E3331A">
        <w:t xml:space="preserve">Table </w:t>
      </w:r>
      <w:r w:rsidR="006F35B9">
        <w:rPr>
          <w:noProof/>
        </w:rPr>
        <w:t>30</w:t>
      </w:r>
      <w:r w:rsidR="00966453" w:rsidRPr="00E3331A">
        <w:t xml:space="preserve"> and described narratively below</w:t>
      </w:r>
      <w:r w:rsidR="00D22209" w:rsidRPr="00E3331A">
        <w:t>.</w:t>
      </w:r>
    </w:p>
    <w:p w:rsidR="003E72FC" w:rsidRPr="00E3331A" w:rsidRDefault="003E72FC" w:rsidP="003560FC">
      <w:pPr>
        <w:pStyle w:val="Heading3"/>
      </w:pPr>
      <w:bookmarkStart w:id="253" w:name="_Toc24103465"/>
      <w:r w:rsidRPr="00E3331A">
        <w:t>Ig vs no treatment</w:t>
      </w:r>
      <w:bookmarkEnd w:id="253"/>
    </w:p>
    <w:p w:rsidR="00D22209" w:rsidRPr="00E3331A" w:rsidRDefault="00D22209" w:rsidP="003E72FC">
      <w:r w:rsidRPr="00E3331A">
        <w:t xml:space="preserve">Three out of four studies comparing Ig to no treatment (placebo) found </w:t>
      </w:r>
      <w:r w:rsidR="00436E15" w:rsidRPr="00E3331A">
        <w:t xml:space="preserve">that </w:t>
      </w:r>
      <w:r w:rsidRPr="00E3331A">
        <w:t>Ig was more effective with respect to change in NDS</w:t>
      </w:r>
      <w:r w:rsidR="00436E15" w:rsidRPr="00E3331A">
        <w:t xml:space="preserve"> </w:t>
      </w:r>
      <w:r w:rsidR="00B85C75">
        <w:rPr>
          <w:noProof/>
        </w:rPr>
        <w:t>(Hahn et al. 1996b)</w:t>
      </w:r>
      <w:r w:rsidR="00436E15" w:rsidRPr="00E3331A">
        <w:t>,</w:t>
      </w:r>
      <w:r w:rsidRPr="00E3331A">
        <w:t xml:space="preserve"> change in grip strength</w:t>
      </w:r>
      <w:r w:rsidR="00436E15" w:rsidRPr="00E3331A">
        <w:t xml:space="preserve"> </w:t>
      </w:r>
      <w:r w:rsidR="00B85C75">
        <w:rPr>
          <w:noProof/>
        </w:rPr>
        <w:t xml:space="preserve">(Hahn et al. 1996b; </w:t>
      </w:r>
      <w:r w:rsidR="00B85C75">
        <w:rPr>
          <w:noProof/>
        </w:rPr>
        <w:lastRenderedPageBreak/>
        <w:t>Hughes et al. 2008)</w:t>
      </w:r>
      <w:r w:rsidR="00436E15" w:rsidRPr="00E3331A">
        <w:t>,</w:t>
      </w:r>
      <w:r w:rsidRPr="00E3331A">
        <w:t xml:space="preserve"> change in MRC</w:t>
      </w:r>
      <w:r w:rsidR="00436E15" w:rsidRPr="00E3331A">
        <w:t xml:space="preserve"> </w:t>
      </w:r>
      <w:r w:rsidR="00B85C75">
        <w:rPr>
          <w:noProof/>
        </w:rPr>
        <w:t>(Hughes et al. 2008)</w:t>
      </w:r>
      <w:r w:rsidR="00436E15" w:rsidRPr="00E3331A">
        <w:t>,</w:t>
      </w:r>
      <w:r w:rsidRPr="00E3331A">
        <w:t xml:space="preserve"> and change in INCAT score</w:t>
      </w:r>
      <w:r w:rsidR="00436E15" w:rsidRPr="00E3331A">
        <w:t xml:space="preserve"> </w:t>
      </w:r>
      <w:r w:rsidR="00B85C75">
        <w:rPr>
          <w:noProof/>
        </w:rPr>
        <w:t>(Hughes et al. 2008)</w:t>
      </w:r>
      <w:r w:rsidR="00436E15" w:rsidRPr="00E3331A">
        <w:t>.</w:t>
      </w:r>
      <w:r w:rsidRPr="00E3331A">
        <w:t xml:space="preserve"> Hahn et al. (1996b) and Mendell et al. (2001) had short follow-up periods (4</w:t>
      </w:r>
      <w:r w:rsidR="007329A5" w:rsidRPr="00E3331A">
        <w:t xml:space="preserve"> weeks</w:t>
      </w:r>
      <w:r w:rsidRPr="00E3331A">
        <w:t xml:space="preserve"> and 6 weeks</w:t>
      </w:r>
      <w:r w:rsidR="007329A5" w:rsidRPr="00E3331A">
        <w:t>,</w:t>
      </w:r>
      <w:r w:rsidRPr="00E3331A">
        <w:t xml:space="preserve"> respectively)</w:t>
      </w:r>
      <w:r w:rsidR="007329A5" w:rsidRPr="00E3331A">
        <w:t xml:space="preserve"> </w:t>
      </w:r>
      <w:r w:rsidR="00871F1C" w:rsidRPr="00E3331A">
        <w:t xml:space="preserve">and gave only a single induction dose of Ig or an induction dose and </w:t>
      </w:r>
      <w:r w:rsidR="000C410B" w:rsidRPr="00E3331A">
        <w:t xml:space="preserve">a </w:t>
      </w:r>
      <w:r w:rsidR="00871F1C" w:rsidRPr="00E3331A">
        <w:t>single follow-up. However,</w:t>
      </w:r>
      <w:r w:rsidRPr="00E3331A">
        <w:t xml:space="preserve"> Hughes et al. (2008) provided </w:t>
      </w:r>
      <w:r w:rsidR="000C410B" w:rsidRPr="00E3331A">
        <w:t>six</w:t>
      </w:r>
      <w:r w:rsidRPr="00E3331A">
        <w:t xml:space="preserve"> months follow-up</w:t>
      </w:r>
      <w:r w:rsidR="00871F1C" w:rsidRPr="00E3331A">
        <w:t xml:space="preserve"> with ongoing Ig usage during this period</w:t>
      </w:r>
      <w:r w:rsidRPr="00E3331A">
        <w:t>. The number of patients whos</w:t>
      </w:r>
      <w:r w:rsidR="00591599" w:rsidRPr="00E3331A">
        <w:t>e</w:t>
      </w:r>
      <w:r w:rsidRPr="00E3331A">
        <w:t xml:space="preserve"> response was defined as clinically meaningful was higher for patients receiving Ig in all three of these studies.</w:t>
      </w:r>
    </w:p>
    <w:p w:rsidR="003E72FC" w:rsidRPr="00E3331A" w:rsidRDefault="00D22209" w:rsidP="003E72FC">
      <w:r w:rsidRPr="00E3331A">
        <w:t xml:space="preserve">Conversely, Vermeulen et al. (1993) found no difference between Ig and placebo treatment after a single Ig infusion and three weeks follow-up. </w:t>
      </w:r>
    </w:p>
    <w:p w:rsidR="00871F1C" w:rsidRPr="00E3331A" w:rsidRDefault="00871F1C" w:rsidP="003E72FC">
      <w:r w:rsidRPr="00E3331A">
        <w:t>Hughes et al. (2008) also investigated treatment maintenance using Ig</w:t>
      </w:r>
      <w:r w:rsidR="000C410B" w:rsidRPr="00E3331A">
        <w:t>.</w:t>
      </w:r>
      <w:r w:rsidRPr="00E3331A">
        <w:t xml:space="preserve"> </w:t>
      </w:r>
      <w:r w:rsidR="000C410B" w:rsidRPr="00E3331A">
        <w:t>P</w:t>
      </w:r>
      <w:r w:rsidRPr="00E3331A">
        <w:t xml:space="preserve">atients who responded to Ig were randomised to receive continued Ig or a placebo and were monitored for an additional </w:t>
      </w:r>
      <w:r w:rsidR="000C410B" w:rsidRPr="00E3331A">
        <w:t>six</w:t>
      </w:r>
      <w:r w:rsidRPr="00E3331A">
        <w:t xml:space="preserve"> months. Relapse was less frequent on continued Ig (4/31 vs 11/26, p = 0.011)</w:t>
      </w:r>
      <w:r w:rsidR="000C410B" w:rsidRPr="00E3331A">
        <w:t>,</w:t>
      </w:r>
      <w:r w:rsidRPr="00E3331A">
        <w:t xml:space="preserve"> however no difference </w:t>
      </w:r>
      <w:r w:rsidR="003E72FC" w:rsidRPr="00E3331A">
        <w:t>in</w:t>
      </w:r>
      <w:r w:rsidRPr="00E3331A">
        <w:t xml:space="preserve"> disability measures (</w:t>
      </w:r>
      <w:r w:rsidR="003E72FC" w:rsidRPr="00E3331A">
        <w:t>INCAT, MRC</w:t>
      </w:r>
      <w:r w:rsidRPr="00E3331A">
        <w:t xml:space="preserve">, ISS and </w:t>
      </w:r>
      <w:r w:rsidR="003E72FC" w:rsidRPr="00E3331A">
        <w:t>grip strength</w:t>
      </w:r>
      <w:r w:rsidRPr="00E3331A">
        <w:t xml:space="preserve">) were observed in the maintenance phase of the trial. </w:t>
      </w:r>
    </w:p>
    <w:p w:rsidR="003E72FC" w:rsidRPr="00E3331A" w:rsidRDefault="00871F1C" w:rsidP="003E72FC">
      <w:r w:rsidRPr="00E3331A">
        <w:t xml:space="preserve">Two additional studies randomised </w:t>
      </w:r>
      <w:r w:rsidR="000C410B" w:rsidRPr="00E3331A">
        <w:t xml:space="preserve">IVIg </w:t>
      </w:r>
      <w:r w:rsidR="00E328FB" w:rsidRPr="00E3331A">
        <w:t xml:space="preserve">responsive </w:t>
      </w:r>
      <w:r w:rsidRPr="00E3331A">
        <w:t>patients to either SCIg or placebo</w:t>
      </w:r>
      <w:r w:rsidR="00E328FB" w:rsidRPr="00E3331A">
        <w:t>.</w:t>
      </w:r>
      <w:r w:rsidRPr="00E3331A">
        <w:t xml:space="preserve"> </w:t>
      </w:r>
      <w:r w:rsidR="00E328FB" w:rsidRPr="00E3331A">
        <w:t>B</w:t>
      </w:r>
      <w:r w:rsidRPr="00E3331A">
        <w:t xml:space="preserve">oth studies reported </w:t>
      </w:r>
      <w:r w:rsidR="00E328FB" w:rsidRPr="00E3331A">
        <w:t xml:space="preserve">that </w:t>
      </w:r>
      <w:r w:rsidRPr="00E3331A">
        <w:t xml:space="preserve">SCIg was better than no treatment for ongoing disease maintenance. </w:t>
      </w:r>
    </w:p>
    <w:p w:rsidR="003E72FC" w:rsidRPr="00E3331A" w:rsidRDefault="00871F1C" w:rsidP="003E72FC">
      <w:pPr>
        <w:rPr>
          <w:b/>
        </w:rPr>
      </w:pPr>
      <w:r w:rsidRPr="00E3331A">
        <w:t>Based on these results</w:t>
      </w:r>
      <w:r w:rsidR="00C96933" w:rsidRPr="00E3331A">
        <w:t>,</w:t>
      </w:r>
      <w:r w:rsidRPr="00E3331A">
        <w:t xml:space="preserve"> it is likely that </w:t>
      </w:r>
      <w:r w:rsidR="003E72FC" w:rsidRPr="00E3331A">
        <w:t xml:space="preserve">Ig </w:t>
      </w:r>
      <w:r w:rsidRPr="00E3331A">
        <w:t>is superior to no treatment for initial treat</w:t>
      </w:r>
      <w:r w:rsidR="00D46784" w:rsidRPr="00E3331A">
        <w:t>ment</w:t>
      </w:r>
      <w:r w:rsidRPr="00E3331A">
        <w:t xml:space="preserve"> and ongoing maintenance of CIDP.</w:t>
      </w:r>
      <w:r w:rsidR="00D607F0" w:rsidRPr="00E3331A">
        <w:t xml:space="preserve"> This conclusion is based primarily on </w:t>
      </w:r>
      <w:r w:rsidR="00E328FB" w:rsidRPr="00E3331A">
        <w:t xml:space="preserve">the study by </w:t>
      </w:r>
      <w:r w:rsidR="00D607F0" w:rsidRPr="00E3331A">
        <w:t xml:space="preserve">Hughes et al. (2008), which included </w:t>
      </w:r>
      <w:r w:rsidR="00E328FB" w:rsidRPr="00E3331A">
        <w:t xml:space="preserve">greater </w:t>
      </w:r>
      <w:r w:rsidR="00B41196" w:rsidRPr="00E3331A">
        <w:t xml:space="preserve">than </w:t>
      </w:r>
      <w:r w:rsidR="00D607F0" w:rsidRPr="00E3331A">
        <w:t>100 patients, was adequately powered to detect a difference between the two groups</w:t>
      </w:r>
      <w:r w:rsidR="00E328FB" w:rsidRPr="00E3331A">
        <w:t>. It</w:t>
      </w:r>
      <w:r w:rsidR="00D607F0" w:rsidRPr="00E3331A">
        <w:t xml:space="preserve"> was considered at low risk of bias and included up to 12 months follow-up. The consistency of the rest of the evidence base (with the exception of Vermeulen et al. (1993)) supports the finding of superiority.</w:t>
      </w:r>
      <w:r w:rsidR="00345C95" w:rsidRPr="00E3331A">
        <w:t xml:space="preserve"> </w:t>
      </w:r>
    </w:p>
    <w:p w:rsidR="003E72FC" w:rsidRPr="00E3331A" w:rsidRDefault="003E72FC" w:rsidP="003560FC">
      <w:pPr>
        <w:pStyle w:val="Heading3"/>
      </w:pPr>
      <w:bookmarkStart w:id="254" w:name="_Toc24103466"/>
      <w:r w:rsidRPr="00E3331A">
        <w:t>Ig vs Steroids</w:t>
      </w:r>
      <w:bookmarkEnd w:id="254"/>
    </w:p>
    <w:p w:rsidR="00283644" w:rsidRPr="00E3331A" w:rsidRDefault="00283644" w:rsidP="003E72FC">
      <w:r w:rsidRPr="00E3331A">
        <w:t>Two RCTs directly compared Ig to steroids for CIDP treatment</w:t>
      </w:r>
      <w:r w:rsidR="00F239B4" w:rsidRPr="00E3331A">
        <w:t xml:space="preserve"> </w:t>
      </w:r>
      <w:r w:rsidR="00B85C75">
        <w:rPr>
          <w:noProof/>
        </w:rPr>
        <w:t>(Hughes et al. 2001; Nobile-Orazio et al. 2012b)</w:t>
      </w:r>
      <w:r w:rsidR="00F239B4" w:rsidRPr="00E3331A">
        <w:t>.</w:t>
      </w:r>
    </w:p>
    <w:p w:rsidR="003E72FC" w:rsidRPr="00E3331A" w:rsidRDefault="003E72FC" w:rsidP="003E72FC">
      <w:r w:rsidRPr="00E3331A">
        <w:t>Hughes et al</w:t>
      </w:r>
      <w:r w:rsidR="00283644" w:rsidRPr="00E3331A">
        <w:t>. (2001)</w:t>
      </w:r>
      <w:r w:rsidRPr="00E3331A">
        <w:t xml:space="preserve"> reported no difference </w:t>
      </w:r>
      <w:r w:rsidR="00F239B4" w:rsidRPr="00E3331A">
        <w:t xml:space="preserve">between </w:t>
      </w:r>
      <w:r w:rsidRPr="00E3331A">
        <w:t>IVIg and oral prednisolone with respect to INCAT, 10MWS and 9HPB</w:t>
      </w:r>
      <w:r w:rsidR="00997671" w:rsidRPr="00E3331A">
        <w:t xml:space="preserve"> outcomes. Patients received either a single dose of Ig (2 g/kg over two days) or daily prednisolone (60 mg tapering to zero).</w:t>
      </w:r>
    </w:p>
    <w:p w:rsidR="00BE763C" w:rsidRPr="00E3331A" w:rsidRDefault="004B5B83" w:rsidP="003E72FC">
      <w:r w:rsidRPr="00E3331A">
        <w:t>Nobile</w:t>
      </w:r>
      <w:r w:rsidR="003E72FC" w:rsidRPr="00E3331A">
        <w:t xml:space="preserve">-Orazio et al. (2012) </w:t>
      </w:r>
      <w:r w:rsidR="00997671" w:rsidRPr="00E3331A">
        <w:t xml:space="preserve">administered monthly Ig (2 g/kg) for </w:t>
      </w:r>
      <w:r w:rsidR="00F239B4" w:rsidRPr="00E3331A">
        <w:t>six</w:t>
      </w:r>
      <w:r w:rsidR="00997671" w:rsidRPr="00E3331A">
        <w:t xml:space="preserve"> months or monthly IV methylprednisolone (2g over </w:t>
      </w:r>
      <w:r w:rsidR="00F239B4" w:rsidRPr="00E3331A">
        <w:t>four</w:t>
      </w:r>
      <w:r w:rsidR="00997671" w:rsidRPr="00E3331A">
        <w:t xml:space="preserve"> days). </w:t>
      </w:r>
      <w:r w:rsidR="00BE763C" w:rsidRPr="00E3331A">
        <w:t>The primary outcome of the study was</w:t>
      </w:r>
      <w:r w:rsidR="008833B8" w:rsidRPr="00E3331A">
        <w:t xml:space="preserve"> the number of patients discontinuing treatment. Treatment was discontinued </w:t>
      </w:r>
      <w:r w:rsidR="00476F88" w:rsidRPr="00E3331A">
        <w:t>due to inefficacy (absence of improvement or worsening), side</w:t>
      </w:r>
      <w:r w:rsidR="00417823">
        <w:t xml:space="preserve"> </w:t>
      </w:r>
      <w:r w:rsidR="00476F88" w:rsidRPr="00E3331A">
        <w:t>effects or intolerance. For the composite outcome of discontinuation (any cause), steroid use was associate with higher risk of discontinuation than Ig (relative risk (RR) 0.54, 95% CI [ 0.34, 0.87]). Eleven patients</w:t>
      </w:r>
      <w:r w:rsidR="00830765" w:rsidRPr="00E3331A">
        <w:t xml:space="preserve"> (52%)</w:t>
      </w:r>
      <w:r w:rsidR="00476F88" w:rsidRPr="00E3331A">
        <w:t xml:space="preserve"> in the steroid arm discontinued; five due to progressive wo</w:t>
      </w:r>
      <w:r w:rsidR="00DA7860" w:rsidRPr="00E3331A">
        <w:t>r</w:t>
      </w:r>
      <w:r w:rsidR="00476F88" w:rsidRPr="00E3331A">
        <w:t>se</w:t>
      </w:r>
      <w:r w:rsidR="00DA7860" w:rsidRPr="00E3331A">
        <w:t>n</w:t>
      </w:r>
      <w:r w:rsidR="00476F88" w:rsidRPr="00E3331A">
        <w:t xml:space="preserve">ing, three due to failure to improve, one for adverse events (gastritis) </w:t>
      </w:r>
      <w:r w:rsidR="00476F88" w:rsidRPr="00E3331A">
        <w:lastRenderedPageBreak/>
        <w:t xml:space="preserve">and two for reasons unreported. </w:t>
      </w:r>
      <w:r w:rsidR="00830765" w:rsidRPr="00E3331A">
        <w:t xml:space="preserve">Of the eight patients discontinuing due to static or worsening CIDP, seven subsequently improved with Ig treatment. </w:t>
      </w:r>
      <w:r w:rsidR="00476F88" w:rsidRPr="00E3331A">
        <w:t xml:space="preserve">Three patients </w:t>
      </w:r>
      <w:r w:rsidR="00830765" w:rsidRPr="00E3331A">
        <w:t xml:space="preserve">(12.5%) </w:t>
      </w:r>
      <w:r w:rsidR="00476F88" w:rsidRPr="00E3331A">
        <w:t>discontinued Ig therapy; two because of progressive worsening an</w:t>
      </w:r>
      <w:r w:rsidR="00DA7860" w:rsidRPr="00E3331A">
        <w:t>d</w:t>
      </w:r>
      <w:r w:rsidR="00476F88" w:rsidRPr="00E3331A">
        <w:t xml:space="preserve"> one due to failure to improve. </w:t>
      </w:r>
      <w:r w:rsidR="00830765" w:rsidRPr="00E3331A">
        <w:t xml:space="preserve">All three of these patients improved on methylprednisolone. </w:t>
      </w:r>
      <w:r w:rsidR="00476F88" w:rsidRPr="00E3331A">
        <w:t>It is not known what the RR would be if only discontinu</w:t>
      </w:r>
      <w:r w:rsidR="00DA7860" w:rsidRPr="00E3331A">
        <w:t xml:space="preserve">ations </w:t>
      </w:r>
      <w:r w:rsidR="00476F88" w:rsidRPr="00E3331A">
        <w:t>due to inefficacy w</w:t>
      </w:r>
      <w:r w:rsidR="00DA7860" w:rsidRPr="00E3331A">
        <w:t>ere</w:t>
      </w:r>
      <w:r w:rsidR="00476F88" w:rsidRPr="00E3331A">
        <w:t xml:space="preserve"> considered. </w:t>
      </w:r>
    </w:p>
    <w:p w:rsidR="003E72FC" w:rsidRPr="00E3331A" w:rsidRDefault="00997671" w:rsidP="003E72FC">
      <w:r w:rsidRPr="00E3331A">
        <w:t xml:space="preserve">The authors </w:t>
      </w:r>
      <w:r w:rsidR="003E72FC" w:rsidRPr="00E3331A">
        <w:t xml:space="preserve">reported no difference </w:t>
      </w:r>
      <w:r w:rsidR="00F239B4" w:rsidRPr="00E3331A">
        <w:t xml:space="preserve">between </w:t>
      </w:r>
      <w:r w:rsidR="003E72FC" w:rsidRPr="00E3331A">
        <w:t>Ig and methyl pred</w:t>
      </w:r>
      <w:r w:rsidRPr="00E3331A">
        <w:t>nisolone</w:t>
      </w:r>
      <w:r w:rsidR="003E72FC" w:rsidRPr="00E3331A">
        <w:t xml:space="preserve"> with respect to </w:t>
      </w:r>
      <w:r w:rsidR="00476F88" w:rsidRPr="00E3331A">
        <w:t xml:space="preserve">secondary outcomes of </w:t>
      </w:r>
      <w:r w:rsidR="003E72FC" w:rsidRPr="00E3331A">
        <w:t xml:space="preserve">MRC, grip strength, ONLS, SF36, ISS and W10M tests. </w:t>
      </w:r>
    </w:p>
    <w:p w:rsidR="003E72FC" w:rsidRPr="00E3331A" w:rsidRDefault="003E72FC" w:rsidP="003E72FC">
      <w:r w:rsidRPr="00E3331A">
        <w:t xml:space="preserve">Following cessation of </w:t>
      </w:r>
      <w:r w:rsidR="00997671" w:rsidRPr="00E3331A">
        <w:t>treatment</w:t>
      </w:r>
      <w:r w:rsidR="00CB17F2" w:rsidRPr="00E3331A">
        <w:t>,</w:t>
      </w:r>
      <w:r w:rsidRPr="00E3331A">
        <w:t xml:space="preserve"> </w:t>
      </w:r>
      <w:r w:rsidR="00997671" w:rsidRPr="00E3331A">
        <w:t>patients</w:t>
      </w:r>
      <w:r w:rsidRPr="00E3331A">
        <w:t xml:space="preserve"> treated with methyl</w:t>
      </w:r>
      <w:r w:rsidR="00997671" w:rsidRPr="00E3331A">
        <w:t>prednisolone</w:t>
      </w:r>
      <w:r w:rsidRPr="00E3331A">
        <w:t xml:space="preserve"> remained in remission longer </w:t>
      </w:r>
      <w:r w:rsidR="00997671" w:rsidRPr="00E3331A">
        <w:t>than</w:t>
      </w:r>
      <w:r w:rsidRPr="00E3331A">
        <w:t xml:space="preserve"> those treated with Ig. </w:t>
      </w:r>
      <w:r w:rsidR="00997671" w:rsidRPr="00E3331A">
        <w:t>F</w:t>
      </w:r>
      <w:r w:rsidRPr="00E3331A">
        <w:t>ollowing cessation of Ig</w:t>
      </w:r>
      <w:r w:rsidR="00CB17F2" w:rsidRPr="00E3331A">
        <w:t>,</w:t>
      </w:r>
      <w:r w:rsidRPr="00E3331A">
        <w:t xml:space="preserve"> 17</w:t>
      </w:r>
      <w:r w:rsidR="00CB17F2" w:rsidRPr="00E3331A">
        <w:t xml:space="preserve"> of </w:t>
      </w:r>
      <w:r w:rsidRPr="00E3331A">
        <w:t xml:space="preserve">21 responders worsened at a median of </w:t>
      </w:r>
      <w:r w:rsidR="00CB17F2" w:rsidRPr="00E3331A">
        <w:t>six</w:t>
      </w:r>
      <w:r w:rsidRPr="00E3331A">
        <w:t xml:space="preserve"> months</w:t>
      </w:r>
      <w:r w:rsidR="00997671" w:rsidRPr="00E3331A">
        <w:t xml:space="preserve"> while </w:t>
      </w:r>
      <w:r w:rsidRPr="00E3331A">
        <w:t>8</w:t>
      </w:r>
      <w:r w:rsidR="00CB17F2" w:rsidRPr="00E3331A">
        <w:t xml:space="preserve"> of </w:t>
      </w:r>
      <w:r w:rsidRPr="00E3331A">
        <w:t>10</w:t>
      </w:r>
      <w:r w:rsidR="00997671" w:rsidRPr="00E3331A">
        <w:t xml:space="preserve"> </w:t>
      </w:r>
      <w:r w:rsidR="00D607F0" w:rsidRPr="00E3331A">
        <w:t>initial</w:t>
      </w:r>
      <w:r w:rsidRPr="00E3331A">
        <w:t xml:space="preserve"> responders to methylpredni</w:t>
      </w:r>
      <w:r w:rsidR="00997671" w:rsidRPr="00E3331A">
        <w:t>solone</w:t>
      </w:r>
      <w:r w:rsidRPr="00E3331A">
        <w:t xml:space="preserve"> worsened at a median </w:t>
      </w:r>
      <w:r w:rsidR="00CB17F2" w:rsidRPr="00E3331A">
        <w:t xml:space="preserve">of </w:t>
      </w:r>
      <w:r w:rsidRPr="00E3331A">
        <w:t xml:space="preserve">12 months (p = 0.0295). </w:t>
      </w:r>
    </w:p>
    <w:p w:rsidR="003E72FC" w:rsidRPr="00E3331A" w:rsidRDefault="00997671" w:rsidP="003E72FC">
      <w:r w:rsidRPr="00E3331A">
        <w:t xml:space="preserve">Overall, the study found that there was no </w:t>
      </w:r>
      <w:r w:rsidR="00D607F0" w:rsidRPr="00E3331A">
        <w:t>difference</w:t>
      </w:r>
      <w:r w:rsidRPr="00E3331A">
        <w:t xml:space="preserve"> in rates of response </w:t>
      </w:r>
      <w:r w:rsidR="00D607F0" w:rsidRPr="00E3331A">
        <w:t xml:space="preserve">(p = 0.858) </w:t>
      </w:r>
      <w:r w:rsidRPr="00E3331A">
        <w:t>when using either Ig or methylprednisolone as an initial treatment with the other used as a rescue in case of non-response</w:t>
      </w:r>
      <w:r w:rsidR="00B014A1" w:rsidRPr="00E3331A">
        <w:t>.</w:t>
      </w:r>
    </w:p>
    <w:p w:rsidR="00D54081" w:rsidRPr="00E3331A" w:rsidRDefault="00D607F0" w:rsidP="00D607F0">
      <w:r w:rsidRPr="00E3331A">
        <w:t>Based on this data</w:t>
      </w:r>
      <w:r w:rsidR="00B014A1" w:rsidRPr="00E3331A">
        <w:t>,</w:t>
      </w:r>
      <w:r w:rsidRPr="00E3331A">
        <w:t xml:space="preserve"> the claim that Ig is </w:t>
      </w:r>
      <w:r w:rsidR="009C1A6F" w:rsidRPr="00E3331A">
        <w:t xml:space="preserve">at least </w:t>
      </w:r>
      <w:r w:rsidRPr="00E3331A">
        <w:t>non-inferior to steroids appears to be reasonable</w:t>
      </w:r>
      <w:r w:rsidR="00B014A1" w:rsidRPr="00E3331A">
        <w:t>.</w:t>
      </w:r>
      <w:r w:rsidRPr="00E3331A">
        <w:t xml:space="preserve"> </w:t>
      </w:r>
      <w:r w:rsidR="00B014A1" w:rsidRPr="00E3331A">
        <w:t>H</w:t>
      </w:r>
      <w:r w:rsidRPr="00E3331A">
        <w:t xml:space="preserve">owever, this conclusion is limited by the small number of trials, </w:t>
      </w:r>
      <w:r w:rsidR="00B014A1" w:rsidRPr="00E3331A">
        <w:t xml:space="preserve">the </w:t>
      </w:r>
      <w:r w:rsidRPr="00E3331A">
        <w:t xml:space="preserve">small number of patients included in those trials, limited follow-up </w:t>
      </w:r>
      <w:r w:rsidR="00804782" w:rsidRPr="00E3331A">
        <w:t>by</w:t>
      </w:r>
      <w:r w:rsidRPr="00E3331A">
        <w:t xml:space="preserve"> Hughes </w:t>
      </w:r>
      <w:r w:rsidR="00983BA7">
        <w:t xml:space="preserve">et al. </w:t>
      </w:r>
      <w:r w:rsidRPr="00E3331A">
        <w:t>(2001)</w:t>
      </w:r>
      <w:r w:rsidR="00804782" w:rsidRPr="00E3331A">
        <w:t>,</w:t>
      </w:r>
      <w:r w:rsidRPr="00E3331A">
        <w:t xml:space="preserve"> and the fact that both trials were </w:t>
      </w:r>
      <w:r w:rsidR="00804782" w:rsidRPr="00E3331A">
        <w:t xml:space="preserve">considered to be </w:t>
      </w:r>
      <w:r w:rsidRPr="00E3331A">
        <w:t>at high risk of bias</w:t>
      </w:r>
      <w:r w:rsidR="00804782" w:rsidRPr="00E3331A">
        <w:t>.</w:t>
      </w:r>
      <w:r w:rsidR="009C1A6F" w:rsidRPr="00E3331A">
        <w:t xml:space="preserve"> </w:t>
      </w:r>
      <w:r w:rsidR="00B46A9A" w:rsidRPr="00E3331A">
        <w:t xml:space="preserve">Advice from the Reference Group is that the evidence </w:t>
      </w:r>
      <w:r w:rsidR="008F30DA" w:rsidRPr="00E3331A">
        <w:t>may support</w:t>
      </w:r>
      <w:r w:rsidR="00B46A9A" w:rsidRPr="00E3331A">
        <w:t xml:space="preserve"> a finding of superior effectiveness based on the </w:t>
      </w:r>
      <w:r w:rsidR="00AD05CA" w:rsidRPr="00E3331A">
        <w:t xml:space="preserve">relative </w:t>
      </w:r>
      <w:r w:rsidR="00B46A9A" w:rsidRPr="00E3331A">
        <w:t xml:space="preserve">number of patients </w:t>
      </w:r>
      <w:r w:rsidR="008F30DA" w:rsidRPr="00E3331A">
        <w:t>discontinuing</w:t>
      </w:r>
      <w:r w:rsidR="00B46A9A" w:rsidRPr="00E3331A">
        <w:t xml:space="preserve"> treatment</w:t>
      </w:r>
      <w:r w:rsidR="00830765" w:rsidRPr="00E3331A">
        <w:t xml:space="preserve"> over six months reported in Nobile-Orazio et al. (2012)</w:t>
      </w:r>
      <w:r w:rsidR="00B46A9A" w:rsidRPr="00E3331A">
        <w:t>.</w:t>
      </w:r>
    </w:p>
    <w:p w:rsidR="003E72FC" w:rsidRPr="00E3331A" w:rsidRDefault="003E72FC" w:rsidP="003560FC">
      <w:pPr>
        <w:pStyle w:val="Heading3"/>
      </w:pPr>
      <w:bookmarkStart w:id="255" w:name="_Toc24103467"/>
      <w:r w:rsidRPr="00E3331A">
        <w:t>Ig vs plasma exchange?</w:t>
      </w:r>
      <w:bookmarkEnd w:id="255"/>
    </w:p>
    <w:p w:rsidR="003E72FC" w:rsidRPr="00E3331A" w:rsidRDefault="00D52DB7" w:rsidP="003E72FC">
      <w:r w:rsidRPr="00E3331A">
        <w:t xml:space="preserve">A single study of 19 patients investigated the relative effectiveness of Ig and plasma </w:t>
      </w:r>
      <w:r w:rsidR="005E2E55" w:rsidRPr="00E3331A">
        <w:t>exchange</w:t>
      </w:r>
      <w:r w:rsidRPr="00E3331A">
        <w:t xml:space="preserve">. Dyck et al. (1994) found no difference in change in NDS between the two treatments. However, this small study had limited follow-up (6 weeks) and was at high </w:t>
      </w:r>
      <w:r w:rsidR="005E2E55" w:rsidRPr="00E3331A">
        <w:t>risk</w:t>
      </w:r>
      <w:r w:rsidRPr="00E3331A">
        <w:t xml:space="preserve"> of bias. </w:t>
      </w:r>
      <w:r w:rsidR="00796044" w:rsidRPr="00E3331A">
        <w:t>This limited evidence of the non-inferior effectiveness of Ig compared to plasma exchange</w:t>
      </w:r>
      <w:r w:rsidR="00804782" w:rsidRPr="00E3331A">
        <w:t>,</w:t>
      </w:r>
      <w:r w:rsidR="00796044" w:rsidRPr="00E3331A">
        <w:t xml:space="preserve"> is supported by an informal indir</w:t>
      </w:r>
      <w:r w:rsidR="00804782" w:rsidRPr="00E3331A">
        <w:t>e</w:t>
      </w:r>
      <w:r w:rsidR="00796044" w:rsidRPr="00E3331A">
        <w:t xml:space="preserve">ct comparison of trials comparing Ig to no treatment and </w:t>
      </w:r>
      <w:r w:rsidR="00804782" w:rsidRPr="00E3331A">
        <w:t>p</w:t>
      </w:r>
      <w:r w:rsidR="00796044" w:rsidRPr="00E3331A">
        <w:t>lasma exchange to no treatment. As discussed above</w:t>
      </w:r>
      <w:r w:rsidR="00804782" w:rsidRPr="00E3331A">
        <w:t>,</w:t>
      </w:r>
      <w:r w:rsidR="00796044" w:rsidRPr="00E3331A">
        <w:t xml:space="preserve"> Ig has superior effectiveness to no treatment. Similarly</w:t>
      </w:r>
      <w:r w:rsidR="00804782" w:rsidRPr="00E3331A">
        <w:t>,</w:t>
      </w:r>
      <w:r w:rsidR="00796044" w:rsidRPr="00E3331A">
        <w:t xml:space="preserve"> Hahn </w:t>
      </w:r>
      <w:r w:rsidR="00983BA7">
        <w:t xml:space="preserve">et al. </w:t>
      </w:r>
      <w:r w:rsidR="00796044" w:rsidRPr="00E3331A">
        <w:t xml:space="preserve">(1996a) and Dyck </w:t>
      </w:r>
      <w:r w:rsidR="00983BA7">
        <w:t xml:space="preserve">et al. </w:t>
      </w:r>
      <w:r w:rsidR="00796044" w:rsidRPr="00E3331A">
        <w:t xml:space="preserve">(1986) both found </w:t>
      </w:r>
      <w:r w:rsidR="00804782" w:rsidRPr="00E3331A">
        <w:t xml:space="preserve">that </w:t>
      </w:r>
      <w:r w:rsidR="00796044" w:rsidRPr="00E3331A">
        <w:t>plasma exchange was a more effective treatment for CIDP than sham exchange</w:t>
      </w:r>
      <w:r w:rsidR="00804782" w:rsidRPr="00E3331A">
        <w:t xml:space="preserve"> </w:t>
      </w:r>
      <w:r w:rsidR="00B85C75">
        <w:rPr>
          <w:noProof/>
        </w:rPr>
        <w:t>(Dyck et al. 1986; Hahn et al. 1996a)</w:t>
      </w:r>
      <w:r w:rsidR="00804782" w:rsidRPr="00E3331A">
        <w:t>.</w:t>
      </w:r>
    </w:p>
    <w:p w:rsidR="003E72FC" w:rsidRPr="00E3331A" w:rsidRDefault="003E72FC" w:rsidP="003560FC">
      <w:pPr>
        <w:pStyle w:val="Heading3"/>
      </w:pPr>
      <w:bookmarkStart w:id="256" w:name="_Toc24103468"/>
      <w:r w:rsidRPr="00E3331A">
        <w:t>Ig vs immunosuppressants</w:t>
      </w:r>
      <w:bookmarkEnd w:id="256"/>
    </w:p>
    <w:p w:rsidR="003E72FC" w:rsidRPr="00E3331A" w:rsidRDefault="00C16307" w:rsidP="0061393C">
      <w:r w:rsidRPr="00E3331A">
        <w:t>No RCTs were identified provid</w:t>
      </w:r>
      <w:r w:rsidR="0016725F" w:rsidRPr="00E3331A">
        <w:t>ing</w:t>
      </w:r>
      <w:r w:rsidRPr="00E3331A">
        <w:t xml:space="preserve"> either a direct or indirect comparison of Ig and immunosuppressants.</w:t>
      </w:r>
      <w:r w:rsidR="00190510" w:rsidRPr="00E3331A">
        <w:t xml:space="preserve"> </w:t>
      </w:r>
      <w:r w:rsidRPr="00E3331A">
        <w:t xml:space="preserve">Two studies were identified that </w:t>
      </w:r>
      <w:r w:rsidR="0061393C" w:rsidRPr="00E3331A">
        <w:t>investigated</w:t>
      </w:r>
      <w:r w:rsidRPr="00E3331A">
        <w:t xml:space="preserve"> the use of </w:t>
      </w:r>
      <w:r w:rsidR="0061393C" w:rsidRPr="00E3331A">
        <w:t>immunosuppressants</w:t>
      </w:r>
      <w:r w:rsidRPr="00E3331A">
        <w:t xml:space="preserve"> as Ig</w:t>
      </w:r>
      <w:r w:rsidR="0016725F" w:rsidRPr="00E3331A">
        <w:t>-</w:t>
      </w:r>
      <w:r w:rsidRPr="00E3331A">
        <w:t xml:space="preserve"> and steroid</w:t>
      </w:r>
      <w:r w:rsidR="00D45BCF" w:rsidRPr="00E3331A">
        <w:t>-</w:t>
      </w:r>
      <w:r w:rsidRPr="00E3331A">
        <w:t>sparing agents</w:t>
      </w:r>
      <w:r w:rsidR="00983BA7">
        <w:t xml:space="preserve"> </w:t>
      </w:r>
      <w:r w:rsidR="00B85C75">
        <w:rPr>
          <w:noProof/>
        </w:rPr>
        <w:t>(Hughes et al. 2018; R. M. C. Trial Group 2009)</w:t>
      </w:r>
      <w:r w:rsidR="0016725F" w:rsidRPr="00E3331A">
        <w:t>.</w:t>
      </w:r>
    </w:p>
    <w:p w:rsidR="003E72FC" w:rsidRPr="00E3331A" w:rsidRDefault="00C16307" w:rsidP="0061393C">
      <w:r w:rsidRPr="00E3331A">
        <w:lastRenderedPageBreak/>
        <w:t>Hughes et al. (2018) switched</w:t>
      </w:r>
      <w:r w:rsidR="003E72FC" w:rsidRPr="00E3331A">
        <w:t xml:space="preserve"> Ig</w:t>
      </w:r>
      <w:r w:rsidRPr="00E3331A">
        <w:t xml:space="preserve"> and </w:t>
      </w:r>
      <w:r w:rsidR="003E72FC" w:rsidRPr="00E3331A">
        <w:t xml:space="preserve">steroid responders to </w:t>
      </w:r>
      <w:r w:rsidRPr="00E3331A">
        <w:t xml:space="preserve">either </w:t>
      </w:r>
      <w:r w:rsidR="005541CA" w:rsidRPr="00E3331A">
        <w:t>f</w:t>
      </w:r>
      <w:r w:rsidRPr="00E3331A">
        <w:t>ingolimod</w:t>
      </w:r>
      <w:r w:rsidR="003E72FC" w:rsidRPr="00E3331A">
        <w:t xml:space="preserve"> or placebo (Ig</w:t>
      </w:r>
      <w:r w:rsidRPr="00E3331A">
        <w:t xml:space="preserve"> </w:t>
      </w:r>
      <w:r w:rsidR="0061393C" w:rsidRPr="00E3331A">
        <w:t>was stopped</w:t>
      </w:r>
      <w:r w:rsidR="003E72FC" w:rsidRPr="00E3331A">
        <w:t xml:space="preserve"> </w:t>
      </w:r>
      <w:r w:rsidRPr="00E3331A">
        <w:t>immediately</w:t>
      </w:r>
      <w:r w:rsidR="003E72FC" w:rsidRPr="00E3331A">
        <w:t xml:space="preserve"> before </w:t>
      </w:r>
      <w:r w:rsidRPr="00E3331A">
        <w:t xml:space="preserve">the </w:t>
      </w:r>
      <w:r w:rsidR="003E72FC" w:rsidRPr="00E3331A">
        <w:t xml:space="preserve">first dose </w:t>
      </w:r>
      <w:r w:rsidRPr="00E3331A">
        <w:t>of immunosuppressant</w:t>
      </w:r>
      <w:r w:rsidR="0016725F" w:rsidRPr="00E3331A">
        <w:t>;</w:t>
      </w:r>
      <w:r w:rsidR="003E72FC" w:rsidRPr="00E3331A">
        <w:t xml:space="preserve"> steroid</w:t>
      </w:r>
      <w:r w:rsidRPr="00E3331A">
        <w:t xml:space="preserve">s were </w:t>
      </w:r>
      <w:r w:rsidR="003E72FC" w:rsidRPr="00E3331A">
        <w:t>tapered down over 8 weeks).</w:t>
      </w:r>
      <w:r w:rsidRPr="00E3331A">
        <w:t xml:space="preserve"> The t</w:t>
      </w:r>
      <w:r w:rsidR="003E72FC" w:rsidRPr="00E3331A">
        <w:t>rial was stopped for futility</w:t>
      </w:r>
      <w:r w:rsidR="0016725F" w:rsidRPr="00E3331A">
        <w:t>.</w:t>
      </w:r>
      <w:r w:rsidRPr="00E3331A">
        <w:t xml:space="preserve"> </w:t>
      </w:r>
      <w:r w:rsidR="0016725F" w:rsidRPr="00E3331A">
        <w:t xml:space="preserve">A total of </w:t>
      </w:r>
      <w:r w:rsidRPr="00E3331A">
        <w:t>44 patie</w:t>
      </w:r>
      <w:r w:rsidR="0016725F" w:rsidRPr="00E3331A">
        <w:t>nts</w:t>
      </w:r>
      <w:r w:rsidRPr="00E3331A">
        <w:t xml:space="preserve"> experience</w:t>
      </w:r>
      <w:r w:rsidR="0016725F" w:rsidRPr="00E3331A">
        <w:t>d</w:t>
      </w:r>
      <w:r w:rsidRPr="00E3331A">
        <w:t xml:space="preserve"> worsening (defined as </w:t>
      </w:r>
      <w:r w:rsidRPr="00E3331A">
        <w:rPr>
          <w:rFonts w:hint="eastAsia"/>
        </w:rPr>
        <w:t>≥</w:t>
      </w:r>
      <w:r w:rsidRPr="00E3331A">
        <w:t xml:space="preserve"> </w:t>
      </w:r>
      <w:r w:rsidR="0061393C" w:rsidRPr="00E3331A">
        <w:t>1-point</w:t>
      </w:r>
      <w:r w:rsidRPr="00E3331A">
        <w:t xml:space="preserve"> change in INCAT). There was no </w:t>
      </w:r>
      <w:r w:rsidR="0061393C" w:rsidRPr="00E3331A">
        <w:t>difference</w:t>
      </w:r>
      <w:r w:rsidR="003E72FC" w:rsidRPr="00E3331A">
        <w:t xml:space="preserve"> between </w:t>
      </w:r>
      <w:r w:rsidRPr="00E3331A">
        <w:t xml:space="preserve">immunosuppressant and </w:t>
      </w:r>
      <w:r w:rsidR="003E72FC" w:rsidRPr="00E3331A">
        <w:t xml:space="preserve">placebo groups (58% vs 57%, p = 0.91). </w:t>
      </w:r>
    </w:p>
    <w:p w:rsidR="0061393C" w:rsidRPr="00E3331A" w:rsidRDefault="00C16307" w:rsidP="0061393C">
      <w:r w:rsidRPr="00E3331A">
        <w:t>Mahdi</w:t>
      </w:r>
      <w:r w:rsidR="00D45BCF" w:rsidRPr="00E3331A">
        <w:t>-</w:t>
      </w:r>
      <w:r w:rsidRPr="00E3331A">
        <w:t xml:space="preserve">Rogers </w:t>
      </w:r>
      <w:r w:rsidR="00983BA7">
        <w:t xml:space="preserve">et al. </w:t>
      </w:r>
      <w:r w:rsidRPr="00E3331A">
        <w:t xml:space="preserve">(2009) investigated </w:t>
      </w:r>
      <w:r w:rsidR="0061393C" w:rsidRPr="00E3331A">
        <w:t xml:space="preserve">whether </w:t>
      </w:r>
      <w:r w:rsidRPr="00E3331A">
        <w:t>the addition of an immunosuppressant (methotrexate) or placebo to patients currently responding to either steroids or Ig</w:t>
      </w:r>
      <w:r w:rsidR="0061393C" w:rsidRPr="00E3331A">
        <w:t xml:space="preserve"> would decrease treatment requirements by 20</w:t>
      </w:r>
      <w:r w:rsidR="00B0023A" w:rsidRPr="00E3331A">
        <w:t>%</w:t>
      </w:r>
      <w:r w:rsidRPr="00E3331A">
        <w:t xml:space="preserve">. No difference </w:t>
      </w:r>
      <w:r w:rsidR="003E72FC" w:rsidRPr="00E3331A">
        <w:t xml:space="preserve">in response </w:t>
      </w:r>
      <w:r w:rsidR="0061393C" w:rsidRPr="00E3331A">
        <w:t xml:space="preserve">was found </w:t>
      </w:r>
      <w:r w:rsidR="003E72FC" w:rsidRPr="00E3331A">
        <w:t>(OR for response 1.21 955 CI 0.4, 3.7)</w:t>
      </w:r>
      <w:r w:rsidR="0061393C" w:rsidRPr="00E3331A">
        <w:t xml:space="preserve">. Similarly, no </w:t>
      </w:r>
      <w:r w:rsidR="003E72FC" w:rsidRPr="00E3331A">
        <w:t xml:space="preserve">difference in MRC (MD 0.4 95% CI -2.34, 3.17, p = 0.76), ALDS (MD -0.47 95% CI -3.62, 1.87, p = 0.73) or ONLS (MD not </w:t>
      </w:r>
      <w:r w:rsidR="0061393C" w:rsidRPr="00E3331A">
        <w:t>reported</w:t>
      </w:r>
      <w:r w:rsidR="003E72FC" w:rsidRPr="00E3331A">
        <w:t>, p = 0.93)</w:t>
      </w:r>
      <w:r w:rsidR="0061393C" w:rsidRPr="00E3331A">
        <w:t xml:space="preserve"> was reported.</w:t>
      </w:r>
    </w:p>
    <w:p w:rsidR="0061393C" w:rsidRPr="00E3331A" w:rsidRDefault="0061393C" w:rsidP="0061393C">
      <w:r w:rsidRPr="00E3331A">
        <w:t>Based on these results, immunosuppressants</w:t>
      </w:r>
      <w:r w:rsidR="00345C95" w:rsidRPr="00E3331A">
        <w:t xml:space="preserve"> </w:t>
      </w:r>
      <w:r w:rsidRPr="00E3331A">
        <w:t xml:space="preserve">at the doses investigated do not appear to be an effective adjunct to Ig or steroids in patients with CIDP. </w:t>
      </w:r>
    </w:p>
    <w:p w:rsidR="003E72FC" w:rsidRPr="00E3331A" w:rsidRDefault="0015398F" w:rsidP="00312EDB">
      <w:pPr>
        <w:pStyle w:val="Heading3"/>
      </w:pPr>
      <w:bookmarkStart w:id="257" w:name="_Toc24103469"/>
      <w:r w:rsidRPr="00E3331A">
        <w:t>Ig in paediatric patients</w:t>
      </w:r>
      <w:bookmarkEnd w:id="257"/>
    </w:p>
    <w:p w:rsidR="003E72FC" w:rsidRPr="00E3331A" w:rsidRDefault="0015398F" w:rsidP="003E72FC">
      <w:r w:rsidRPr="00E3331A">
        <w:t xml:space="preserve">No </w:t>
      </w:r>
      <w:r w:rsidR="00624651" w:rsidRPr="00E3331A">
        <w:t>evidence</w:t>
      </w:r>
      <w:r w:rsidRPr="00E3331A">
        <w:t xml:space="preserve"> from RCTs was </w:t>
      </w:r>
      <w:r w:rsidR="00624651" w:rsidRPr="00E3331A">
        <w:t xml:space="preserve">identified. </w:t>
      </w:r>
    </w:p>
    <w:p w:rsidR="00796044" w:rsidRPr="00E3331A" w:rsidRDefault="00796044" w:rsidP="003E72FC">
      <w:r w:rsidRPr="00E3331A">
        <w:t>A systematic review investi</w:t>
      </w:r>
      <w:r w:rsidR="00B0023A" w:rsidRPr="00E3331A">
        <w:t>gating</w:t>
      </w:r>
      <w:r w:rsidRPr="00E3331A">
        <w:t xml:space="preserve"> the use of Ig to treat paediatric neurological conditions was identified </w:t>
      </w:r>
      <w:r w:rsidR="00B85C75">
        <w:rPr>
          <w:noProof/>
        </w:rPr>
        <w:t>(Gadian et al. 2017)</w:t>
      </w:r>
      <w:r w:rsidRPr="00E3331A">
        <w:t xml:space="preserve">. The review included ten </w:t>
      </w:r>
      <w:r w:rsidR="00B0023A" w:rsidRPr="00E3331A">
        <w:t>s</w:t>
      </w:r>
      <w:r w:rsidRPr="00E3331A">
        <w:t>eries of 114 paediatric patients with CIDP. The response rate in those initially treated with IVIg was 79% compared to a response rate of 74% following treatment with steroids and 14% following plasma exchange. The review found that first-line treatment with IVIg or steroids appears to be similarly eff</w:t>
      </w:r>
      <w:r w:rsidR="00B0023A" w:rsidRPr="00E3331A">
        <w:t>i</w:t>
      </w:r>
      <w:r w:rsidR="00C7390D" w:rsidRPr="00E3331A">
        <w:t>cac</w:t>
      </w:r>
      <w:r w:rsidRPr="00E3331A">
        <w:t xml:space="preserve">ious. </w:t>
      </w:r>
    </w:p>
    <w:p w:rsidR="003560FC" w:rsidRPr="00E3331A" w:rsidRDefault="003560FC" w:rsidP="0057593A">
      <w:pPr>
        <w:pStyle w:val="Heading3"/>
      </w:pPr>
      <w:bookmarkStart w:id="258" w:name="_Toc24103470"/>
      <w:r w:rsidRPr="00E3331A">
        <w:t xml:space="preserve">Other </w:t>
      </w:r>
      <w:r w:rsidR="00312EDB" w:rsidRPr="00E3331A">
        <w:t>comparisons</w:t>
      </w:r>
      <w:bookmarkEnd w:id="258"/>
    </w:p>
    <w:p w:rsidR="008A3A7B" w:rsidRPr="00E3331A" w:rsidRDefault="008A3A7B" w:rsidP="008A3A7B">
      <w:r w:rsidRPr="00E3331A">
        <w:t xml:space="preserve">Effectiveness data on comparisons outside the defined PICO for this review are presented in </w:t>
      </w:r>
      <w:r w:rsidR="006F35B9" w:rsidRPr="00E3331A">
        <w:t xml:space="preserve">Table </w:t>
      </w:r>
      <w:r w:rsidR="006F35B9">
        <w:rPr>
          <w:noProof/>
        </w:rPr>
        <w:t>98</w:t>
      </w:r>
      <w:r w:rsidRPr="00E3331A">
        <w:t xml:space="preserve"> (Appendix B) and summarised briefly below. </w:t>
      </w:r>
    </w:p>
    <w:p w:rsidR="00D54081" w:rsidRPr="00E3331A" w:rsidRDefault="00D54081" w:rsidP="00D54081">
      <w:pPr>
        <w:pStyle w:val="Heading4"/>
      </w:pPr>
      <w:r w:rsidRPr="00E3331A">
        <w:t>Ig vs Ig</w:t>
      </w:r>
    </w:p>
    <w:p w:rsidR="00D54081" w:rsidRPr="00E3331A" w:rsidRDefault="00D54081" w:rsidP="00D54081">
      <w:r w:rsidRPr="00E3331A">
        <w:t>Advice fro</w:t>
      </w:r>
      <w:r w:rsidR="0061393C" w:rsidRPr="00E3331A">
        <w:t>m</w:t>
      </w:r>
      <w:r w:rsidRPr="00E3331A">
        <w:t xml:space="preserve"> the </w:t>
      </w:r>
      <w:r w:rsidR="0061393C" w:rsidRPr="00E3331A">
        <w:t>Reference</w:t>
      </w:r>
      <w:r w:rsidRPr="00E3331A">
        <w:t xml:space="preserve"> </w:t>
      </w:r>
      <w:r w:rsidR="0061393C" w:rsidRPr="00E3331A">
        <w:t>G</w:t>
      </w:r>
      <w:r w:rsidRPr="00E3331A">
        <w:t xml:space="preserve">roup </w:t>
      </w:r>
      <w:r w:rsidR="0061393C" w:rsidRPr="00E3331A">
        <w:t>was</w:t>
      </w:r>
      <w:r w:rsidRPr="00E3331A">
        <w:t xml:space="preserve"> that a comparison between different forms o</w:t>
      </w:r>
      <w:r w:rsidR="0061393C" w:rsidRPr="00E3331A">
        <w:t>f</w:t>
      </w:r>
      <w:r w:rsidRPr="00E3331A">
        <w:t xml:space="preserve"> Ig is not relevant to this</w:t>
      </w:r>
      <w:r w:rsidR="0061393C" w:rsidRPr="00E3331A">
        <w:t xml:space="preserve"> </w:t>
      </w:r>
      <w:r w:rsidR="005541CA" w:rsidRPr="00E3331A">
        <w:t>A</w:t>
      </w:r>
      <w:r w:rsidRPr="00E3331A">
        <w:t xml:space="preserve">ssessment. </w:t>
      </w:r>
      <w:r w:rsidR="0061393C" w:rsidRPr="00E3331A">
        <w:t>Two studies investigating different forms of Ig</w:t>
      </w:r>
      <w:r w:rsidRPr="00E3331A">
        <w:t xml:space="preserve"> were </w:t>
      </w:r>
      <w:r w:rsidR="0061393C" w:rsidRPr="00E3331A">
        <w:t>identified</w:t>
      </w:r>
      <w:r w:rsidRPr="00E3331A">
        <w:t xml:space="preserve"> as being potentially relevant for </w:t>
      </w:r>
      <w:r w:rsidR="0061393C" w:rsidRPr="00E3331A">
        <w:t>inclusion</w:t>
      </w:r>
      <w:r w:rsidRPr="00E3331A">
        <w:t xml:space="preserve"> in the network meta-analysis</w:t>
      </w:r>
      <w:r w:rsidR="00B0023A" w:rsidRPr="00E3331A">
        <w:t>:</w:t>
      </w:r>
    </w:p>
    <w:p w:rsidR="00D54081" w:rsidRPr="00E3331A" w:rsidRDefault="0061393C" w:rsidP="001F5B33">
      <w:pPr>
        <w:pStyle w:val="ColorfulList-Accent11"/>
        <w:numPr>
          <w:ilvl w:val="0"/>
          <w:numId w:val="34"/>
        </w:numPr>
      </w:pPr>
      <w:r w:rsidRPr="00E3331A">
        <w:t>Markvardsen et al. (2017) found no difference</w:t>
      </w:r>
      <w:r w:rsidR="00B0023A" w:rsidRPr="00E3331A">
        <w:t xml:space="preserve"> between</w:t>
      </w:r>
      <w:r w:rsidRPr="00E3331A">
        <w:t xml:space="preserve"> patient</w:t>
      </w:r>
      <w:r w:rsidR="00B0023A" w:rsidRPr="00E3331A">
        <w:t>s</w:t>
      </w:r>
      <w:r w:rsidRPr="00E3331A">
        <w:t xml:space="preserve"> initially treated with either SCIg or IVIg</w:t>
      </w:r>
      <w:r w:rsidR="00B0023A" w:rsidRPr="00E3331A">
        <w:t xml:space="preserve"> </w:t>
      </w:r>
      <w:r w:rsidR="00B85C75">
        <w:rPr>
          <w:noProof/>
        </w:rPr>
        <w:t>(Markvardsen et al. 2017)</w:t>
      </w:r>
      <w:r w:rsidR="00B0023A" w:rsidRPr="00E3331A">
        <w:t>.</w:t>
      </w:r>
    </w:p>
    <w:p w:rsidR="00D54081" w:rsidRPr="00E3331A" w:rsidRDefault="0061393C" w:rsidP="001F5B33">
      <w:pPr>
        <w:pStyle w:val="ColorfulList-Accent11"/>
        <w:numPr>
          <w:ilvl w:val="0"/>
          <w:numId w:val="34"/>
        </w:numPr>
      </w:pPr>
      <w:r w:rsidRPr="00E3331A">
        <w:t xml:space="preserve">Kuitwaard et al. (2010) </w:t>
      </w:r>
      <w:r w:rsidR="00B16A93" w:rsidRPr="00E3331A">
        <w:t xml:space="preserve">found no difference between IVIg-responding patients </w:t>
      </w:r>
      <w:r w:rsidRPr="00E3331A">
        <w:t xml:space="preserve">randomised to </w:t>
      </w:r>
      <w:r w:rsidR="00A1146F" w:rsidRPr="00E3331A">
        <w:t>e</w:t>
      </w:r>
      <w:r w:rsidRPr="00E3331A">
        <w:t xml:space="preserve">ither continued IVIg or SCIg. </w:t>
      </w:r>
    </w:p>
    <w:p w:rsidR="004D7391" w:rsidRPr="00E3331A" w:rsidRDefault="004D7391" w:rsidP="00D54081">
      <w:pPr>
        <w:pStyle w:val="Heading4"/>
      </w:pPr>
      <w:r w:rsidRPr="00E3331A">
        <w:lastRenderedPageBreak/>
        <w:t>Ig vs immunoadsorption</w:t>
      </w:r>
    </w:p>
    <w:p w:rsidR="00D54081" w:rsidRPr="00E3331A" w:rsidRDefault="00D54081" w:rsidP="004D7391">
      <w:r w:rsidRPr="00E3331A">
        <w:t xml:space="preserve">Advice from the Reference </w:t>
      </w:r>
      <w:r w:rsidR="005541CA" w:rsidRPr="00E3331A">
        <w:t>G</w:t>
      </w:r>
      <w:r w:rsidRPr="00E3331A">
        <w:t xml:space="preserve">roup is that </w:t>
      </w:r>
      <w:r w:rsidR="0061393C" w:rsidRPr="00E3331A">
        <w:t>immunoadsorption</w:t>
      </w:r>
      <w:r w:rsidRPr="00E3331A">
        <w:t xml:space="preserve"> is not a </w:t>
      </w:r>
      <w:r w:rsidR="0061393C" w:rsidRPr="00E3331A">
        <w:t>relevant</w:t>
      </w:r>
      <w:r w:rsidRPr="00E3331A">
        <w:t xml:space="preserve"> comparator for this review as these capture </w:t>
      </w:r>
      <w:r w:rsidR="0061393C" w:rsidRPr="00E3331A">
        <w:t>columns</w:t>
      </w:r>
      <w:r w:rsidRPr="00E3331A">
        <w:t xml:space="preserve"> are not </w:t>
      </w:r>
      <w:r w:rsidR="0061393C" w:rsidRPr="00E3331A">
        <w:t>used in</w:t>
      </w:r>
      <w:r w:rsidRPr="00E3331A">
        <w:t xml:space="preserve"> Australia. </w:t>
      </w:r>
      <w:r w:rsidR="0061393C" w:rsidRPr="00E3331A">
        <w:t xml:space="preserve">One study comparing Ig to </w:t>
      </w:r>
      <w:r w:rsidR="00353CB7" w:rsidRPr="00E3331A">
        <w:t>immunoadsorption</w:t>
      </w:r>
      <w:r w:rsidR="0061393C" w:rsidRPr="00E3331A">
        <w:t xml:space="preserve"> was identified</w:t>
      </w:r>
      <w:r w:rsidR="00B16A93" w:rsidRPr="00E3331A">
        <w:t>:</w:t>
      </w:r>
    </w:p>
    <w:p w:rsidR="004D7391" w:rsidRPr="00E3331A" w:rsidRDefault="0061393C" w:rsidP="001F5B33">
      <w:pPr>
        <w:pStyle w:val="ColorfulList-Accent11"/>
        <w:numPr>
          <w:ilvl w:val="0"/>
          <w:numId w:val="35"/>
        </w:numPr>
      </w:pPr>
      <w:r w:rsidRPr="00E3331A">
        <w:t>Zinman et al. (2005) found no difference between immunoadsorption and Ig</w:t>
      </w:r>
      <w:r w:rsidR="00B16A93" w:rsidRPr="00E3331A">
        <w:t>, although</w:t>
      </w:r>
      <w:r w:rsidRPr="00E3331A">
        <w:t xml:space="preserve"> the study was low quality and had unacceptably high losses to follow-up.</w:t>
      </w:r>
      <w:r w:rsidR="00F723F4" w:rsidRPr="00E3331A">
        <w:t xml:space="preserve"> </w:t>
      </w:r>
    </w:p>
    <w:p w:rsidR="00D54081" w:rsidRPr="00E3331A" w:rsidRDefault="00752563" w:rsidP="00D54081">
      <w:pPr>
        <w:pStyle w:val="Heading4"/>
      </w:pPr>
      <w:r w:rsidRPr="00E3331A">
        <w:t>Evidence on comparators (Ig not investigated)</w:t>
      </w:r>
    </w:p>
    <w:p w:rsidR="00353CB7" w:rsidRPr="00E3331A" w:rsidRDefault="00353CB7" w:rsidP="003560FC">
      <w:r w:rsidRPr="00E3331A">
        <w:t>Six studies on treatments for CIDP other than Ig were identified as being potentially relevant for a network meta-analysis</w:t>
      </w:r>
      <w:r w:rsidR="00EC58E9" w:rsidRPr="00E3331A">
        <w:t>:</w:t>
      </w:r>
    </w:p>
    <w:p w:rsidR="003560FC" w:rsidRPr="00E3331A" w:rsidRDefault="003560FC" w:rsidP="001F5B33">
      <w:pPr>
        <w:pStyle w:val="ColorfulList-Accent11"/>
        <w:numPr>
          <w:ilvl w:val="0"/>
          <w:numId w:val="35"/>
        </w:numPr>
      </w:pPr>
      <w:r w:rsidRPr="00E3331A">
        <w:t xml:space="preserve">Dyck </w:t>
      </w:r>
      <w:r w:rsidR="00353CB7" w:rsidRPr="00E3331A">
        <w:t>et al. (</w:t>
      </w:r>
      <w:r w:rsidRPr="00E3331A">
        <w:t>1982</w:t>
      </w:r>
      <w:r w:rsidR="00353CB7" w:rsidRPr="00E3331A">
        <w:t xml:space="preserve">) found </w:t>
      </w:r>
      <w:r w:rsidR="00EC58E9" w:rsidRPr="00E3331A">
        <w:t xml:space="preserve">that </w:t>
      </w:r>
      <w:r w:rsidR="00353CB7" w:rsidRPr="00E3331A">
        <w:t>steroids were significantly better than placebo for CIP treatment</w:t>
      </w:r>
      <w:r w:rsidR="00EC58E9" w:rsidRPr="00E3331A">
        <w:t>, although</w:t>
      </w:r>
      <w:r w:rsidR="00353CB7" w:rsidRPr="00E3331A">
        <w:t xml:space="preserve"> these results are limited by high numbers of patients lost to follow-up/withdrawn</w:t>
      </w:r>
      <w:r w:rsidR="00983BA7">
        <w:t xml:space="preserve"> </w:t>
      </w:r>
      <w:r w:rsidR="00B85C75">
        <w:rPr>
          <w:noProof/>
        </w:rPr>
        <w:t>(Dyck et al. 1982)</w:t>
      </w:r>
      <w:r w:rsidR="00983BA7">
        <w:t>.</w:t>
      </w:r>
      <w:r w:rsidRPr="00E3331A">
        <w:t xml:space="preserve"> </w:t>
      </w:r>
    </w:p>
    <w:p w:rsidR="00D54081" w:rsidRPr="00E3331A" w:rsidRDefault="00353CB7" w:rsidP="001F5B33">
      <w:pPr>
        <w:pStyle w:val="ColorfulList-Accent11"/>
        <w:numPr>
          <w:ilvl w:val="0"/>
          <w:numId w:val="35"/>
        </w:numPr>
      </w:pPr>
      <w:r w:rsidRPr="00E3331A">
        <w:t>Van Shaik et al. (2010) found no difference between pulsed dexamethasone and daily prednisolone over six months follow-up</w:t>
      </w:r>
      <w:r w:rsidR="00983BA7">
        <w:t xml:space="preserve"> </w:t>
      </w:r>
      <w:r w:rsidR="00B85C75">
        <w:rPr>
          <w:noProof/>
        </w:rPr>
        <w:t>(van Schaik et al. 2010)</w:t>
      </w:r>
      <w:r w:rsidR="00983BA7">
        <w:t>.</w:t>
      </w:r>
      <w:r w:rsidRPr="00E3331A">
        <w:t xml:space="preserve"> </w:t>
      </w:r>
    </w:p>
    <w:p w:rsidR="00D54081" w:rsidRPr="00E3331A" w:rsidRDefault="00353CB7" w:rsidP="001F5B33">
      <w:pPr>
        <w:pStyle w:val="ColorfulList-Accent11"/>
        <w:numPr>
          <w:ilvl w:val="0"/>
          <w:numId w:val="35"/>
        </w:numPr>
      </w:pPr>
      <w:r w:rsidRPr="00E3331A">
        <w:t xml:space="preserve">Dyck </w:t>
      </w:r>
      <w:r w:rsidR="00983BA7">
        <w:t xml:space="preserve">et al. </w:t>
      </w:r>
      <w:r w:rsidRPr="00E3331A">
        <w:t xml:space="preserve">(1985) reported that the addition of immunosuppressant (azathioprine) to prednisone did not impact treatment effectiveness </w:t>
      </w:r>
      <w:r w:rsidR="00B85C75">
        <w:rPr>
          <w:noProof/>
        </w:rPr>
        <w:t>(Dyck et al. 1985)</w:t>
      </w:r>
      <w:r w:rsidR="00983BA7">
        <w:t>.</w:t>
      </w:r>
    </w:p>
    <w:p w:rsidR="003560FC" w:rsidRPr="00E3331A" w:rsidRDefault="00353CB7" w:rsidP="001F5B33">
      <w:pPr>
        <w:pStyle w:val="ColorfulList-Accent11"/>
        <w:numPr>
          <w:ilvl w:val="0"/>
          <w:numId w:val="35"/>
        </w:numPr>
      </w:pPr>
      <w:r w:rsidRPr="00E3331A">
        <w:t>H</w:t>
      </w:r>
      <w:r w:rsidR="003560FC" w:rsidRPr="00E3331A">
        <w:t xml:space="preserve">ahn </w:t>
      </w:r>
      <w:r w:rsidRPr="00E3331A">
        <w:t>et al. (</w:t>
      </w:r>
      <w:r w:rsidR="003560FC" w:rsidRPr="00E3331A">
        <w:t>1996a</w:t>
      </w:r>
      <w:r w:rsidRPr="00E3331A">
        <w:t xml:space="preserve">) and </w:t>
      </w:r>
      <w:r w:rsidR="003560FC" w:rsidRPr="00E3331A">
        <w:t>Dyck</w:t>
      </w:r>
      <w:r w:rsidRPr="00E3331A">
        <w:t xml:space="preserve"> et al.</w:t>
      </w:r>
      <w:r w:rsidR="003560FC" w:rsidRPr="00E3331A">
        <w:t xml:space="preserve"> </w:t>
      </w:r>
      <w:r w:rsidRPr="00E3331A">
        <w:t>(</w:t>
      </w:r>
      <w:r w:rsidR="003560FC" w:rsidRPr="00E3331A">
        <w:t>1986</w:t>
      </w:r>
      <w:r w:rsidRPr="00E3331A">
        <w:t xml:space="preserve">) both found </w:t>
      </w:r>
      <w:r w:rsidR="00647DE2" w:rsidRPr="00E3331A">
        <w:t xml:space="preserve">that </w:t>
      </w:r>
      <w:r w:rsidRPr="00E3331A">
        <w:t>plasma exchange was a more effective treatment for CIDP than sham exchange</w:t>
      </w:r>
      <w:r w:rsidR="00983BA7">
        <w:t xml:space="preserve"> </w:t>
      </w:r>
      <w:r w:rsidR="00B85C75">
        <w:rPr>
          <w:noProof/>
        </w:rPr>
        <w:t>(Dyck et al. 1986; Hahn et al. 1996a)</w:t>
      </w:r>
      <w:r w:rsidR="00983BA7">
        <w:t>.</w:t>
      </w:r>
    </w:p>
    <w:p w:rsidR="00D54081" w:rsidRPr="00E3331A" w:rsidRDefault="00353CB7" w:rsidP="001F5B33">
      <w:pPr>
        <w:pStyle w:val="ColorfulList-Accent11"/>
        <w:numPr>
          <w:ilvl w:val="0"/>
          <w:numId w:val="35"/>
        </w:numPr>
      </w:pPr>
      <w:r w:rsidRPr="00E3331A">
        <w:t xml:space="preserve">Lieker </w:t>
      </w:r>
      <w:r w:rsidR="00983BA7">
        <w:t xml:space="preserve">et al. </w:t>
      </w:r>
      <w:r w:rsidRPr="00E3331A">
        <w:t xml:space="preserve">(2017) found no difference in response rate following plasma exchange and immunoadsorption in </w:t>
      </w:r>
      <w:r w:rsidR="004B5B83" w:rsidRPr="00E3331A">
        <w:t>patient’s</w:t>
      </w:r>
      <w:r w:rsidRPr="00E3331A">
        <w:t xml:space="preserve"> refractory to Ig and/or steroids.</w:t>
      </w:r>
    </w:p>
    <w:p w:rsidR="00E4024F" w:rsidRPr="00E3331A" w:rsidRDefault="00E4024F" w:rsidP="003E72FC"/>
    <w:p w:rsidR="00E4024F" w:rsidRPr="00E3331A" w:rsidRDefault="00E4024F" w:rsidP="003E72FC">
      <w:pPr>
        <w:sectPr w:rsidR="00E4024F" w:rsidRPr="00E3331A" w:rsidSect="0080059D">
          <w:footerReference w:type="even" r:id="rId25"/>
          <w:type w:val="oddPage"/>
          <w:pgSz w:w="11906" w:h="16838"/>
          <w:pgMar w:top="1440" w:right="1440" w:bottom="1440" w:left="1440" w:header="720" w:footer="720" w:gutter="0"/>
          <w:paperSrc w:first="7" w:other="7"/>
          <w:cols w:space="720"/>
        </w:sectPr>
      </w:pPr>
    </w:p>
    <w:p w:rsidR="00047660" w:rsidRPr="00E3331A" w:rsidRDefault="00047660" w:rsidP="003E72FC"/>
    <w:p w:rsidR="00D22209" w:rsidRPr="00E3331A" w:rsidRDefault="00D22209" w:rsidP="00D22209">
      <w:pPr>
        <w:pStyle w:val="Caption"/>
      </w:pPr>
      <w:bookmarkStart w:id="259" w:name="_Ref9952047"/>
      <w:bookmarkStart w:id="260" w:name="_Toc24103335"/>
      <w:r w:rsidRPr="00E3331A">
        <w:t xml:space="preserve">Table </w:t>
      </w:r>
      <w:r w:rsidR="006F35B9">
        <w:rPr>
          <w:noProof/>
        </w:rPr>
        <w:t>29</w:t>
      </w:r>
      <w:bookmarkEnd w:id="259"/>
      <w:r w:rsidRPr="00E3331A">
        <w:tab/>
        <w:t>Summary of effectiveness data on Ig</w:t>
      </w:r>
      <w:r w:rsidR="001E10FA" w:rsidRPr="00E3331A">
        <w:t xml:space="preserve"> compared to no treatment, steroids or plasma exchange as a treatment for CIDP</w:t>
      </w:r>
      <w:bookmarkEnd w:id="2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1013"/>
        <w:gridCol w:w="1531"/>
        <w:gridCol w:w="1417"/>
        <w:gridCol w:w="1559"/>
        <w:gridCol w:w="1844"/>
        <w:gridCol w:w="1559"/>
        <w:gridCol w:w="3746"/>
      </w:tblGrid>
      <w:tr w:rsidR="00281EC2" w:rsidRPr="00E3331A" w:rsidTr="0007007F">
        <w:trPr>
          <w:tblHeader/>
        </w:trPr>
        <w:tc>
          <w:tcPr>
            <w:tcW w:w="458" w:type="pct"/>
            <w:shd w:val="clear" w:color="auto" w:fill="auto"/>
          </w:tcPr>
          <w:p w:rsidR="00D22209" w:rsidRPr="00E3331A" w:rsidRDefault="00D22209" w:rsidP="00D22209">
            <w:pPr>
              <w:pStyle w:val="TableHeading"/>
            </w:pPr>
            <w:r w:rsidRPr="00E3331A">
              <w:t>Study ID</w:t>
            </w:r>
          </w:p>
        </w:tc>
        <w:tc>
          <w:tcPr>
            <w:tcW w:w="363" w:type="pct"/>
            <w:shd w:val="clear" w:color="auto" w:fill="auto"/>
          </w:tcPr>
          <w:p w:rsidR="00D22209" w:rsidRPr="00E3331A" w:rsidRDefault="00D22209" w:rsidP="00D22209">
            <w:pPr>
              <w:pStyle w:val="TableHeading"/>
            </w:pPr>
            <w:r w:rsidRPr="00E3331A">
              <w:t>Follow-up</w:t>
            </w:r>
          </w:p>
          <w:p w:rsidR="00D22209" w:rsidRPr="00E3331A" w:rsidRDefault="00D22209" w:rsidP="00D22209">
            <w:pPr>
              <w:pStyle w:val="TableHeading"/>
            </w:pPr>
            <w:r w:rsidRPr="00E3331A">
              <w:t>N</w:t>
            </w:r>
          </w:p>
        </w:tc>
        <w:tc>
          <w:tcPr>
            <w:tcW w:w="549" w:type="pct"/>
            <w:shd w:val="clear" w:color="auto" w:fill="auto"/>
          </w:tcPr>
          <w:p w:rsidR="00D22209" w:rsidRPr="00E3331A" w:rsidRDefault="00D22209" w:rsidP="00D22209">
            <w:pPr>
              <w:pStyle w:val="TableHeading"/>
            </w:pPr>
            <w:r w:rsidRPr="00E3331A">
              <w:t>INCAT</w:t>
            </w:r>
          </w:p>
        </w:tc>
        <w:tc>
          <w:tcPr>
            <w:tcW w:w="508" w:type="pct"/>
            <w:shd w:val="clear" w:color="auto" w:fill="auto"/>
          </w:tcPr>
          <w:p w:rsidR="00D22209" w:rsidRPr="00E3331A" w:rsidRDefault="00D22209" w:rsidP="00D22209">
            <w:pPr>
              <w:pStyle w:val="TableHeading"/>
            </w:pPr>
            <w:r w:rsidRPr="00E3331A">
              <w:t>MRC</w:t>
            </w:r>
          </w:p>
        </w:tc>
        <w:tc>
          <w:tcPr>
            <w:tcW w:w="559" w:type="pct"/>
            <w:shd w:val="clear" w:color="auto" w:fill="auto"/>
          </w:tcPr>
          <w:p w:rsidR="00D22209" w:rsidRPr="00E3331A" w:rsidRDefault="00D22209" w:rsidP="00D22209">
            <w:pPr>
              <w:pStyle w:val="TableHeading"/>
            </w:pPr>
            <w:r w:rsidRPr="00E3331A">
              <w:t>NDS</w:t>
            </w:r>
          </w:p>
        </w:tc>
        <w:tc>
          <w:tcPr>
            <w:tcW w:w="661" w:type="pct"/>
            <w:shd w:val="clear" w:color="auto" w:fill="auto"/>
          </w:tcPr>
          <w:p w:rsidR="00D22209" w:rsidRPr="00E3331A" w:rsidRDefault="00D22209" w:rsidP="00D22209">
            <w:pPr>
              <w:pStyle w:val="TableHeading"/>
            </w:pPr>
            <w:r w:rsidRPr="00E3331A">
              <w:t>Grip strength</w:t>
            </w:r>
          </w:p>
        </w:tc>
        <w:tc>
          <w:tcPr>
            <w:tcW w:w="559" w:type="pct"/>
            <w:shd w:val="clear" w:color="auto" w:fill="auto"/>
          </w:tcPr>
          <w:p w:rsidR="00D22209" w:rsidRPr="00E3331A" w:rsidRDefault="00D22209" w:rsidP="00D22209">
            <w:pPr>
              <w:pStyle w:val="TableHeading"/>
            </w:pPr>
            <w:r w:rsidRPr="00E3331A">
              <w:t>Clinically meaningful response</w:t>
            </w:r>
          </w:p>
        </w:tc>
        <w:tc>
          <w:tcPr>
            <w:tcW w:w="1343" w:type="pct"/>
            <w:shd w:val="clear" w:color="auto" w:fill="auto"/>
          </w:tcPr>
          <w:p w:rsidR="00D22209" w:rsidRPr="00E3331A" w:rsidRDefault="00D22209" w:rsidP="00D22209">
            <w:pPr>
              <w:pStyle w:val="TableHeading"/>
            </w:pPr>
            <w:r w:rsidRPr="00E3331A">
              <w:t>Other outcomes</w:t>
            </w:r>
          </w:p>
        </w:tc>
      </w:tr>
      <w:tr w:rsidR="0059371B" w:rsidRPr="00E3331A" w:rsidTr="0059371B">
        <w:tc>
          <w:tcPr>
            <w:tcW w:w="5000" w:type="pct"/>
            <w:gridSpan w:val="8"/>
            <w:shd w:val="clear" w:color="auto" w:fill="auto"/>
          </w:tcPr>
          <w:p w:rsidR="0059371B" w:rsidRPr="00E3331A" w:rsidRDefault="0059371B" w:rsidP="00D22209">
            <w:pPr>
              <w:pStyle w:val="Tabletext1"/>
              <w:rPr>
                <w:b/>
              </w:rPr>
            </w:pPr>
            <w:r w:rsidRPr="00E3331A">
              <w:rPr>
                <w:b/>
              </w:rPr>
              <w:t>Ig vs NT</w:t>
            </w:r>
          </w:p>
        </w:tc>
      </w:tr>
      <w:tr w:rsidR="00281EC2" w:rsidRPr="00E3331A" w:rsidTr="0007007F">
        <w:tc>
          <w:tcPr>
            <w:tcW w:w="458" w:type="pct"/>
            <w:shd w:val="clear" w:color="auto" w:fill="auto"/>
          </w:tcPr>
          <w:p w:rsidR="00D22209" w:rsidRPr="00E3331A" w:rsidRDefault="00D22209" w:rsidP="00D22209">
            <w:pPr>
              <w:pStyle w:val="Tabletext1"/>
            </w:pPr>
            <w:r w:rsidRPr="00E3331A">
              <w:t>Hahn et al. (1996b)</w:t>
            </w:r>
          </w:p>
        </w:tc>
        <w:tc>
          <w:tcPr>
            <w:tcW w:w="363" w:type="pct"/>
            <w:shd w:val="clear" w:color="auto" w:fill="auto"/>
          </w:tcPr>
          <w:p w:rsidR="00D22209" w:rsidRPr="00E3331A" w:rsidRDefault="00D22209" w:rsidP="00D22209">
            <w:pPr>
              <w:pStyle w:val="Tabletext1"/>
            </w:pPr>
            <w:r w:rsidRPr="00E3331A">
              <w:t>4 weeks</w:t>
            </w:r>
          </w:p>
          <w:p w:rsidR="00D22209" w:rsidRPr="00E3331A" w:rsidRDefault="00D22209" w:rsidP="00D22209">
            <w:pPr>
              <w:pStyle w:val="Tabletext1"/>
            </w:pPr>
            <w:r w:rsidRPr="00E3331A">
              <w:t>I: 25</w:t>
            </w:r>
          </w:p>
          <w:p w:rsidR="00D22209" w:rsidRPr="00E3331A" w:rsidRDefault="00F723F4" w:rsidP="00D22209">
            <w:pPr>
              <w:pStyle w:val="Tabletext1"/>
            </w:pPr>
            <w:r w:rsidRPr="00E3331A">
              <w:t>C</w:t>
            </w:r>
            <w:r w:rsidR="00D22209" w:rsidRPr="00E3331A">
              <w:t>: 25</w:t>
            </w:r>
          </w:p>
        </w:tc>
        <w:tc>
          <w:tcPr>
            <w:tcW w:w="549" w:type="pct"/>
            <w:shd w:val="clear" w:color="auto" w:fill="auto"/>
          </w:tcPr>
          <w:p w:rsidR="00D22209" w:rsidRPr="00E3331A" w:rsidRDefault="00D22209" w:rsidP="00D22209">
            <w:pPr>
              <w:pStyle w:val="Tabletext1"/>
            </w:pPr>
          </w:p>
        </w:tc>
        <w:tc>
          <w:tcPr>
            <w:tcW w:w="508" w:type="pct"/>
            <w:shd w:val="clear" w:color="auto" w:fill="auto"/>
          </w:tcPr>
          <w:p w:rsidR="00D22209" w:rsidRPr="00E3331A" w:rsidRDefault="00D22209" w:rsidP="00D22209">
            <w:pPr>
              <w:pStyle w:val="Tabletext1"/>
            </w:pPr>
          </w:p>
        </w:tc>
        <w:tc>
          <w:tcPr>
            <w:tcW w:w="559" w:type="pct"/>
            <w:shd w:val="clear" w:color="auto" w:fill="auto"/>
          </w:tcPr>
          <w:p w:rsidR="00D22209" w:rsidRPr="00E3331A" w:rsidRDefault="00D22209" w:rsidP="00D22209">
            <w:pPr>
              <w:pStyle w:val="Tabletext1"/>
            </w:pPr>
            <w:r w:rsidRPr="00E3331A">
              <w:t>I: -24.4 ± 7.57</w:t>
            </w:r>
          </w:p>
          <w:p w:rsidR="00D22209" w:rsidRPr="00E3331A" w:rsidRDefault="00D22209" w:rsidP="00D22209">
            <w:pPr>
              <w:pStyle w:val="Tabletext1"/>
            </w:pPr>
            <w:r w:rsidRPr="00E3331A">
              <w:t xml:space="preserve">C: 4.8 ± 8.35 </w:t>
            </w:r>
          </w:p>
          <w:p w:rsidR="00D22209" w:rsidRPr="00E3331A" w:rsidRDefault="00D22209" w:rsidP="00D22209">
            <w:pPr>
              <w:pStyle w:val="Tabletext1"/>
            </w:pPr>
            <w:r w:rsidRPr="00E3331A">
              <w:t>P &lt; 0.002</w:t>
            </w:r>
          </w:p>
        </w:tc>
        <w:tc>
          <w:tcPr>
            <w:tcW w:w="661" w:type="pct"/>
            <w:shd w:val="clear" w:color="auto" w:fill="auto"/>
          </w:tcPr>
          <w:p w:rsidR="00D22209" w:rsidRPr="00E3331A" w:rsidRDefault="00D22209" w:rsidP="00D22209">
            <w:pPr>
              <w:pStyle w:val="Tabletext1"/>
            </w:pPr>
            <w:r w:rsidRPr="00E3331A">
              <w:t>I: 6.3 kg ± 2.41</w:t>
            </w:r>
          </w:p>
          <w:p w:rsidR="00D22209" w:rsidRPr="00E3331A" w:rsidRDefault="00D22209" w:rsidP="00D22209">
            <w:pPr>
              <w:pStyle w:val="Tabletext1"/>
            </w:pPr>
            <w:r w:rsidRPr="00E3331A">
              <w:t>C: -0.8 kg ± 2.69</w:t>
            </w:r>
          </w:p>
          <w:p w:rsidR="00D22209" w:rsidRPr="00E3331A" w:rsidRDefault="00D22209" w:rsidP="00D22209">
            <w:pPr>
              <w:pStyle w:val="Tabletext1"/>
            </w:pPr>
            <w:r w:rsidRPr="00E3331A">
              <w:t>P &lt; 0.005</w:t>
            </w:r>
          </w:p>
        </w:tc>
        <w:tc>
          <w:tcPr>
            <w:tcW w:w="559" w:type="pct"/>
            <w:shd w:val="clear" w:color="auto" w:fill="auto"/>
          </w:tcPr>
          <w:p w:rsidR="00D22209" w:rsidRPr="00E3331A" w:rsidRDefault="00D22209" w:rsidP="00D22209">
            <w:pPr>
              <w:pStyle w:val="Tabletext1"/>
            </w:pPr>
            <w:r w:rsidRPr="00E3331A">
              <w:t>I: 19/30</w:t>
            </w:r>
          </w:p>
          <w:p w:rsidR="00D22209" w:rsidRPr="00E3331A" w:rsidRDefault="00D22209" w:rsidP="00D22209">
            <w:pPr>
              <w:pStyle w:val="Tabletext1"/>
            </w:pPr>
            <w:r w:rsidRPr="00E3331A">
              <w:t>C: 5/30</w:t>
            </w:r>
          </w:p>
          <w:p w:rsidR="00D22209" w:rsidRPr="00E3331A" w:rsidRDefault="00D22209" w:rsidP="00D22209">
            <w:pPr>
              <w:pStyle w:val="Tabletext1"/>
            </w:pPr>
            <w:r w:rsidRPr="00E3331A">
              <w:t>P = NR</w:t>
            </w:r>
          </w:p>
        </w:tc>
        <w:tc>
          <w:tcPr>
            <w:tcW w:w="1343" w:type="pct"/>
            <w:shd w:val="clear" w:color="auto" w:fill="auto"/>
          </w:tcPr>
          <w:p w:rsidR="00D22209" w:rsidRPr="00E3331A" w:rsidRDefault="00D22209" w:rsidP="00D22209">
            <w:pPr>
              <w:pStyle w:val="Tabletext1"/>
            </w:pPr>
            <w:r w:rsidRPr="00E3331A">
              <w:t>Clinical grade</w:t>
            </w:r>
          </w:p>
          <w:p w:rsidR="00D22209" w:rsidRPr="00E3331A" w:rsidRDefault="00D22209" w:rsidP="00D22209">
            <w:pPr>
              <w:pStyle w:val="Tabletext1"/>
            </w:pPr>
            <w:r w:rsidRPr="00E3331A">
              <w:t>I: -1 ± 0.42,</w:t>
            </w:r>
            <w:r w:rsidR="00345C95" w:rsidRPr="00E3331A">
              <w:t xml:space="preserve"> </w:t>
            </w:r>
            <w:r w:rsidRPr="00E3331A">
              <w:t>C: 0.4 ± 0.425, P &lt; 0.002</w:t>
            </w:r>
          </w:p>
        </w:tc>
      </w:tr>
      <w:tr w:rsidR="00281EC2" w:rsidRPr="00E3331A" w:rsidTr="0007007F">
        <w:tc>
          <w:tcPr>
            <w:tcW w:w="458" w:type="pct"/>
            <w:shd w:val="clear" w:color="auto" w:fill="auto"/>
          </w:tcPr>
          <w:p w:rsidR="00D22209" w:rsidRPr="00E3331A" w:rsidRDefault="007C4CBB" w:rsidP="00D22209">
            <w:pPr>
              <w:pStyle w:val="Tabletext1"/>
            </w:pPr>
            <w:r w:rsidRPr="00E3331A">
              <w:t>Hughes et al. (2008)</w:t>
            </w:r>
          </w:p>
        </w:tc>
        <w:tc>
          <w:tcPr>
            <w:tcW w:w="363" w:type="pct"/>
            <w:shd w:val="clear" w:color="auto" w:fill="auto"/>
          </w:tcPr>
          <w:p w:rsidR="00D22209" w:rsidRPr="00E3331A" w:rsidRDefault="00D22209" w:rsidP="00D22209">
            <w:pPr>
              <w:pStyle w:val="Tabletext1"/>
            </w:pPr>
            <w:r w:rsidRPr="00E3331A">
              <w:t>Up to 24 weeks</w:t>
            </w:r>
          </w:p>
          <w:p w:rsidR="00D22209" w:rsidRPr="00E3331A" w:rsidRDefault="00D22209" w:rsidP="00D22209">
            <w:pPr>
              <w:pStyle w:val="Tabletext1"/>
            </w:pPr>
            <w:r w:rsidRPr="00E3331A">
              <w:t>I: 59</w:t>
            </w:r>
          </w:p>
          <w:p w:rsidR="00D22209" w:rsidRPr="00E3331A" w:rsidRDefault="00D22209" w:rsidP="00D22209">
            <w:pPr>
              <w:pStyle w:val="Tabletext1"/>
            </w:pPr>
            <w:r w:rsidRPr="00E3331A">
              <w:t>C: 58</w:t>
            </w:r>
          </w:p>
        </w:tc>
        <w:tc>
          <w:tcPr>
            <w:tcW w:w="549" w:type="pct"/>
            <w:shd w:val="clear" w:color="auto" w:fill="auto"/>
          </w:tcPr>
          <w:p w:rsidR="00D22209" w:rsidRPr="00E3331A" w:rsidRDefault="00D22209" w:rsidP="00D22209">
            <w:pPr>
              <w:pStyle w:val="Tabletext1"/>
            </w:pPr>
            <w:r w:rsidRPr="00E3331A">
              <w:t>I: -1.1 ± 1.8</w:t>
            </w:r>
          </w:p>
          <w:p w:rsidR="00D22209" w:rsidRPr="00E3331A" w:rsidRDefault="00D22209" w:rsidP="00D22209">
            <w:pPr>
              <w:pStyle w:val="Tabletext1"/>
            </w:pPr>
            <w:r w:rsidRPr="00E3331A">
              <w:t>C: -0.3 ± 1.3</w:t>
            </w:r>
          </w:p>
          <w:p w:rsidR="00D22209" w:rsidRPr="00E3331A" w:rsidRDefault="00D22209" w:rsidP="00D22209">
            <w:pPr>
              <w:pStyle w:val="Tabletext1"/>
            </w:pPr>
            <w:r w:rsidRPr="00E3331A">
              <w:t>P = 0.01</w:t>
            </w:r>
          </w:p>
        </w:tc>
        <w:tc>
          <w:tcPr>
            <w:tcW w:w="508" w:type="pct"/>
            <w:shd w:val="clear" w:color="auto" w:fill="auto"/>
          </w:tcPr>
          <w:p w:rsidR="00D22209" w:rsidRPr="00E3331A" w:rsidRDefault="00D22209" w:rsidP="00D22209">
            <w:pPr>
              <w:pStyle w:val="Tabletext1"/>
            </w:pPr>
            <w:r w:rsidRPr="00E3331A">
              <w:t>I: 3.3 ± 5.6</w:t>
            </w:r>
          </w:p>
          <w:p w:rsidR="00D22209" w:rsidRPr="00E3331A" w:rsidRDefault="00D22209" w:rsidP="00D22209">
            <w:pPr>
              <w:pStyle w:val="Tabletext1"/>
            </w:pPr>
            <w:r w:rsidRPr="00E3331A">
              <w:t>C: 0.2 ± 4.5</w:t>
            </w:r>
          </w:p>
          <w:p w:rsidR="00D22209" w:rsidRPr="00E3331A" w:rsidRDefault="00D22209" w:rsidP="00D22209">
            <w:pPr>
              <w:pStyle w:val="Tabletext1"/>
            </w:pPr>
            <w:r w:rsidRPr="00E3331A">
              <w:t>P = 0.001</w:t>
            </w:r>
          </w:p>
        </w:tc>
        <w:tc>
          <w:tcPr>
            <w:tcW w:w="559" w:type="pct"/>
            <w:shd w:val="clear" w:color="auto" w:fill="auto"/>
          </w:tcPr>
          <w:p w:rsidR="00D22209" w:rsidRPr="00E3331A" w:rsidRDefault="00D22209" w:rsidP="00D22209">
            <w:pPr>
              <w:pStyle w:val="Tabletext1"/>
            </w:pPr>
          </w:p>
        </w:tc>
        <w:tc>
          <w:tcPr>
            <w:tcW w:w="661" w:type="pct"/>
            <w:shd w:val="clear" w:color="auto" w:fill="auto"/>
          </w:tcPr>
          <w:p w:rsidR="00D22209" w:rsidRPr="00E3331A" w:rsidRDefault="00D22209" w:rsidP="00D22209">
            <w:pPr>
              <w:pStyle w:val="Tabletext1"/>
            </w:pPr>
            <w:r w:rsidRPr="00E3331A">
              <w:t xml:space="preserve">I: 13.2 kPa ± 19.3 </w:t>
            </w:r>
          </w:p>
          <w:p w:rsidR="00D22209" w:rsidRPr="00E3331A" w:rsidRDefault="00D22209" w:rsidP="00D22209">
            <w:pPr>
              <w:pStyle w:val="Tabletext1"/>
            </w:pPr>
            <w:r w:rsidRPr="00E3331A">
              <w:t>C: 1.5 kPa ± 15.6</w:t>
            </w:r>
          </w:p>
          <w:p w:rsidR="00D22209" w:rsidRPr="00E3331A" w:rsidRDefault="00D22209" w:rsidP="00D22209">
            <w:pPr>
              <w:pStyle w:val="Tabletext1"/>
            </w:pPr>
            <w:r w:rsidRPr="00E3331A">
              <w:t>P &lt; 0.001</w:t>
            </w:r>
          </w:p>
        </w:tc>
        <w:tc>
          <w:tcPr>
            <w:tcW w:w="559" w:type="pct"/>
            <w:shd w:val="clear" w:color="auto" w:fill="auto"/>
          </w:tcPr>
          <w:p w:rsidR="00D22209" w:rsidRPr="00E3331A" w:rsidRDefault="00D22209" w:rsidP="00D22209">
            <w:pPr>
              <w:pStyle w:val="Tabletext1"/>
            </w:pPr>
            <w:r w:rsidRPr="00E3331A">
              <w:t>I: 32/59</w:t>
            </w:r>
          </w:p>
          <w:p w:rsidR="00D22209" w:rsidRPr="00E3331A" w:rsidRDefault="00D22209" w:rsidP="00D22209">
            <w:pPr>
              <w:pStyle w:val="Tabletext1"/>
            </w:pPr>
            <w:r w:rsidRPr="00E3331A">
              <w:t>C: 12/58</w:t>
            </w:r>
          </w:p>
          <w:p w:rsidR="00D22209" w:rsidRPr="00E3331A" w:rsidRDefault="00D22209" w:rsidP="00D22209">
            <w:pPr>
              <w:pStyle w:val="Tabletext1"/>
            </w:pPr>
            <w:r w:rsidRPr="00E3331A">
              <w:t>P = 0.0002</w:t>
            </w:r>
          </w:p>
        </w:tc>
        <w:tc>
          <w:tcPr>
            <w:tcW w:w="1343" w:type="pct"/>
            <w:shd w:val="clear" w:color="auto" w:fill="auto"/>
          </w:tcPr>
          <w:p w:rsidR="00D22209" w:rsidRPr="00E3331A" w:rsidRDefault="00D22209" w:rsidP="00D22209">
            <w:pPr>
              <w:pStyle w:val="Tabletext1"/>
            </w:pPr>
            <w:r w:rsidRPr="00E3331A">
              <w:t>ISS:</w:t>
            </w:r>
          </w:p>
          <w:p w:rsidR="00D22209" w:rsidRPr="00E3331A" w:rsidRDefault="00D22209" w:rsidP="00D22209">
            <w:pPr>
              <w:pStyle w:val="Tabletext1"/>
            </w:pPr>
            <w:r w:rsidRPr="00E3331A">
              <w:t>I: -1.2 ± 3.4, C: 0.2 ± 3.9, P = 0.021</w:t>
            </w:r>
          </w:p>
        </w:tc>
      </w:tr>
      <w:tr w:rsidR="00281EC2" w:rsidRPr="00E3331A" w:rsidTr="0007007F">
        <w:tc>
          <w:tcPr>
            <w:tcW w:w="458" w:type="pct"/>
            <w:shd w:val="clear" w:color="auto" w:fill="auto"/>
          </w:tcPr>
          <w:p w:rsidR="00D22209" w:rsidRPr="00E3331A" w:rsidRDefault="00D22209" w:rsidP="00D22209">
            <w:pPr>
              <w:pStyle w:val="Tabletext1"/>
            </w:pPr>
            <w:r w:rsidRPr="00E3331A">
              <w:t xml:space="preserve">Mendell </w:t>
            </w:r>
            <w:r w:rsidR="00983BA7">
              <w:t xml:space="preserve">et al. </w:t>
            </w:r>
            <w:r w:rsidRPr="00E3331A">
              <w:t>(2001)</w:t>
            </w:r>
          </w:p>
        </w:tc>
        <w:tc>
          <w:tcPr>
            <w:tcW w:w="363" w:type="pct"/>
            <w:shd w:val="clear" w:color="auto" w:fill="auto"/>
          </w:tcPr>
          <w:p w:rsidR="00D22209" w:rsidRPr="00E3331A" w:rsidRDefault="00D22209" w:rsidP="00D22209">
            <w:pPr>
              <w:pStyle w:val="Tabletext1"/>
            </w:pPr>
            <w:r w:rsidRPr="00E3331A">
              <w:t>6 weeks</w:t>
            </w:r>
          </w:p>
          <w:p w:rsidR="00D22209" w:rsidRPr="00E3331A" w:rsidRDefault="00D22209" w:rsidP="00D22209">
            <w:pPr>
              <w:pStyle w:val="Tabletext1"/>
            </w:pPr>
            <w:r w:rsidRPr="00E3331A">
              <w:t>I: 29</w:t>
            </w:r>
          </w:p>
          <w:p w:rsidR="00D22209" w:rsidRPr="00E3331A" w:rsidRDefault="00D22209" w:rsidP="00D22209">
            <w:pPr>
              <w:pStyle w:val="Tabletext1"/>
            </w:pPr>
            <w:r w:rsidRPr="00E3331A">
              <w:t>C: 21</w:t>
            </w:r>
          </w:p>
        </w:tc>
        <w:tc>
          <w:tcPr>
            <w:tcW w:w="549" w:type="pct"/>
            <w:shd w:val="clear" w:color="auto" w:fill="auto"/>
          </w:tcPr>
          <w:p w:rsidR="00D22209" w:rsidRPr="00E3331A" w:rsidRDefault="00D22209" w:rsidP="00D22209">
            <w:pPr>
              <w:pStyle w:val="Tabletext1"/>
            </w:pPr>
          </w:p>
        </w:tc>
        <w:tc>
          <w:tcPr>
            <w:tcW w:w="508" w:type="pct"/>
            <w:shd w:val="clear" w:color="auto" w:fill="auto"/>
          </w:tcPr>
          <w:p w:rsidR="00D22209" w:rsidRPr="00E3331A" w:rsidRDefault="00D22209" w:rsidP="00D22209">
            <w:pPr>
              <w:pStyle w:val="Tabletext1"/>
            </w:pPr>
          </w:p>
        </w:tc>
        <w:tc>
          <w:tcPr>
            <w:tcW w:w="559" w:type="pct"/>
            <w:shd w:val="clear" w:color="auto" w:fill="auto"/>
          </w:tcPr>
          <w:p w:rsidR="00D22209" w:rsidRPr="00E3331A" w:rsidRDefault="00D22209" w:rsidP="00D22209">
            <w:pPr>
              <w:pStyle w:val="Tabletext1"/>
            </w:pPr>
          </w:p>
        </w:tc>
        <w:tc>
          <w:tcPr>
            <w:tcW w:w="661" w:type="pct"/>
            <w:shd w:val="clear" w:color="auto" w:fill="auto"/>
          </w:tcPr>
          <w:p w:rsidR="00D22209" w:rsidRPr="00E3331A" w:rsidRDefault="00D22209" w:rsidP="00D22209">
            <w:pPr>
              <w:pStyle w:val="Tabletext1"/>
            </w:pPr>
          </w:p>
        </w:tc>
        <w:tc>
          <w:tcPr>
            <w:tcW w:w="559" w:type="pct"/>
            <w:shd w:val="clear" w:color="auto" w:fill="auto"/>
          </w:tcPr>
          <w:p w:rsidR="00D22209" w:rsidRPr="00E3331A" w:rsidRDefault="00D22209" w:rsidP="00D22209">
            <w:pPr>
              <w:pStyle w:val="Tabletext1"/>
            </w:pPr>
            <w:r w:rsidRPr="00E3331A">
              <w:t>I: 11/29</w:t>
            </w:r>
          </w:p>
          <w:p w:rsidR="00D22209" w:rsidRPr="00E3331A" w:rsidRDefault="00D22209" w:rsidP="00D22209">
            <w:pPr>
              <w:pStyle w:val="Tabletext1"/>
            </w:pPr>
            <w:r w:rsidRPr="00E3331A">
              <w:t>C: 2/21</w:t>
            </w:r>
          </w:p>
          <w:p w:rsidR="00D22209" w:rsidRPr="00E3331A" w:rsidRDefault="00D22209" w:rsidP="00D22209">
            <w:pPr>
              <w:pStyle w:val="Tabletext1"/>
            </w:pPr>
            <w:r w:rsidRPr="00E3331A">
              <w:t>P = 0.019</w:t>
            </w:r>
          </w:p>
        </w:tc>
        <w:tc>
          <w:tcPr>
            <w:tcW w:w="1343" w:type="pct"/>
            <w:shd w:val="clear" w:color="auto" w:fill="auto"/>
          </w:tcPr>
          <w:p w:rsidR="00D22209" w:rsidRPr="00E3331A" w:rsidRDefault="00D22209" w:rsidP="00D22209">
            <w:pPr>
              <w:pStyle w:val="Tabletext1"/>
            </w:pPr>
            <w:r w:rsidRPr="00E3331A">
              <w:t>AMS</w:t>
            </w:r>
          </w:p>
          <w:p w:rsidR="00D22209" w:rsidRPr="00E3331A" w:rsidRDefault="00D22209" w:rsidP="00D22209">
            <w:pPr>
              <w:pStyle w:val="Tabletext1"/>
            </w:pPr>
            <w:r w:rsidRPr="00E3331A">
              <w:t>I: 0.63 ± 0.86</w:t>
            </w:r>
          </w:p>
          <w:p w:rsidR="00D22209" w:rsidRPr="00E3331A" w:rsidRDefault="00D22209" w:rsidP="00D22209">
            <w:pPr>
              <w:pStyle w:val="Tabletext1"/>
            </w:pPr>
            <w:r w:rsidRPr="00E3331A">
              <w:t>C: -0.1 ± 0.46</w:t>
            </w:r>
          </w:p>
          <w:p w:rsidR="00D22209" w:rsidRPr="00E3331A" w:rsidRDefault="00D22209" w:rsidP="00D22209">
            <w:pPr>
              <w:pStyle w:val="Tabletext1"/>
            </w:pPr>
            <w:r w:rsidRPr="00E3331A">
              <w:t>P = 0.006</w:t>
            </w:r>
          </w:p>
        </w:tc>
      </w:tr>
      <w:tr w:rsidR="00281EC2" w:rsidRPr="00E3331A" w:rsidTr="0007007F">
        <w:tc>
          <w:tcPr>
            <w:tcW w:w="458" w:type="pct"/>
            <w:shd w:val="clear" w:color="auto" w:fill="auto"/>
          </w:tcPr>
          <w:p w:rsidR="00D22209" w:rsidRPr="00E3331A" w:rsidRDefault="00D22209" w:rsidP="00D22209">
            <w:pPr>
              <w:pStyle w:val="Tabletext1"/>
            </w:pPr>
            <w:r w:rsidRPr="00E3331A">
              <w:t>Vermeule</w:t>
            </w:r>
            <w:r w:rsidR="00D1183B" w:rsidRPr="00E3331A">
              <w:t>n</w:t>
            </w:r>
            <w:r w:rsidRPr="00E3331A">
              <w:t xml:space="preserve"> </w:t>
            </w:r>
            <w:r w:rsidR="00983BA7">
              <w:t xml:space="preserve">et al. </w:t>
            </w:r>
            <w:r w:rsidRPr="00E3331A">
              <w:t>(1993)</w:t>
            </w:r>
          </w:p>
        </w:tc>
        <w:tc>
          <w:tcPr>
            <w:tcW w:w="363" w:type="pct"/>
            <w:shd w:val="clear" w:color="auto" w:fill="auto"/>
          </w:tcPr>
          <w:p w:rsidR="00D22209" w:rsidRPr="00E3331A" w:rsidRDefault="00D22209" w:rsidP="00D22209">
            <w:pPr>
              <w:pStyle w:val="Tabletext1"/>
            </w:pPr>
            <w:r w:rsidRPr="00E3331A">
              <w:t>3 weeks</w:t>
            </w:r>
          </w:p>
          <w:p w:rsidR="00D22209" w:rsidRPr="00E3331A" w:rsidRDefault="00D22209" w:rsidP="00D22209">
            <w:pPr>
              <w:pStyle w:val="Tabletext1"/>
            </w:pPr>
            <w:r w:rsidRPr="00E3331A">
              <w:t>I: 15</w:t>
            </w:r>
          </w:p>
          <w:p w:rsidR="00D22209" w:rsidRPr="00E3331A" w:rsidRDefault="00D22209" w:rsidP="00D22209">
            <w:pPr>
              <w:pStyle w:val="Tabletext1"/>
            </w:pPr>
            <w:r w:rsidRPr="00E3331A">
              <w:t>C: 13</w:t>
            </w:r>
          </w:p>
        </w:tc>
        <w:tc>
          <w:tcPr>
            <w:tcW w:w="549" w:type="pct"/>
            <w:shd w:val="clear" w:color="auto" w:fill="auto"/>
          </w:tcPr>
          <w:p w:rsidR="00D22209" w:rsidRPr="00E3331A" w:rsidRDefault="00D22209" w:rsidP="00D22209">
            <w:pPr>
              <w:pStyle w:val="Tabletext1"/>
            </w:pPr>
          </w:p>
        </w:tc>
        <w:tc>
          <w:tcPr>
            <w:tcW w:w="508" w:type="pct"/>
            <w:shd w:val="clear" w:color="auto" w:fill="auto"/>
          </w:tcPr>
          <w:p w:rsidR="00D22209" w:rsidRPr="00E3331A" w:rsidRDefault="00D22209" w:rsidP="00D22209">
            <w:pPr>
              <w:pStyle w:val="Tabletext1"/>
            </w:pPr>
            <w:r w:rsidRPr="00E3331A">
              <w:t>I: 1.6 ± 3.04</w:t>
            </w:r>
          </w:p>
          <w:p w:rsidR="00D22209" w:rsidRPr="00E3331A" w:rsidRDefault="00D22209" w:rsidP="00D22209">
            <w:pPr>
              <w:pStyle w:val="Tabletext1"/>
            </w:pPr>
            <w:r w:rsidRPr="00E3331A">
              <w:t>C: 1.31 ± 3.4</w:t>
            </w:r>
          </w:p>
          <w:p w:rsidR="00D22209" w:rsidRPr="00E3331A" w:rsidRDefault="00D22209" w:rsidP="00D22209">
            <w:pPr>
              <w:pStyle w:val="Tabletext1"/>
            </w:pPr>
            <w:r w:rsidRPr="00E3331A">
              <w:t>P = NR</w:t>
            </w:r>
          </w:p>
        </w:tc>
        <w:tc>
          <w:tcPr>
            <w:tcW w:w="559" w:type="pct"/>
            <w:shd w:val="clear" w:color="auto" w:fill="auto"/>
          </w:tcPr>
          <w:p w:rsidR="00D22209" w:rsidRPr="00E3331A" w:rsidRDefault="00D22209" w:rsidP="00D22209">
            <w:pPr>
              <w:pStyle w:val="Tabletext1"/>
            </w:pPr>
          </w:p>
        </w:tc>
        <w:tc>
          <w:tcPr>
            <w:tcW w:w="661" w:type="pct"/>
            <w:shd w:val="clear" w:color="auto" w:fill="auto"/>
          </w:tcPr>
          <w:p w:rsidR="00D22209" w:rsidRPr="00E3331A" w:rsidRDefault="00D22209" w:rsidP="00D22209">
            <w:pPr>
              <w:pStyle w:val="Tabletext1"/>
            </w:pPr>
          </w:p>
        </w:tc>
        <w:tc>
          <w:tcPr>
            <w:tcW w:w="559" w:type="pct"/>
            <w:shd w:val="clear" w:color="auto" w:fill="auto"/>
          </w:tcPr>
          <w:p w:rsidR="00D22209" w:rsidRPr="00E3331A" w:rsidRDefault="00D22209" w:rsidP="00D22209">
            <w:pPr>
              <w:pStyle w:val="Tabletext1"/>
            </w:pPr>
            <w:r w:rsidRPr="00E3331A">
              <w:t>I: 2/15</w:t>
            </w:r>
          </w:p>
          <w:p w:rsidR="00D22209" w:rsidRPr="00E3331A" w:rsidRDefault="00D22209" w:rsidP="00D22209">
            <w:pPr>
              <w:pStyle w:val="Tabletext1"/>
            </w:pPr>
            <w:r w:rsidRPr="00E3331A">
              <w:t>C: 3/13</w:t>
            </w:r>
          </w:p>
          <w:p w:rsidR="00D22209" w:rsidRPr="00E3331A" w:rsidRDefault="00D22209" w:rsidP="00D22209">
            <w:pPr>
              <w:pStyle w:val="Tabletext1"/>
            </w:pPr>
            <w:r w:rsidRPr="00E3331A">
              <w:t>P = NR</w:t>
            </w:r>
          </w:p>
        </w:tc>
        <w:tc>
          <w:tcPr>
            <w:tcW w:w="1343" w:type="pct"/>
            <w:shd w:val="clear" w:color="auto" w:fill="auto"/>
          </w:tcPr>
          <w:p w:rsidR="00D22209" w:rsidRPr="00E3331A" w:rsidRDefault="00D22209" w:rsidP="00D22209">
            <w:pPr>
              <w:pStyle w:val="Tabletext1"/>
            </w:pPr>
          </w:p>
        </w:tc>
      </w:tr>
      <w:tr w:rsidR="0059371B" w:rsidRPr="00E3331A" w:rsidTr="0059371B">
        <w:tc>
          <w:tcPr>
            <w:tcW w:w="5000" w:type="pct"/>
            <w:gridSpan w:val="8"/>
            <w:shd w:val="clear" w:color="auto" w:fill="auto"/>
          </w:tcPr>
          <w:p w:rsidR="0059371B" w:rsidRPr="00E3331A" w:rsidRDefault="0059371B" w:rsidP="00D22209">
            <w:pPr>
              <w:pStyle w:val="Tabletext1"/>
              <w:rPr>
                <w:b/>
              </w:rPr>
            </w:pPr>
            <w:r w:rsidRPr="00E3331A">
              <w:rPr>
                <w:b/>
              </w:rPr>
              <w:t>Ig vs St</w:t>
            </w:r>
          </w:p>
        </w:tc>
      </w:tr>
      <w:tr w:rsidR="00281EC2" w:rsidRPr="00E3331A" w:rsidTr="0007007F">
        <w:tc>
          <w:tcPr>
            <w:tcW w:w="458" w:type="pct"/>
            <w:shd w:val="clear" w:color="auto" w:fill="auto"/>
          </w:tcPr>
          <w:p w:rsidR="00D22209" w:rsidRPr="00E3331A" w:rsidRDefault="00D22209" w:rsidP="00D22209">
            <w:pPr>
              <w:pStyle w:val="Tabletext1"/>
            </w:pPr>
            <w:r w:rsidRPr="00E3331A">
              <w:t>Hughes et al. (2001)</w:t>
            </w:r>
          </w:p>
        </w:tc>
        <w:tc>
          <w:tcPr>
            <w:tcW w:w="363" w:type="pct"/>
            <w:shd w:val="clear" w:color="auto" w:fill="auto"/>
          </w:tcPr>
          <w:p w:rsidR="00D22209" w:rsidRPr="00E3331A" w:rsidRDefault="00D22209" w:rsidP="00D22209">
            <w:pPr>
              <w:pStyle w:val="Tabletext1"/>
            </w:pPr>
            <w:r w:rsidRPr="00E3331A">
              <w:t>6 weeks</w:t>
            </w:r>
          </w:p>
          <w:p w:rsidR="00D22209" w:rsidRPr="00E3331A" w:rsidRDefault="00D22209" w:rsidP="00D22209">
            <w:pPr>
              <w:pStyle w:val="Tabletext1"/>
            </w:pPr>
            <w:r w:rsidRPr="00E3331A">
              <w:t>I: 21</w:t>
            </w:r>
          </w:p>
          <w:p w:rsidR="00D22209" w:rsidRPr="00E3331A" w:rsidRDefault="00D22209" w:rsidP="00D22209">
            <w:pPr>
              <w:pStyle w:val="Tabletext1"/>
            </w:pPr>
            <w:r w:rsidRPr="00E3331A">
              <w:t>C: 21</w:t>
            </w:r>
          </w:p>
        </w:tc>
        <w:tc>
          <w:tcPr>
            <w:tcW w:w="549" w:type="pct"/>
            <w:shd w:val="clear" w:color="auto" w:fill="auto"/>
          </w:tcPr>
          <w:p w:rsidR="00D22209" w:rsidRPr="00E3331A" w:rsidRDefault="00D22209" w:rsidP="00D22209">
            <w:pPr>
              <w:pStyle w:val="Tabletext1"/>
            </w:pPr>
            <w:r w:rsidRPr="00E3331A">
              <w:t>I: -0.71 ± 1.19</w:t>
            </w:r>
          </w:p>
          <w:p w:rsidR="00D22209" w:rsidRPr="00E3331A" w:rsidRDefault="00D22209" w:rsidP="00D22209">
            <w:pPr>
              <w:pStyle w:val="Tabletext1"/>
            </w:pPr>
            <w:r w:rsidRPr="00E3331A">
              <w:t>C: -0.62 ± 1.52</w:t>
            </w:r>
          </w:p>
          <w:p w:rsidR="00D22209" w:rsidRPr="00E3331A" w:rsidRDefault="00D22209" w:rsidP="00D22209">
            <w:pPr>
              <w:pStyle w:val="Tabletext1"/>
            </w:pPr>
            <w:r w:rsidRPr="00E3331A">
              <w:t>P = 0.59</w:t>
            </w:r>
          </w:p>
        </w:tc>
        <w:tc>
          <w:tcPr>
            <w:tcW w:w="508" w:type="pct"/>
            <w:shd w:val="clear" w:color="auto" w:fill="auto"/>
          </w:tcPr>
          <w:p w:rsidR="00D22209" w:rsidRPr="00E3331A" w:rsidRDefault="00D22209" w:rsidP="00D22209">
            <w:pPr>
              <w:pStyle w:val="Tabletext1"/>
            </w:pPr>
          </w:p>
        </w:tc>
        <w:tc>
          <w:tcPr>
            <w:tcW w:w="559" w:type="pct"/>
            <w:shd w:val="clear" w:color="auto" w:fill="auto"/>
          </w:tcPr>
          <w:p w:rsidR="00D22209" w:rsidRPr="00E3331A" w:rsidRDefault="00D22209" w:rsidP="00D22209">
            <w:pPr>
              <w:pStyle w:val="Tabletext1"/>
            </w:pPr>
          </w:p>
        </w:tc>
        <w:tc>
          <w:tcPr>
            <w:tcW w:w="661" w:type="pct"/>
            <w:shd w:val="clear" w:color="auto" w:fill="auto"/>
          </w:tcPr>
          <w:p w:rsidR="00D22209" w:rsidRPr="00E3331A" w:rsidRDefault="00D22209" w:rsidP="00D22209">
            <w:pPr>
              <w:pStyle w:val="Tabletext1"/>
            </w:pPr>
          </w:p>
        </w:tc>
        <w:tc>
          <w:tcPr>
            <w:tcW w:w="559" w:type="pct"/>
            <w:shd w:val="clear" w:color="auto" w:fill="auto"/>
          </w:tcPr>
          <w:p w:rsidR="00D22209" w:rsidRPr="00E3331A" w:rsidRDefault="00D22209" w:rsidP="00D22209">
            <w:pPr>
              <w:pStyle w:val="Tabletext1"/>
            </w:pPr>
          </w:p>
        </w:tc>
        <w:tc>
          <w:tcPr>
            <w:tcW w:w="1343" w:type="pct"/>
            <w:shd w:val="clear" w:color="auto" w:fill="auto"/>
          </w:tcPr>
          <w:p w:rsidR="00D22209" w:rsidRPr="00E3331A" w:rsidRDefault="00D22209" w:rsidP="00D22209">
            <w:pPr>
              <w:pStyle w:val="Tabletext1"/>
            </w:pPr>
            <w:r w:rsidRPr="00E3331A">
              <w:t>10MWS (m/s)</w:t>
            </w:r>
          </w:p>
          <w:p w:rsidR="00D22209" w:rsidRPr="00E3331A" w:rsidRDefault="00D22209" w:rsidP="00D22209">
            <w:pPr>
              <w:pStyle w:val="Tabletext1"/>
            </w:pPr>
            <w:r w:rsidRPr="00E3331A">
              <w:t>I: 0.01 ± 0.01, C: 0.01 ± 0.02, P = 0.75</w:t>
            </w:r>
          </w:p>
          <w:p w:rsidR="00D22209" w:rsidRPr="00E3331A" w:rsidRDefault="00D22209" w:rsidP="00D22209">
            <w:pPr>
              <w:pStyle w:val="Tabletext1"/>
            </w:pPr>
            <w:r w:rsidRPr="00E3331A">
              <w:t>9HPB (s)</w:t>
            </w:r>
            <w:r w:rsidR="00897EDF" w:rsidRPr="00E3331A">
              <w:t>Clinically meaning</w:t>
            </w:r>
          </w:p>
          <w:p w:rsidR="00D22209" w:rsidRPr="00E3331A" w:rsidRDefault="00D22209" w:rsidP="00D22209">
            <w:pPr>
              <w:pStyle w:val="Tabletext1"/>
            </w:pPr>
            <w:r w:rsidRPr="00E3331A">
              <w:t>-1.64 ± 3.87, C: -2.4 ± 6.45, P = 0.75</w:t>
            </w:r>
          </w:p>
        </w:tc>
      </w:tr>
      <w:tr w:rsidR="00281EC2" w:rsidRPr="00E3331A" w:rsidTr="0007007F">
        <w:tc>
          <w:tcPr>
            <w:tcW w:w="458" w:type="pct"/>
            <w:shd w:val="clear" w:color="auto" w:fill="auto"/>
          </w:tcPr>
          <w:p w:rsidR="00D22209" w:rsidRPr="00E3331A" w:rsidRDefault="00D22209" w:rsidP="00D22209">
            <w:pPr>
              <w:pStyle w:val="Tabletext1"/>
            </w:pPr>
            <w:r w:rsidRPr="00E3331A">
              <w:t>Nobile-Orazio et al. (2012)</w:t>
            </w:r>
          </w:p>
        </w:tc>
        <w:tc>
          <w:tcPr>
            <w:tcW w:w="363" w:type="pct"/>
            <w:shd w:val="clear" w:color="auto" w:fill="auto"/>
          </w:tcPr>
          <w:p w:rsidR="00D22209" w:rsidRPr="00E3331A" w:rsidRDefault="00D22209" w:rsidP="00D22209">
            <w:pPr>
              <w:pStyle w:val="Tabletext1"/>
            </w:pPr>
            <w:r w:rsidRPr="00E3331A">
              <w:t>26 weeks</w:t>
            </w:r>
          </w:p>
          <w:p w:rsidR="00D22209" w:rsidRPr="00E3331A" w:rsidRDefault="00D22209" w:rsidP="00D22209">
            <w:pPr>
              <w:pStyle w:val="Tabletext1"/>
            </w:pPr>
            <w:r w:rsidRPr="00E3331A">
              <w:t>I: 24</w:t>
            </w:r>
          </w:p>
          <w:p w:rsidR="00D22209" w:rsidRPr="00E3331A" w:rsidRDefault="00D22209" w:rsidP="00D22209">
            <w:pPr>
              <w:pStyle w:val="Tabletext1"/>
            </w:pPr>
            <w:r w:rsidRPr="00E3331A">
              <w:t>C: 21</w:t>
            </w:r>
          </w:p>
        </w:tc>
        <w:tc>
          <w:tcPr>
            <w:tcW w:w="549" w:type="pct"/>
            <w:shd w:val="clear" w:color="auto" w:fill="auto"/>
          </w:tcPr>
          <w:p w:rsidR="00D22209" w:rsidRPr="00E3331A" w:rsidRDefault="00D22209" w:rsidP="00D22209">
            <w:pPr>
              <w:pStyle w:val="Tabletext1"/>
            </w:pPr>
          </w:p>
        </w:tc>
        <w:tc>
          <w:tcPr>
            <w:tcW w:w="508" w:type="pct"/>
            <w:shd w:val="clear" w:color="auto" w:fill="auto"/>
          </w:tcPr>
          <w:p w:rsidR="00D22209" w:rsidRPr="00E3331A" w:rsidRDefault="00D22209" w:rsidP="00D22209">
            <w:pPr>
              <w:pStyle w:val="Tabletext1"/>
            </w:pPr>
            <w:r w:rsidRPr="00E3331A">
              <w:t>I: 4.7 ± 7.69</w:t>
            </w:r>
          </w:p>
          <w:p w:rsidR="00D22209" w:rsidRPr="00E3331A" w:rsidRDefault="00D22209" w:rsidP="00D22209">
            <w:pPr>
              <w:pStyle w:val="Tabletext1"/>
            </w:pPr>
            <w:r w:rsidRPr="00E3331A">
              <w:t>C: 1.8 ± 11.64</w:t>
            </w:r>
          </w:p>
          <w:p w:rsidR="00D22209" w:rsidRPr="00E3331A" w:rsidRDefault="00D22209" w:rsidP="00D22209">
            <w:pPr>
              <w:pStyle w:val="Tabletext1"/>
            </w:pPr>
            <w:r w:rsidRPr="00E3331A">
              <w:t>P = 0.0929</w:t>
            </w:r>
          </w:p>
        </w:tc>
        <w:tc>
          <w:tcPr>
            <w:tcW w:w="559" w:type="pct"/>
            <w:shd w:val="clear" w:color="auto" w:fill="auto"/>
          </w:tcPr>
          <w:p w:rsidR="00D22209" w:rsidRPr="00E3331A" w:rsidRDefault="00D22209" w:rsidP="00D22209">
            <w:pPr>
              <w:pStyle w:val="Tabletext1"/>
            </w:pPr>
          </w:p>
        </w:tc>
        <w:tc>
          <w:tcPr>
            <w:tcW w:w="661" w:type="pct"/>
            <w:shd w:val="clear" w:color="auto" w:fill="auto"/>
          </w:tcPr>
          <w:p w:rsidR="00D22209" w:rsidRPr="00E3331A" w:rsidRDefault="00D22209" w:rsidP="00D22209">
            <w:pPr>
              <w:pStyle w:val="Tabletext1"/>
            </w:pPr>
            <w:r w:rsidRPr="00E3331A">
              <w:t xml:space="preserve">I: 19.4 kPa ± 35.15 </w:t>
            </w:r>
          </w:p>
          <w:p w:rsidR="00D22209" w:rsidRPr="00E3331A" w:rsidRDefault="00D22209" w:rsidP="00D22209">
            <w:pPr>
              <w:pStyle w:val="Tabletext1"/>
            </w:pPr>
            <w:r w:rsidRPr="00E3331A">
              <w:t xml:space="preserve">C: 5.4 kPa ± 39.69 </w:t>
            </w:r>
          </w:p>
          <w:p w:rsidR="00D22209" w:rsidRPr="00E3331A" w:rsidRDefault="00D22209" w:rsidP="00D22209">
            <w:pPr>
              <w:pStyle w:val="Tabletext1"/>
            </w:pPr>
            <w:r w:rsidRPr="00E3331A">
              <w:t>P = 0.2653</w:t>
            </w:r>
          </w:p>
        </w:tc>
        <w:tc>
          <w:tcPr>
            <w:tcW w:w="559" w:type="pct"/>
            <w:shd w:val="clear" w:color="auto" w:fill="auto"/>
          </w:tcPr>
          <w:p w:rsidR="00D22209" w:rsidRPr="00E3331A" w:rsidRDefault="00723170" w:rsidP="00D22209">
            <w:pPr>
              <w:pStyle w:val="Tabletext1"/>
            </w:pPr>
            <w:r w:rsidRPr="00E3331A">
              <w:t>I: 21/24</w:t>
            </w:r>
          </w:p>
          <w:p w:rsidR="00723170" w:rsidRPr="00E3331A" w:rsidRDefault="00723170" w:rsidP="00D22209">
            <w:pPr>
              <w:pStyle w:val="Tabletext1"/>
            </w:pPr>
            <w:r w:rsidRPr="00E3331A">
              <w:t>C: 10/21</w:t>
            </w:r>
          </w:p>
          <w:p w:rsidR="00723170" w:rsidRPr="00E3331A" w:rsidRDefault="00723170" w:rsidP="00D22209">
            <w:pPr>
              <w:pStyle w:val="Tabletext1"/>
            </w:pPr>
            <w:r w:rsidRPr="00E3331A">
              <w:t>P = 0.0085</w:t>
            </w:r>
          </w:p>
        </w:tc>
        <w:tc>
          <w:tcPr>
            <w:tcW w:w="1343" w:type="pct"/>
            <w:shd w:val="clear" w:color="auto" w:fill="auto"/>
          </w:tcPr>
          <w:p w:rsidR="00D22209" w:rsidRPr="00E3331A" w:rsidRDefault="00D22209" w:rsidP="00D22209">
            <w:pPr>
              <w:pStyle w:val="Tabletext1"/>
            </w:pPr>
            <w:r w:rsidRPr="00E3331A">
              <w:t>ONLS</w:t>
            </w:r>
          </w:p>
          <w:p w:rsidR="00D22209" w:rsidRPr="00E3331A" w:rsidRDefault="00D22209" w:rsidP="00D22209">
            <w:pPr>
              <w:pStyle w:val="Tabletext1"/>
            </w:pPr>
            <w:r w:rsidRPr="00E3331A">
              <w:t xml:space="preserve">I: -1 </w:t>
            </w:r>
            <w:r w:rsidRPr="00E3331A">
              <w:rPr>
                <w:rFonts w:ascii="Calibri" w:hAnsi="Calibri"/>
              </w:rPr>
              <w:t>± 9.11, C: -1 ± 3.33, p = 0.1322</w:t>
            </w:r>
          </w:p>
          <w:p w:rsidR="00D22209" w:rsidRPr="00E3331A" w:rsidRDefault="00D22209" w:rsidP="00D22209">
            <w:pPr>
              <w:pStyle w:val="Tabletext1"/>
            </w:pPr>
            <w:r w:rsidRPr="00E3331A">
              <w:t>SF36</w:t>
            </w:r>
          </w:p>
          <w:p w:rsidR="00D22209" w:rsidRPr="00E3331A" w:rsidRDefault="00D22209" w:rsidP="00D22209">
            <w:pPr>
              <w:pStyle w:val="Tabletext1"/>
            </w:pPr>
            <w:r w:rsidRPr="00E3331A">
              <w:t xml:space="preserve">I: 14.2 </w:t>
            </w:r>
            <w:r w:rsidRPr="00E3331A">
              <w:rPr>
                <w:rFonts w:ascii="Calibri" w:hAnsi="Calibri"/>
              </w:rPr>
              <w:t>± 25.31, C: 16.7 ± 29.49, p = 0.610</w:t>
            </w:r>
          </w:p>
          <w:p w:rsidR="00D22209" w:rsidRPr="00E3331A" w:rsidRDefault="00D22209" w:rsidP="00D22209">
            <w:pPr>
              <w:pStyle w:val="Tabletext1"/>
            </w:pPr>
            <w:r w:rsidRPr="00E3331A">
              <w:t>ISS</w:t>
            </w:r>
          </w:p>
          <w:p w:rsidR="00D22209" w:rsidRPr="00E3331A" w:rsidRDefault="00D22209" w:rsidP="00D22209">
            <w:pPr>
              <w:pStyle w:val="Tabletext1"/>
            </w:pPr>
            <w:r w:rsidRPr="00E3331A">
              <w:lastRenderedPageBreak/>
              <w:t xml:space="preserve">I: -0.67 </w:t>
            </w:r>
            <w:r w:rsidRPr="00E3331A">
              <w:rPr>
                <w:rFonts w:ascii="Calibri" w:hAnsi="Calibri"/>
              </w:rPr>
              <w:t>± 5.57, C: 0 ± 11.24, p = 0.0686</w:t>
            </w:r>
          </w:p>
          <w:p w:rsidR="00D22209" w:rsidRPr="00E3331A" w:rsidRDefault="00A83706" w:rsidP="00D22209">
            <w:pPr>
              <w:pStyle w:val="Tabletext1"/>
            </w:pPr>
            <w:r w:rsidRPr="00E3331A">
              <w:t>10MWT</w:t>
            </w:r>
            <w:r w:rsidR="00D22209" w:rsidRPr="00E3331A">
              <w:t xml:space="preserve"> (s)</w:t>
            </w:r>
          </w:p>
          <w:p w:rsidR="00D22209" w:rsidRPr="00E3331A" w:rsidRDefault="00D22209" w:rsidP="00D22209">
            <w:pPr>
              <w:pStyle w:val="Tabletext1"/>
              <w:rPr>
                <w:rFonts w:ascii="Calibri" w:hAnsi="Calibri"/>
              </w:rPr>
            </w:pPr>
            <w:r w:rsidRPr="00E3331A">
              <w:t>I</w:t>
            </w:r>
            <w:r w:rsidR="0002728B" w:rsidRPr="00E3331A">
              <w:t>:</w:t>
            </w:r>
            <w:r w:rsidRPr="00E3331A">
              <w:t xml:space="preserve"> -3.2 </w:t>
            </w:r>
            <w:r w:rsidRPr="00E3331A">
              <w:rPr>
                <w:rFonts w:ascii="Calibri" w:hAnsi="Calibri"/>
              </w:rPr>
              <w:t>± 6.45, C: -0.5 ± 15.1, p = 0.2300</w:t>
            </w:r>
          </w:p>
          <w:p w:rsidR="00D22209" w:rsidRPr="00E3331A" w:rsidRDefault="00D22209" w:rsidP="00D22209">
            <w:pPr>
              <w:pStyle w:val="Tabletext1"/>
            </w:pPr>
            <w:r w:rsidRPr="00E3331A">
              <w:t>Discontinue treatment</w:t>
            </w:r>
          </w:p>
          <w:p w:rsidR="00D22209" w:rsidRPr="00E3331A" w:rsidRDefault="00D22209" w:rsidP="00D22209">
            <w:pPr>
              <w:pStyle w:val="Tabletext1"/>
            </w:pPr>
            <w:r w:rsidRPr="00E3331A">
              <w:t>I: n = 3/24, C: 11/21, p = 0.0085</w:t>
            </w:r>
          </w:p>
        </w:tc>
      </w:tr>
      <w:tr w:rsidR="0059371B" w:rsidRPr="00E3331A" w:rsidTr="0059371B">
        <w:tc>
          <w:tcPr>
            <w:tcW w:w="5000" w:type="pct"/>
            <w:gridSpan w:val="8"/>
            <w:shd w:val="clear" w:color="auto" w:fill="auto"/>
          </w:tcPr>
          <w:p w:rsidR="0059371B" w:rsidRPr="00E3331A" w:rsidRDefault="0059371B" w:rsidP="00D22209">
            <w:pPr>
              <w:pStyle w:val="Tabletext1"/>
              <w:rPr>
                <w:b/>
              </w:rPr>
            </w:pPr>
            <w:r w:rsidRPr="00E3331A">
              <w:rPr>
                <w:b/>
              </w:rPr>
              <w:lastRenderedPageBreak/>
              <w:t>Ig vs PE</w:t>
            </w:r>
          </w:p>
        </w:tc>
      </w:tr>
      <w:tr w:rsidR="00281EC2" w:rsidRPr="00E3331A" w:rsidTr="0007007F">
        <w:tc>
          <w:tcPr>
            <w:tcW w:w="458" w:type="pct"/>
            <w:shd w:val="clear" w:color="auto" w:fill="auto"/>
          </w:tcPr>
          <w:p w:rsidR="00D22209" w:rsidRPr="00E3331A" w:rsidRDefault="00D22209" w:rsidP="00D22209">
            <w:pPr>
              <w:pStyle w:val="Tabletext1"/>
            </w:pPr>
            <w:r w:rsidRPr="00E3331A">
              <w:t>Dyck et al. (1994)</w:t>
            </w:r>
          </w:p>
        </w:tc>
        <w:tc>
          <w:tcPr>
            <w:tcW w:w="363" w:type="pct"/>
            <w:shd w:val="clear" w:color="auto" w:fill="auto"/>
          </w:tcPr>
          <w:p w:rsidR="00D22209" w:rsidRPr="00E3331A" w:rsidRDefault="00D22209" w:rsidP="00D22209">
            <w:pPr>
              <w:pStyle w:val="Tabletext1"/>
            </w:pPr>
            <w:r w:rsidRPr="00E3331A">
              <w:t>6 weeks</w:t>
            </w:r>
          </w:p>
          <w:p w:rsidR="00D22209" w:rsidRPr="00E3331A" w:rsidRDefault="00D22209" w:rsidP="00D22209">
            <w:pPr>
              <w:pStyle w:val="Tabletext1"/>
            </w:pPr>
            <w:r w:rsidRPr="00E3331A">
              <w:t>I: 19</w:t>
            </w:r>
          </w:p>
          <w:p w:rsidR="00D22209" w:rsidRPr="00E3331A" w:rsidRDefault="00D22209" w:rsidP="00D22209">
            <w:pPr>
              <w:pStyle w:val="Tabletext1"/>
            </w:pPr>
            <w:r w:rsidRPr="00E3331A">
              <w:t>C: 19</w:t>
            </w:r>
          </w:p>
        </w:tc>
        <w:tc>
          <w:tcPr>
            <w:tcW w:w="549" w:type="pct"/>
            <w:shd w:val="clear" w:color="auto" w:fill="auto"/>
          </w:tcPr>
          <w:p w:rsidR="00D22209" w:rsidRPr="00E3331A" w:rsidRDefault="00D22209" w:rsidP="00D22209">
            <w:pPr>
              <w:pStyle w:val="Tabletext1"/>
            </w:pPr>
          </w:p>
        </w:tc>
        <w:tc>
          <w:tcPr>
            <w:tcW w:w="508" w:type="pct"/>
            <w:shd w:val="clear" w:color="auto" w:fill="auto"/>
          </w:tcPr>
          <w:p w:rsidR="00D22209" w:rsidRPr="00E3331A" w:rsidRDefault="00D22209" w:rsidP="00D22209">
            <w:pPr>
              <w:pStyle w:val="Tabletext1"/>
            </w:pPr>
          </w:p>
        </w:tc>
        <w:tc>
          <w:tcPr>
            <w:tcW w:w="559" w:type="pct"/>
            <w:shd w:val="clear" w:color="auto" w:fill="auto"/>
          </w:tcPr>
          <w:p w:rsidR="00D22209" w:rsidRPr="00E3331A" w:rsidRDefault="00D22209" w:rsidP="00D22209">
            <w:pPr>
              <w:pStyle w:val="Tabletext1"/>
            </w:pPr>
            <w:r w:rsidRPr="00E3331A">
              <w:t>I: -36.1 ± 32</w:t>
            </w:r>
          </w:p>
          <w:p w:rsidR="00D22209" w:rsidRPr="00E3331A" w:rsidRDefault="00D22209" w:rsidP="00D22209">
            <w:pPr>
              <w:pStyle w:val="Tabletext1"/>
            </w:pPr>
            <w:r w:rsidRPr="00E3331A">
              <w:t>C: -38.3 ± 34.6</w:t>
            </w:r>
          </w:p>
          <w:p w:rsidR="00D22209" w:rsidRPr="00E3331A" w:rsidRDefault="00D22209" w:rsidP="00D22209">
            <w:pPr>
              <w:pStyle w:val="Tabletext1"/>
            </w:pPr>
            <w:r w:rsidRPr="00E3331A">
              <w:t>P = NS (NR)</w:t>
            </w:r>
          </w:p>
        </w:tc>
        <w:tc>
          <w:tcPr>
            <w:tcW w:w="661" w:type="pct"/>
            <w:shd w:val="clear" w:color="auto" w:fill="auto"/>
          </w:tcPr>
          <w:p w:rsidR="00D22209" w:rsidRPr="00E3331A" w:rsidRDefault="00D22209" w:rsidP="00D22209">
            <w:pPr>
              <w:pStyle w:val="Tabletext1"/>
            </w:pPr>
          </w:p>
        </w:tc>
        <w:tc>
          <w:tcPr>
            <w:tcW w:w="559" w:type="pct"/>
            <w:shd w:val="clear" w:color="auto" w:fill="auto"/>
          </w:tcPr>
          <w:p w:rsidR="00D22209" w:rsidRPr="00E3331A" w:rsidRDefault="00D22209" w:rsidP="00D22209">
            <w:pPr>
              <w:pStyle w:val="Tabletext1"/>
            </w:pPr>
          </w:p>
        </w:tc>
        <w:tc>
          <w:tcPr>
            <w:tcW w:w="1343" w:type="pct"/>
            <w:shd w:val="clear" w:color="auto" w:fill="auto"/>
          </w:tcPr>
          <w:p w:rsidR="00D22209" w:rsidRPr="00E3331A" w:rsidRDefault="00D22209" w:rsidP="00D22209">
            <w:pPr>
              <w:pStyle w:val="Tabletext1"/>
            </w:pPr>
          </w:p>
        </w:tc>
      </w:tr>
    </w:tbl>
    <w:p w:rsidR="00966453" w:rsidRPr="00E3331A" w:rsidRDefault="008A3A7B" w:rsidP="00F723F4">
      <w:pPr>
        <w:pStyle w:val="Tablenotes1"/>
      </w:pPr>
      <w:r w:rsidRPr="00E3331A">
        <w:t>Notes:</w:t>
      </w:r>
      <w:r w:rsidR="00897EDF" w:rsidRPr="00E3331A">
        <w:t xml:space="preserve"> Clinically meaningful response was defined as: NDS &gt;20 (Hahn et al; (1996b)); INCAT &gt;1 (Hughes et al. (2008)); functional grade &gt;1 (Mendell et al. (2001)); and Rankin score &gt;1 (Vermeul</w:t>
      </w:r>
      <w:r w:rsidR="0002728B" w:rsidRPr="00E3331A">
        <w:t>e</w:t>
      </w:r>
      <w:r w:rsidR="00897EDF" w:rsidRPr="00E3331A">
        <w:t>n et al. (1993).</w:t>
      </w:r>
      <w:r w:rsidR="00476F88" w:rsidRPr="00E3331A">
        <w:t xml:space="preserve"> In Nobile-Orazio et al. (2012) clinically meaningful response was defined as patients continuing treatment. Discontinuation was due to side</w:t>
      </w:r>
      <w:r w:rsidR="00417823">
        <w:t xml:space="preserve"> </w:t>
      </w:r>
      <w:r w:rsidR="00476F88" w:rsidRPr="00E3331A">
        <w:t>effects, intolerance or inefficacy.</w:t>
      </w:r>
    </w:p>
    <w:p w:rsidR="003E15E0" w:rsidRPr="00E3331A" w:rsidRDefault="003E15E0" w:rsidP="00F723F4">
      <w:pPr>
        <w:pStyle w:val="Tablenotes1"/>
      </w:pPr>
      <w:r w:rsidRPr="00E3331A">
        <w:t xml:space="preserve">Abbreviations: </w:t>
      </w:r>
      <w:r w:rsidR="006D09AA" w:rsidRPr="00E3331A">
        <w:t xml:space="preserve">Ig = immunoglobulin; </w:t>
      </w:r>
      <w:r w:rsidRPr="00E3331A">
        <w:t xml:space="preserve">St = steroids; PE = plasma exchange; NT = no treatment; I = </w:t>
      </w:r>
      <w:r w:rsidR="004B5B83" w:rsidRPr="00E3331A">
        <w:t>intervention</w:t>
      </w:r>
      <w:r w:rsidRPr="00E3331A">
        <w:t>; C = comparator; 9PHT = nine peg</w:t>
      </w:r>
      <w:r w:rsidR="00417823">
        <w:t xml:space="preserve"> </w:t>
      </w:r>
      <w:r w:rsidRPr="00E3331A">
        <w:t xml:space="preserve">hole test; AMS = average muscle score; SF36 = Short-Form-36; MRC = Medical Research Council Sum Score; INCAT = Inflammatory Neuropathy Cause and Treatment; NDS = Neurological Disability Score; 10MWT = 10 metre walk time; 10MWS = 10 metre walk speed; ISS = </w:t>
      </w:r>
      <w:r w:rsidR="008513DB" w:rsidRPr="00E3331A">
        <w:t>INCAT sensory sum score</w:t>
      </w:r>
      <w:r w:rsidRPr="00E3331A">
        <w:t>; ONLS = Overall Neuropathy Limitation Scale</w:t>
      </w:r>
      <w:r w:rsidR="00DB068F" w:rsidRPr="00E3331A">
        <w:t>; MD = mean difference; CI = confidence interval</w:t>
      </w:r>
      <w:r w:rsidR="006D09AA" w:rsidRPr="00E3331A">
        <w:t>.</w:t>
      </w:r>
    </w:p>
    <w:p w:rsidR="003E15E0" w:rsidRPr="00E3331A" w:rsidRDefault="003E15E0" w:rsidP="003840DD"/>
    <w:p w:rsidR="00966453" w:rsidRPr="00E3331A" w:rsidRDefault="00966453">
      <w:pPr>
        <w:spacing w:after="0" w:line="240" w:lineRule="auto"/>
      </w:pPr>
      <w:r w:rsidRPr="00E3331A">
        <w:br w:type="page"/>
      </w:r>
    </w:p>
    <w:p w:rsidR="00D22209" w:rsidRPr="00E3331A" w:rsidRDefault="00D22209" w:rsidP="003E72FC"/>
    <w:p w:rsidR="001E10FA" w:rsidRPr="00E3331A" w:rsidRDefault="001E10FA" w:rsidP="001E10FA">
      <w:pPr>
        <w:pStyle w:val="Caption"/>
      </w:pPr>
      <w:bookmarkStart w:id="261" w:name="_Ref9956443"/>
      <w:bookmarkStart w:id="262" w:name="_Toc24103336"/>
      <w:r w:rsidRPr="00E3331A">
        <w:t xml:space="preserve">Table </w:t>
      </w:r>
      <w:r w:rsidR="006F35B9">
        <w:rPr>
          <w:noProof/>
        </w:rPr>
        <w:t>30</w:t>
      </w:r>
      <w:bookmarkEnd w:id="261"/>
      <w:r w:rsidRPr="00E3331A">
        <w:tab/>
        <w:t>Summary of effectiveness data for CIDP maintenance.</w:t>
      </w:r>
      <w:bookmarkEnd w:id="2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598"/>
        <w:gridCol w:w="1950"/>
        <w:gridCol w:w="1783"/>
        <w:gridCol w:w="2497"/>
        <w:gridCol w:w="4488"/>
      </w:tblGrid>
      <w:tr w:rsidR="00281EC2" w:rsidRPr="00E3331A" w:rsidTr="0007007F">
        <w:trPr>
          <w:tblHeader/>
        </w:trPr>
        <w:tc>
          <w:tcPr>
            <w:tcW w:w="585" w:type="pct"/>
            <w:shd w:val="clear" w:color="auto" w:fill="auto"/>
          </w:tcPr>
          <w:p w:rsidR="001E10FA" w:rsidRPr="00E3331A" w:rsidRDefault="001E10FA" w:rsidP="00E33AA4">
            <w:pPr>
              <w:pStyle w:val="TableHeading"/>
            </w:pPr>
            <w:r w:rsidRPr="00E3331A">
              <w:t>Study ID</w:t>
            </w:r>
          </w:p>
        </w:tc>
        <w:tc>
          <w:tcPr>
            <w:tcW w:w="573" w:type="pct"/>
            <w:shd w:val="clear" w:color="auto" w:fill="auto"/>
          </w:tcPr>
          <w:p w:rsidR="001E10FA" w:rsidRPr="00E3331A" w:rsidRDefault="001E10FA" w:rsidP="00E33AA4">
            <w:pPr>
              <w:pStyle w:val="TableHeading"/>
            </w:pPr>
            <w:r w:rsidRPr="00E3331A">
              <w:t>Follow-up time</w:t>
            </w:r>
          </w:p>
          <w:p w:rsidR="001E10FA" w:rsidRPr="00E3331A" w:rsidRDefault="001E10FA" w:rsidP="00E33AA4">
            <w:pPr>
              <w:pStyle w:val="TableHeading"/>
            </w:pPr>
            <w:r w:rsidRPr="00E3331A">
              <w:t>n</w:t>
            </w:r>
          </w:p>
        </w:tc>
        <w:tc>
          <w:tcPr>
            <w:tcW w:w="699" w:type="pct"/>
            <w:shd w:val="clear" w:color="auto" w:fill="auto"/>
          </w:tcPr>
          <w:p w:rsidR="001E10FA" w:rsidRPr="00E3331A" w:rsidRDefault="001E10FA" w:rsidP="00E33AA4">
            <w:pPr>
              <w:pStyle w:val="TableHeading"/>
            </w:pPr>
            <w:r w:rsidRPr="00E3331A">
              <w:t>INCAT</w:t>
            </w:r>
          </w:p>
        </w:tc>
        <w:tc>
          <w:tcPr>
            <w:tcW w:w="639" w:type="pct"/>
            <w:shd w:val="clear" w:color="auto" w:fill="auto"/>
          </w:tcPr>
          <w:p w:rsidR="001E10FA" w:rsidRPr="00E3331A" w:rsidRDefault="001E10FA" w:rsidP="00E33AA4">
            <w:pPr>
              <w:pStyle w:val="TableHeading"/>
            </w:pPr>
            <w:r w:rsidRPr="00E3331A">
              <w:t>MRC</w:t>
            </w:r>
          </w:p>
        </w:tc>
        <w:tc>
          <w:tcPr>
            <w:tcW w:w="895" w:type="pct"/>
            <w:shd w:val="clear" w:color="auto" w:fill="auto"/>
          </w:tcPr>
          <w:p w:rsidR="001E10FA" w:rsidRPr="00E3331A" w:rsidRDefault="001E10FA" w:rsidP="00E33AA4">
            <w:pPr>
              <w:pStyle w:val="TableHeading"/>
            </w:pPr>
            <w:r w:rsidRPr="00E3331A">
              <w:t>Grip strength</w:t>
            </w:r>
          </w:p>
        </w:tc>
        <w:tc>
          <w:tcPr>
            <w:tcW w:w="1609" w:type="pct"/>
            <w:shd w:val="clear" w:color="auto" w:fill="auto"/>
          </w:tcPr>
          <w:p w:rsidR="001E10FA" w:rsidRPr="00E3331A" w:rsidRDefault="001E10FA" w:rsidP="00E33AA4">
            <w:pPr>
              <w:pStyle w:val="TableHeading"/>
            </w:pPr>
            <w:r w:rsidRPr="00E3331A">
              <w:t>Other outcomes</w:t>
            </w:r>
          </w:p>
        </w:tc>
      </w:tr>
      <w:tr w:rsidR="00281EC2" w:rsidRPr="00E3331A" w:rsidTr="0007007F">
        <w:tc>
          <w:tcPr>
            <w:tcW w:w="585" w:type="pct"/>
            <w:shd w:val="clear" w:color="auto" w:fill="auto"/>
          </w:tcPr>
          <w:p w:rsidR="001E10FA" w:rsidRPr="00E3331A" w:rsidRDefault="00F723F4" w:rsidP="00E33AA4">
            <w:pPr>
              <w:pStyle w:val="Tabletext1"/>
            </w:pPr>
            <w:r w:rsidRPr="00E3331A">
              <w:t>V</w:t>
            </w:r>
            <w:r w:rsidR="001E10FA" w:rsidRPr="00E3331A">
              <w:t>an Schaik et al. (2018)</w:t>
            </w:r>
          </w:p>
        </w:tc>
        <w:tc>
          <w:tcPr>
            <w:tcW w:w="573" w:type="pct"/>
            <w:shd w:val="clear" w:color="auto" w:fill="auto"/>
          </w:tcPr>
          <w:p w:rsidR="001E10FA" w:rsidRPr="00E3331A" w:rsidRDefault="001E10FA" w:rsidP="00E33AA4">
            <w:pPr>
              <w:pStyle w:val="Tabletext1"/>
            </w:pPr>
            <w:r w:rsidRPr="00E3331A">
              <w:t>Ig (high</w:t>
            </w:r>
            <w:r w:rsidR="000C0E99">
              <w:t>-</w:t>
            </w:r>
            <w:r w:rsidRPr="00E3331A">
              <w:t>dose) vs Ig (low dose) vs Pl</w:t>
            </w:r>
          </w:p>
          <w:p w:rsidR="001E10FA" w:rsidRPr="00E3331A" w:rsidRDefault="001E10FA" w:rsidP="00E33AA4">
            <w:pPr>
              <w:pStyle w:val="Tabletext1"/>
            </w:pPr>
            <w:r w:rsidRPr="00E3331A">
              <w:t>Up to 24 weeks</w:t>
            </w:r>
          </w:p>
        </w:tc>
        <w:tc>
          <w:tcPr>
            <w:tcW w:w="699" w:type="pct"/>
            <w:shd w:val="clear" w:color="auto" w:fill="auto"/>
          </w:tcPr>
          <w:p w:rsidR="001E10FA" w:rsidRPr="00E3331A" w:rsidRDefault="001E10FA" w:rsidP="00E33AA4">
            <w:pPr>
              <w:pStyle w:val="Tabletext1"/>
            </w:pPr>
            <w:r w:rsidRPr="00E3331A">
              <w:t>MD (95% CI)</w:t>
            </w:r>
          </w:p>
          <w:p w:rsidR="001E10FA" w:rsidRPr="00E3331A" w:rsidRDefault="001E10FA" w:rsidP="00E33AA4">
            <w:pPr>
              <w:pStyle w:val="Tabletext1"/>
            </w:pPr>
            <w:r w:rsidRPr="00E3331A">
              <w:t>I1 vs C: 0.0 (-1.0, 0.0) p = 0.0046</w:t>
            </w:r>
          </w:p>
          <w:p w:rsidR="001E10FA" w:rsidRPr="00E3331A" w:rsidRDefault="001E10FA" w:rsidP="00E33AA4">
            <w:pPr>
              <w:pStyle w:val="Tabletext1"/>
            </w:pPr>
            <w:r w:rsidRPr="00E3331A">
              <w:t>I2 vs C -1.0 (-1.0, 0.0),</w:t>
            </w:r>
            <w:r w:rsidR="00345C95" w:rsidRPr="00E3331A">
              <w:t xml:space="preserve"> </w:t>
            </w:r>
            <w:r w:rsidRPr="00E3331A">
              <w:t>&lt; 0.001</w:t>
            </w:r>
          </w:p>
          <w:p w:rsidR="001E10FA" w:rsidRPr="00E3331A" w:rsidRDefault="001E10FA" w:rsidP="00E33AA4">
            <w:pPr>
              <w:pStyle w:val="Tabletext1"/>
            </w:pPr>
            <w:r w:rsidRPr="00E3331A">
              <w:t xml:space="preserve">I1 vs I2: 0.0 (0.0, 0.0) p = 0.10 </w:t>
            </w:r>
          </w:p>
        </w:tc>
        <w:tc>
          <w:tcPr>
            <w:tcW w:w="639" w:type="pct"/>
            <w:shd w:val="clear" w:color="auto" w:fill="auto"/>
          </w:tcPr>
          <w:p w:rsidR="001E10FA" w:rsidRPr="00E3331A" w:rsidRDefault="001E10FA" w:rsidP="00E33AA4">
            <w:pPr>
              <w:pStyle w:val="Tabletext1"/>
            </w:pPr>
            <w:r w:rsidRPr="00E3331A">
              <w:t>MD (95% CI)</w:t>
            </w:r>
          </w:p>
          <w:p w:rsidR="001E10FA" w:rsidRPr="00E3331A" w:rsidRDefault="001E10FA" w:rsidP="00E33AA4">
            <w:pPr>
              <w:pStyle w:val="Tabletext1"/>
            </w:pPr>
            <w:r w:rsidRPr="00E3331A">
              <w:t>I1 vs C: 2.0 (1.0, 4.0) p = 0.003</w:t>
            </w:r>
          </w:p>
          <w:p w:rsidR="001E10FA" w:rsidRPr="00E3331A" w:rsidRDefault="001E10FA" w:rsidP="00E33AA4">
            <w:pPr>
              <w:pStyle w:val="Tabletext1"/>
            </w:pPr>
            <w:r w:rsidRPr="00E3331A">
              <w:t>I2 vs C 2.0 (1.0 4.0),</w:t>
            </w:r>
            <w:r w:rsidR="00345C95" w:rsidRPr="00E3331A">
              <w:t xml:space="preserve"> </w:t>
            </w:r>
            <w:r w:rsidRPr="00E3331A">
              <w:t>= 0.002</w:t>
            </w:r>
          </w:p>
          <w:p w:rsidR="001E10FA" w:rsidRPr="00E3331A" w:rsidRDefault="001E10FA" w:rsidP="00E33AA4">
            <w:pPr>
              <w:pStyle w:val="Tabletext1"/>
            </w:pPr>
            <w:r w:rsidRPr="00E3331A">
              <w:t>I1 vs I2: 0.0 (-1.0, 1.0) p = 0.47</w:t>
            </w:r>
          </w:p>
        </w:tc>
        <w:tc>
          <w:tcPr>
            <w:tcW w:w="895" w:type="pct"/>
            <w:shd w:val="clear" w:color="auto" w:fill="auto"/>
          </w:tcPr>
          <w:p w:rsidR="001E10FA" w:rsidRPr="00E3331A" w:rsidRDefault="001E10FA" w:rsidP="00E33AA4">
            <w:pPr>
              <w:pStyle w:val="Tabletext1"/>
            </w:pPr>
            <w:r w:rsidRPr="00E3331A">
              <w:t>MD (95% CI)</w:t>
            </w:r>
          </w:p>
          <w:p w:rsidR="001E10FA" w:rsidRPr="00E3331A" w:rsidRDefault="001E10FA" w:rsidP="00E33AA4">
            <w:pPr>
              <w:pStyle w:val="Tabletext1"/>
            </w:pPr>
            <w:r w:rsidRPr="00E3331A">
              <w:t>I1 vs C: 7.6 (2.0, 14.0) p = 0.004</w:t>
            </w:r>
          </w:p>
          <w:p w:rsidR="001E10FA" w:rsidRPr="00E3331A" w:rsidRDefault="001E10FA" w:rsidP="00E33AA4">
            <w:pPr>
              <w:pStyle w:val="Tabletext1"/>
            </w:pPr>
            <w:r w:rsidRPr="00E3331A">
              <w:t>I2 vs C 5.7 (0.7 11.7)</w:t>
            </w:r>
            <w:r w:rsidR="00345C95" w:rsidRPr="00E3331A">
              <w:t xml:space="preserve"> </w:t>
            </w:r>
            <w:r w:rsidRPr="00E3331A">
              <w:t>= 0.01</w:t>
            </w:r>
          </w:p>
          <w:p w:rsidR="001E10FA" w:rsidRPr="00E3331A" w:rsidRDefault="001E10FA" w:rsidP="00E33AA4">
            <w:pPr>
              <w:pStyle w:val="Tabletext1"/>
            </w:pPr>
            <w:r w:rsidRPr="00E3331A">
              <w:t>I1 vs I2: -1.7 (-5.4, 2.3) p = 0.20</w:t>
            </w:r>
          </w:p>
        </w:tc>
        <w:tc>
          <w:tcPr>
            <w:tcW w:w="1609" w:type="pct"/>
            <w:shd w:val="clear" w:color="auto" w:fill="auto"/>
          </w:tcPr>
          <w:p w:rsidR="001E10FA" w:rsidRPr="00E3331A" w:rsidRDefault="001E10FA" w:rsidP="00E33AA4">
            <w:pPr>
              <w:pStyle w:val="Tabletext1"/>
            </w:pPr>
            <w:r w:rsidRPr="00E3331A">
              <w:t>I-RODS</w:t>
            </w:r>
          </w:p>
          <w:p w:rsidR="001E10FA" w:rsidRPr="00E3331A" w:rsidRDefault="001E10FA" w:rsidP="00E33AA4">
            <w:pPr>
              <w:pStyle w:val="Tabletext1"/>
            </w:pPr>
            <w:r w:rsidRPr="00E3331A">
              <w:t>MD (95% CI)</w:t>
            </w:r>
          </w:p>
          <w:p w:rsidR="001E10FA" w:rsidRPr="00E3331A" w:rsidRDefault="001E10FA" w:rsidP="00E33AA4">
            <w:pPr>
              <w:pStyle w:val="Tabletext1"/>
            </w:pPr>
            <w:r w:rsidRPr="00E3331A">
              <w:t>I1 vs C: 3.0 (0.0, 9.0) p = 0.03</w:t>
            </w:r>
          </w:p>
          <w:p w:rsidR="001E10FA" w:rsidRPr="00E3331A" w:rsidRDefault="001E10FA" w:rsidP="00E33AA4">
            <w:pPr>
              <w:pStyle w:val="Tabletext1"/>
            </w:pPr>
            <w:r w:rsidRPr="00E3331A">
              <w:t>I2 vs C 5.0 (2.0 9.0)</w:t>
            </w:r>
            <w:r w:rsidR="00345C95" w:rsidRPr="00E3331A">
              <w:t xml:space="preserve"> </w:t>
            </w:r>
            <w:r w:rsidRPr="00E3331A">
              <w:t>= 0.002</w:t>
            </w:r>
          </w:p>
          <w:p w:rsidR="001E10FA" w:rsidRPr="00E3331A" w:rsidRDefault="001E10FA" w:rsidP="00E33AA4">
            <w:pPr>
              <w:pStyle w:val="Tabletext1"/>
            </w:pPr>
            <w:r w:rsidRPr="00E3331A">
              <w:t>I1 vs I2: -1.7 (-5.4, 2.) p = 0.20</w:t>
            </w:r>
          </w:p>
        </w:tc>
      </w:tr>
      <w:tr w:rsidR="00281EC2" w:rsidRPr="00E3331A" w:rsidTr="0007007F">
        <w:tc>
          <w:tcPr>
            <w:tcW w:w="585" w:type="pct"/>
            <w:shd w:val="clear" w:color="auto" w:fill="auto"/>
          </w:tcPr>
          <w:p w:rsidR="001E10FA" w:rsidRPr="00E3331A" w:rsidRDefault="001E10FA" w:rsidP="00E33AA4">
            <w:pPr>
              <w:pStyle w:val="Tabletext1"/>
            </w:pPr>
            <w:r w:rsidRPr="00E3331A">
              <w:t>Markvardsen et al. (2013)</w:t>
            </w:r>
          </w:p>
        </w:tc>
        <w:tc>
          <w:tcPr>
            <w:tcW w:w="573" w:type="pct"/>
            <w:shd w:val="clear" w:color="auto" w:fill="auto"/>
          </w:tcPr>
          <w:p w:rsidR="001E10FA" w:rsidRPr="00E3331A" w:rsidRDefault="001E10FA" w:rsidP="00E33AA4">
            <w:pPr>
              <w:pStyle w:val="Tabletext1"/>
            </w:pPr>
            <w:r w:rsidRPr="00E3331A">
              <w:t>Ig vs Pl</w:t>
            </w:r>
          </w:p>
          <w:p w:rsidR="001E10FA" w:rsidRPr="00E3331A" w:rsidRDefault="001E10FA" w:rsidP="00E33AA4">
            <w:pPr>
              <w:pStyle w:val="Tabletext1"/>
            </w:pPr>
            <w:r w:rsidRPr="00E3331A">
              <w:t>12 weeks</w:t>
            </w:r>
          </w:p>
        </w:tc>
        <w:tc>
          <w:tcPr>
            <w:tcW w:w="699" w:type="pct"/>
            <w:shd w:val="clear" w:color="auto" w:fill="auto"/>
          </w:tcPr>
          <w:p w:rsidR="001E10FA" w:rsidRPr="00E3331A" w:rsidRDefault="001E10FA" w:rsidP="00E33AA4">
            <w:pPr>
              <w:pStyle w:val="Tabletext1"/>
            </w:pPr>
          </w:p>
        </w:tc>
        <w:tc>
          <w:tcPr>
            <w:tcW w:w="639" w:type="pct"/>
            <w:shd w:val="clear" w:color="auto" w:fill="auto"/>
          </w:tcPr>
          <w:p w:rsidR="001E10FA" w:rsidRPr="00E3331A" w:rsidRDefault="001E10FA" w:rsidP="00E33AA4">
            <w:pPr>
              <w:pStyle w:val="Tabletext1"/>
            </w:pPr>
            <w:r w:rsidRPr="00E3331A">
              <w:t>5.7% improvement with Ig</w:t>
            </w:r>
          </w:p>
          <w:p w:rsidR="001E10FA" w:rsidRPr="00E3331A" w:rsidRDefault="001E10FA" w:rsidP="00E33AA4">
            <w:pPr>
              <w:pStyle w:val="Tabletext1"/>
            </w:pPr>
            <w:r w:rsidRPr="00E3331A">
              <w:t>P = 0.04</w:t>
            </w:r>
          </w:p>
          <w:p w:rsidR="001E10FA" w:rsidRPr="00E3331A" w:rsidRDefault="001E10FA" w:rsidP="00E33AA4">
            <w:pPr>
              <w:pStyle w:val="Tabletext1"/>
            </w:pPr>
          </w:p>
        </w:tc>
        <w:tc>
          <w:tcPr>
            <w:tcW w:w="895" w:type="pct"/>
            <w:shd w:val="clear" w:color="auto" w:fill="auto"/>
          </w:tcPr>
          <w:p w:rsidR="001E10FA" w:rsidRPr="00E3331A" w:rsidRDefault="001E10FA" w:rsidP="00E33AA4">
            <w:pPr>
              <w:pStyle w:val="Tabletext1"/>
            </w:pPr>
            <w:r w:rsidRPr="00E3331A">
              <w:t>28% improvement with Ig</w:t>
            </w:r>
          </w:p>
          <w:p w:rsidR="001E10FA" w:rsidRPr="00E3331A" w:rsidRDefault="001E10FA" w:rsidP="00E33AA4">
            <w:pPr>
              <w:pStyle w:val="Tabletext1"/>
            </w:pPr>
            <w:r w:rsidRPr="00E3331A">
              <w:t>P = 0.01</w:t>
            </w:r>
          </w:p>
        </w:tc>
        <w:tc>
          <w:tcPr>
            <w:tcW w:w="1609" w:type="pct"/>
            <w:shd w:val="clear" w:color="auto" w:fill="auto"/>
          </w:tcPr>
          <w:p w:rsidR="001E10FA" w:rsidRPr="00E3331A" w:rsidRDefault="001E10FA" w:rsidP="00E33AA4">
            <w:pPr>
              <w:pStyle w:val="Tabletext1"/>
            </w:pPr>
            <w:r w:rsidRPr="00E3331A">
              <w:t>ODSS</w:t>
            </w:r>
          </w:p>
          <w:p w:rsidR="001E10FA" w:rsidRPr="00E3331A" w:rsidRDefault="001E10FA" w:rsidP="00E33AA4">
            <w:pPr>
              <w:pStyle w:val="Tabletext1"/>
              <w:rPr>
                <w:rFonts w:cs="Arial"/>
              </w:rPr>
            </w:pPr>
            <w:r w:rsidRPr="00E3331A">
              <w:rPr>
                <w:rFonts w:cs="Arial"/>
              </w:rPr>
              <w:t>I: -04 ± 0.7, C: 0.7 ± 1.5, p = 0.04</w:t>
            </w:r>
          </w:p>
          <w:p w:rsidR="001E10FA" w:rsidRPr="00E3331A" w:rsidRDefault="001E10FA" w:rsidP="00E33AA4">
            <w:pPr>
              <w:pStyle w:val="Tabletext1"/>
            </w:pPr>
            <w:r w:rsidRPr="00E3331A">
              <w:t>40MWT: 17% improvement with Ig, p = 0.04</w:t>
            </w:r>
          </w:p>
          <w:p w:rsidR="001E10FA" w:rsidRPr="00E3331A" w:rsidRDefault="001E10FA" w:rsidP="00E33AA4">
            <w:pPr>
              <w:pStyle w:val="Tabletext1"/>
              <w:rPr>
                <w:rFonts w:cs="Arial"/>
              </w:rPr>
            </w:pPr>
            <w:r w:rsidRPr="00E3331A">
              <w:rPr>
                <w:rFonts w:cs="Arial"/>
              </w:rPr>
              <w:t>9HPT: 21% improvement with Ig, p = NS</w:t>
            </w:r>
          </w:p>
        </w:tc>
      </w:tr>
      <w:tr w:rsidR="00281EC2" w:rsidRPr="00E3331A" w:rsidTr="0007007F">
        <w:tc>
          <w:tcPr>
            <w:tcW w:w="585" w:type="pct"/>
            <w:shd w:val="clear" w:color="auto" w:fill="auto"/>
          </w:tcPr>
          <w:p w:rsidR="001E10FA" w:rsidRPr="00E3331A" w:rsidRDefault="001E10FA" w:rsidP="00E33AA4">
            <w:pPr>
              <w:pStyle w:val="Tabletext1"/>
            </w:pPr>
            <w:r w:rsidRPr="00E3331A">
              <w:t>Mahdi-Rogers et al. (2009)</w:t>
            </w:r>
          </w:p>
        </w:tc>
        <w:tc>
          <w:tcPr>
            <w:tcW w:w="573" w:type="pct"/>
            <w:shd w:val="clear" w:color="auto" w:fill="auto"/>
          </w:tcPr>
          <w:p w:rsidR="001E10FA" w:rsidRPr="00E3331A" w:rsidRDefault="001E10FA" w:rsidP="00E33AA4">
            <w:pPr>
              <w:pStyle w:val="Tabletext1"/>
            </w:pPr>
            <w:r w:rsidRPr="00E3331A">
              <w:t>Is vs Pl as Ig</w:t>
            </w:r>
            <w:r w:rsidR="00AD1BB5" w:rsidRPr="00E3331A">
              <w:t>-</w:t>
            </w:r>
            <w:r w:rsidRPr="00E3331A">
              <w:t xml:space="preserve"> and St</w:t>
            </w:r>
            <w:r w:rsidR="00AD1BB5" w:rsidRPr="00E3331A">
              <w:t>-</w:t>
            </w:r>
            <w:r w:rsidRPr="00E3331A">
              <w:t>sparing agent</w:t>
            </w:r>
          </w:p>
          <w:p w:rsidR="001E10FA" w:rsidRPr="00E3331A" w:rsidRDefault="001E10FA" w:rsidP="00E33AA4">
            <w:pPr>
              <w:pStyle w:val="Tabletext1"/>
            </w:pPr>
            <w:r w:rsidRPr="00E3331A">
              <w:t>39-42 weeks</w:t>
            </w:r>
          </w:p>
        </w:tc>
        <w:tc>
          <w:tcPr>
            <w:tcW w:w="699" w:type="pct"/>
            <w:shd w:val="clear" w:color="auto" w:fill="auto"/>
          </w:tcPr>
          <w:p w:rsidR="001E10FA" w:rsidRPr="00E3331A" w:rsidRDefault="001E10FA" w:rsidP="00E33AA4">
            <w:pPr>
              <w:pStyle w:val="Tabletext1"/>
            </w:pPr>
          </w:p>
        </w:tc>
        <w:tc>
          <w:tcPr>
            <w:tcW w:w="639" w:type="pct"/>
            <w:shd w:val="clear" w:color="auto" w:fill="auto"/>
          </w:tcPr>
          <w:p w:rsidR="001E10FA" w:rsidRPr="00E3331A" w:rsidRDefault="001E10FA" w:rsidP="00E33AA4">
            <w:pPr>
              <w:pStyle w:val="Tabletext1"/>
            </w:pPr>
            <w:r w:rsidRPr="00E3331A">
              <w:t>MD</w:t>
            </w:r>
            <w:r w:rsidR="00AD1BB5" w:rsidRPr="00E3331A">
              <w:t xml:space="preserve"> </w:t>
            </w:r>
            <w:r w:rsidRPr="00E3331A">
              <w:t>(95% CI)</w:t>
            </w:r>
          </w:p>
          <w:p w:rsidR="001E10FA" w:rsidRPr="00E3331A" w:rsidRDefault="001E10FA" w:rsidP="00E33AA4">
            <w:pPr>
              <w:pStyle w:val="Tabletext1"/>
            </w:pPr>
            <w:r w:rsidRPr="00E3331A">
              <w:t>2.05 (-0.21, 4.32)</w:t>
            </w:r>
          </w:p>
          <w:p w:rsidR="001E10FA" w:rsidRPr="00E3331A" w:rsidRDefault="001E10FA" w:rsidP="00E33AA4">
            <w:pPr>
              <w:pStyle w:val="Tabletext1"/>
            </w:pPr>
            <w:r w:rsidRPr="00E3331A">
              <w:t>P = NS</w:t>
            </w:r>
          </w:p>
        </w:tc>
        <w:tc>
          <w:tcPr>
            <w:tcW w:w="895" w:type="pct"/>
            <w:shd w:val="clear" w:color="auto" w:fill="auto"/>
          </w:tcPr>
          <w:p w:rsidR="001E10FA" w:rsidRPr="00E3331A" w:rsidRDefault="001E10FA" w:rsidP="00E33AA4">
            <w:pPr>
              <w:pStyle w:val="Tabletext1"/>
            </w:pPr>
          </w:p>
        </w:tc>
        <w:tc>
          <w:tcPr>
            <w:tcW w:w="1609" w:type="pct"/>
            <w:shd w:val="clear" w:color="auto" w:fill="auto"/>
          </w:tcPr>
          <w:p w:rsidR="001E10FA" w:rsidRPr="00E3331A" w:rsidRDefault="001E10FA" w:rsidP="00E33AA4">
            <w:pPr>
              <w:pStyle w:val="Tabletext1"/>
            </w:pPr>
            <w:r w:rsidRPr="00E3331A">
              <w:t>ALDS</w:t>
            </w:r>
          </w:p>
          <w:p w:rsidR="001E10FA" w:rsidRPr="00E3331A" w:rsidRDefault="001E10FA" w:rsidP="00E33AA4">
            <w:pPr>
              <w:pStyle w:val="Tabletext1"/>
            </w:pPr>
            <w:r w:rsidRPr="00E3331A">
              <w:t>MD -0.47 (95% CI -3.67, 1.87)</w:t>
            </w:r>
          </w:p>
          <w:p w:rsidR="001E10FA" w:rsidRPr="00E3331A" w:rsidRDefault="001E10FA" w:rsidP="00E33AA4">
            <w:pPr>
              <w:pStyle w:val="Tabletext1"/>
            </w:pPr>
            <w:r w:rsidRPr="00E3331A">
              <w:t>ONLS median change (IQR)</w:t>
            </w:r>
          </w:p>
          <w:p w:rsidR="001E10FA" w:rsidRPr="00E3331A" w:rsidRDefault="001E10FA" w:rsidP="00E33AA4">
            <w:pPr>
              <w:pStyle w:val="Tabletext1"/>
            </w:pPr>
            <w:r w:rsidRPr="00E3331A">
              <w:t>I: 0 (0.75, 0); C: 0 (-1, 0); p = 0.93</w:t>
            </w:r>
          </w:p>
        </w:tc>
      </w:tr>
      <w:tr w:rsidR="00281EC2" w:rsidRPr="00E3331A" w:rsidTr="0007007F">
        <w:tc>
          <w:tcPr>
            <w:tcW w:w="585" w:type="pct"/>
            <w:shd w:val="clear" w:color="auto" w:fill="auto"/>
          </w:tcPr>
          <w:p w:rsidR="001E10FA" w:rsidRPr="00E3331A" w:rsidRDefault="001E10FA" w:rsidP="00E33AA4">
            <w:pPr>
              <w:pStyle w:val="Tabletext1"/>
            </w:pPr>
            <w:r w:rsidRPr="00E3331A">
              <w:t>Hughes et al. (2018)</w:t>
            </w:r>
          </w:p>
        </w:tc>
        <w:tc>
          <w:tcPr>
            <w:tcW w:w="573" w:type="pct"/>
            <w:shd w:val="clear" w:color="auto" w:fill="auto"/>
          </w:tcPr>
          <w:p w:rsidR="001E10FA" w:rsidRPr="00E3331A" w:rsidRDefault="001E10FA" w:rsidP="00E33AA4">
            <w:pPr>
              <w:pStyle w:val="Tabletext1"/>
            </w:pPr>
            <w:r w:rsidRPr="00E3331A">
              <w:t>Switch to Is or Pl</w:t>
            </w:r>
          </w:p>
          <w:p w:rsidR="001E10FA" w:rsidRPr="00E3331A" w:rsidRDefault="001E10FA" w:rsidP="00E33AA4">
            <w:pPr>
              <w:pStyle w:val="Tabletext1"/>
            </w:pPr>
            <w:r w:rsidRPr="00E3331A">
              <w:t>Mean 9 months</w:t>
            </w:r>
          </w:p>
        </w:tc>
        <w:tc>
          <w:tcPr>
            <w:tcW w:w="699" w:type="pct"/>
            <w:shd w:val="clear" w:color="auto" w:fill="auto"/>
          </w:tcPr>
          <w:p w:rsidR="001E10FA" w:rsidRPr="00E3331A" w:rsidRDefault="001E10FA" w:rsidP="00E33AA4">
            <w:pPr>
              <w:pStyle w:val="Tabletext1"/>
            </w:pPr>
          </w:p>
        </w:tc>
        <w:tc>
          <w:tcPr>
            <w:tcW w:w="639" w:type="pct"/>
            <w:shd w:val="clear" w:color="auto" w:fill="auto"/>
          </w:tcPr>
          <w:p w:rsidR="001E10FA" w:rsidRPr="00E3331A" w:rsidRDefault="001E10FA" w:rsidP="00E33AA4">
            <w:pPr>
              <w:pStyle w:val="Tabletext1"/>
            </w:pPr>
          </w:p>
        </w:tc>
        <w:tc>
          <w:tcPr>
            <w:tcW w:w="895" w:type="pct"/>
            <w:shd w:val="clear" w:color="auto" w:fill="auto"/>
          </w:tcPr>
          <w:p w:rsidR="001E10FA" w:rsidRPr="00E3331A" w:rsidRDefault="001E10FA" w:rsidP="00E33AA4">
            <w:pPr>
              <w:pStyle w:val="Tabletext1"/>
            </w:pPr>
            <w:r w:rsidRPr="00E3331A">
              <w:t>MD (95% CI) 1.2 (-5.9, 8.2)</w:t>
            </w:r>
          </w:p>
        </w:tc>
        <w:tc>
          <w:tcPr>
            <w:tcW w:w="1609" w:type="pct"/>
            <w:shd w:val="clear" w:color="auto" w:fill="auto"/>
          </w:tcPr>
          <w:p w:rsidR="001E10FA" w:rsidRPr="00E3331A" w:rsidRDefault="001E10FA" w:rsidP="00E33AA4">
            <w:pPr>
              <w:pStyle w:val="Tabletext1"/>
            </w:pPr>
            <w:r w:rsidRPr="00E3331A">
              <w:t>R-ODS (MD (95% CI)</w:t>
            </w:r>
            <w:r w:rsidR="001B576E">
              <w:t>)</w:t>
            </w:r>
          </w:p>
          <w:p w:rsidR="001E10FA" w:rsidRPr="00E3331A" w:rsidRDefault="001E10FA" w:rsidP="00E33AA4">
            <w:pPr>
              <w:pStyle w:val="Tabletext1"/>
            </w:pPr>
            <w:r w:rsidRPr="00E3331A">
              <w:t>-0.8 (-5.0, 3.54)</w:t>
            </w:r>
          </w:p>
        </w:tc>
      </w:tr>
    </w:tbl>
    <w:p w:rsidR="00966453" w:rsidRPr="00E3331A" w:rsidRDefault="00F723F4" w:rsidP="00F723F4">
      <w:pPr>
        <w:pStyle w:val="Tablenotes1"/>
      </w:pPr>
      <w:r w:rsidRPr="00E3331A">
        <w:t xml:space="preserve">Abbreviations: Ig = immunoglobulin; St = steroids; </w:t>
      </w:r>
      <w:r w:rsidR="00DB068F" w:rsidRPr="00E3331A">
        <w:t xml:space="preserve">Pl = </w:t>
      </w:r>
      <w:r w:rsidR="004B5B83" w:rsidRPr="00E3331A">
        <w:t>placebo</w:t>
      </w:r>
      <w:r w:rsidR="004B5B83">
        <w:t>;</w:t>
      </w:r>
      <w:r w:rsidR="004B5B83" w:rsidRPr="00E3331A">
        <w:t xml:space="preserve"> I</w:t>
      </w:r>
      <w:r w:rsidRPr="00E3331A">
        <w:t xml:space="preserve"> = </w:t>
      </w:r>
      <w:r w:rsidR="004B5B83" w:rsidRPr="00E3331A">
        <w:t>intervention</w:t>
      </w:r>
      <w:r w:rsidRPr="00E3331A">
        <w:t>; C = comparator; MRC = Medical Research Council Sum Score; INCAT = Inflammatory Neuropathy Cause and Treatment; NDS = Neurological Disability Score; MD = mean difference; CI = confidence interval; RODS = Rasch-built Overall Disability Scale</w:t>
      </w:r>
      <w:r w:rsidR="00DB068F" w:rsidRPr="00E3331A">
        <w:t>; ODSS: INCAT overall disability sum score; ALDS = Academic Medical Centre Linear Disability Score.</w:t>
      </w:r>
    </w:p>
    <w:p w:rsidR="00D22209" w:rsidRPr="00E3331A" w:rsidRDefault="00D22209" w:rsidP="008A3A7B">
      <w:pPr>
        <w:spacing w:after="0" w:line="240" w:lineRule="auto"/>
        <w:sectPr w:rsidR="00D22209" w:rsidRPr="00E3331A" w:rsidSect="00D22209">
          <w:pgSz w:w="16838" w:h="11906" w:orient="landscape"/>
          <w:pgMar w:top="1440" w:right="1440" w:bottom="1440" w:left="1440" w:header="720" w:footer="720" w:gutter="0"/>
          <w:paperSrc w:first="7" w:other="7"/>
          <w:cols w:space="720"/>
          <w:docGrid w:linePitch="299"/>
        </w:sectPr>
      </w:pPr>
    </w:p>
    <w:p w:rsidR="0066686B" w:rsidRPr="00E3331A" w:rsidRDefault="0066686B" w:rsidP="003E4E1F">
      <w:pPr>
        <w:pStyle w:val="Heading2"/>
        <w:numPr>
          <w:ilvl w:val="1"/>
          <w:numId w:val="9"/>
        </w:numPr>
      </w:pPr>
      <w:bookmarkStart w:id="263" w:name="_Toc24103471"/>
      <w:r w:rsidRPr="00E3331A">
        <w:lastRenderedPageBreak/>
        <w:t>Extended Assessment of Harms</w:t>
      </w:r>
      <w:bookmarkEnd w:id="263"/>
    </w:p>
    <w:p w:rsidR="0066686B" w:rsidRPr="00E3331A" w:rsidRDefault="0066686B" w:rsidP="0066686B">
      <w:r w:rsidRPr="00E3331A">
        <w:t>Owing to a paucity of comparative safety data</w:t>
      </w:r>
      <w:r w:rsidR="00AD1BB5" w:rsidRPr="00E3331A">
        <w:t>,</w:t>
      </w:r>
      <w:r w:rsidRPr="00E3331A">
        <w:t xml:space="preserve"> the extended assessment of harms considers the broader experience of patients with CIDP receiving a range of interventions in level IV and III-3 comparative studies. These studies lack contemporaneous control groups</w:t>
      </w:r>
      <w:r w:rsidR="00AD1BB5" w:rsidRPr="00E3331A">
        <w:t>, they</w:t>
      </w:r>
      <w:r w:rsidRPr="00E3331A">
        <w:t xml:space="preserve"> suffer from the confounding effects of multiple concurrent interventions</w:t>
      </w:r>
      <w:r w:rsidR="00AD1BB5" w:rsidRPr="00E3331A">
        <w:t>,</w:t>
      </w:r>
      <w:r w:rsidRPr="00E3331A">
        <w:t xml:space="preserve"> and </w:t>
      </w:r>
      <w:r w:rsidR="00AD1BB5" w:rsidRPr="00E3331A">
        <w:t xml:space="preserve">they </w:t>
      </w:r>
      <w:r w:rsidRPr="00E3331A">
        <w:t xml:space="preserve">contain limited detail regarding the nature of adverse events. However, these observational case series make up a substantial proportion of publications on patients with CIDP and </w:t>
      </w:r>
      <w:r w:rsidR="00AD1BB5" w:rsidRPr="00E3331A">
        <w:t xml:space="preserve">they </w:t>
      </w:r>
      <w:r w:rsidRPr="00E3331A">
        <w:t xml:space="preserve">typically followed patients for longer than </w:t>
      </w:r>
      <w:r w:rsidR="00AD1BB5" w:rsidRPr="00E3331A">
        <w:t xml:space="preserve">did </w:t>
      </w:r>
      <w:r w:rsidRPr="00E3331A">
        <w:t xml:space="preserve">those enrolled in the </w:t>
      </w:r>
      <w:r w:rsidR="00AD1BB5" w:rsidRPr="00E3331A">
        <w:t>RCT</w:t>
      </w:r>
      <w:r w:rsidRPr="00E3331A">
        <w:t xml:space="preserve"> evidence. These studies can therefore provide important information about rarer adverse events and/or the </w:t>
      </w:r>
      <w:r w:rsidR="007C4CBB" w:rsidRPr="00E3331A">
        <w:t>longer</w:t>
      </w:r>
      <w:r w:rsidR="00AD1BB5" w:rsidRPr="00E3331A">
        <w:t>-</w:t>
      </w:r>
      <w:r w:rsidR="007C4CBB" w:rsidRPr="00E3331A">
        <w:t>term</w:t>
      </w:r>
      <w:r w:rsidRPr="00E3331A">
        <w:t xml:space="preserve"> safety profile of particular interventions. With respect to interpretation</w:t>
      </w:r>
      <w:r w:rsidR="00AD1BB5" w:rsidRPr="00E3331A">
        <w:t>,</w:t>
      </w:r>
      <w:r w:rsidRPr="00E3331A">
        <w:t xml:space="preserve"> the following key limitations of the evidence base should be noted:</w:t>
      </w:r>
    </w:p>
    <w:p w:rsidR="0066686B" w:rsidRPr="00E3331A" w:rsidRDefault="0066686B" w:rsidP="001F5B33">
      <w:pPr>
        <w:pStyle w:val="ColorfulList-Accent11"/>
        <w:numPr>
          <w:ilvl w:val="0"/>
          <w:numId w:val="29"/>
        </w:numPr>
      </w:pPr>
      <w:r w:rsidRPr="00E3331A">
        <w:t>Level IV and III-3 studies do not exclude patients receiving multiple interventions</w:t>
      </w:r>
      <w:r w:rsidR="00AD1BB5" w:rsidRPr="00E3331A">
        <w:t>,</w:t>
      </w:r>
      <w:r w:rsidRPr="00E3331A">
        <w:t xml:space="preserve"> therefore the attribution of a particular adverse event to the intervention under study may be questionable. </w:t>
      </w:r>
    </w:p>
    <w:p w:rsidR="0066686B" w:rsidRPr="00E3331A" w:rsidRDefault="0066686B" w:rsidP="001F5B33">
      <w:pPr>
        <w:pStyle w:val="ColorfulList-Accent11"/>
        <w:numPr>
          <w:ilvl w:val="0"/>
          <w:numId w:val="29"/>
        </w:numPr>
      </w:pPr>
      <w:r w:rsidRPr="00E3331A">
        <w:t xml:space="preserve">Studies were overwhelmingly retrospective in </w:t>
      </w:r>
      <w:r w:rsidR="006D1062" w:rsidRPr="00E3331A">
        <w:t>nature;</w:t>
      </w:r>
      <w:r w:rsidRPr="00E3331A">
        <w:t xml:space="preserve"> </w:t>
      </w:r>
      <w:r w:rsidR="004B5B83" w:rsidRPr="00E3331A">
        <w:t>therefore,</w:t>
      </w:r>
      <w:r w:rsidRPr="00E3331A">
        <w:t xml:space="preserve"> adverse event reporting was typically limited to the availability and accuracy of case notes or records. </w:t>
      </w:r>
    </w:p>
    <w:p w:rsidR="0066686B" w:rsidRPr="00E3331A" w:rsidRDefault="0066686B" w:rsidP="001F5B33">
      <w:pPr>
        <w:pStyle w:val="ColorfulList-Accent11"/>
        <w:numPr>
          <w:ilvl w:val="0"/>
          <w:numId w:val="29"/>
        </w:numPr>
        <w:jc w:val="both"/>
        <w:rPr>
          <w:vanish/>
        </w:rPr>
      </w:pPr>
      <w:r w:rsidRPr="00E3331A">
        <w:t xml:space="preserve">The risk of any particular outcome cannot be estimated from these series as the sample sizes were typically small and the reported rates of adverse events exhibit significant heterogeneity across studies. </w:t>
      </w:r>
    </w:p>
    <w:p w:rsidR="0066686B" w:rsidRPr="00E3331A" w:rsidRDefault="0066686B" w:rsidP="001F5B33">
      <w:pPr>
        <w:pStyle w:val="ColorfulList-Accent11"/>
        <w:numPr>
          <w:ilvl w:val="0"/>
          <w:numId w:val="29"/>
        </w:numPr>
        <w:jc w:val="both"/>
        <w:rPr>
          <w:vanish/>
        </w:rPr>
      </w:pPr>
      <w:r w:rsidRPr="00E3331A">
        <w:t xml:space="preserve">Whether there was consecutive enrolment in studies was typically </w:t>
      </w:r>
      <w:r w:rsidR="004B5B83" w:rsidRPr="00E3331A">
        <w:t>unclear</w:t>
      </w:r>
      <w:r w:rsidR="00470915" w:rsidRPr="00E3331A">
        <w:t xml:space="preserve">, </w:t>
      </w:r>
      <w:r w:rsidRPr="00E3331A">
        <w:t>and the inclusion and exclusion criteria were poorly defined</w:t>
      </w:r>
      <w:r w:rsidR="00470915" w:rsidRPr="00E3331A">
        <w:t xml:space="preserve"> overall</w:t>
      </w:r>
      <w:r w:rsidRPr="00E3331A">
        <w:t xml:space="preserve">. Consequently, selection bias may be significant within this evidence base. </w:t>
      </w:r>
    </w:p>
    <w:p w:rsidR="0066686B" w:rsidRPr="00E3331A" w:rsidRDefault="0066686B" w:rsidP="001F5B33">
      <w:pPr>
        <w:pStyle w:val="ColorfulList-Accent11"/>
        <w:numPr>
          <w:ilvl w:val="0"/>
          <w:numId w:val="29"/>
        </w:numPr>
        <w:jc w:val="both"/>
        <w:rPr>
          <w:vanish/>
        </w:rPr>
      </w:pPr>
      <w:r w:rsidRPr="00E3331A">
        <w:t>Adverse events were under</w:t>
      </w:r>
      <w:r w:rsidR="00470915" w:rsidRPr="00E3331A">
        <w:t>-</w:t>
      </w:r>
      <w:r w:rsidRPr="00E3331A">
        <w:t>reported</w:t>
      </w:r>
      <w:r w:rsidR="00470915" w:rsidRPr="00E3331A">
        <w:t>,</w:t>
      </w:r>
      <w:r w:rsidRPr="00E3331A">
        <w:t xml:space="preserve"> </w:t>
      </w:r>
      <w:r w:rsidR="00470915" w:rsidRPr="00E3331A">
        <w:t>as</w:t>
      </w:r>
      <w:r w:rsidRPr="00E3331A">
        <w:t xml:space="preserve"> revealed by statements from authors such as</w:t>
      </w:r>
      <w:r w:rsidR="00470915" w:rsidRPr="00E3331A">
        <w:t>,</w:t>
      </w:r>
      <w:r w:rsidRPr="00E3331A">
        <w:t xml:space="preserve"> “the most frequent minor side effect was headache, which was easily controlled with symptomatic medications”</w:t>
      </w:r>
      <w:r w:rsidR="00470915" w:rsidRPr="00E3331A">
        <w:t>,</w:t>
      </w:r>
      <w:r w:rsidRPr="00E3331A">
        <w:t xml:space="preserve"> wherein the actual number of patients or events </w:t>
      </w:r>
      <w:r w:rsidR="00470915" w:rsidRPr="00E3331A">
        <w:t>wa</w:t>
      </w:r>
      <w:r w:rsidRPr="00E3331A">
        <w:t xml:space="preserve">s not reported </w:t>
      </w:r>
      <w:r w:rsidR="00B85C75">
        <w:rPr>
          <w:noProof/>
        </w:rPr>
        <w:t>(Jann et al. 2005)</w:t>
      </w:r>
      <w:r w:rsidRPr="00E3331A">
        <w:t>.</w:t>
      </w:r>
    </w:p>
    <w:p w:rsidR="0066686B" w:rsidRPr="00E3331A" w:rsidRDefault="0066686B" w:rsidP="0066686B">
      <w:r w:rsidRPr="00E3331A">
        <w:t xml:space="preserve">The extended assessment of harms should be read in light of the above comments and it should be noted that interpretation of comparative safety is informed by the understanding </w:t>
      </w:r>
      <w:r w:rsidR="00470915" w:rsidRPr="00E3331A">
        <w:t>that</w:t>
      </w:r>
      <w:r w:rsidR="00345C95" w:rsidRPr="00E3331A">
        <w:t xml:space="preserve"> </w:t>
      </w:r>
      <w:r w:rsidRPr="00E3331A">
        <w:t xml:space="preserve">the mainstay of treatment </w:t>
      </w:r>
      <w:r w:rsidR="00470915" w:rsidRPr="00E3331A">
        <w:t xml:space="preserve">for </w:t>
      </w:r>
      <w:r w:rsidRPr="00E3331A">
        <w:t>CIDP comprises IVI</w:t>
      </w:r>
      <w:r w:rsidR="00470915" w:rsidRPr="00E3331A">
        <w:t>g</w:t>
      </w:r>
      <w:r w:rsidRPr="00E3331A">
        <w:t>, steroids and plasma exchange</w:t>
      </w:r>
      <w:r w:rsidR="00470915" w:rsidRPr="00E3331A">
        <w:t xml:space="preserve"> </w:t>
      </w:r>
      <w:r w:rsidR="00B85C75">
        <w:rPr>
          <w:noProof/>
        </w:rPr>
        <w:t>(Dyck and Tracy 2018)</w:t>
      </w:r>
      <w:r w:rsidRPr="00E3331A">
        <w:t xml:space="preserve">. Each of these treatments </w:t>
      </w:r>
      <w:r w:rsidR="00470915" w:rsidRPr="00E3331A">
        <w:t xml:space="preserve">is </w:t>
      </w:r>
      <w:r w:rsidRPr="00E3331A">
        <w:t>associated with potential adverse effects and ha</w:t>
      </w:r>
      <w:r w:rsidR="00470915" w:rsidRPr="00E3331A">
        <w:t>s</w:t>
      </w:r>
      <w:r w:rsidRPr="00E3331A">
        <w:t xml:space="preserve"> unique limitations </w:t>
      </w:r>
      <w:r w:rsidR="00B85C75">
        <w:rPr>
          <w:noProof/>
        </w:rPr>
        <w:t>(Dyck and Tracy 2018)</w:t>
      </w:r>
      <w:r w:rsidRPr="00E3331A">
        <w:t>. Other immunosuppressant medications including methotrexate, azathioprine and others are typically employed when first</w:t>
      </w:r>
      <w:r w:rsidR="00D45BCF" w:rsidRPr="00E3331A">
        <w:t>-</w:t>
      </w:r>
      <w:r w:rsidRPr="00E3331A">
        <w:t>line treatments provid</w:t>
      </w:r>
      <w:r w:rsidR="00470915" w:rsidRPr="00E3331A">
        <w:t>e</w:t>
      </w:r>
      <w:r w:rsidRPr="00E3331A">
        <w:t xml:space="preserve"> insufficient disease control and/or with a view to reduc</w:t>
      </w:r>
      <w:r w:rsidR="00470915" w:rsidRPr="00E3331A">
        <w:t>e</w:t>
      </w:r>
      <w:r w:rsidRPr="00E3331A">
        <w:t xml:space="preserve"> dependence on first</w:t>
      </w:r>
      <w:r w:rsidR="00D45BCF" w:rsidRPr="00E3331A">
        <w:t>-</w:t>
      </w:r>
      <w:r w:rsidRPr="00E3331A">
        <w:t>line treatments</w:t>
      </w:r>
      <w:r w:rsidR="00470915" w:rsidRPr="00E3331A">
        <w:t xml:space="preserve"> </w:t>
      </w:r>
      <w:r w:rsidR="00B85C75">
        <w:rPr>
          <w:noProof/>
        </w:rPr>
        <w:t>(Dyck and Tracy 2018)</w:t>
      </w:r>
      <w:r w:rsidRPr="00E3331A">
        <w:t>.</w:t>
      </w:r>
      <w:r w:rsidR="00345C95" w:rsidRPr="00E3331A">
        <w:t xml:space="preserve"> </w:t>
      </w:r>
      <w:bookmarkStart w:id="264" w:name="_Hlk9684645"/>
      <w:r w:rsidR="00470915" w:rsidRPr="00E3331A">
        <w:t>M</w:t>
      </w:r>
      <w:r w:rsidRPr="00E3331A">
        <w:t xml:space="preserve">ost patients with CIDP will require long-term </w:t>
      </w:r>
      <w:r w:rsidR="007C4CBB" w:rsidRPr="00E3331A">
        <w:t>treatment and</w:t>
      </w:r>
      <w:r w:rsidRPr="00E3331A">
        <w:t xml:space="preserve"> may require multiple therapies over the course of their disease</w:t>
      </w:r>
      <w:r w:rsidR="00843722" w:rsidRPr="00E3331A">
        <w:t>.</w:t>
      </w:r>
      <w:r w:rsidRPr="00E3331A">
        <w:t xml:space="preserve"> </w:t>
      </w:r>
      <w:r w:rsidR="00843722" w:rsidRPr="00E3331A">
        <w:t xml:space="preserve">Individual patient factors need to be considered when </w:t>
      </w:r>
      <w:r w:rsidRPr="00E3331A">
        <w:t>compari</w:t>
      </w:r>
      <w:r w:rsidR="00843722" w:rsidRPr="00E3331A">
        <w:t>ng</w:t>
      </w:r>
      <w:r w:rsidRPr="00E3331A">
        <w:t xml:space="preserve"> the safety profile of various therapies for CIDP. </w:t>
      </w:r>
      <w:bookmarkEnd w:id="264"/>
      <w:r w:rsidR="00843722" w:rsidRPr="00E3331A">
        <w:t>Furthermore</w:t>
      </w:r>
      <w:r w:rsidRPr="00E3331A">
        <w:t xml:space="preserve">, most patients will receive treatment for durations longer </w:t>
      </w:r>
      <w:r w:rsidRPr="00E3331A">
        <w:lastRenderedPageBreak/>
        <w:t>than those represented in the literature and will likely have periods off treatment and/or changes between treatments.</w:t>
      </w:r>
      <w:r w:rsidR="00345C95" w:rsidRPr="00E3331A">
        <w:t xml:space="preserve"> </w:t>
      </w:r>
    </w:p>
    <w:p w:rsidR="0066686B" w:rsidRPr="00E3331A" w:rsidRDefault="0066686B" w:rsidP="0066686B">
      <w:r w:rsidRPr="00E3331A">
        <w:t xml:space="preserve">This review has identified that the safety of </w:t>
      </w:r>
      <w:r w:rsidR="00B74D00" w:rsidRPr="00E3331A">
        <w:t>IVIg i</w:t>
      </w:r>
      <w:r w:rsidRPr="00E3331A">
        <w:t xml:space="preserve">s the most thoroughly examined in the literature, </w:t>
      </w:r>
      <w:r w:rsidR="00B74D00" w:rsidRPr="00E3331A">
        <w:t xml:space="preserve">perhaps because </w:t>
      </w:r>
      <w:r w:rsidRPr="00E3331A">
        <w:t>it is a favoured treatment option for CIDP</w:t>
      </w:r>
      <w:r w:rsidR="00B74D00" w:rsidRPr="00E3331A">
        <w:t>.</w:t>
      </w:r>
      <w:r w:rsidRPr="00E3331A">
        <w:t xml:space="preserve"> </w:t>
      </w:r>
      <w:r w:rsidR="00B74D00" w:rsidRPr="00E3331A">
        <w:t>S</w:t>
      </w:r>
      <w:r w:rsidRPr="00E3331A">
        <w:t>teroids have also frequently been examined. Other treatment</w:t>
      </w:r>
      <w:r w:rsidR="00B74D00" w:rsidRPr="00E3331A">
        <w:t>s,</w:t>
      </w:r>
      <w:r w:rsidRPr="00E3331A">
        <w:t xml:space="preserve"> including plasma exchange and immunosuppressant drugs</w:t>
      </w:r>
      <w:r w:rsidR="00B74D00" w:rsidRPr="00E3331A">
        <w:t>,</w:t>
      </w:r>
      <w:r w:rsidRPr="00E3331A">
        <w:t xml:space="preserve"> have not been widely studied in the context of CIDP (although there is significant experience with all treatments in the broader literature). Th</w:t>
      </w:r>
      <w:r w:rsidR="00B74D00" w:rsidRPr="00E3331A">
        <w:t>is</w:t>
      </w:r>
      <w:r w:rsidRPr="00E3331A">
        <w:t xml:space="preserve"> extended assessment of harms is </w:t>
      </w:r>
      <w:r w:rsidR="00B74D00" w:rsidRPr="00E3331A">
        <w:t xml:space="preserve">presented </w:t>
      </w:r>
      <w:r w:rsidRPr="00E3331A">
        <w:t xml:space="preserve">as follows: </w:t>
      </w:r>
      <w:r w:rsidR="00B74D00" w:rsidRPr="00E3331A">
        <w:t xml:space="preserve">a </w:t>
      </w:r>
      <w:r w:rsidRPr="00E3331A">
        <w:t>commentary on the comparative safety of the investigated interventions in terms of the nature of frequent and serious adverse events</w:t>
      </w:r>
      <w:r w:rsidR="00B74D00" w:rsidRPr="00E3331A">
        <w:t>,</w:t>
      </w:r>
      <w:r w:rsidRPr="00E3331A">
        <w:t xml:space="preserve"> followed by a summary of </w:t>
      </w:r>
      <w:r w:rsidR="00B74D00" w:rsidRPr="00E3331A">
        <w:t xml:space="preserve">each </w:t>
      </w:r>
      <w:r w:rsidRPr="00E3331A">
        <w:t xml:space="preserve">adverse event profile as represented by the total evidence for each </w:t>
      </w:r>
      <w:r w:rsidR="00B74D00" w:rsidRPr="00E3331A">
        <w:t xml:space="preserve">separate </w:t>
      </w:r>
      <w:r w:rsidRPr="00E3331A">
        <w:t xml:space="preserve">intervention. </w:t>
      </w:r>
      <w:r w:rsidR="006F35B9" w:rsidRPr="00E3331A">
        <w:t xml:space="preserve">Table </w:t>
      </w:r>
      <w:r w:rsidR="006F35B9">
        <w:rPr>
          <w:noProof/>
        </w:rPr>
        <w:t>39</w:t>
      </w:r>
      <w:r w:rsidR="00D42DAD" w:rsidRPr="00E3331A">
        <w:t xml:space="preserve"> and </w:t>
      </w:r>
      <w:r w:rsidR="006F35B9" w:rsidRPr="00E3331A">
        <w:t xml:space="preserve">Table </w:t>
      </w:r>
      <w:r w:rsidR="006F35B9">
        <w:rPr>
          <w:noProof/>
        </w:rPr>
        <w:t>40</w:t>
      </w:r>
      <w:r w:rsidR="00D42DAD" w:rsidRPr="00E3331A">
        <w:t xml:space="preserve"> at the end of Section B.7</w:t>
      </w:r>
      <w:r w:rsidR="00B74D00" w:rsidRPr="00E3331A">
        <w:t>,</w:t>
      </w:r>
      <w:r w:rsidR="00D42DAD" w:rsidRPr="00E3331A">
        <w:t xml:space="preserve"> </w:t>
      </w:r>
      <w:r w:rsidRPr="00E3331A">
        <w:t xml:space="preserve">and </w:t>
      </w:r>
      <w:r w:rsidR="006F35B9" w:rsidRPr="00E3331A">
        <w:t xml:space="preserve">Table </w:t>
      </w:r>
      <w:r w:rsidR="006F35B9">
        <w:rPr>
          <w:noProof/>
        </w:rPr>
        <w:t>99</w:t>
      </w:r>
      <w:r w:rsidR="00D42DAD" w:rsidRPr="00E3331A">
        <w:t xml:space="preserve"> (Appendix C)</w:t>
      </w:r>
      <w:r w:rsidRPr="00E3331A">
        <w:t xml:space="preserve"> at the end of the safety </w:t>
      </w:r>
      <w:r w:rsidR="00B74D00" w:rsidRPr="00E3331A">
        <w:t>s</w:t>
      </w:r>
      <w:r w:rsidRPr="00E3331A">
        <w:t>ection provide the following:</w:t>
      </w:r>
    </w:p>
    <w:p w:rsidR="0066686B" w:rsidRPr="00E3331A" w:rsidRDefault="006F35B9" w:rsidP="001F5B33">
      <w:pPr>
        <w:pStyle w:val="ColorfulList-Accent11"/>
        <w:numPr>
          <w:ilvl w:val="0"/>
          <w:numId w:val="31"/>
        </w:numPr>
      </w:pPr>
      <w:r w:rsidRPr="00E3331A">
        <w:t xml:space="preserve">Table </w:t>
      </w:r>
      <w:r>
        <w:rPr>
          <w:noProof/>
        </w:rPr>
        <w:t>39</w:t>
      </w:r>
      <w:r w:rsidR="00D42DAD" w:rsidRPr="00E3331A">
        <w:t xml:space="preserve"> </w:t>
      </w:r>
      <w:r w:rsidR="0066686B" w:rsidRPr="00E3331A">
        <w:t>summarises</w:t>
      </w:r>
      <w:r w:rsidR="00345C95" w:rsidRPr="00E3331A">
        <w:t xml:space="preserve"> </w:t>
      </w:r>
      <w:r w:rsidR="0066686B" w:rsidRPr="00E3331A">
        <w:t xml:space="preserve">adverse events reported in the included studies for IVIg, including SCIg, steroids and plasma exchange. The events are presented as the number of patients experiencing the event (n), the number of studies reporting that event (including explicitly reported 0 rates, k), and the total number of patients in the reporting studies (N). </w:t>
      </w:r>
    </w:p>
    <w:p w:rsidR="0066686B" w:rsidRPr="00E3331A" w:rsidRDefault="006F35B9" w:rsidP="001F5B33">
      <w:pPr>
        <w:pStyle w:val="ColorfulList-Accent11"/>
        <w:numPr>
          <w:ilvl w:val="0"/>
          <w:numId w:val="31"/>
        </w:numPr>
      </w:pPr>
      <w:r w:rsidRPr="00E3331A">
        <w:t xml:space="preserve">Table </w:t>
      </w:r>
      <w:r>
        <w:rPr>
          <w:noProof/>
        </w:rPr>
        <w:t>40</w:t>
      </w:r>
      <w:r w:rsidR="00D42DAD" w:rsidRPr="00E3331A">
        <w:t xml:space="preserve"> </w:t>
      </w:r>
      <w:r w:rsidR="0066686B" w:rsidRPr="00E3331A">
        <w:t>provides the same information for</w:t>
      </w:r>
      <w:r w:rsidR="00345C95" w:rsidRPr="00E3331A">
        <w:t xml:space="preserve"> </w:t>
      </w:r>
      <w:r w:rsidR="0066686B" w:rsidRPr="00E3331A">
        <w:t xml:space="preserve">immunosuppressant drugs and immunoadsorption. These are reported separately due to </w:t>
      </w:r>
      <w:r w:rsidR="00C91439" w:rsidRPr="00E3331A">
        <w:t>the</w:t>
      </w:r>
      <w:r w:rsidR="0066686B" w:rsidRPr="00E3331A">
        <w:t xml:space="preserve"> paucity of available literature, and </w:t>
      </w:r>
      <w:r w:rsidR="00C91439" w:rsidRPr="00E3331A">
        <w:t xml:space="preserve">with </w:t>
      </w:r>
      <w:r w:rsidR="0066686B" w:rsidRPr="00E3331A">
        <w:t>the understanding that</w:t>
      </w:r>
      <w:r w:rsidR="00C91439" w:rsidRPr="00E3331A">
        <w:t>, in practice,</w:t>
      </w:r>
      <w:r w:rsidR="0066686B" w:rsidRPr="00E3331A">
        <w:t xml:space="preserve"> these interventions would typically be considered second</w:t>
      </w:r>
      <w:r w:rsidR="00D45BCF" w:rsidRPr="00E3331A">
        <w:t>-</w:t>
      </w:r>
      <w:r w:rsidR="0066686B" w:rsidRPr="00E3331A">
        <w:t>line and/or adjunct therapies</w:t>
      </w:r>
    </w:p>
    <w:p w:rsidR="0066686B" w:rsidRPr="00E3331A" w:rsidRDefault="006F35B9" w:rsidP="001F5B33">
      <w:pPr>
        <w:pStyle w:val="ColorfulList-Accent11"/>
        <w:numPr>
          <w:ilvl w:val="0"/>
          <w:numId w:val="31"/>
        </w:numPr>
      </w:pPr>
      <w:r w:rsidRPr="00E3331A">
        <w:t xml:space="preserve">Table </w:t>
      </w:r>
      <w:r>
        <w:rPr>
          <w:noProof/>
        </w:rPr>
        <w:t>99</w:t>
      </w:r>
      <w:r w:rsidR="0066686B" w:rsidRPr="00E3331A">
        <w:t xml:space="preserve"> </w:t>
      </w:r>
      <w:r w:rsidR="00D42DAD" w:rsidRPr="00E3331A">
        <w:t xml:space="preserve">(Appendix C) </w:t>
      </w:r>
      <w:r w:rsidR="0066686B" w:rsidRPr="00E3331A">
        <w:t>summarises the characteristics of the included studies</w:t>
      </w:r>
      <w:r w:rsidR="007776A4" w:rsidRPr="00E3331A">
        <w:t>,</w:t>
      </w:r>
      <w:r w:rsidR="0066686B" w:rsidRPr="00E3331A">
        <w:t xml:space="preserve"> the rate of adverse events, and the nature of serious events on a per study basis.</w:t>
      </w:r>
    </w:p>
    <w:p w:rsidR="0066686B" w:rsidRPr="00E3331A" w:rsidRDefault="0066686B" w:rsidP="0066686B">
      <w:pPr>
        <w:pStyle w:val="Heading3"/>
        <w:jc w:val="both"/>
      </w:pPr>
      <w:bookmarkStart w:id="265" w:name="_Toc24103472"/>
      <w:r w:rsidRPr="00E3331A">
        <w:t xml:space="preserve">Adverse events in patients receiving </w:t>
      </w:r>
      <w:r w:rsidR="0025076A">
        <w:t>IVIg</w:t>
      </w:r>
      <w:r w:rsidR="0025076A" w:rsidRPr="00E3331A">
        <w:t xml:space="preserve"> </w:t>
      </w:r>
      <w:r w:rsidRPr="00E3331A">
        <w:t xml:space="preserve">or </w:t>
      </w:r>
      <w:r w:rsidR="0025076A">
        <w:t>SCIg</w:t>
      </w:r>
      <w:bookmarkEnd w:id="265"/>
    </w:p>
    <w:p w:rsidR="0066686B" w:rsidRPr="00E3331A" w:rsidRDefault="00283A3A" w:rsidP="0066686B">
      <w:r w:rsidRPr="00E3331A">
        <w:t>E</w:t>
      </w:r>
      <w:r w:rsidR="0066686B" w:rsidRPr="00E3331A">
        <w:t xml:space="preserve">vidence considered for the safety of IVIg or SCIg </w:t>
      </w:r>
      <w:r w:rsidRPr="00E3331A">
        <w:t xml:space="preserve">consisted </w:t>
      </w:r>
      <w:r w:rsidR="0066686B" w:rsidRPr="00E3331A">
        <w:t>of:</w:t>
      </w:r>
    </w:p>
    <w:p w:rsidR="0066686B" w:rsidRPr="00E3331A" w:rsidRDefault="0066686B" w:rsidP="001F5B33">
      <w:pPr>
        <w:pStyle w:val="ColorfulList-Accent11"/>
        <w:numPr>
          <w:ilvl w:val="0"/>
          <w:numId w:val="30"/>
        </w:numPr>
      </w:pPr>
      <w:r w:rsidRPr="00E3331A">
        <w:t xml:space="preserve">17 level IV case series reporting on adverse events associated with IVIg. The oldest of these publications was from 1997 and the most recent 2018. </w:t>
      </w:r>
    </w:p>
    <w:p w:rsidR="00832A4E" w:rsidRDefault="0066686B" w:rsidP="00880FD1">
      <w:pPr>
        <w:pStyle w:val="ColorfulList-Accent11"/>
        <w:numPr>
          <w:ilvl w:val="0"/>
          <w:numId w:val="30"/>
        </w:numPr>
      </w:pPr>
      <w:r w:rsidRPr="00E3331A">
        <w:t>5 level III-3 studies including a cohort of patients receiving IVIg published between 1995 and 2018. These studies were not considered relevant for comparative safety because there was no a priori decision to enrol patients in different cohorts</w:t>
      </w:r>
      <w:r w:rsidR="00283A3A" w:rsidRPr="00E3331A">
        <w:t xml:space="preserve">. </w:t>
      </w:r>
      <w:r w:rsidR="004B5B83" w:rsidRPr="00E3331A">
        <w:t>Thus,</w:t>
      </w:r>
      <w:r w:rsidRPr="00E3331A">
        <w:t xml:space="preserve"> groups differ</w:t>
      </w:r>
      <w:r w:rsidR="00283A3A" w:rsidRPr="00E3331A">
        <w:t>ed</w:t>
      </w:r>
      <w:r w:rsidRPr="00E3331A">
        <w:t xml:space="preserve"> in sample size and baseline characteristics</w:t>
      </w:r>
      <w:r w:rsidR="00283A3A" w:rsidRPr="00E3331A">
        <w:t>,</w:t>
      </w:r>
      <w:r w:rsidRPr="00E3331A">
        <w:t xml:space="preserve"> rendering them essentially level IV evidence. </w:t>
      </w:r>
      <w:r w:rsidR="00283A3A" w:rsidRPr="00E3331A">
        <w:t>Furthermore,</w:t>
      </w:r>
      <w:r w:rsidRPr="00E3331A">
        <w:t xml:space="preserve"> these studies report</w:t>
      </w:r>
      <w:r w:rsidR="00283A3A" w:rsidRPr="00E3331A">
        <w:t>ed</w:t>
      </w:r>
      <w:r w:rsidRPr="00E3331A">
        <w:t xml:space="preserve"> no comparisons between groups for safety. </w:t>
      </w:r>
    </w:p>
    <w:p w:rsidR="0066686B" w:rsidRPr="00E3331A" w:rsidRDefault="0066686B" w:rsidP="00880FD1">
      <w:pPr>
        <w:pStyle w:val="ColorfulList-Accent11"/>
        <w:numPr>
          <w:ilvl w:val="0"/>
          <w:numId w:val="30"/>
        </w:numPr>
      </w:pPr>
      <w:r w:rsidRPr="00E3331A">
        <w:lastRenderedPageBreak/>
        <w:t xml:space="preserve">The IVIg arm of </w:t>
      </w:r>
      <w:r w:rsidR="00591599" w:rsidRPr="00E3331A">
        <w:t>six</w:t>
      </w:r>
      <w:r w:rsidRPr="00E3331A">
        <w:t xml:space="preserve"> level II studies </w:t>
      </w:r>
      <w:r w:rsidR="00283A3A" w:rsidRPr="00E3331A">
        <w:t xml:space="preserve">was </w:t>
      </w:r>
      <w:r w:rsidRPr="00E3331A">
        <w:t xml:space="preserve">previously reported in </w:t>
      </w:r>
      <w:r w:rsidR="00283A3A" w:rsidRPr="00E3331A">
        <w:t xml:space="preserve">the section on </w:t>
      </w:r>
      <w:r w:rsidRPr="00E3331A">
        <w:t>comparative safety and included in the extended assessment of harms to provide a comprehensive overview of the nature of adverse events associated with IVIg.</w:t>
      </w:r>
      <w:r w:rsidRPr="00E3331A">
        <w:rPr>
          <w:rStyle w:val="FootnoteReference"/>
        </w:rPr>
        <w:footnoteReference w:id="17"/>
      </w:r>
    </w:p>
    <w:p w:rsidR="0066686B" w:rsidRPr="00E3331A" w:rsidRDefault="0066686B" w:rsidP="0066686B">
      <w:r w:rsidRPr="00E3331A">
        <w:t>Sample sizes across the included studies or arms range from 10 to 281</w:t>
      </w:r>
      <w:r w:rsidR="00283A3A" w:rsidRPr="00E3331A">
        <w:t xml:space="preserve">. </w:t>
      </w:r>
      <w:r w:rsidR="006F35B9" w:rsidRPr="00E3331A">
        <w:t xml:space="preserve">Table </w:t>
      </w:r>
      <w:r w:rsidR="006F35B9">
        <w:rPr>
          <w:noProof/>
        </w:rPr>
        <w:t>99</w:t>
      </w:r>
      <w:r w:rsidR="00283A3A" w:rsidRPr="00E3331A">
        <w:t xml:space="preserve"> (Appendix C) shows that the </w:t>
      </w:r>
      <w:r w:rsidRPr="00E3331A">
        <w:t xml:space="preserve">studies were heterogenous in terms of the completeness of adverse event reporting, </w:t>
      </w:r>
      <w:r w:rsidR="00286BFF" w:rsidRPr="00E3331A">
        <w:t xml:space="preserve">the </w:t>
      </w:r>
      <w:r w:rsidRPr="00E3331A">
        <w:t xml:space="preserve">observation period and the duration of maintenance treatment with IVIg. </w:t>
      </w:r>
      <w:r w:rsidR="00286BFF" w:rsidRPr="00E3331A">
        <w:t>O</w:t>
      </w:r>
      <w:r w:rsidRPr="00E3331A">
        <w:t xml:space="preserve">nly three studies considered SCIg </w:t>
      </w:r>
      <w:r w:rsidR="00B85C75">
        <w:rPr>
          <w:noProof/>
        </w:rPr>
        <w:t>(Christiansen et al. 2018; Cocito et al. 2014; Markvardsen et al. 2014b)</w:t>
      </w:r>
      <w:r w:rsidRPr="00E3331A">
        <w:t xml:space="preserve">. </w:t>
      </w:r>
    </w:p>
    <w:p w:rsidR="0066686B" w:rsidRPr="00E3331A" w:rsidRDefault="0066686B" w:rsidP="0066686B">
      <w:pPr>
        <w:rPr>
          <w:b/>
        </w:rPr>
      </w:pPr>
      <w:r w:rsidRPr="00E3331A">
        <w:rPr>
          <w:b/>
        </w:rPr>
        <w:t>Any adverse event and serious adverse events</w:t>
      </w:r>
    </w:p>
    <w:p w:rsidR="0066686B" w:rsidRPr="00E3331A" w:rsidRDefault="00286BFF" w:rsidP="0066686B">
      <w:r w:rsidRPr="00E3331A">
        <w:t>A</w:t>
      </w:r>
      <w:r w:rsidR="0066686B" w:rsidRPr="00E3331A">
        <w:t xml:space="preserve"> total of 1,108 patients were included in studies where the overall rate of adverse events was reported. </w:t>
      </w:r>
      <w:r w:rsidRPr="00E3331A">
        <w:t xml:space="preserve">Among </w:t>
      </w:r>
      <w:r w:rsidR="0066686B" w:rsidRPr="00E3331A">
        <w:t>these patients</w:t>
      </w:r>
      <w:r w:rsidRPr="00E3331A">
        <w:t>,</w:t>
      </w:r>
      <w:r w:rsidR="0066686B" w:rsidRPr="00E3331A">
        <w:t xml:space="preserve"> a total of 410 (37%) experienced an adverse event, </w:t>
      </w:r>
      <w:r w:rsidRPr="00E3331A">
        <w:t xml:space="preserve">bearing in mind </w:t>
      </w:r>
      <w:r w:rsidR="0066686B" w:rsidRPr="00E3331A">
        <w:t>that a single patient could have experienced multiple events. The proportion of patients experiencing any adverse event ranged from 0</w:t>
      </w:r>
      <w:r w:rsidR="006D1062">
        <w:t>%</w:t>
      </w:r>
      <w:r w:rsidR="0066686B" w:rsidRPr="00E3331A">
        <w:t xml:space="preserve"> </w:t>
      </w:r>
      <w:r w:rsidR="00B85C75">
        <w:rPr>
          <w:noProof/>
        </w:rPr>
        <w:t>(Christiansen et al. 2018)</w:t>
      </w:r>
      <w:r w:rsidR="0066686B" w:rsidRPr="00E3331A">
        <w:t xml:space="preserve"> to 94% </w:t>
      </w:r>
      <w:r w:rsidR="00B85C75">
        <w:rPr>
          <w:noProof/>
        </w:rPr>
        <w:t>(Kuwabara et al. 2017)</w:t>
      </w:r>
      <w:r w:rsidRPr="00E3331A">
        <w:t>,</w:t>
      </w:r>
      <w:r w:rsidR="0066686B" w:rsidRPr="00E3331A">
        <w:t xml:space="preserve"> highlighting the differences in the quality of reporting across studies.</w:t>
      </w:r>
    </w:p>
    <w:p w:rsidR="0066686B" w:rsidRPr="00E3331A" w:rsidRDefault="0066686B" w:rsidP="0066686B">
      <w:r w:rsidRPr="00E3331A">
        <w:t>A total of 1,169</w:t>
      </w:r>
      <w:r w:rsidR="00345C95" w:rsidRPr="00E3331A">
        <w:t xml:space="preserve"> </w:t>
      </w:r>
      <w:r w:rsidRPr="00E3331A">
        <w:t>patients were included in 20 studies reporting an overall rate of serious adverse events</w:t>
      </w:r>
      <w:r w:rsidR="001D5C4C" w:rsidRPr="00E3331A">
        <w:t>.</w:t>
      </w:r>
      <w:r w:rsidRPr="00E3331A">
        <w:t xml:space="preserve"> (</w:t>
      </w:r>
      <w:r w:rsidR="001D5C4C" w:rsidRPr="00E3331A">
        <w:t>S</w:t>
      </w:r>
      <w:r w:rsidRPr="00E3331A">
        <w:t>ome studies only reported serious events and therefore the total denominator is higher for SAEs). Across these studies</w:t>
      </w:r>
      <w:r w:rsidR="001D5C4C" w:rsidRPr="00E3331A">
        <w:t>,</w:t>
      </w:r>
      <w:r w:rsidRPr="00E3331A">
        <w:t xml:space="preserve"> 38 patients</w:t>
      </w:r>
      <w:r w:rsidR="001D5C4C" w:rsidRPr="00E3331A">
        <w:t xml:space="preserve"> (3%) </w:t>
      </w:r>
      <w:r w:rsidRPr="00E3331A">
        <w:t>were reported to experience serious adverse events</w:t>
      </w:r>
      <w:r w:rsidR="001D5C4C" w:rsidRPr="00E3331A">
        <w:t>.</w:t>
      </w:r>
      <w:r w:rsidRPr="00E3331A">
        <w:t xml:space="preserve"> </w:t>
      </w:r>
      <w:r w:rsidR="001D5C4C" w:rsidRPr="00E3331A">
        <w:t>T</w:t>
      </w:r>
      <w:r w:rsidRPr="00E3331A">
        <w:t xml:space="preserve">he proportion in any study experiencing an adverse event ranged from 0 (six studies) to 14% </w:t>
      </w:r>
      <w:r w:rsidR="00B85C75">
        <w:rPr>
          <w:noProof/>
        </w:rPr>
        <w:t>(Hughes et al. 2018)</w:t>
      </w:r>
      <w:r w:rsidRPr="00E3331A">
        <w:t xml:space="preserve">. It is important to note that not all studies reported the nature of the serious adverse events, and the designation of serious was </w:t>
      </w:r>
      <w:r w:rsidR="001D5C4C" w:rsidRPr="00E3331A">
        <w:t>‘</w:t>
      </w:r>
      <w:r w:rsidRPr="00E3331A">
        <w:t>as per study classification</w:t>
      </w:r>
      <w:r w:rsidR="001D5C4C" w:rsidRPr="00E3331A">
        <w:t>’</w:t>
      </w:r>
      <w:r w:rsidRPr="00E3331A">
        <w:t xml:space="preserve"> </w:t>
      </w:r>
      <w:r w:rsidR="001D5C4C" w:rsidRPr="00E3331A">
        <w:t xml:space="preserve">so </w:t>
      </w:r>
      <w:r w:rsidRPr="00E3331A">
        <w:t>may be inconsistent across publications. For example</w:t>
      </w:r>
      <w:r w:rsidR="001D5C4C" w:rsidRPr="00E3331A">
        <w:t>,</w:t>
      </w:r>
      <w:r w:rsidRPr="00E3331A">
        <w:t xml:space="preserve"> one study may classify deep vein thrombosis as serious whil</w:t>
      </w:r>
      <w:r w:rsidR="00591599" w:rsidRPr="00E3331A">
        <w:t>e</w:t>
      </w:r>
      <w:r w:rsidRPr="00E3331A">
        <w:t xml:space="preserve"> another may not. </w:t>
      </w:r>
      <w:r w:rsidR="001D5C4C" w:rsidRPr="00E3331A">
        <w:t>R</w:t>
      </w:r>
      <w:r w:rsidRPr="00E3331A">
        <w:t>eported</w:t>
      </w:r>
      <w:r w:rsidRPr="00E3331A">
        <w:rPr>
          <w:rStyle w:val="FootnoteReference"/>
        </w:rPr>
        <w:footnoteReference w:id="18"/>
      </w:r>
      <w:r w:rsidRPr="00E3331A">
        <w:t xml:space="preserve"> </w:t>
      </w:r>
      <w:r w:rsidR="001D5C4C" w:rsidRPr="00E3331A">
        <w:t xml:space="preserve">serious adverse events </w:t>
      </w:r>
      <w:r w:rsidRPr="00E3331A">
        <w:t>included: cerebral infarction (n</w:t>
      </w:r>
      <w:r w:rsidR="008F30DA" w:rsidRPr="00E3331A">
        <w:t xml:space="preserve"> </w:t>
      </w:r>
      <w:r w:rsidRPr="00E3331A">
        <w:t>=</w:t>
      </w:r>
      <w:r w:rsidR="008F30DA" w:rsidRPr="00E3331A">
        <w:t xml:space="preserve"> </w:t>
      </w:r>
      <w:r w:rsidRPr="00E3331A">
        <w:t>2), deep vein thrombosis (n</w:t>
      </w:r>
      <w:r w:rsidR="008F30DA" w:rsidRPr="00E3331A">
        <w:t xml:space="preserve"> </w:t>
      </w:r>
      <w:r w:rsidRPr="00E3331A">
        <w:t>=</w:t>
      </w:r>
      <w:r w:rsidR="008F30DA" w:rsidRPr="00E3331A">
        <w:t xml:space="preserve"> </w:t>
      </w:r>
      <w:r w:rsidRPr="00E3331A">
        <w:t>1), haemolysis (n</w:t>
      </w:r>
      <w:r w:rsidR="008F30DA" w:rsidRPr="00E3331A">
        <w:t xml:space="preserve"> </w:t>
      </w:r>
      <w:r w:rsidRPr="00E3331A">
        <w:t>=</w:t>
      </w:r>
      <w:r w:rsidR="008F30DA" w:rsidRPr="00E3331A">
        <w:t xml:space="preserve"> </w:t>
      </w:r>
      <w:r w:rsidRPr="00E3331A">
        <w:t>4), inguinal hernia (n</w:t>
      </w:r>
      <w:r w:rsidR="008F30DA" w:rsidRPr="00E3331A">
        <w:t xml:space="preserve"> </w:t>
      </w:r>
      <w:r w:rsidRPr="00E3331A">
        <w:t>=</w:t>
      </w:r>
      <w:r w:rsidR="008F30DA" w:rsidRPr="00E3331A">
        <w:t xml:space="preserve"> </w:t>
      </w:r>
      <w:r w:rsidRPr="00E3331A">
        <w:t xml:space="preserve">1), </w:t>
      </w:r>
      <w:r w:rsidR="001D5C4C" w:rsidRPr="00E3331A">
        <w:t>S</w:t>
      </w:r>
      <w:r w:rsidRPr="00E3331A">
        <w:t>teven Johnson syndrome (n</w:t>
      </w:r>
      <w:r w:rsidR="008F30DA" w:rsidRPr="00E3331A">
        <w:t xml:space="preserve"> </w:t>
      </w:r>
      <w:r w:rsidRPr="00E3331A">
        <w:t>=</w:t>
      </w:r>
      <w:r w:rsidR="008F30DA" w:rsidRPr="00E3331A">
        <w:t xml:space="preserve"> </w:t>
      </w:r>
      <w:r w:rsidRPr="00E3331A">
        <w:t>1), pneumonia (n</w:t>
      </w:r>
      <w:r w:rsidR="008F30DA" w:rsidRPr="00E3331A">
        <w:t xml:space="preserve"> </w:t>
      </w:r>
      <w:r w:rsidRPr="00E3331A">
        <w:t>=</w:t>
      </w:r>
      <w:r w:rsidR="008F30DA" w:rsidRPr="00E3331A">
        <w:t xml:space="preserve"> </w:t>
      </w:r>
      <w:r w:rsidRPr="00E3331A">
        <w:t>1), anxiety (n</w:t>
      </w:r>
      <w:r w:rsidR="008F30DA" w:rsidRPr="00E3331A">
        <w:t xml:space="preserve"> </w:t>
      </w:r>
      <w:r w:rsidRPr="00E3331A">
        <w:t>=</w:t>
      </w:r>
      <w:r w:rsidR="008F30DA" w:rsidRPr="00E3331A">
        <w:t xml:space="preserve"> </w:t>
      </w:r>
      <w:r w:rsidRPr="00E3331A">
        <w:t>1), worsening of CIDP (n</w:t>
      </w:r>
      <w:r w:rsidR="008F30DA" w:rsidRPr="00E3331A">
        <w:t xml:space="preserve"> </w:t>
      </w:r>
      <w:r w:rsidRPr="00E3331A">
        <w:t>=</w:t>
      </w:r>
      <w:r w:rsidR="008F30DA" w:rsidRPr="00E3331A">
        <w:t xml:space="preserve"> </w:t>
      </w:r>
      <w:r w:rsidRPr="00E3331A">
        <w:t>3), worsening of chronic diverticulitis (n</w:t>
      </w:r>
      <w:r w:rsidR="008F30DA" w:rsidRPr="00E3331A">
        <w:t xml:space="preserve"> </w:t>
      </w:r>
      <w:r w:rsidRPr="00E3331A">
        <w:t>=</w:t>
      </w:r>
      <w:r w:rsidR="008F30DA" w:rsidRPr="00E3331A">
        <w:t xml:space="preserve"> </w:t>
      </w:r>
      <w:r w:rsidRPr="00E3331A">
        <w:t>1), cholesteatoma (n</w:t>
      </w:r>
      <w:r w:rsidR="008F30DA" w:rsidRPr="00E3331A">
        <w:t xml:space="preserve"> </w:t>
      </w:r>
      <w:r w:rsidRPr="00E3331A">
        <w:t>=</w:t>
      </w:r>
      <w:r w:rsidR="008F30DA" w:rsidRPr="00E3331A">
        <w:t xml:space="preserve"> </w:t>
      </w:r>
      <w:r w:rsidRPr="00E3331A">
        <w:t>1), skin reaction (n</w:t>
      </w:r>
      <w:r w:rsidR="008F30DA" w:rsidRPr="00E3331A">
        <w:t xml:space="preserve"> </w:t>
      </w:r>
      <w:r w:rsidRPr="00E3331A">
        <w:t>=</w:t>
      </w:r>
      <w:r w:rsidR="008F30DA" w:rsidRPr="00E3331A">
        <w:t xml:space="preserve"> </w:t>
      </w:r>
      <w:r w:rsidRPr="00E3331A">
        <w:t>3), hypersensitivity (</w:t>
      </w:r>
      <w:r w:rsidR="008F30DA" w:rsidRPr="00E3331A">
        <w:t xml:space="preserve">n = </w:t>
      </w:r>
      <w:r w:rsidRPr="00E3331A">
        <w:t>1), pulmonary embolism (</w:t>
      </w:r>
      <w:r w:rsidR="008F30DA" w:rsidRPr="00E3331A">
        <w:t xml:space="preserve">n = </w:t>
      </w:r>
      <w:r w:rsidRPr="00E3331A">
        <w:t>1), hypertension (</w:t>
      </w:r>
      <w:r w:rsidR="008F30DA" w:rsidRPr="00E3331A">
        <w:t xml:space="preserve">n = </w:t>
      </w:r>
      <w:r w:rsidRPr="00E3331A">
        <w:t>1), respiratory failure (</w:t>
      </w:r>
      <w:r w:rsidR="008F30DA" w:rsidRPr="00E3331A">
        <w:t xml:space="preserve">n = </w:t>
      </w:r>
      <w:r w:rsidRPr="00E3331A">
        <w:t>2), migraine (</w:t>
      </w:r>
      <w:r w:rsidR="008F30DA" w:rsidRPr="00E3331A">
        <w:t xml:space="preserve">n = </w:t>
      </w:r>
      <w:r w:rsidRPr="00E3331A">
        <w:t>1), epilepsy (</w:t>
      </w:r>
      <w:r w:rsidR="008F30DA" w:rsidRPr="00E3331A">
        <w:t xml:space="preserve">n = </w:t>
      </w:r>
      <w:r w:rsidRPr="00E3331A">
        <w:t xml:space="preserve">1), </w:t>
      </w:r>
      <w:r w:rsidRPr="00E3331A">
        <w:lastRenderedPageBreak/>
        <w:t>polypharmacy (</w:t>
      </w:r>
      <w:r w:rsidR="008F30DA" w:rsidRPr="00E3331A">
        <w:t xml:space="preserve">n = </w:t>
      </w:r>
      <w:r w:rsidRPr="00E3331A">
        <w:t>1), heart failure (</w:t>
      </w:r>
      <w:r w:rsidR="008F30DA" w:rsidRPr="00E3331A">
        <w:t xml:space="preserve">n = </w:t>
      </w:r>
      <w:r w:rsidRPr="00E3331A">
        <w:t>1), and cardiac arrest (</w:t>
      </w:r>
      <w:r w:rsidR="008F30DA" w:rsidRPr="00E3331A">
        <w:t xml:space="preserve">n = </w:t>
      </w:r>
      <w:r w:rsidRPr="00E3331A">
        <w:t>1). For serious adverse events according to study see</w:t>
      </w:r>
      <w:r w:rsidR="00D42DAD" w:rsidRPr="00E3331A">
        <w:t xml:space="preserve"> </w:t>
      </w:r>
      <w:r w:rsidR="006F35B9" w:rsidRPr="00E3331A">
        <w:t xml:space="preserve">Table </w:t>
      </w:r>
      <w:r w:rsidR="006F35B9">
        <w:rPr>
          <w:noProof/>
        </w:rPr>
        <w:t>99</w:t>
      </w:r>
      <w:r w:rsidR="00D42DAD" w:rsidRPr="00E3331A">
        <w:t xml:space="preserve"> (Appendix C)</w:t>
      </w:r>
      <w:r w:rsidR="00A74BA4" w:rsidRPr="00E3331A">
        <w:t>.</w:t>
      </w:r>
    </w:p>
    <w:p w:rsidR="0066686B" w:rsidRPr="00E3331A" w:rsidRDefault="0066686B" w:rsidP="0066686B">
      <w:pPr>
        <w:rPr>
          <w:b/>
        </w:rPr>
      </w:pPr>
      <w:r w:rsidRPr="00E3331A">
        <w:rPr>
          <w:b/>
        </w:rPr>
        <w:t>Nature of the adverse events</w:t>
      </w:r>
    </w:p>
    <w:p w:rsidR="0066686B" w:rsidRPr="00E3331A" w:rsidRDefault="006F35B9" w:rsidP="0066686B">
      <w:pPr>
        <w:rPr>
          <w:b/>
        </w:rPr>
      </w:pPr>
      <w:r w:rsidRPr="00E3331A">
        <w:t xml:space="preserve">Table </w:t>
      </w:r>
      <w:r>
        <w:rPr>
          <w:noProof/>
        </w:rPr>
        <w:t>99</w:t>
      </w:r>
      <w:r w:rsidR="007C4CBB" w:rsidRPr="00E3331A">
        <w:t xml:space="preserve"> (Appendix </w:t>
      </w:r>
      <w:r w:rsidR="005C5FE8" w:rsidRPr="00E3331A">
        <w:t>C</w:t>
      </w:r>
      <w:r w:rsidR="007C4CBB" w:rsidRPr="00E3331A">
        <w:t>)</w:t>
      </w:r>
      <w:r w:rsidR="0066686B" w:rsidRPr="00E3331A">
        <w:rPr>
          <w:b/>
        </w:rPr>
        <w:t xml:space="preserve"> </w:t>
      </w:r>
      <w:r w:rsidR="0066686B" w:rsidRPr="00E3331A">
        <w:t xml:space="preserve">describes the number and type of each adverse event reported in any of the included studies in patients receiving IVIg. This table also </w:t>
      </w:r>
      <w:r w:rsidR="005C5FE8" w:rsidRPr="00E3331A">
        <w:t xml:space="preserve">shows </w:t>
      </w:r>
      <w:r w:rsidR="0066686B" w:rsidRPr="00E3331A">
        <w:t xml:space="preserve">the total number of studies (or study arms) reporting the event and the total number of patients across reporting studies. It should be noted that a single patient may have experienced multiple events and </w:t>
      </w:r>
      <w:r w:rsidR="005C5FE8" w:rsidRPr="00E3331A">
        <w:t>be</w:t>
      </w:r>
      <w:r w:rsidR="0066686B" w:rsidRPr="00E3331A">
        <w:t xml:space="preserve"> counted </w:t>
      </w:r>
      <w:r w:rsidR="005E2A5A" w:rsidRPr="00E3331A">
        <w:t xml:space="preserve">more than once </w:t>
      </w:r>
      <w:r w:rsidR="0066686B" w:rsidRPr="00E3331A">
        <w:t>within the table.</w:t>
      </w:r>
      <w:r w:rsidR="0066686B" w:rsidRPr="00E3331A">
        <w:rPr>
          <w:b/>
        </w:rPr>
        <w:t xml:space="preserve"> </w:t>
      </w:r>
    </w:p>
    <w:p w:rsidR="0066686B" w:rsidRPr="00E3331A" w:rsidRDefault="0066686B" w:rsidP="0066686B">
      <w:r w:rsidRPr="00E3331A">
        <w:t>The most frequently reported adverse event in patients receiving IVIg was headache</w:t>
      </w:r>
      <w:r w:rsidR="005E2A5A" w:rsidRPr="00E3331A">
        <w:t>,</w:t>
      </w:r>
      <w:r w:rsidRPr="00E3331A">
        <w:t xml:space="preserve"> which was reported in 155 patients. </w:t>
      </w:r>
      <w:r w:rsidR="005E2A5A" w:rsidRPr="00E3331A">
        <w:t>S</w:t>
      </w:r>
      <w:r w:rsidRPr="00E3331A">
        <w:t>everal studies reported that many patients in their series experienced headache, however, the</w:t>
      </w:r>
      <w:r w:rsidR="005E2A5A" w:rsidRPr="00E3331A">
        <w:t xml:space="preserve"> studies</w:t>
      </w:r>
      <w:r w:rsidRPr="00E3331A">
        <w:t xml:space="preserve"> did not report actual numbers. Consequently, this outcome is likely to be under</w:t>
      </w:r>
      <w:r w:rsidR="005E2A5A" w:rsidRPr="00E3331A">
        <w:t>-</w:t>
      </w:r>
      <w:r w:rsidRPr="00E3331A">
        <w:t>reported in the included studies. Headache was followed by general disorders and administration site conditions (</w:t>
      </w:r>
      <w:r w:rsidR="00A07838">
        <w:t xml:space="preserve">n = </w:t>
      </w:r>
      <w:r w:rsidRPr="00E3331A">
        <w:t xml:space="preserve">80) </w:t>
      </w:r>
      <w:r w:rsidR="008F7E19" w:rsidRPr="00E3331A">
        <w:t xml:space="preserve">that </w:t>
      </w:r>
      <w:r w:rsidRPr="00E3331A">
        <w:t>included fever, chills and flu-like reaction etc. Gastrointestinal disorders (</w:t>
      </w:r>
      <w:r w:rsidR="00A07838">
        <w:t xml:space="preserve">n = </w:t>
      </w:r>
      <w:r w:rsidRPr="00E3331A">
        <w:t>55), skin disorders (</w:t>
      </w:r>
      <w:r w:rsidR="00A07838">
        <w:t xml:space="preserve">n = </w:t>
      </w:r>
      <w:r w:rsidRPr="00E3331A">
        <w:t>31, predominantly rash) and infections (</w:t>
      </w:r>
      <w:r w:rsidR="00A07838">
        <w:t xml:space="preserve">n = </w:t>
      </w:r>
      <w:r w:rsidRPr="00E3331A">
        <w:t>46) were also common. Less frequent</w:t>
      </w:r>
      <w:r w:rsidR="008F7E19" w:rsidRPr="00E3331A">
        <w:t>,</w:t>
      </w:r>
      <w:r w:rsidRPr="00E3331A">
        <w:t xml:space="preserve"> but possibly severe or serious events</w:t>
      </w:r>
      <w:r w:rsidR="008F7E19" w:rsidRPr="00E3331A">
        <w:t>,</w:t>
      </w:r>
      <w:r w:rsidRPr="00E3331A">
        <w:t xml:space="preserve"> were vascular disorders and blood and lymphatic system disorders namely: deep vein thrombosis (</w:t>
      </w:r>
      <w:r w:rsidR="00A07838">
        <w:t xml:space="preserve">n = </w:t>
      </w:r>
      <w:r w:rsidRPr="00E3331A">
        <w:t>3), cerebrovascular event (</w:t>
      </w:r>
      <w:r w:rsidR="00A07838">
        <w:t xml:space="preserve">n = </w:t>
      </w:r>
      <w:r w:rsidRPr="00E3331A">
        <w:t>2), and haemolysis (</w:t>
      </w:r>
      <w:r w:rsidR="00A07838">
        <w:t xml:space="preserve">n = </w:t>
      </w:r>
      <w:r w:rsidRPr="00E3331A">
        <w:t>11).</w:t>
      </w:r>
      <w:r w:rsidR="00345C95" w:rsidRPr="00E3331A">
        <w:t xml:space="preserve"> </w:t>
      </w:r>
      <w:r w:rsidRPr="00E3331A">
        <w:t>Deaths included one case of cardiac arrest and a second of heart failure</w:t>
      </w:r>
      <w:r w:rsidR="008F7E19" w:rsidRPr="00E3331A">
        <w:t>,</w:t>
      </w:r>
      <w:r w:rsidRPr="00E3331A">
        <w:t xml:space="preserve"> the details of which are reported in </w:t>
      </w:r>
      <w:r w:rsidR="008F7E19" w:rsidRPr="00E3331A">
        <w:t xml:space="preserve">the section on </w:t>
      </w:r>
      <w:r w:rsidRPr="00E3331A">
        <w:t xml:space="preserve">comparative safety. </w:t>
      </w:r>
    </w:p>
    <w:p w:rsidR="0066686B" w:rsidRPr="00E3331A" w:rsidRDefault="0066686B" w:rsidP="0066686B">
      <w:pPr>
        <w:pStyle w:val="Heading3"/>
        <w:jc w:val="both"/>
      </w:pPr>
      <w:bookmarkStart w:id="266" w:name="_Toc24103473"/>
      <w:r w:rsidRPr="00E3331A">
        <w:t>Adverse events in patients receiving steroids</w:t>
      </w:r>
      <w:bookmarkEnd w:id="266"/>
    </w:p>
    <w:p w:rsidR="0066686B" w:rsidRPr="00E3331A" w:rsidRDefault="0066686B" w:rsidP="0066686B">
      <w:pPr>
        <w:rPr>
          <w:b/>
        </w:rPr>
      </w:pPr>
      <w:r w:rsidRPr="00E3331A">
        <w:rPr>
          <w:b/>
        </w:rPr>
        <w:t>Any adverse event and serious adverse events</w:t>
      </w:r>
    </w:p>
    <w:p w:rsidR="00AF5D9D" w:rsidRPr="00E3331A" w:rsidRDefault="0066686B" w:rsidP="00AF5D9D">
      <w:r w:rsidRPr="00E3331A">
        <w:t>Steroid regimens used in the included studies were varied includ</w:t>
      </w:r>
      <w:r w:rsidR="008F7E19" w:rsidRPr="00E3331A">
        <w:t>ing</w:t>
      </w:r>
      <w:r w:rsidRPr="00E3331A">
        <w:t xml:space="preserve"> both IV and oral regimens with prednisolone, dexamethasone and </w:t>
      </w:r>
      <w:r w:rsidR="007C4CBB" w:rsidRPr="00E3331A">
        <w:t>methyl prednisone</w:t>
      </w:r>
      <w:r w:rsidRPr="00E3331A">
        <w:t xml:space="preserve"> (IV). This is summarised in </w:t>
      </w:r>
      <w:r w:rsidR="006F35B9" w:rsidRPr="00E3331A">
        <w:t xml:space="preserve">Table </w:t>
      </w:r>
      <w:r w:rsidR="006F35B9">
        <w:rPr>
          <w:noProof/>
        </w:rPr>
        <w:t>39</w:t>
      </w:r>
      <w:r w:rsidR="00D42DAD" w:rsidRPr="00E3331A">
        <w:t>.</w:t>
      </w:r>
    </w:p>
    <w:p w:rsidR="0066686B" w:rsidRPr="00E3331A" w:rsidRDefault="008F7E19" w:rsidP="0066686B">
      <w:r w:rsidRPr="00E3331A">
        <w:t>A</w:t>
      </w:r>
      <w:r w:rsidR="0066686B" w:rsidRPr="00E3331A">
        <w:t xml:space="preserve"> total of 12 arms of studies reported safety outcomes in 358 patients treated with steroids. Overall adverse events were reported in 94 patients</w:t>
      </w:r>
      <w:r w:rsidRPr="00E3331A">
        <w:t>,</w:t>
      </w:r>
      <w:r w:rsidR="0066686B" w:rsidRPr="00E3331A">
        <w:t xml:space="preserve"> occurr</w:t>
      </w:r>
      <w:r w:rsidRPr="00E3331A">
        <w:t>ing</w:t>
      </w:r>
      <w:r w:rsidR="0066686B" w:rsidRPr="00E3331A">
        <w:t xml:space="preserve"> in 12% </w:t>
      </w:r>
      <w:r w:rsidR="00B85C75">
        <w:rPr>
          <w:noProof/>
        </w:rPr>
        <w:t>(Cocito et al. 2010)</w:t>
      </w:r>
      <w:r w:rsidR="0066686B" w:rsidRPr="00E3331A">
        <w:t xml:space="preserve"> </w:t>
      </w:r>
      <w:r w:rsidRPr="00E3331A">
        <w:t xml:space="preserve">to </w:t>
      </w:r>
      <w:r w:rsidR="0066686B" w:rsidRPr="00E3331A">
        <w:t>94%</w:t>
      </w:r>
      <w:r w:rsidRPr="00E3331A">
        <w:t xml:space="preserve"> </w:t>
      </w:r>
      <w:r w:rsidR="00B85C75">
        <w:rPr>
          <w:noProof/>
        </w:rPr>
        <w:t>(Lopate et al. 2005)</w:t>
      </w:r>
      <w:r w:rsidR="0066686B" w:rsidRPr="00E3331A">
        <w:t xml:space="preserve"> of patients</w:t>
      </w:r>
      <w:r w:rsidRPr="00E3331A">
        <w:t xml:space="preserve"> across the included studies</w:t>
      </w:r>
      <w:r w:rsidR="0066686B" w:rsidRPr="00E3331A">
        <w:t xml:space="preserve">. </w:t>
      </w:r>
    </w:p>
    <w:p w:rsidR="0066686B" w:rsidRPr="00E3331A" w:rsidRDefault="0066686B" w:rsidP="0066686B">
      <w:r w:rsidRPr="00E3331A">
        <w:t xml:space="preserve">Serious events were infrequently reported </w:t>
      </w:r>
      <w:r w:rsidR="008F7E19" w:rsidRPr="00E3331A">
        <w:t>(</w:t>
      </w:r>
      <w:r w:rsidRPr="00E3331A">
        <w:t>total of 13 patients</w:t>
      </w:r>
      <w:r w:rsidR="008F7E19" w:rsidRPr="00E3331A">
        <w:t>)</w:t>
      </w:r>
      <w:r w:rsidRPr="00E3331A">
        <w:t xml:space="preserve">, however, the nature of these events was unclear. Included studies reported that 0 </w:t>
      </w:r>
      <w:r w:rsidR="008F7E19" w:rsidRPr="00E3331A">
        <w:t xml:space="preserve">to </w:t>
      </w:r>
      <w:r w:rsidRPr="00E3331A">
        <w:t>44% of patients experienced serious adverse events with steroids</w:t>
      </w:r>
      <w:r w:rsidR="008F7E19" w:rsidRPr="00E3331A">
        <w:t>,</w:t>
      </w:r>
      <w:r w:rsidRPr="00E3331A">
        <w:t xml:space="preserve"> includ</w:t>
      </w:r>
      <w:r w:rsidR="008F7E19" w:rsidRPr="00E3331A">
        <w:t>ing</w:t>
      </w:r>
      <w:r w:rsidRPr="00E3331A">
        <w:t xml:space="preserve"> gastritis (</w:t>
      </w:r>
      <w:r w:rsidR="008F30DA" w:rsidRPr="00E3331A">
        <w:t xml:space="preserve">n = </w:t>
      </w:r>
      <w:r w:rsidRPr="00E3331A">
        <w:t>1), psychosis (</w:t>
      </w:r>
      <w:r w:rsidR="008F30DA" w:rsidRPr="00E3331A">
        <w:t xml:space="preserve">n = </w:t>
      </w:r>
      <w:r w:rsidRPr="00E3331A">
        <w:t>1),</w:t>
      </w:r>
      <w:r w:rsidR="008F7E19" w:rsidRPr="00E3331A">
        <w:t xml:space="preserve"> </w:t>
      </w:r>
      <w:r w:rsidR="00A07838">
        <w:t>Cushing</w:t>
      </w:r>
      <w:r w:rsidRPr="00E3331A">
        <w:t>oid appearance (</w:t>
      </w:r>
      <w:r w:rsidR="008F30DA" w:rsidRPr="00E3331A">
        <w:t xml:space="preserve">n = </w:t>
      </w:r>
      <w:r w:rsidRPr="00E3331A">
        <w:t>3), gastrointestinal bleeding (</w:t>
      </w:r>
      <w:r w:rsidR="008F30DA" w:rsidRPr="00E3331A">
        <w:t xml:space="preserve">n = </w:t>
      </w:r>
      <w:r w:rsidRPr="00E3331A">
        <w:t>2)</w:t>
      </w:r>
      <w:r w:rsidR="008F7E19" w:rsidRPr="00E3331A">
        <w:t>,</w:t>
      </w:r>
      <w:r w:rsidRPr="00E3331A">
        <w:t xml:space="preserve"> infectious complications (</w:t>
      </w:r>
      <w:r w:rsidR="008F30DA" w:rsidRPr="00E3331A">
        <w:t xml:space="preserve">n = </w:t>
      </w:r>
      <w:r w:rsidRPr="00E3331A">
        <w:t>3)</w:t>
      </w:r>
      <w:r w:rsidR="008F7E19" w:rsidRPr="00E3331A">
        <w:t>,</w:t>
      </w:r>
      <w:r w:rsidRPr="00E3331A">
        <w:t xml:space="preserve"> and one death in a patient with urinary sepsis </w:t>
      </w:r>
      <w:r w:rsidR="00B85C75">
        <w:rPr>
          <w:noProof/>
        </w:rPr>
        <w:t>(Wertman et al. 1988)</w:t>
      </w:r>
      <w:r w:rsidRPr="00E3331A">
        <w:t>.</w:t>
      </w:r>
    </w:p>
    <w:p w:rsidR="0066686B" w:rsidRPr="00E3331A" w:rsidRDefault="0066686B" w:rsidP="0066686B">
      <w:pPr>
        <w:rPr>
          <w:b/>
        </w:rPr>
      </w:pPr>
      <w:r w:rsidRPr="00E3331A">
        <w:rPr>
          <w:b/>
        </w:rPr>
        <w:t>Nature of the adverse events</w:t>
      </w:r>
    </w:p>
    <w:p w:rsidR="0066686B" w:rsidRPr="00E3331A" w:rsidRDefault="0066686B" w:rsidP="0066686B">
      <w:r w:rsidRPr="00E3331A">
        <w:t>Overall</w:t>
      </w:r>
      <w:r w:rsidR="0029707C" w:rsidRPr="00E3331A">
        <w:t>,</w:t>
      </w:r>
      <w:r w:rsidRPr="00E3331A">
        <w:t xml:space="preserve"> the type of adverse events reported in patients receiving steroids </w:t>
      </w:r>
      <w:r w:rsidR="0029707C" w:rsidRPr="00E3331A">
        <w:t xml:space="preserve">was </w:t>
      </w:r>
      <w:r w:rsidRPr="00E3331A">
        <w:t xml:space="preserve">consistent with the known adverse event profile </w:t>
      </w:r>
      <w:r w:rsidR="0029707C" w:rsidRPr="00E3331A">
        <w:t xml:space="preserve">for </w:t>
      </w:r>
      <w:r w:rsidRPr="00E3331A">
        <w:t xml:space="preserve">steroid therapy. Steroid treatment, particularly at doses greater </w:t>
      </w:r>
      <w:r w:rsidRPr="00E3331A">
        <w:lastRenderedPageBreak/>
        <w:t>than 7.5 mg/day prednisone or equivalent, is known to be associated with a range of adverse events</w:t>
      </w:r>
      <w:r w:rsidR="0029707C" w:rsidRPr="00E3331A">
        <w:t xml:space="preserve"> </w:t>
      </w:r>
      <w:r w:rsidR="00B85C75">
        <w:rPr>
          <w:noProof/>
        </w:rPr>
        <w:t>(Huscher et al. 2009)</w:t>
      </w:r>
      <w:r w:rsidRPr="00E3331A">
        <w:t xml:space="preserve"> of which those reported in the included studies are typical. Steroids are also associated with loss of bone mineral density over the longer term</w:t>
      </w:r>
      <w:r w:rsidR="0029707C" w:rsidRPr="00E3331A">
        <w:t>,</w:t>
      </w:r>
      <w:r w:rsidRPr="00E3331A">
        <w:t xml:space="preserve"> which was reported </w:t>
      </w:r>
      <w:r w:rsidR="0029707C" w:rsidRPr="00E3331A">
        <w:t>in</w:t>
      </w:r>
      <w:r w:rsidRPr="00E3331A">
        <w:t xml:space="preserve"> one patient </w:t>
      </w:r>
      <w:r w:rsidR="0029707C" w:rsidRPr="00E3331A">
        <w:t xml:space="preserve">who </w:t>
      </w:r>
      <w:r w:rsidRPr="00E3331A">
        <w:t>experienced a decrease in bone mineral density while on dexamethasone</w:t>
      </w:r>
      <w:r w:rsidR="0029707C" w:rsidRPr="00E3331A">
        <w:t xml:space="preserve"> (Van Schaik et al, 2010)</w:t>
      </w:r>
      <w:r w:rsidRPr="00E3331A">
        <w:t>. The adverse effect profile of steroids is dose</w:t>
      </w:r>
      <w:r w:rsidR="00A761F6" w:rsidRPr="00E3331A">
        <w:t>-</w:t>
      </w:r>
      <w:r w:rsidRPr="00E3331A">
        <w:t xml:space="preserve">related and </w:t>
      </w:r>
      <w:r w:rsidR="00A761F6" w:rsidRPr="00E3331A">
        <w:t>varies</w:t>
      </w:r>
      <w:r w:rsidRPr="00E3331A">
        <w:t xml:space="preserve"> according to the length of time a patient remains on therapy. </w:t>
      </w:r>
      <w:r w:rsidR="00A761F6" w:rsidRPr="00E3331A">
        <w:t>Therefore</w:t>
      </w:r>
      <w:r w:rsidRPr="00E3331A">
        <w:t xml:space="preserve">, the adverse event profile of steroids in a clinical trial may not represent the variability in dose and duration in practice. </w:t>
      </w:r>
    </w:p>
    <w:p w:rsidR="0066686B" w:rsidRPr="00E3331A" w:rsidRDefault="00A761F6" w:rsidP="0066686B">
      <w:r w:rsidRPr="00E3331A">
        <w:t>T</w:t>
      </w:r>
      <w:r w:rsidR="0066686B" w:rsidRPr="00E3331A">
        <w:t>he most commonly reported adverse events included insomnia (n</w:t>
      </w:r>
      <w:r w:rsidR="008F30DA" w:rsidRPr="00E3331A">
        <w:t xml:space="preserve"> </w:t>
      </w:r>
      <w:r w:rsidR="0066686B" w:rsidRPr="00E3331A">
        <w:t>=</w:t>
      </w:r>
      <w:r w:rsidR="008F30DA" w:rsidRPr="00E3331A">
        <w:t xml:space="preserve"> </w:t>
      </w:r>
      <w:r w:rsidR="0066686B" w:rsidRPr="00E3331A">
        <w:t>35), unspecified conditions (n</w:t>
      </w:r>
      <w:r w:rsidR="008F30DA" w:rsidRPr="00E3331A">
        <w:t xml:space="preserve"> </w:t>
      </w:r>
      <w:r w:rsidR="0066686B" w:rsidRPr="00E3331A">
        <w:t>=</w:t>
      </w:r>
      <w:r w:rsidR="008F30DA" w:rsidRPr="00E3331A">
        <w:t xml:space="preserve"> </w:t>
      </w:r>
      <w:r w:rsidR="0066686B" w:rsidRPr="00E3331A">
        <w:t>41), weight gain (n</w:t>
      </w:r>
      <w:r w:rsidR="008F30DA" w:rsidRPr="00E3331A">
        <w:t xml:space="preserve"> </w:t>
      </w:r>
      <w:r w:rsidR="0066686B" w:rsidRPr="00E3331A">
        <w:t>=</w:t>
      </w:r>
      <w:r w:rsidR="008F30DA" w:rsidRPr="00E3331A">
        <w:t xml:space="preserve"> </w:t>
      </w:r>
      <w:r w:rsidR="0066686B" w:rsidRPr="00E3331A">
        <w:t xml:space="preserve">46), </w:t>
      </w:r>
      <w:r w:rsidR="00A07838">
        <w:t>Cushing</w:t>
      </w:r>
      <w:r w:rsidR="0066686B" w:rsidRPr="00E3331A">
        <w:t>oid appearance (n</w:t>
      </w:r>
      <w:r w:rsidR="008F30DA" w:rsidRPr="00E3331A">
        <w:t xml:space="preserve"> </w:t>
      </w:r>
      <w:r w:rsidR="0066686B" w:rsidRPr="00E3331A">
        <w:t>=</w:t>
      </w:r>
      <w:r w:rsidR="008F30DA" w:rsidRPr="00E3331A">
        <w:t xml:space="preserve"> </w:t>
      </w:r>
      <w:r w:rsidR="0066686B" w:rsidRPr="00E3331A">
        <w:t>23) and indigestion (n</w:t>
      </w:r>
      <w:r w:rsidR="008F30DA" w:rsidRPr="00E3331A">
        <w:t xml:space="preserve"> </w:t>
      </w:r>
      <w:r w:rsidR="0066686B" w:rsidRPr="00E3331A">
        <w:t>=</w:t>
      </w:r>
      <w:r w:rsidR="008F30DA" w:rsidRPr="00E3331A">
        <w:t xml:space="preserve"> </w:t>
      </w:r>
      <w:r w:rsidR="0066686B" w:rsidRPr="00E3331A">
        <w:t xml:space="preserve">23). </w:t>
      </w:r>
      <w:r w:rsidR="006F35B9" w:rsidRPr="00E3331A">
        <w:t xml:space="preserve">Table </w:t>
      </w:r>
      <w:r w:rsidR="006F35B9">
        <w:rPr>
          <w:noProof/>
        </w:rPr>
        <w:t>99</w:t>
      </w:r>
      <w:r w:rsidR="00D42DAD" w:rsidRPr="00E3331A">
        <w:t xml:space="preserve"> (Appendix C) </w:t>
      </w:r>
      <w:r w:rsidR="0066686B" w:rsidRPr="00E3331A">
        <w:t>reports the adverse events</w:t>
      </w:r>
      <w:r w:rsidR="007766D6" w:rsidRPr="00E3331A">
        <w:t xml:space="preserve"> associated with any steroid regimen</w:t>
      </w:r>
      <w:r w:rsidR="0066686B" w:rsidRPr="00E3331A">
        <w:t xml:space="preserve"> in the included studies. </w:t>
      </w:r>
    </w:p>
    <w:p w:rsidR="0066686B" w:rsidRPr="00E3331A" w:rsidRDefault="0066686B" w:rsidP="0066686B">
      <w:pPr>
        <w:pStyle w:val="Heading3"/>
        <w:jc w:val="both"/>
      </w:pPr>
      <w:bookmarkStart w:id="267" w:name="_Toc24103474"/>
      <w:r w:rsidRPr="00E3331A">
        <w:t>Adverse events in patients receiving plasma exchange</w:t>
      </w:r>
      <w:bookmarkEnd w:id="267"/>
    </w:p>
    <w:p w:rsidR="0066686B" w:rsidRPr="00E3331A" w:rsidRDefault="0066686B" w:rsidP="0066686B">
      <w:r w:rsidRPr="00E3331A">
        <w:t xml:space="preserve">Adverse events associated with plasma exchange were poorly reported by the included studies. Four studies including 104 patients reported any adverse event in patients undergoing plasma exchange. </w:t>
      </w:r>
      <w:r w:rsidR="00B63E5B" w:rsidRPr="00E3331A">
        <w:t>O</w:t>
      </w:r>
      <w:r w:rsidRPr="00E3331A">
        <w:t>nly three studies (</w:t>
      </w:r>
      <w:r w:rsidR="006F35B9" w:rsidRPr="00E3331A">
        <w:t xml:space="preserve">Table </w:t>
      </w:r>
      <w:r w:rsidR="006F35B9">
        <w:rPr>
          <w:noProof/>
        </w:rPr>
        <w:t>31</w:t>
      </w:r>
      <w:r w:rsidRPr="00E3331A">
        <w:t>) reported the overall proportion of patients experiencing an adverse event (19 – 41%)</w:t>
      </w:r>
      <w:r w:rsidR="00345C95" w:rsidRPr="00E3331A">
        <w:t xml:space="preserve"> </w:t>
      </w:r>
      <w:r w:rsidRPr="00E3331A">
        <w:t xml:space="preserve">and the study reporting the highest rate </w:t>
      </w:r>
      <w:r w:rsidR="00B85C75">
        <w:rPr>
          <w:noProof/>
        </w:rPr>
        <w:t>(Vucic and Davies 1998)</w:t>
      </w:r>
      <w:r w:rsidRPr="00E3331A">
        <w:t xml:space="preserve"> provide</w:t>
      </w:r>
      <w:r w:rsidR="00B63E5B" w:rsidRPr="00E3331A">
        <w:t>d no</w:t>
      </w:r>
      <w:r w:rsidRPr="00E3331A">
        <w:t xml:space="preserve"> further details. </w:t>
      </w:r>
      <w:r w:rsidR="00B63E5B" w:rsidRPr="00E3331A">
        <w:t>Described e</w:t>
      </w:r>
      <w:r w:rsidRPr="00E3331A">
        <w:t>vents included difficulty accessing veins (n</w:t>
      </w:r>
      <w:r w:rsidR="008F30DA" w:rsidRPr="00E3331A">
        <w:t xml:space="preserve"> </w:t>
      </w:r>
      <w:r w:rsidRPr="00E3331A">
        <w:t>=</w:t>
      </w:r>
      <w:r w:rsidR="008F30DA" w:rsidRPr="00E3331A">
        <w:t xml:space="preserve"> </w:t>
      </w:r>
      <w:r w:rsidRPr="00E3331A">
        <w:t>3) and deficiency of coagulation factors (n</w:t>
      </w:r>
      <w:r w:rsidR="008F30DA" w:rsidRPr="00E3331A">
        <w:t xml:space="preserve"> </w:t>
      </w:r>
      <w:r w:rsidRPr="00E3331A">
        <w:t>=</w:t>
      </w:r>
      <w:r w:rsidR="008F30DA" w:rsidRPr="00E3331A">
        <w:t xml:space="preserve"> </w:t>
      </w:r>
      <w:r w:rsidRPr="00E3331A">
        <w:t>1) in a study of 21 patients</w:t>
      </w:r>
      <w:r w:rsidR="00B63E5B" w:rsidRPr="00E3331A">
        <w:t xml:space="preserve"> </w:t>
      </w:r>
      <w:r w:rsidR="00B85C75">
        <w:rPr>
          <w:noProof/>
        </w:rPr>
        <w:t>(Cocito et al. 2010)</w:t>
      </w:r>
      <w:r w:rsidR="00B63E5B" w:rsidRPr="00E3331A">
        <w:t>,</w:t>
      </w:r>
      <w:r w:rsidRPr="00E3331A">
        <w:t xml:space="preserve"> myocardial infarction (n</w:t>
      </w:r>
      <w:r w:rsidR="008F30DA" w:rsidRPr="00E3331A">
        <w:t xml:space="preserve"> </w:t>
      </w:r>
      <w:r w:rsidRPr="00E3331A">
        <w:t>=</w:t>
      </w:r>
      <w:r w:rsidR="008F30DA" w:rsidRPr="00E3331A">
        <w:t xml:space="preserve"> </w:t>
      </w:r>
      <w:r w:rsidRPr="00E3331A">
        <w:t xml:space="preserve">1) and </w:t>
      </w:r>
      <w:r w:rsidR="00B63E5B" w:rsidRPr="00E3331A">
        <w:t xml:space="preserve">a </w:t>
      </w:r>
      <w:r w:rsidRPr="00E3331A">
        <w:t>cerebrovascular event (n</w:t>
      </w:r>
      <w:r w:rsidR="008F30DA" w:rsidRPr="00E3331A">
        <w:t xml:space="preserve"> </w:t>
      </w:r>
      <w:r w:rsidRPr="00E3331A">
        <w:t>=</w:t>
      </w:r>
      <w:r w:rsidR="008F30DA" w:rsidRPr="00E3331A">
        <w:t xml:space="preserve"> </w:t>
      </w:r>
      <w:r w:rsidRPr="00E3331A">
        <w:t xml:space="preserve">1) in a study of 18 patients </w:t>
      </w:r>
      <w:r w:rsidR="00B85C75">
        <w:rPr>
          <w:noProof/>
        </w:rPr>
        <w:t>(Hahn et al. 1996a)</w:t>
      </w:r>
      <w:r w:rsidR="00B63E5B" w:rsidRPr="00E3331A">
        <w:t>,</w:t>
      </w:r>
      <w:r w:rsidRPr="00E3331A">
        <w:t xml:space="preserve"> and </w:t>
      </w:r>
      <w:r w:rsidR="008F1E99" w:rsidRPr="00E3331A">
        <w:t>septicaemia</w:t>
      </w:r>
      <w:r w:rsidRPr="00E3331A">
        <w:t xml:space="preserve"> associated with a tunnelled </w:t>
      </w:r>
      <w:r w:rsidR="001455C3" w:rsidRPr="00E3331A">
        <w:t>venous</w:t>
      </w:r>
      <w:r w:rsidRPr="00E3331A">
        <w:t xml:space="preserve"> catheter (n</w:t>
      </w:r>
      <w:r w:rsidR="008F30DA" w:rsidRPr="00E3331A">
        <w:t xml:space="preserve"> </w:t>
      </w:r>
      <w:r w:rsidRPr="00E3331A">
        <w:t>=</w:t>
      </w:r>
      <w:r w:rsidR="008F30DA" w:rsidRPr="00E3331A">
        <w:t xml:space="preserve"> </w:t>
      </w:r>
      <w:r w:rsidRPr="00E3331A">
        <w:t xml:space="preserve">1) </w:t>
      </w:r>
      <w:r w:rsidR="00B85C75">
        <w:rPr>
          <w:noProof/>
        </w:rPr>
        <w:t>(Choudhary and Hughes 1995)</w:t>
      </w:r>
      <w:r w:rsidR="00B63E5B" w:rsidRPr="00E3331A">
        <w:t xml:space="preserve">. This </w:t>
      </w:r>
      <w:r w:rsidRPr="00E3331A">
        <w:t xml:space="preserve">was the only event described in </w:t>
      </w:r>
      <w:r w:rsidR="00B63E5B" w:rsidRPr="00E3331A">
        <w:t xml:space="preserve">this study of </w:t>
      </w:r>
      <w:r w:rsidRPr="00E3331A">
        <w:t>33 patients</w:t>
      </w:r>
      <w:r w:rsidR="00B63E5B" w:rsidRPr="00E3331A">
        <w:t xml:space="preserve">, even though </w:t>
      </w:r>
      <w:r w:rsidRPr="00E3331A">
        <w:t xml:space="preserve">the </w:t>
      </w:r>
      <w:r w:rsidR="00B63E5B" w:rsidRPr="00E3331A">
        <w:t xml:space="preserve">authors </w:t>
      </w:r>
      <w:r w:rsidRPr="00E3331A">
        <w:t>report</w:t>
      </w:r>
      <w:r w:rsidR="00B63E5B" w:rsidRPr="00E3331A">
        <w:t>ed</w:t>
      </w:r>
      <w:r w:rsidRPr="00E3331A">
        <w:t xml:space="preserve"> a total of </w:t>
      </w:r>
      <w:r w:rsidR="00591599" w:rsidRPr="00E3331A">
        <w:t>seven</w:t>
      </w:r>
      <w:r w:rsidRPr="00E3331A">
        <w:t xml:space="preserve"> patients with adverse events. </w:t>
      </w:r>
    </w:p>
    <w:p w:rsidR="0066686B" w:rsidRPr="00E3331A" w:rsidRDefault="0066686B" w:rsidP="0066686B">
      <w:r w:rsidRPr="00E3331A">
        <w:t>This study reported that</w:t>
      </w:r>
      <w:r w:rsidR="00345C95" w:rsidRPr="00E3331A">
        <w:t xml:space="preserve"> </w:t>
      </w:r>
      <w:r w:rsidRPr="00E3331A">
        <w:t>in patients experiencing two to five complications</w:t>
      </w:r>
      <w:r w:rsidR="00B63E5B" w:rsidRPr="00E3331A">
        <w:t>,</w:t>
      </w:r>
      <w:r w:rsidRPr="00E3331A">
        <w:t xml:space="preserve"> the mean number of procedures was 18</w:t>
      </w:r>
      <w:r w:rsidR="00B63E5B" w:rsidRPr="00E3331A">
        <w:t>.</w:t>
      </w:r>
      <w:r w:rsidRPr="00E3331A">
        <w:t xml:space="preserve"> </w:t>
      </w:r>
      <w:r w:rsidR="00B63E5B" w:rsidRPr="00E3331A">
        <w:t>T</w:t>
      </w:r>
      <w:r w:rsidRPr="00E3331A">
        <w:t>he</w:t>
      </w:r>
      <w:r w:rsidR="00B63E5B" w:rsidRPr="00E3331A">
        <w:t xml:space="preserve"> authors</w:t>
      </w:r>
      <w:r w:rsidRPr="00E3331A">
        <w:t xml:space="preserve"> report a linear relationship between the frequency of adverse reactions and the number of treatment episodes </w:t>
      </w:r>
      <w:r w:rsidR="00B63E5B" w:rsidRPr="00E3331A">
        <w:t>per</w:t>
      </w:r>
      <w:r w:rsidRPr="00E3331A">
        <w:t xml:space="preserve"> patient. No fatalities occurred and the authors </w:t>
      </w:r>
      <w:r w:rsidR="00B63E5B" w:rsidRPr="00E3331A">
        <w:t xml:space="preserve">conclude </w:t>
      </w:r>
      <w:r w:rsidRPr="00E3331A">
        <w:t>that complications rated as severe occurred in 0.7</w:t>
      </w:r>
      <w:r w:rsidR="00B63E5B" w:rsidRPr="00E3331A">
        <w:t>%</w:t>
      </w:r>
      <w:r w:rsidRPr="00E3331A">
        <w:t xml:space="preserve"> of procedures</w:t>
      </w:r>
      <w:r w:rsidR="00B63E5B" w:rsidRPr="00E3331A">
        <w:t>,</w:t>
      </w:r>
      <w:r w:rsidRPr="00E3331A">
        <w:t xml:space="preserve"> with the most frequent being infection of the venous access site (0.5</w:t>
      </w:r>
      <w:r w:rsidR="00B63E5B" w:rsidRPr="00E3331A">
        <w:t>%</w:t>
      </w:r>
      <w:r w:rsidRPr="00E3331A">
        <w:t xml:space="preserve"> of procedures) </w:t>
      </w:r>
      <w:r w:rsidR="00B63E5B" w:rsidRPr="00E3331A">
        <w:t xml:space="preserve">and </w:t>
      </w:r>
      <w:r w:rsidRPr="00E3331A">
        <w:t xml:space="preserve">sepsis </w:t>
      </w:r>
      <w:r w:rsidR="00B63E5B" w:rsidRPr="00E3331A">
        <w:t>(</w:t>
      </w:r>
      <w:r w:rsidRPr="00E3331A">
        <w:t>0.2</w:t>
      </w:r>
      <w:r w:rsidR="00B63E5B" w:rsidRPr="00E3331A">
        <w:t>%</w:t>
      </w:r>
      <w:r w:rsidRPr="00E3331A">
        <w:t xml:space="preserve"> of procedures</w:t>
      </w:r>
      <w:r w:rsidR="00B63E5B" w:rsidRPr="00E3331A">
        <w:t>)</w:t>
      </w:r>
      <w:r w:rsidRPr="00E3331A">
        <w:t xml:space="preserve"> </w:t>
      </w:r>
      <w:r w:rsidR="00B85C75">
        <w:rPr>
          <w:noProof/>
        </w:rPr>
        <w:t>(Choudhary and Hughes 1995)</w:t>
      </w:r>
      <w:r w:rsidRPr="00E3331A">
        <w:t>.</w:t>
      </w:r>
    </w:p>
    <w:p w:rsidR="0066686B" w:rsidRPr="00E3331A" w:rsidRDefault="0066686B" w:rsidP="0066686B">
      <w:r w:rsidRPr="00E3331A">
        <w:t>Two further studies report</w:t>
      </w:r>
      <w:r w:rsidR="00B65E0C" w:rsidRPr="00E3331A">
        <w:t>ed</w:t>
      </w:r>
      <w:r w:rsidRPr="00E3331A">
        <w:t xml:space="preserve"> only isolated events with plasma exchange and </w:t>
      </w:r>
      <w:r w:rsidR="00B65E0C" w:rsidRPr="00E3331A">
        <w:t xml:space="preserve">these </w:t>
      </w:r>
      <w:r w:rsidRPr="00E3331A">
        <w:t>are not formally considered included studies. Hahn, Bolton et al. 1996a randomised patient to plasma exchange or sham exchange and reported that one patient experienced a stroke one day after an uncomplicated plasma exchange and a second patient experienced a myocardial infarction with symptoms starting during a plasma exchange session</w:t>
      </w:r>
      <w:r w:rsidRPr="00E3331A">
        <w:rPr>
          <w:rStyle w:val="FootnoteReference"/>
        </w:rPr>
        <w:footnoteReference w:id="19"/>
      </w:r>
      <w:r w:rsidR="00B65E0C" w:rsidRPr="00E3331A">
        <w:t xml:space="preserve">. </w:t>
      </w:r>
      <w:r w:rsidRPr="00E3331A">
        <w:t xml:space="preserve">Dyck, Litchy </w:t>
      </w:r>
      <w:r w:rsidR="00983BA7">
        <w:t xml:space="preserve">et al. </w:t>
      </w:r>
      <w:r w:rsidRPr="00E3331A">
        <w:t>1994 who compared plasma exchange to IVIg</w:t>
      </w:r>
      <w:r w:rsidR="00B65E0C" w:rsidRPr="00E3331A">
        <w:t>,</w:t>
      </w:r>
      <w:r w:rsidRPr="00E3331A">
        <w:t xml:space="preserve"> </w:t>
      </w:r>
      <w:r w:rsidRPr="00E3331A">
        <w:lastRenderedPageBreak/>
        <w:t>did not provide a breakdown of safety events</w:t>
      </w:r>
      <w:r w:rsidR="00B65E0C" w:rsidRPr="00E3331A">
        <w:t>, but did</w:t>
      </w:r>
      <w:r w:rsidRPr="00E3331A">
        <w:t xml:space="preserve"> state that no patients experienced major complications. </w:t>
      </w:r>
      <w:r w:rsidR="00B65E0C" w:rsidRPr="00E3331A">
        <w:t>The authors</w:t>
      </w:r>
      <w:r w:rsidRPr="00E3331A">
        <w:t xml:space="preserve"> reported that one patient (of 9) in the plasma exchange arm had an infection of the indwelling catheter. </w:t>
      </w:r>
    </w:p>
    <w:p w:rsidR="0066686B" w:rsidRPr="00E3331A" w:rsidRDefault="0066686B" w:rsidP="0066686B">
      <w:pPr>
        <w:pStyle w:val="Caption"/>
      </w:pPr>
      <w:bookmarkStart w:id="268" w:name="_Ref10106498"/>
      <w:bookmarkStart w:id="269" w:name="_Toc9796901"/>
      <w:bookmarkStart w:id="270" w:name="_Toc24103337"/>
      <w:r w:rsidRPr="00E3331A">
        <w:t xml:space="preserve">Table </w:t>
      </w:r>
      <w:r w:rsidR="006F35B9">
        <w:rPr>
          <w:noProof/>
        </w:rPr>
        <w:t>31</w:t>
      </w:r>
      <w:bookmarkEnd w:id="268"/>
      <w:r w:rsidRPr="00E3331A">
        <w:tab/>
        <w:t>Studies reporting outcomes with plasma exchange</w:t>
      </w:r>
      <w:bookmarkEnd w:id="269"/>
      <w:bookmarkEnd w:id="270"/>
    </w:p>
    <w:tbl>
      <w:tblPr>
        <w:tblW w:w="5000" w:type="pct"/>
        <w:tblLayout w:type="fixed"/>
        <w:tblLook w:val="04A0" w:firstRow="1" w:lastRow="0" w:firstColumn="1" w:lastColumn="0" w:noHBand="0" w:noVBand="1"/>
      </w:tblPr>
      <w:tblGrid>
        <w:gridCol w:w="1627"/>
        <w:gridCol w:w="1847"/>
        <w:gridCol w:w="1848"/>
        <w:gridCol w:w="1846"/>
        <w:gridCol w:w="1848"/>
      </w:tblGrid>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b/>
                <w:color w:val="000000"/>
                <w:sz w:val="18"/>
                <w:szCs w:val="18"/>
              </w:rPr>
            </w:pPr>
            <w:r w:rsidRPr="00E3331A">
              <w:rPr>
                <w:rFonts w:ascii="Arial Narrow" w:hAnsi="Arial Narrow" w:cs="Calibri"/>
                <w:b/>
                <w:color w:val="000000"/>
                <w:sz w:val="18"/>
                <w:szCs w:val="18"/>
              </w:rPr>
              <w:t>Study ID</w:t>
            </w:r>
          </w:p>
          <w:p w:rsidR="0066686B" w:rsidRPr="00E3331A" w:rsidRDefault="0066686B" w:rsidP="00CD0563">
            <w:pPr>
              <w:spacing w:after="0" w:line="240" w:lineRule="auto"/>
              <w:rPr>
                <w:rFonts w:ascii="Arial Narrow" w:hAnsi="Arial Narrow" w:cs="Calibri"/>
                <w:b/>
                <w:color w:val="000000"/>
                <w:sz w:val="18"/>
                <w:szCs w:val="18"/>
              </w:rPr>
            </w:pPr>
            <w:r w:rsidRPr="00E3331A">
              <w:rPr>
                <w:rFonts w:ascii="Arial Narrow" w:hAnsi="Arial Narrow" w:cs="Calibri"/>
                <w:b/>
                <w:color w:val="000000"/>
                <w:sz w:val="18"/>
                <w:szCs w:val="18"/>
              </w:rPr>
              <w:t>Level of evidence</w:t>
            </w:r>
          </w:p>
          <w:p w:rsidR="0066686B" w:rsidRPr="00E3331A" w:rsidRDefault="0066686B" w:rsidP="00CD0563">
            <w:pPr>
              <w:spacing w:after="0" w:line="240" w:lineRule="auto"/>
              <w:rPr>
                <w:rFonts w:ascii="Arial Narrow" w:hAnsi="Arial Narrow" w:cs="Calibri"/>
                <w:b/>
                <w:color w:val="000000"/>
                <w:sz w:val="18"/>
                <w:szCs w:val="18"/>
              </w:rPr>
            </w:pPr>
            <w:r w:rsidRPr="00E3331A">
              <w:rPr>
                <w:rFonts w:ascii="Arial Narrow" w:hAnsi="Arial Narrow" w:cs="Calibri"/>
                <w:b/>
                <w:color w:val="000000"/>
                <w:sz w:val="18"/>
                <w:szCs w:val="18"/>
              </w:rPr>
              <w:t>Retrospective (R) / Prospective (P)</w:t>
            </w:r>
          </w:p>
          <w:p w:rsidR="0066686B" w:rsidRPr="00E3331A" w:rsidRDefault="0066686B" w:rsidP="00CD0563">
            <w:pPr>
              <w:spacing w:after="0" w:line="240" w:lineRule="auto"/>
              <w:rPr>
                <w:rFonts w:ascii="Arial Narrow" w:hAnsi="Arial Narrow" w:cs="Calibri"/>
                <w:b/>
                <w:color w:val="000000"/>
                <w:sz w:val="18"/>
                <w:szCs w:val="18"/>
              </w:rPr>
            </w:pPr>
            <w:r w:rsidRPr="00E3331A">
              <w:rPr>
                <w:rFonts w:ascii="Arial Narrow" w:hAnsi="Arial Narrow" w:cs="Calibri"/>
                <w:b/>
                <w:color w:val="000000"/>
                <w:sz w:val="18"/>
                <w:szCs w:val="18"/>
              </w:rPr>
              <w:t>N</w:t>
            </w:r>
          </w:p>
        </w:tc>
        <w:tc>
          <w:tcPr>
            <w:tcW w:w="102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b/>
                <w:color w:val="000000"/>
                <w:sz w:val="18"/>
                <w:szCs w:val="18"/>
              </w:rPr>
            </w:pPr>
            <w:r w:rsidRPr="00E3331A">
              <w:rPr>
                <w:rFonts w:ascii="Arial Narrow" w:hAnsi="Arial Narrow" w:cs="Calibri"/>
                <w:b/>
                <w:color w:val="000000"/>
                <w:sz w:val="18"/>
                <w:szCs w:val="18"/>
              </w:rPr>
              <w:t>Patients</w:t>
            </w:r>
          </w:p>
        </w:tc>
        <w:tc>
          <w:tcPr>
            <w:tcW w:w="1025"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b/>
                <w:color w:val="000000"/>
                <w:sz w:val="18"/>
                <w:szCs w:val="18"/>
              </w:rPr>
            </w:pPr>
            <w:r w:rsidRPr="00E3331A">
              <w:rPr>
                <w:rFonts w:ascii="Arial Narrow" w:hAnsi="Arial Narrow" w:cs="Calibri"/>
                <w:b/>
                <w:color w:val="000000"/>
                <w:sz w:val="18"/>
                <w:szCs w:val="18"/>
              </w:rPr>
              <w:t>Plasma exchange details</w:t>
            </w:r>
          </w:p>
        </w:tc>
        <w:tc>
          <w:tcPr>
            <w:tcW w:w="1024"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Observation period</w:t>
            </w:r>
          </w:p>
          <w:p w:rsidR="0066686B" w:rsidRPr="00E3331A" w:rsidRDefault="0066686B" w:rsidP="00CD0563">
            <w:pPr>
              <w:spacing w:after="0" w:line="240" w:lineRule="auto"/>
              <w:rPr>
                <w:rFonts w:ascii="Arial Narrow" w:hAnsi="Arial Narrow" w:cs="Calibri"/>
                <w:b/>
                <w:color w:val="000000"/>
                <w:sz w:val="18"/>
                <w:szCs w:val="18"/>
              </w:rPr>
            </w:pPr>
            <w:r w:rsidRPr="00E3331A">
              <w:rPr>
                <w:rFonts w:ascii="Arial Narrow" w:hAnsi="Arial Narrow" w:cs="Calibri"/>
                <w:b/>
                <w:bCs/>
                <w:sz w:val="18"/>
                <w:szCs w:val="18"/>
              </w:rPr>
              <w:t>Comments regarding safety analyses</w:t>
            </w:r>
          </w:p>
        </w:tc>
        <w:tc>
          <w:tcPr>
            <w:tcW w:w="1025" w:type="pct"/>
            <w:tcBorders>
              <w:top w:val="single" w:sz="4" w:space="0" w:color="auto"/>
              <w:left w:val="single" w:sz="4" w:space="0" w:color="auto"/>
              <w:bottom w:val="single" w:sz="4" w:space="0" w:color="auto"/>
              <w:right w:val="single" w:sz="4" w:space="0" w:color="auto"/>
            </w:tcBorders>
            <w:shd w:val="clear" w:color="auto" w:fill="auto"/>
          </w:tcPr>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Any adverse event (AE), n/N (%)</w:t>
            </w:r>
          </w:p>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Any serious adverse event (SAE), n/N (%)</w:t>
            </w:r>
          </w:p>
          <w:p w:rsidR="0066686B" w:rsidRPr="00E3331A" w:rsidRDefault="0066686B" w:rsidP="00CD0563">
            <w:pPr>
              <w:spacing w:after="0" w:line="240" w:lineRule="auto"/>
              <w:rPr>
                <w:rFonts w:ascii="Arial Narrow" w:hAnsi="Arial Narrow" w:cs="Calibri"/>
                <w:b/>
                <w:color w:val="000000"/>
                <w:sz w:val="18"/>
                <w:szCs w:val="18"/>
              </w:rPr>
            </w:pPr>
            <w:r w:rsidRPr="00E3331A">
              <w:rPr>
                <w:rFonts w:ascii="Arial Narrow" w:hAnsi="Arial Narrow" w:cs="Calibri"/>
                <w:b/>
                <w:bCs/>
                <w:sz w:val="18"/>
                <w:szCs w:val="18"/>
              </w:rPr>
              <w:t>Details of SAE</w:t>
            </w:r>
          </w:p>
        </w:tc>
      </w:tr>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Choudry 1995 </w:t>
            </w:r>
            <w:r w:rsidR="00B85C75">
              <w:rPr>
                <w:rFonts w:ascii="Arial Narrow" w:hAnsi="Arial Narrow" w:cs="Calibri"/>
                <w:noProof/>
                <w:color w:val="000000"/>
                <w:sz w:val="18"/>
                <w:szCs w:val="18"/>
              </w:rPr>
              <w:t>(Choudhary and Hughes 1995)</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III-3 (IVIg v PE)</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22</w:t>
            </w:r>
          </w:p>
          <w:p w:rsidR="0066686B" w:rsidRPr="00E3331A" w:rsidRDefault="0066686B" w:rsidP="00CD0563">
            <w:pPr>
              <w:spacing w:after="0" w:line="240" w:lineRule="auto"/>
              <w:rPr>
                <w:rFonts w:ascii="Arial Narrow" w:hAnsi="Arial Narrow" w:cs="Calibri"/>
                <w:color w:val="000000"/>
                <w:sz w:val="18"/>
                <w:szCs w:val="18"/>
              </w:rPr>
            </w:pPr>
          </w:p>
        </w:tc>
        <w:tc>
          <w:tcPr>
            <w:tcW w:w="102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CIDP considered by the consultant neurophysiologist to have demyelinating neuropathy </w:t>
            </w:r>
          </w:p>
        </w:tc>
        <w:tc>
          <w:tcPr>
            <w:tcW w:w="1025"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Frequency NR however, initial treatment was 5 exchanges over 8-14 days.</w:t>
            </w:r>
          </w:p>
        </w:tc>
        <w:tc>
          <w:tcPr>
            <w:tcW w:w="1024"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Nature of AEs only partially reported. </w:t>
            </w:r>
          </w:p>
        </w:tc>
        <w:tc>
          <w:tcPr>
            <w:tcW w:w="1025"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7/33 (21%)</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SAE: septicaemia arising from a tunnelled central venous catheter.</w:t>
            </w:r>
          </w:p>
          <w:p w:rsidR="0066686B" w:rsidRPr="00E3331A" w:rsidRDefault="0066686B" w:rsidP="00CD0563">
            <w:pPr>
              <w:spacing w:after="0" w:line="240" w:lineRule="auto"/>
              <w:rPr>
                <w:rFonts w:ascii="Arial Narrow" w:hAnsi="Arial Narrow" w:cs="Calibri"/>
                <w:color w:val="000000"/>
                <w:sz w:val="18"/>
                <w:szCs w:val="18"/>
              </w:rPr>
            </w:pPr>
          </w:p>
        </w:tc>
      </w:tr>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Vucic 1998 </w:t>
            </w:r>
            <w:r w:rsidR="00B85C75">
              <w:rPr>
                <w:rFonts w:ascii="Arial Narrow" w:hAnsi="Arial Narrow" w:cs="Calibri"/>
                <w:noProof/>
                <w:color w:val="000000"/>
                <w:sz w:val="18"/>
                <w:szCs w:val="18"/>
              </w:rPr>
              <w:t>(Vucic and Davies 1998)</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32</w:t>
            </w:r>
          </w:p>
        </w:tc>
        <w:tc>
          <w:tcPr>
            <w:tcW w:w="102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patients (criteria NR) undergoing plasmapheresis</w:t>
            </w:r>
          </w:p>
        </w:tc>
        <w:tc>
          <w:tcPr>
            <w:tcW w:w="1025"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The duration of each procedure was 1.5-2 hours. 5% human serum albumin alone or with</w:t>
            </w:r>
            <w:r w:rsidRPr="00E3331A">
              <w:rPr>
                <w:rFonts w:ascii="Arial Narrow" w:hAnsi="Arial Narrow" w:cs="Calibri"/>
                <w:color w:val="000000"/>
                <w:sz w:val="18"/>
                <w:szCs w:val="18"/>
              </w:rPr>
              <w:br/>
              <w:t xml:space="preserve">normal saline was the usual replacement fluid. </w:t>
            </w:r>
          </w:p>
        </w:tc>
        <w:tc>
          <w:tcPr>
            <w:tcW w:w="1024"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incompletely reported.</w:t>
            </w:r>
          </w:p>
        </w:tc>
        <w:tc>
          <w:tcPr>
            <w:tcW w:w="1025"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13/32 (41%)</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tc>
      </w:tr>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Cocito 2010 </w:t>
            </w:r>
            <w:r w:rsidR="00B85C75">
              <w:rPr>
                <w:rFonts w:ascii="Arial Narrow" w:hAnsi="Arial Narrow" w:cs="Calibri"/>
                <w:noProof/>
                <w:color w:val="000000"/>
                <w:sz w:val="18"/>
                <w:szCs w:val="18"/>
              </w:rPr>
              <w:t>(Cocito et al. 2010)</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III-3</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IVIg: 153</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Steroids: 155</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PE: 21</w:t>
            </w:r>
          </w:p>
          <w:p w:rsidR="0066686B" w:rsidRPr="00E3331A" w:rsidRDefault="0066686B" w:rsidP="00CD0563">
            <w:pPr>
              <w:spacing w:after="0" w:line="240" w:lineRule="auto"/>
              <w:rPr>
                <w:rFonts w:ascii="Arial Narrow" w:hAnsi="Arial Narrow" w:cs="Calibri"/>
                <w:color w:val="000000"/>
                <w:sz w:val="18"/>
                <w:szCs w:val="18"/>
              </w:rPr>
            </w:pPr>
          </w:p>
        </w:tc>
        <w:tc>
          <w:tcPr>
            <w:tcW w:w="102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w:t>
            </w:r>
            <w:r w:rsidR="00345C95" w:rsidRPr="00E3331A">
              <w:rPr>
                <w:rFonts w:ascii="Arial Narrow" w:hAnsi="Arial Narrow" w:cs="Calibri"/>
                <w:color w:val="000000"/>
                <w:sz w:val="18"/>
                <w:szCs w:val="18"/>
              </w:rPr>
              <w:t xml:space="preserve"> </w:t>
            </w:r>
            <w:r w:rsidRPr="00E3331A">
              <w:rPr>
                <w:rFonts w:ascii="Arial Narrow" w:hAnsi="Arial Narrow" w:cs="Calibri"/>
                <w:color w:val="000000"/>
                <w:sz w:val="18"/>
                <w:szCs w:val="18"/>
              </w:rPr>
              <w:t>(EFNS/PNS criteria)</w:t>
            </w:r>
          </w:p>
        </w:tc>
        <w:tc>
          <w:tcPr>
            <w:tcW w:w="1025"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Details of the interventions were not reported. </w:t>
            </w:r>
          </w:p>
        </w:tc>
        <w:tc>
          <w:tcPr>
            <w:tcW w:w="1024"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Highly varied according to patient and treatment. </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AEs with each treatment are reported but SAEs are not. </w:t>
            </w:r>
          </w:p>
        </w:tc>
        <w:tc>
          <w:tcPr>
            <w:tcW w:w="1025"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4/21 (19%)</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SAE: NR</w:t>
            </w:r>
          </w:p>
        </w:tc>
      </w:tr>
    </w:tbl>
    <w:p w:rsidR="0066686B" w:rsidRPr="00E3331A" w:rsidRDefault="0066686B" w:rsidP="0037150F">
      <w:pPr>
        <w:pStyle w:val="Tablenotes1"/>
      </w:pPr>
      <w:r w:rsidRPr="00E3331A">
        <w:t>EFNS/PNS: European Federation of Neurological Societies/Peripheral Nerve Society; PE: plasma exchange; NR: not reported</w:t>
      </w:r>
    </w:p>
    <w:p w:rsidR="0066686B" w:rsidRPr="00E3331A" w:rsidRDefault="0066686B" w:rsidP="0066686B">
      <w:pPr>
        <w:pStyle w:val="Heading3"/>
        <w:jc w:val="both"/>
      </w:pPr>
      <w:bookmarkStart w:id="271" w:name="_Toc24103475"/>
      <w:r w:rsidRPr="00E3331A">
        <w:t>Adverse events in patients receiving azathioprine</w:t>
      </w:r>
      <w:bookmarkEnd w:id="271"/>
    </w:p>
    <w:p w:rsidR="0066686B" w:rsidRPr="00E3331A" w:rsidRDefault="0066686B" w:rsidP="0066686B">
      <w:r w:rsidRPr="00E3331A">
        <w:t>Two studies (</w:t>
      </w:r>
      <w:r w:rsidR="006F35B9" w:rsidRPr="00E3331A">
        <w:t xml:space="preserve">Table </w:t>
      </w:r>
      <w:r w:rsidR="006F35B9">
        <w:rPr>
          <w:noProof/>
        </w:rPr>
        <w:t>32</w:t>
      </w:r>
      <w:r w:rsidRPr="00E3331A">
        <w:t xml:space="preserve">) </w:t>
      </w:r>
      <w:r w:rsidR="00415F09" w:rsidRPr="00E3331A">
        <w:t xml:space="preserve">with </w:t>
      </w:r>
      <w:r w:rsidRPr="00E3331A">
        <w:t>a total of 95 patients reported on azathioprine</w:t>
      </w:r>
      <w:r w:rsidR="001455C3" w:rsidRPr="00E3331A">
        <w:t xml:space="preserve"> </w:t>
      </w:r>
      <w:r w:rsidR="00B85C75">
        <w:rPr>
          <w:noProof/>
        </w:rPr>
        <w:t>(Cocito et al. 2011; Lopate et al. 2005)</w:t>
      </w:r>
      <w:r w:rsidRPr="00E3331A">
        <w:t>. C</w:t>
      </w:r>
      <w:r w:rsidR="001455C3" w:rsidRPr="00E3331A">
        <w:t>o</w:t>
      </w:r>
      <w:r w:rsidRPr="00E3331A">
        <w:t xml:space="preserve">cito </w:t>
      </w:r>
      <w:r w:rsidR="00983BA7">
        <w:t xml:space="preserve">et al. </w:t>
      </w:r>
      <w:r w:rsidRPr="00E3331A">
        <w:t>(2011) reported that 16 of 77 patient</w:t>
      </w:r>
      <w:r w:rsidR="00415F09" w:rsidRPr="00E3331A">
        <w:t xml:space="preserve">s (21%) </w:t>
      </w:r>
      <w:r w:rsidRPr="00E3331A">
        <w:t>treated with azathioprine experienced an adverse event</w:t>
      </w:r>
      <w:r w:rsidR="00415F09" w:rsidRPr="00E3331A">
        <w:t>, but</w:t>
      </w:r>
      <w:r w:rsidRPr="00E3331A">
        <w:t xml:space="preserve"> the nature of the events was not reported. Serious adverse events occurred in 10</w:t>
      </w:r>
      <w:r w:rsidR="00415F09" w:rsidRPr="00E3331A">
        <w:t xml:space="preserve"> patients in this study</w:t>
      </w:r>
      <w:r w:rsidRPr="00E3331A">
        <w:t xml:space="preserve"> (13%). Lopate </w:t>
      </w:r>
      <w:r w:rsidR="00983BA7">
        <w:t xml:space="preserve">et al. </w:t>
      </w:r>
      <w:r w:rsidRPr="00E3331A">
        <w:t>(2005) reported</w:t>
      </w:r>
      <w:r w:rsidR="00345C95" w:rsidRPr="00E3331A">
        <w:t xml:space="preserve"> </w:t>
      </w:r>
      <w:r w:rsidRPr="00E3331A">
        <w:t>that 10 of 18 patients</w:t>
      </w:r>
      <w:r w:rsidR="00415F09" w:rsidRPr="00E3331A">
        <w:t xml:space="preserve"> (55%) </w:t>
      </w:r>
      <w:r w:rsidRPr="00E3331A">
        <w:t xml:space="preserve">experienced adverse events including increased </w:t>
      </w:r>
      <w:r w:rsidR="001455C3" w:rsidRPr="00E3331A">
        <w:t>liver function test (</w:t>
      </w:r>
      <w:r w:rsidRPr="00E3331A">
        <w:t>LFT</w:t>
      </w:r>
      <w:r w:rsidR="001455C3" w:rsidRPr="00E3331A">
        <w:t>)</w:t>
      </w:r>
      <w:r w:rsidRPr="00E3331A">
        <w:t xml:space="preserve"> results (</w:t>
      </w:r>
      <w:r w:rsidR="00A07838">
        <w:t xml:space="preserve">n = </w:t>
      </w:r>
      <w:r w:rsidRPr="00E3331A">
        <w:t>1), anaemia/cytopenia (</w:t>
      </w:r>
      <w:r w:rsidR="00A07838">
        <w:t xml:space="preserve">n = </w:t>
      </w:r>
      <w:r w:rsidRPr="00E3331A">
        <w:t>4), and nausea/emesis (</w:t>
      </w:r>
      <w:r w:rsidR="00A07838">
        <w:t xml:space="preserve">n = </w:t>
      </w:r>
      <w:r w:rsidRPr="00E3331A">
        <w:t>5).</w:t>
      </w:r>
    </w:p>
    <w:p w:rsidR="0066686B" w:rsidRPr="00E3331A" w:rsidRDefault="0066686B" w:rsidP="0066686B">
      <w:pPr>
        <w:pStyle w:val="Caption"/>
      </w:pPr>
      <w:bookmarkStart w:id="272" w:name="_Ref10106515"/>
      <w:bookmarkStart w:id="273" w:name="_Toc9796902"/>
      <w:bookmarkStart w:id="274" w:name="_Toc24103338"/>
      <w:r w:rsidRPr="00E3331A">
        <w:t xml:space="preserve">Table </w:t>
      </w:r>
      <w:r w:rsidR="006F35B9">
        <w:rPr>
          <w:noProof/>
        </w:rPr>
        <w:t>32</w:t>
      </w:r>
      <w:bookmarkEnd w:id="272"/>
      <w:r w:rsidRPr="00E3331A">
        <w:tab/>
        <w:t>Studies reporting outcomes with azathioprine</w:t>
      </w:r>
      <w:bookmarkEnd w:id="273"/>
      <w:bookmarkEnd w:id="274"/>
    </w:p>
    <w:tbl>
      <w:tblPr>
        <w:tblW w:w="5000" w:type="pct"/>
        <w:tblLayout w:type="fixed"/>
        <w:tblLook w:val="04A0" w:firstRow="1" w:lastRow="0" w:firstColumn="1" w:lastColumn="0" w:noHBand="0" w:noVBand="1"/>
      </w:tblPr>
      <w:tblGrid>
        <w:gridCol w:w="1627"/>
        <w:gridCol w:w="1451"/>
        <w:gridCol w:w="1958"/>
        <w:gridCol w:w="2002"/>
        <w:gridCol w:w="1978"/>
      </w:tblGrid>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Study ID</w:t>
            </w:r>
          </w:p>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Level of evidence</w:t>
            </w:r>
          </w:p>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Retrospective (R) / Prospective (P)</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N</w:t>
            </w: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Inclusion criteria (simplified)</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Azathioprine details</w:t>
            </w: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Observation period</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Comments regarding safety analyses</w:t>
            </w: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Any adverse event (AE), n/N (%)</w:t>
            </w:r>
          </w:p>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Any serious adverse event (SAE), n/N (%)</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Details of SAE</w:t>
            </w:r>
          </w:p>
        </w:tc>
      </w:tr>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lastRenderedPageBreak/>
              <w:t xml:space="preserve">Lopate </w:t>
            </w:r>
            <w:r w:rsidR="00983BA7">
              <w:rPr>
                <w:rFonts w:ascii="Arial Narrow" w:hAnsi="Arial Narrow" w:cs="Calibri"/>
                <w:color w:val="000000"/>
                <w:sz w:val="18"/>
                <w:szCs w:val="18"/>
              </w:rPr>
              <w:t xml:space="preserve">et al. </w:t>
            </w:r>
            <w:r w:rsidRPr="00E3331A">
              <w:rPr>
                <w:rFonts w:ascii="Arial Narrow" w:hAnsi="Arial Narrow" w:cs="Calibri"/>
                <w:color w:val="000000"/>
                <w:sz w:val="18"/>
                <w:szCs w:val="18"/>
              </w:rPr>
              <w:t xml:space="preserve">2005 </w:t>
            </w:r>
            <w:r w:rsidR="00B85C75">
              <w:rPr>
                <w:rFonts w:ascii="Arial Narrow" w:hAnsi="Arial Narrow" w:cs="Calibri"/>
                <w:noProof/>
                <w:color w:val="000000"/>
                <w:sz w:val="18"/>
                <w:szCs w:val="18"/>
              </w:rPr>
              <w:t>(Lopate et al. 2005)</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III-3</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18</w:t>
            </w:r>
          </w:p>
          <w:p w:rsidR="0066686B" w:rsidRPr="00E3331A" w:rsidRDefault="0066686B" w:rsidP="00CD0563">
            <w:pPr>
              <w:spacing w:after="0" w:line="240" w:lineRule="auto"/>
              <w:rPr>
                <w:rFonts w:ascii="Arial Narrow" w:hAnsi="Arial Narrow" w:cs="Calibri"/>
                <w:color w:val="000000"/>
                <w:sz w:val="18"/>
                <w:szCs w:val="18"/>
              </w:rPr>
            </w:pP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w:t>
            </w:r>
            <w:r w:rsidR="00345C95" w:rsidRPr="00E3331A">
              <w:rPr>
                <w:rFonts w:ascii="Arial Narrow" w:hAnsi="Arial Narrow" w:cs="Calibri"/>
                <w:color w:val="000000"/>
                <w:sz w:val="18"/>
                <w:szCs w:val="18"/>
              </w:rPr>
              <w:t xml:space="preserve"> </w:t>
            </w:r>
            <w:r w:rsidRPr="00E3331A">
              <w:rPr>
                <w:rFonts w:ascii="Arial Narrow" w:hAnsi="Arial Narrow" w:cs="Calibri"/>
                <w:color w:val="000000"/>
                <w:sz w:val="18"/>
                <w:szCs w:val="18"/>
              </w:rPr>
              <w:t>(EFNS/PNS criteria)</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Oral immunosuppressive agents – further details NR</w:t>
            </w:r>
          </w:p>
          <w:p w:rsidR="0066686B" w:rsidRPr="00E3331A" w:rsidRDefault="0066686B" w:rsidP="00CD0563">
            <w:pPr>
              <w:spacing w:after="0" w:line="240" w:lineRule="auto"/>
              <w:rPr>
                <w:rFonts w:ascii="Arial Narrow" w:hAnsi="Arial Narrow" w:cs="Calibri"/>
                <w:color w:val="000000"/>
                <w:sz w:val="18"/>
                <w:szCs w:val="18"/>
              </w:rPr>
            </w:pP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Oral agents: 4.7 years</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reported.</w:t>
            </w: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10/18 (55%)</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NR </w:t>
            </w:r>
          </w:p>
        </w:tc>
      </w:tr>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Cocito 2011 </w:t>
            </w:r>
            <w:r w:rsidR="00B85C75">
              <w:rPr>
                <w:rFonts w:ascii="Arial Narrow" w:hAnsi="Arial Narrow" w:cs="Calibri"/>
                <w:noProof/>
                <w:color w:val="000000"/>
                <w:sz w:val="18"/>
                <w:szCs w:val="18"/>
              </w:rPr>
              <w:t>(Cocito et al. 2011)</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110</w:t>
            </w: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patients (EFNS/PNS criteria) who had not responded to conventional therapy</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100–200 mg/day</w:t>
            </w:r>
          </w:p>
          <w:p w:rsidR="0066686B" w:rsidRPr="00E3331A" w:rsidRDefault="0066686B" w:rsidP="00CD0563">
            <w:pPr>
              <w:spacing w:after="0" w:line="240" w:lineRule="auto"/>
              <w:rPr>
                <w:rFonts w:ascii="Arial Narrow" w:hAnsi="Arial Narrow" w:cs="Calibri"/>
                <w:color w:val="000000"/>
                <w:sz w:val="18"/>
                <w:szCs w:val="18"/>
              </w:rPr>
            </w:pP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Median 5.4 years</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NR</w:t>
            </w:r>
          </w:p>
          <w:p w:rsidR="0066686B" w:rsidRPr="00E3331A" w:rsidRDefault="0066686B" w:rsidP="00CD0563">
            <w:pPr>
              <w:spacing w:after="0" w:line="240" w:lineRule="auto"/>
              <w:rPr>
                <w:rFonts w:ascii="Arial Narrow" w:hAnsi="Arial Narrow" w:cs="Calibri"/>
                <w:color w:val="000000"/>
                <w:sz w:val="18"/>
                <w:szCs w:val="18"/>
              </w:rPr>
            </w:pP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16/77 (21%)</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10/77 (13%)</w:t>
            </w:r>
          </w:p>
          <w:p w:rsidR="0066686B" w:rsidRPr="00E3331A" w:rsidRDefault="0066686B" w:rsidP="00CD0563">
            <w:pPr>
              <w:spacing w:after="0" w:line="240" w:lineRule="auto"/>
              <w:rPr>
                <w:rFonts w:ascii="Arial Narrow" w:hAnsi="Arial Narrow" w:cs="Calibri"/>
                <w:color w:val="000000"/>
                <w:sz w:val="18"/>
                <w:szCs w:val="18"/>
              </w:rPr>
            </w:pPr>
          </w:p>
        </w:tc>
      </w:tr>
    </w:tbl>
    <w:p w:rsidR="0066686B" w:rsidRPr="00E3331A" w:rsidRDefault="0066686B" w:rsidP="0037150F">
      <w:pPr>
        <w:pStyle w:val="Tablenotes1"/>
      </w:pPr>
      <w:r w:rsidRPr="00E3331A">
        <w:t>EFNS/PNS: European Federation of Neurological Societies/Peripheral Nerve Society; NR: not reported</w:t>
      </w:r>
    </w:p>
    <w:p w:rsidR="0066686B" w:rsidRPr="00E3331A" w:rsidRDefault="0066686B" w:rsidP="0066686B">
      <w:pPr>
        <w:pStyle w:val="Heading3"/>
        <w:jc w:val="both"/>
      </w:pPr>
      <w:bookmarkStart w:id="275" w:name="_Toc24103476"/>
      <w:r w:rsidRPr="00E3331A">
        <w:t>Adverse events in patients receiving cyclosporin</w:t>
      </w:r>
      <w:bookmarkEnd w:id="275"/>
    </w:p>
    <w:p w:rsidR="0066686B" w:rsidRPr="00E3331A" w:rsidRDefault="0066686B" w:rsidP="0066686B">
      <w:r w:rsidRPr="00E3331A">
        <w:t xml:space="preserve">Three studies </w:t>
      </w:r>
      <w:r w:rsidR="00415F09" w:rsidRPr="00E3331A">
        <w:t xml:space="preserve">with </w:t>
      </w:r>
      <w:r w:rsidRPr="00E3331A">
        <w:t>a total of 44 patients reported on cyclosporin</w:t>
      </w:r>
      <w:r w:rsidR="001455C3" w:rsidRPr="00E3331A">
        <w:t xml:space="preserve"> </w:t>
      </w:r>
      <w:r w:rsidR="00B85C75">
        <w:rPr>
          <w:noProof/>
        </w:rPr>
        <w:t>(Barnett et al. 1998; Cocito et al. 2011; Lopate et al. 2005)</w:t>
      </w:r>
      <w:r w:rsidR="001455C3" w:rsidRPr="00E3331A">
        <w:t xml:space="preserve">. </w:t>
      </w:r>
      <w:r w:rsidRPr="00E3331A">
        <w:t xml:space="preserve">Barnett </w:t>
      </w:r>
      <w:r w:rsidR="00983BA7">
        <w:t xml:space="preserve">et al. </w:t>
      </w:r>
      <w:r w:rsidRPr="00E3331A">
        <w:t>(1998) reported adverse events in 13 patients</w:t>
      </w:r>
      <w:r w:rsidR="00415F09" w:rsidRPr="00E3331A">
        <w:t xml:space="preserve"> (68%) </w:t>
      </w:r>
      <w:r w:rsidRPr="00E3331A">
        <w:t>with events including nephrotoxicity requiring dose reduction (</w:t>
      </w:r>
      <w:r w:rsidR="00A07838">
        <w:t xml:space="preserve">n = </w:t>
      </w:r>
      <w:r w:rsidRPr="00E3331A">
        <w:t>2)</w:t>
      </w:r>
      <w:r w:rsidR="00415F09" w:rsidRPr="00E3331A">
        <w:t>,</w:t>
      </w:r>
      <w:r w:rsidRPr="00E3331A">
        <w:t xml:space="preserve"> nephrotoxicity requiring cessation (</w:t>
      </w:r>
      <w:r w:rsidR="00A07838">
        <w:t xml:space="preserve">n = </w:t>
      </w:r>
      <w:r w:rsidRPr="00E3331A">
        <w:t>2)</w:t>
      </w:r>
      <w:r w:rsidR="00415F09" w:rsidRPr="00E3331A">
        <w:t>,</w:t>
      </w:r>
      <w:r w:rsidRPr="00E3331A">
        <w:t xml:space="preserve"> hypertension (</w:t>
      </w:r>
      <w:r w:rsidR="00A07838">
        <w:t xml:space="preserve">n = </w:t>
      </w:r>
      <w:r w:rsidRPr="00E3331A">
        <w:t>4)</w:t>
      </w:r>
      <w:r w:rsidR="00415F09" w:rsidRPr="00E3331A">
        <w:t>,</w:t>
      </w:r>
      <w:r w:rsidRPr="00E3331A">
        <w:t xml:space="preserve"> nausea (</w:t>
      </w:r>
      <w:r w:rsidR="00A07838">
        <w:t xml:space="preserve">n = </w:t>
      </w:r>
      <w:r w:rsidRPr="00E3331A">
        <w:t>3)</w:t>
      </w:r>
      <w:r w:rsidR="00415F09" w:rsidRPr="00E3331A">
        <w:t>,</w:t>
      </w:r>
      <w:r w:rsidRPr="00E3331A">
        <w:t xml:space="preserve"> oedema (</w:t>
      </w:r>
      <w:r w:rsidR="00A07838">
        <w:t xml:space="preserve">n = </w:t>
      </w:r>
      <w:r w:rsidRPr="00E3331A">
        <w:t>3)</w:t>
      </w:r>
      <w:r w:rsidR="00415F09" w:rsidRPr="00E3331A">
        <w:t xml:space="preserve"> and</w:t>
      </w:r>
      <w:r w:rsidRPr="00E3331A">
        <w:t xml:space="preserve"> hirsutism (</w:t>
      </w:r>
      <w:r w:rsidR="00A07838">
        <w:t xml:space="preserve">n = </w:t>
      </w:r>
      <w:r w:rsidRPr="00E3331A">
        <w:t xml:space="preserve">4). Lopate </w:t>
      </w:r>
      <w:r w:rsidR="00983BA7">
        <w:t xml:space="preserve">et al. </w:t>
      </w:r>
      <w:r w:rsidRPr="00E3331A">
        <w:t>(2005) did not report number</w:t>
      </w:r>
      <w:r w:rsidR="00415F09" w:rsidRPr="00E3331A">
        <w:t>s</w:t>
      </w:r>
      <w:r w:rsidRPr="00E3331A">
        <w:t xml:space="preserve"> of patients experiencing adverse event</w:t>
      </w:r>
      <w:r w:rsidR="00415F09" w:rsidRPr="00E3331A">
        <w:t>s</w:t>
      </w:r>
      <w:r w:rsidRPr="00E3331A">
        <w:t xml:space="preserve"> but </w:t>
      </w:r>
      <w:r w:rsidR="00415F09" w:rsidRPr="00E3331A">
        <w:t xml:space="preserve">events </w:t>
      </w:r>
      <w:r w:rsidRPr="00E3331A">
        <w:t>report</w:t>
      </w:r>
      <w:r w:rsidR="00415F09" w:rsidRPr="00E3331A">
        <w:t>ed</w:t>
      </w:r>
      <w:r w:rsidRPr="00E3331A">
        <w:t xml:space="preserve"> includ</w:t>
      </w:r>
      <w:r w:rsidR="00415F09" w:rsidRPr="00E3331A">
        <w:t>ed</w:t>
      </w:r>
      <w:r w:rsidRPr="00E3331A">
        <w:t xml:space="preserve"> anaemia/cytopenia (</w:t>
      </w:r>
      <w:r w:rsidR="00A07838">
        <w:t xml:space="preserve">n = </w:t>
      </w:r>
      <w:r w:rsidRPr="00E3331A">
        <w:t>1), hypertension (</w:t>
      </w:r>
      <w:r w:rsidR="00A07838">
        <w:t xml:space="preserve">n = </w:t>
      </w:r>
      <w:r w:rsidRPr="00E3331A">
        <w:t>3) and</w:t>
      </w:r>
      <w:r w:rsidR="00345C95" w:rsidRPr="00E3331A">
        <w:t xml:space="preserve"> </w:t>
      </w:r>
      <w:r w:rsidRPr="00E3331A">
        <w:t>renal insufficiency (</w:t>
      </w:r>
      <w:r w:rsidR="00A07838">
        <w:t xml:space="preserve">n = </w:t>
      </w:r>
      <w:r w:rsidRPr="00E3331A">
        <w:t xml:space="preserve">3). Cocito </w:t>
      </w:r>
      <w:r w:rsidR="00983BA7">
        <w:t xml:space="preserve">et al. </w:t>
      </w:r>
      <w:r w:rsidRPr="00E3331A">
        <w:t>(2011) reported that 6 of 12 (50%) and five of 12 (42%) of patients experienced any adverse event and a serious adverse event</w:t>
      </w:r>
      <w:r w:rsidR="00415F09" w:rsidRPr="00E3331A">
        <w:t>,</w:t>
      </w:r>
      <w:r w:rsidRPr="00E3331A">
        <w:t xml:space="preserve"> respectively. </w:t>
      </w:r>
    </w:p>
    <w:p w:rsidR="0066686B" w:rsidRPr="00E3331A" w:rsidRDefault="0066686B" w:rsidP="00A74BA4">
      <w:pPr>
        <w:pStyle w:val="Caption"/>
      </w:pPr>
      <w:bookmarkStart w:id="276" w:name="_Toc9796903"/>
      <w:bookmarkStart w:id="277" w:name="_Toc24103339"/>
      <w:r w:rsidRPr="00E3331A">
        <w:t xml:space="preserve">Table </w:t>
      </w:r>
      <w:r w:rsidR="006F35B9">
        <w:rPr>
          <w:noProof/>
        </w:rPr>
        <w:t>33</w:t>
      </w:r>
      <w:r w:rsidRPr="00E3331A">
        <w:tab/>
        <w:t>Studies reporting outcomes with cyclosporin</w:t>
      </w:r>
      <w:bookmarkEnd w:id="276"/>
      <w:bookmarkEnd w:id="277"/>
    </w:p>
    <w:tbl>
      <w:tblPr>
        <w:tblW w:w="5000" w:type="pct"/>
        <w:tblLayout w:type="fixed"/>
        <w:tblLook w:val="04A0" w:firstRow="1" w:lastRow="0" w:firstColumn="1" w:lastColumn="0" w:noHBand="0" w:noVBand="1"/>
      </w:tblPr>
      <w:tblGrid>
        <w:gridCol w:w="1627"/>
        <w:gridCol w:w="1451"/>
        <w:gridCol w:w="1958"/>
        <w:gridCol w:w="2002"/>
        <w:gridCol w:w="1978"/>
      </w:tblGrid>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A74BA4">
            <w:pPr>
              <w:keepNext/>
              <w:spacing w:after="0" w:line="240" w:lineRule="auto"/>
              <w:rPr>
                <w:rFonts w:ascii="Arial Narrow" w:hAnsi="Arial Narrow" w:cs="Calibri"/>
                <w:b/>
                <w:bCs/>
                <w:sz w:val="18"/>
                <w:szCs w:val="18"/>
              </w:rPr>
            </w:pPr>
            <w:r w:rsidRPr="00E3331A">
              <w:rPr>
                <w:rFonts w:ascii="Arial Narrow" w:hAnsi="Arial Narrow" w:cs="Calibri"/>
                <w:b/>
                <w:bCs/>
                <w:sz w:val="18"/>
                <w:szCs w:val="18"/>
              </w:rPr>
              <w:t>Study ID</w:t>
            </w:r>
          </w:p>
          <w:p w:rsidR="0066686B" w:rsidRPr="00E3331A" w:rsidRDefault="0066686B" w:rsidP="00A74BA4">
            <w:pPr>
              <w:keepNext/>
              <w:spacing w:after="0" w:line="240" w:lineRule="auto"/>
              <w:rPr>
                <w:rFonts w:ascii="Arial Narrow" w:hAnsi="Arial Narrow" w:cs="Calibri"/>
                <w:b/>
                <w:bCs/>
                <w:sz w:val="18"/>
                <w:szCs w:val="18"/>
              </w:rPr>
            </w:pPr>
            <w:r w:rsidRPr="00E3331A">
              <w:rPr>
                <w:rFonts w:ascii="Arial Narrow" w:hAnsi="Arial Narrow" w:cs="Calibri"/>
                <w:b/>
                <w:bCs/>
                <w:sz w:val="18"/>
                <w:szCs w:val="18"/>
              </w:rPr>
              <w:t>Level of evidence</w:t>
            </w:r>
          </w:p>
          <w:p w:rsidR="0066686B" w:rsidRPr="00E3331A" w:rsidRDefault="0066686B" w:rsidP="00A74BA4">
            <w:pPr>
              <w:keepNext/>
              <w:spacing w:after="0" w:line="240" w:lineRule="auto"/>
              <w:rPr>
                <w:rFonts w:ascii="Arial Narrow" w:hAnsi="Arial Narrow" w:cs="Calibri"/>
                <w:b/>
                <w:bCs/>
                <w:sz w:val="18"/>
                <w:szCs w:val="18"/>
              </w:rPr>
            </w:pPr>
            <w:r w:rsidRPr="00E3331A">
              <w:rPr>
                <w:rFonts w:ascii="Arial Narrow" w:hAnsi="Arial Narrow" w:cs="Calibri"/>
                <w:b/>
                <w:bCs/>
                <w:sz w:val="18"/>
                <w:szCs w:val="18"/>
              </w:rPr>
              <w:t>Retrospective (R) / Prospective (P)</w:t>
            </w:r>
          </w:p>
          <w:p w:rsidR="0066686B" w:rsidRPr="00E3331A" w:rsidRDefault="0066686B" w:rsidP="00A74BA4">
            <w:pPr>
              <w:keepNext/>
              <w:spacing w:after="0" w:line="240" w:lineRule="auto"/>
              <w:rPr>
                <w:rFonts w:ascii="Arial Narrow" w:hAnsi="Arial Narrow" w:cs="Calibri"/>
                <w:color w:val="000000"/>
                <w:sz w:val="18"/>
                <w:szCs w:val="18"/>
              </w:rPr>
            </w:pPr>
            <w:r w:rsidRPr="00E3331A">
              <w:rPr>
                <w:rFonts w:ascii="Arial Narrow" w:hAnsi="Arial Narrow" w:cs="Calibri"/>
                <w:b/>
                <w:bCs/>
                <w:sz w:val="18"/>
                <w:szCs w:val="18"/>
              </w:rPr>
              <w:t>N</w:t>
            </w: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A74BA4">
            <w:pPr>
              <w:keepNext/>
              <w:spacing w:after="0" w:line="240" w:lineRule="auto"/>
              <w:rPr>
                <w:rFonts w:ascii="Arial Narrow" w:hAnsi="Arial Narrow" w:cs="Calibri"/>
                <w:color w:val="000000"/>
                <w:sz w:val="18"/>
                <w:szCs w:val="18"/>
              </w:rPr>
            </w:pPr>
            <w:r w:rsidRPr="00E3331A">
              <w:rPr>
                <w:rFonts w:ascii="Arial Narrow" w:hAnsi="Arial Narrow" w:cs="Calibri"/>
                <w:b/>
                <w:bCs/>
                <w:sz w:val="18"/>
                <w:szCs w:val="18"/>
              </w:rPr>
              <w:t>Inclusion criteria (simplified)</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A74BA4">
            <w:pPr>
              <w:keepNext/>
              <w:spacing w:after="0" w:line="240" w:lineRule="auto"/>
              <w:rPr>
                <w:rFonts w:ascii="Arial Narrow" w:hAnsi="Arial Narrow" w:cs="Calibri"/>
                <w:color w:val="000000"/>
                <w:sz w:val="18"/>
                <w:szCs w:val="18"/>
              </w:rPr>
            </w:pPr>
            <w:r w:rsidRPr="00E3331A">
              <w:rPr>
                <w:rFonts w:ascii="Arial Narrow" w:hAnsi="Arial Narrow" w:cs="Calibri"/>
                <w:b/>
                <w:bCs/>
                <w:sz w:val="18"/>
                <w:szCs w:val="18"/>
              </w:rPr>
              <w:t>Cyclosporin details</w:t>
            </w: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A74BA4">
            <w:pPr>
              <w:keepNext/>
              <w:spacing w:after="0" w:line="240" w:lineRule="auto"/>
              <w:rPr>
                <w:rFonts w:ascii="Arial Narrow" w:hAnsi="Arial Narrow" w:cs="Calibri"/>
                <w:b/>
                <w:bCs/>
                <w:sz w:val="18"/>
                <w:szCs w:val="18"/>
              </w:rPr>
            </w:pPr>
            <w:r w:rsidRPr="00E3331A">
              <w:rPr>
                <w:rFonts w:ascii="Arial Narrow" w:hAnsi="Arial Narrow" w:cs="Calibri"/>
                <w:b/>
                <w:bCs/>
                <w:sz w:val="18"/>
                <w:szCs w:val="18"/>
              </w:rPr>
              <w:t>Observation period</w:t>
            </w:r>
          </w:p>
          <w:p w:rsidR="0066686B" w:rsidRPr="00E3331A" w:rsidRDefault="0066686B" w:rsidP="00A74BA4">
            <w:pPr>
              <w:keepNext/>
              <w:spacing w:after="0" w:line="240" w:lineRule="auto"/>
              <w:rPr>
                <w:rFonts w:ascii="Arial Narrow" w:hAnsi="Arial Narrow" w:cs="Calibri"/>
                <w:color w:val="000000"/>
                <w:sz w:val="18"/>
                <w:szCs w:val="18"/>
              </w:rPr>
            </w:pPr>
            <w:r w:rsidRPr="00E3331A">
              <w:rPr>
                <w:rFonts w:ascii="Arial Narrow" w:hAnsi="Arial Narrow" w:cs="Calibri"/>
                <w:b/>
                <w:bCs/>
                <w:sz w:val="18"/>
                <w:szCs w:val="18"/>
              </w:rPr>
              <w:t>Comments regarding safety analyses</w:t>
            </w: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A74BA4">
            <w:pPr>
              <w:keepNext/>
              <w:spacing w:after="0" w:line="240" w:lineRule="auto"/>
              <w:rPr>
                <w:rFonts w:ascii="Arial Narrow" w:hAnsi="Arial Narrow" w:cs="Calibri"/>
                <w:b/>
                <w:bCs/>
                <w:sz w:val="18"/>
                <w:szCs w:val="18"/>
              </w:rPr>
            </w:pPr>
            <w:r w:rsidRPr="00E3331A">
              <w:rPr>
                <w:rFonts w:ascii="Arial Narrow" w:hAnsi="Arial Narrow" w:cs="Calibri"/>
                <w:b/>
                <w:bCs/>
                <w:sz w:val="18"/>
                <w:szCs w:val="18"/>
              </w:rPr>
              <w:t>Any adverse event (AE), n/N (%)</w:t>
            </w:r>
          </w:p>
          <w:p w:rsidR="0066686B" w:rsidRPr="00E3331A" w:rsidRDefault="0066686B" w:rsidP="00A74BA4">
            <w:pPr>
              <w:keepNext/>
              <w:spacing w:after="0" w:line="240" w:lineRule="auto"/>
              <w:rPr>
                <w:rFonts w:ascii="Arial Narrow" w:hAnsi="Arial Narrow" w:cs="Calibri"/>
                <w:b/>
                <w:bCs/>
                <w:sz w:val="18"/>
                <w:szCs w:val="18"/>
              </w:rPr>
            </w:pPr>
            <w:r w:rsidRPr="00E3331A">
              <w:rPr>
                <w:rFonts w:ascii="Arial Narrow" w:hAnsi="Arial Narrow" w:cs="Calibri"/>
                <w:b/>
                <w:bCs/>
                <w:sz w:val="18"/>
                <w:szCs w:val="18"/>
              </w:rPr>
              <w:t>Any serious adverse event (SAE), n/N (%)</w:t>
            </w:r>
          </w:p>
          <w:p w:rsidR="0066686B" w:rsidRPr="00E3331A" w:rsidRDefault="0066686B" w:rsidP="00A74BA4">
            <w:pPr>
              <w:keepNext/>
              <w:spacing w:after="0" w:line="240" w:lineRule="auto"/>
              <w:rPr>
                <w:rFonts w:ascii="Arial Narrow" w:hAnsi="Arial Narrow" w:cs="Calibri"/>
                <w:color w:val="000000"/>
                <w:sz w:val="18"/>
                <w:szCs w:val="18"/>
              </w:rPr>
            </w:pPr>
            <w:r w:rsidRPr="00E3331A">
              <w:rPr>
                <w:rFonts w:ascii="Arial Narrow" w:hAnsi="Arial Narrow" w:cs="Calibri"/>
                <w:b/>
                <w:bCs/>
                <w:sz w:val="18"/>
                <w:szCs w:val="18"/>
              </w:rPr>
              <w:t>Details of SAE</w:t>
            </w:r>
          </w:p>
        </w:tc>
      </w:tr>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Lopate </w:t>
            </w:r>
            <w:r w:rsidR="00983BA7">
              <w:rPr>
                <w:rFonts w:ascii="Arial Narrow" w:hAnsi="Arial Narrow" w:cs="Calibri"/>
                <w:color w:val="000000"/>
                <w:sz w:val="18"/>
                <w:szCs w:val="18"/>
              </w:rPr>
              <w:t xml:space="preserve">et al. </w:t>
            </w:r>
            <w:r w:rsidRPr="00E3331A">
              <w:rPr>
                <w:rFonts w:ascii="Arial Narrow" w:hAnsi="Arial Narrow" w:cs="Calibri"/>
                <w:color w:val="000000"/>
                <w:sz w:val="18"/>
                <w:szCs w:val="18"/>
              </w:rPr>
              <w:t xml:space="preserve">2005 </w:t>
            </w:r>
            <w:r w:rsidR="00B85C75">
              <w:rPr>
                <w:rFonts w:ascii="Arial Narrow" w:hAnsi="Arial Narrow" w:cs="Calibri"/>
                <w:noProof/>
                <w:color w:val="000000"/>
                <w:sz w:val="18"/>
                <w:szCs w:val="18"/>
              </w:rPr>
              <w:t>(Lopate et al. 2005)</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III-3</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13</w:t>
            </w:r>
          </w:p>
          <w:p w:rsidR="0066686B" w:rsidRPr="00E3331A" w:rsidRDefault="0066686B" w:rsidP="00CD0563">
            <w:pPr>
              <w:spacing w:after="0" w:line="240" w:lineRule="auto"/>
              <w:rPr>
                <w:rFonts w:ascii="Arial Narrow" w:hAnsi="Arial Narrow" w:cs="Calibri"/>
                <w:color w:val="000000"/>
                <w:sz w:val="18"/>
                <w:szCs w:val="18"/>
              </w:rPr>
            </w:pP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w:t>
            </w:r>
            <w:r w:rsidR="00345C95" w:rsidRPr="00E3331A">
              <w:rPr>
                <w:rFonts w:ascii="Arial Narrow" w:hAnsi="Arial Narrow" w:cs="Calibri"/>
                <w:color w:val="000000"/>
                <w:sz w:val="18"/>
                <w:szCs w:val="18"/>
              </w:rPr>
              <w:t xml:space="preserve"> </w:t>
            </w:r>
            <w:r w:rsidRPr="00E3331A">
              <w:rPr>
                <w:rFonts w:ascii="Arial Narrow" w:hAnsi="Arial Narrow" w:cs="Calibri"/>
                <w:color w:val="000000"/>
                <w:sz w:val="18"/>
                <w:szCs w:val="18"/>
              </w:rPr>
              <w:t>(EFNS/PNS criteria)</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Oral immunosuppressive agents – further details NR</w:t>
            </w:r>
            <w:r w:rsidR="000A1BD4">
              <w:rPr>
                <w:rFonts w:ascii="Arial Narrow" w:hAnsi="Arial Narrow" w:cs="Calibri"/>
                <w:color w:val="000000"/>
                <w:sz w:val="18"/>
                <w:szCs w:val="18"/>
              </w:rPr>
              <w:t>.</w:t>
            </w:r>
          </w:p>
          <w:p w:rsidR="0066686B" w:rsidRPr="00E3331A" w:rsidRDefault="0066686B" w:rsidP="00CD0563">
            <w:pPr>
              <w:spacing w:after="0" w:line="240" w:lineRule="auto"/>
              <w:rPr>
                <w:rFonts w:ascii="Arial Narrow" w:hAnsi="Arial Narrow" w:cs="Calibri"/>
                <w:color w:val="000000"/>
                <w:sz w:val="18"/>
                <w:szCs w:val="18"/>
              </w:rPr>
            </w:pP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Oral agents: 4.7 years</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reported.</w:t>
            </w: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NR </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adverse events but not overall n/N</w:t>
            </w:r>
          </w:p>
        </w:tc>
      </w:tr>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Barnett 1998 </w:t>
            </w:r>
            <w:r w:rsidR="00B85C75">
              <w:rPr>
                <w:rFonts w:ascii="Arial Narrow" w:hAnsi="Arial Narrow" w:cs="Calibri"/>
                <w:noProof/>
                <w:color w:val="000000"/>
                <w:sz w:val="18"/>
                <w:szCs w:val="18"/>
              </w:rPr>
              <w:t>(Barnett et al. 1998)</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19</w:t>
            </w: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Patients with CIDP diagnosed by an accepted combination of neurophysiological, and biopsy criteria. MGUS (</w:t>
            </w:r>
            <w:r w:rsidR="00A07838">
              <w:rPr>
                <w:rFonts w:ascii="Arial Narrow" w:hAnsi="Arial Narrow" w:cs="Calibri"/>
                <w:color w:val="000000"/>
                <w:sz w:val="18"/>
                <w:szCs w:val="18"/>
              </w:rPr>
              <w:t xml:space="preserve">n = </w:t>
            </w:r>
            <w:r w:rsidRPr="00E3331A">
              <w:rPr>
                <w:rFonts w:ascii="Arial Narrow" w:hAnsi="Arial Narrow" w:cs="Calibri"/>
                <w:color w:val="000000"/>
                <w:sz w:val="18"/>
                <w:szCs w:val="18"/>
              </w:rPr>
              <w:t>5), polyclonal gammopathy (</w:t>
            </w:r>
            <w:r w:rsidR="00A07838">
              <w:rPr>
                <w:rFonts w:ascii="Arial Narrow" w:hAnsi="Arial Narrow" w:cs="Calibri"/>
                <w:color w:val="000000"/>
                <w:sz w:val="18"/>
                <w:szCs w:val="18"/>
              </w:rPr>
              <w:t xml:space="preserve">n = </w:t>
            </w:r>
            <w:r w:rsidRPr="00E3331A">
              <w:rPr>
                <w:rFonts w:ascii="Arial Narrow" w:hAnsi="Arial Narrow" w:cs="Calibri"/>
                <w:color w:val="000000"/>
                <w:sz w:val="18"/>
                <w:szCs w:val="18"/>
              </w:rPr>
              <w:t>1)</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8-11 mg/kg per day in </w:t>
            </w:r>
            <w:r w:rsidR="00A07838">
              <w:rPr>
                <w:rFonts w:ascii="Arial Narrow" w:hAnsi="Arial Narrow" w:cs="Calibri"/>
                <w:color w:val="000000"/>
                <w:sz w:val="18"/>
                <w:szCs w:val="18"/>
              </w:rPr>
              <w:t xml:space="preserve">n = </w:t>
            </w:r>
            <w:r w:rsidRPr="00E3331A">
              <w:rPr>
                <w:rFonts w:ascii="Arial Narrow" w:hAnsi="Arial Narrow" w:cs="Calibri"/>
                <w:color w:val="000000"/>
                <w:sz w:val="18"/>
                <w:szCs w:val="18"/>
              </w:rPr>
              <w:t xml:space="preserve">8, 3-7 mg/kg per day in </w:t>
            </w:r>
            <w:r w:rsidR="00A07838">
              <w:rPr>
                <w:rFonts w:ascii="Arial Narrow" w:hAnsi="Arial Narrow" w:cs="Calibri"/>
                <w:color w:val="000000"/>
                <w:sz w:val="18"/>
                <w:szCs w:val="18"/>
              </w:rPr>
              <w:t xml:space="preserve">n = </w:t>
            </w:r>
            <w:r w:rsidRPr="00E3331A">
              <w:rPr>
                <w:rFonts w:ascii="Arial Narrow" w:hAnsi="Arial Narrow" w:cs="Calibri"/>
                <w:color w:val="000000"/>
                <w:sz w:val="18"/>
                <w:szCs w:val="18"/>
              </w:rPr>
              <w:t>10. A stepwise reduction in dose was made at 1 month, 3 months, and 6 months, generally to 2–3 mg/kg.</w:t>
            </w:r>
          </w:p>
          <w:p w:rsidR="0066686B" w:rsidRPr="00E3331A" w:rsidRDefault="0066686B" w:rsidP="00CD0563">
            <w:pPr>
              <w:spacing w:after="0" w:line="240" w:lineRule="auto"/>
              <w:rPr>
                <w:rFonts w:ascii="Arial Narrow" w:hAnsi="Arial Narrow" w:cs="Calibri"/>
                <w:color w:val="000000"/>
                <w:sz w:val="18"/>
                <w:szCs w:val="18"/>
              </w:rPr>
            </w:pP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4-7 years (progressive – relapsing disease)</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Nature of AEs reported. </w:t>
            </w: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13/19 (68%)</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tc>
      </w:tr>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Cocito 2011 </w:t>
            </w:r>
            <w:r w:rsidR="00B85C75">
              <w:rPr>
                <w:rFonts w:ascii="Arial Narrow" w:hAnsi="Arial Narrow" w:cs="Calibri"/>
                <w:noProof/>
                <w:color w:val="000000"/>
                <w:sz w:val="18"/>
                <w:szCs w:val="18"/>
              </w:rPr>
              <w:t>(Cocito et al. 2011)</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44</w:t>
            </w: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patients (EFNS/PNS criteria) who had not responded to conventional therapy</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Cyclosporin 100–300 mg/day</w:t>
            </w:r>
            <w:r w:rsidR="000A1BD4">
              <w:rPr>
                <w:rFonts w:ascii="Arial Narrow" w:hAnsi="Arial Narrow" w:cs="Calibri"/>
                <w:color w:val="000000"/>
                <w:sz w:val="18"/>
                <w:szCs w:val="18"/>
              </w:rPr>
              <w:t>.</w:t>
            </w:r>
            <w:r w:rsidRPr="00E3331A">
              <w:rPr>
                <w:rFonts w:ascii="Arial Narrow" w:hAnsi="Arial Narrow" w:cs="Calibri"/>
                <w:color w:val="000000"/>
                <w:sz w:val="18"/>
                <w:szCs w:val="18"/>
              </w:rPr>
              <w:t xml:space="preserve"> </w:t>
            </w:r>
          </w:p>
          <w:p w:rsidR="0066686B" w:rsidRPr="00E3331A" w:rsidRDefault="0066686B" w:rsidP="00CD0563">
            <w:pPr>
              <w:spacing w:after="0" w:line="240" w:lineRule="auto"/>
              <w:rPr>
                <w:rFonts w:ascii="Arial Narrow" w:hAnsi="Arial Narrow" w:cs="Calibri"/>
                <w:color w:val="000000"/>
                <w:sz w:val="18"/>
                <w:szCs w:val="18"/>
              </w:rPr>
            </w:pP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Median 5.4 years</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NR</w:t>
            </w:r>
            <w:r w:rsidR="000A1BD4">
              <w:rPr>
                <w:rFonts w:ascii="Arial Narrow" w:hAnsi="Arial Narrow" w:cs="Calibri"/>
                <w:color w:val="000000"/>
                <w:sz w:val="18"/>
                <w:szCs w:val="18"/>
              </w:rPr>
              <w:t>.</w:t>
            </w:r>
          </w:p>
          <w:p w:rsidR="0066686B" w:rsidRPr="00E3331A" w:rsidRDefault="0066686B" w:rsidP="00CD0563">
            <w:pPr>
              <w:spacing w:after="0" w:line="240" w:lineRule="auto"/>
              <w:rPr>
                <w:rFonts w:ascii="Arial Narrow" w:hAnsi="Arial Narrow" w:cs="Calibri"/>
                <w:color w:val="000000"/>
                <w:sz w:val="18"/>
                <w:szCs w:val="18"/>
              </w:rPr>
            </w:pP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6/12 (50%)</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5/12 (42%)</w:t>
            </w:r>
          </w:p>
          <w:p w:rsidR="0066686B" w:rsidRPr="00E3331A" w:rsidRDefault="0066686B" w:rsidP="00CD0563">
            <w:pPr>
              <w:spacing w:after="0" w:line="240" w:lineRule="auto"/>
              <w:rPr>
                <w:rFonts w:ascii="Arial Narrow" w:hAnsi="Arial Narrow" w:cs="Calibri"/>
                <w:color w:val="000000"/>
                <w:sz w:val="18"/>
                <w:szCs w:val="18"/>
              </w:rPr>
            </w:pPr>
          </w:p>
        </w:tc>
      </w:tr>
    </w:tbl>
    <w:p w:rsidR="0066686B" w:rsidRPr="00E3331A" w:rsidRDefault="0066686B" w:rsidP="0037150F">
      <w:pPr>
        <w:pStyle w:val="Tablenotes1"/>
      </w:pPr>
      <w:r w:rsidRPr="00E3331A">
        <w:t>EFNS/PNS: European Federation of Neurological Societies/Peripheral Nerve Society; NR: not reported</w:t>
      </w:r>
    </w:p>
    <w:p w:rsidR="0066686B" w:rsidRPr="00E3331A" w:rsidRDefault="0066686B" w:rsidP="0066686B">
      <w:pPr>
        <w:pStyle w:val="Heading3"/>
        <w:jc w:val="both"/>
      </w:pPr>
      <w:bookmarkStart w:id="278" w:name="_Toc24103477"/>
      <w:r w:rsidRPr="00E3331A">
        <w:lastRenderedPageBreak/>
        <w:t>Adverse events in patients receiving cyclophosphamide</w:t>
      </w:r>
      <w:bookmarkEnd w:id="278"/>
    </w:p>
    <w:p w:rsidR="0066686B" w:rsidRPr="00E3331A" w:rsidRDefault="0066686B" w:rsidP="0066686B">
      <w:r w:rsidRPr="00E3331A">
        <w:t xml:space="preserve">Good </w:t>
      </w:r>
      <w:r w:rsidR="00983BA7">
        <w:t xml:space="preserve">et al. </w:t>
      </w:r>
      <w:r w:rsidRPr="00E3331A">
        <w:t>(1998) reported the following events</w:t>
      </w:r>
      <w:r w:rsidR="000568F0" w:rsidRPr="00E3331A">
        <w:t xml:space="preserve"> from 15 patients treated with cyclophosphamide</w:t>
      </w:r>
      <w:r w:rsidRPr="00E3331A">
        <w:t>: nausea (</w:t>
      </w:r>
      <w:r w:rsidR="00A07838">
        <w:t xml:space="preserve">n = </w:t>
      </w:r>
      <w:r w:rsidRPr="00E3331A">
        <w:t>4), headache and light headedness (</w:t>
      </w:r>
      <w:r w:rsidR="00A07838">
        <w:t xml:space="preserve">n = </w:t>
      </w:r>
      <w:r w:rsidRPr="00E3331A">
        <w:t>1), rash</w:t>
      </w:r>
      <w:r w:rsidR="000568F0" w:rsidRPr="00E3331A">
        <w:t xml:space="preserve"> </w:t>
      </w:r>
      <w:r w:rsidRPr="00E3331A">
        <w:t>(</w:t>
      </w:r>
      <w:r w:rsidR="00A07838">
        <w:t xml:space="preserve">n = </w:t>
      </w:r>
      <w:r w:rsidRPr="00E3331A">
        <w:t>1) and moderate alopecia (</w:t>
      </w:r>
      <w:r w:rsidR="00A07838">
        <w:t xml:space="preserve">n = </w:t>
      </w:r>
      <w:r w:rsidRPr="00E3331A">
        <w:t xml:space="preserve">2). </w:t>
      </w:r>
      <w:r w:rsidR="000568F0" w:rsidRPr="00E3331A">
        <w:t>D</w:t>
      </w:r>
      <w:r w:rsidRPr="00E3331A">
        <w:t xml:space="preserve">rug-induced leukopenia developed in all </w:t>
      </w:r>
      <w:r w:rsidR="007C4CBB" w:rsidRPr="00E3331A">
        <w:t>patients,</w:t>
      </w:r>
      <w:r w:rsidRPr="00E3331A">
        <w:t xml:space="preserve"> but leukocyte count returned to normal 2 to 3 weeks after </w:t>
      </w:r>
      <w:r w:rsidR="000568F0" w:rsidRPr="00E3331A">
        <w:t xml:space="preserve">the </w:t>
      </w:r>
      <w:r w:rsidRPr="00E3331A">
        <w:t xml:space="preserve">last treatment. </w:t>
      </w:r>
      <w:r w:rsidR="000568F0" w:rsidRPr="00E3331A">
        <w:t>N</w:t>
      </w:r>
      <w:r w:rsidRPr="00E3331A">
        <w:t xml:space="preserve">o patients developed haematuria, prolonged bone marrow depression or malignancy. Cocito </w:t>
      </w:r>
      <w:r w:rsidR="00983BA7">
        <w:t xml:space="preserve">et al. </w:t>
      </w:r>
      <w:r w:rsidRPr="00E3331A">
        <w:t xml:space="preserve">(2011) reported </w:t>
      </w:r>
      <w:r w:rsidR="000568F0" w:rsidRPr="00E3331A">
        <w:t xml:space="preserve">that </w:t>
      </w:r>
      <w:r w:rsidRPr="00E3331A">
        <w:t xml:space="preserve">two of 13 </w:t>
      </w:r>
      <w:r w:rsidR="000568F0" w:rsidRPr="00E3331A">
        <w:t xml:space="preserve">treated </w:t>
      </w:r>
      <w:r w:rsidRPr="00E3331A">
        <w:t>patients experienced adverse events</w:t>
      </w:r>
      <w:r w:rsidR="000568F0" w:rsidRPr="00E3331A">
        <w:t>,</w:t>
      </w:r>
      <w:r w:rsidRPr="00E3331A">
        <w:t xml:space="preserve"> of which one was serious (</w:t>
      </w:r>
      <w:r w:rsidR="006F35B9" w:rsidRPr="00E3331A">
        <w:t xml:space="preserve">Table </w:t>
      </w:r>
      <w:r w:rsidR="006F35B9">
        <w:rPr>
          <w:noProof/>
        </w:rPr>
        <w:t>34</w:t>
      </w:r>
      <w:r w:rsidRPr="00E3331A">
        <w:t xml:space="preserve">). </w:t>
      </w:r>
    </w:p>
    <w:p w:rsidR="0066686B" w:rsidRPr="00E3331A" w:rsidRDefault="0066686B" w:rsidP="0066686B">
      <w:pPr>
        <w:pStyle w:val="Caption"/>
      </w:pPr>
      <w:bookmarkStart w:id="279" w:name="_Ref10106544"/>
      <w:bookmarkStart w:id="280" w:name="_Toc9796904"/>
      <w:bookmarkStart w:id="281" w:name="_Toc24103340"/>
      <w:r w:rsidRPr="00E3331A">
        <w:t xml:space="preserve">Table </w:t>
      </w:r>
      <w:r w:rsidR="006F35B9">
        <w:rPr>
          <w:noProof/>
        </w:rPr>
        <w:t>34</w:t>
      </w:r>
      <w:bookmarkEnd w:id="279"/>
      <w:r w:rsidRPr="00E3331A">
        <w:tab/>
        <w:t>Studies reporting outcomes with cyclophosphamide</w:t>
      </w:r>
      <w:bookmarkEnd w:id="280"/>
      <w:bookmarkEnd w:id="281"/>
    </w:p>
    <w:tbl>
      <w:tblPr>
        <w:tblW w:w="5000" w:type="pct"/>
        <w:tblLayout w:type="fixed"/>
        <w:tblLook w:val="04A0" w:firstRow="1" w:lastRow="0" w:firstColumn="1" w:lastColumn="0" w:noHBand="0" w:noVBand="1"/>
      </w:tblPr>
      <w:tblGrid>
        <w:gridCol w:w="1627"/>
        <w:gridCol w:w="1451"/>
        <w:gridCol w:w="1958"/>
        <w:gridCol w:w="2002"/>
        <w:gridCol w:w="1978"/>
      </w:tblGrid>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Study ID</w:t>
            </w:r>
          </w:p>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Level of evidence</w:t>
            </w:r>
          </w:p>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Retrospective (R) / Prospective (P)</w:t>
            </w:r>
          </w:p>
          <w:p w:rsidR="0066686B" w:rsidRPr="00E3331A" w:rsidRDefault="0066686B" w:rsidP="00CD0563">
            <w:pPr>
              <w:spacing w:after="0" w:line="240" w:lineRule="auto"/>
              <w:rPr>
                <w:rFonts w:ascii="Arial Narrow" w:hAnsi="Arial Narrow" w:cs="Calibri"/>
                <w:noProof/>
                <w:color w:val="000000"/>
                <w:sz w:val="18"/>
                <w:szCs w:val="18"/>
              </w:rPr>
            </w:pPr>
            <w:r w:rsidRPr="00E3331A">
              <w:rPr>
                <w:rFonts w:ascii="Arial Narrow" w:hAnsi="Arial Narrow" w:cs="Calibri"/>
                <w:b/>
                <w:bCs/>
                <w:sz w:val="18"/>
                <w:szCs w:val="18"/>
              </w:rPr>
              <w:t>N</w:t>
            </w: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eastAsia="Calibri" w:hAnsi="Arial Narrow" w:cs="Times New Roman"/>
                <w:sz w:val="18"/>
                <w:szCs w:val="18"/>
                <w:lang w:eastAsia="en-US"/>
              </w:rPr>
            </w:pPr>
            <w:r w:rsidRPr="00E3331A">
              <w:rPr>
                <w:rFonts w:ascii="Arial Narrow" w:hAnsi="Arial Narrow" w:cs="Calibri"/>
                <w:b/>
                <w:bCs/>
                <w:sz w:val="18"/>
                <w:szCs w:val="18"/>
              </w:rPr>
              <w:t>Inclusion criteria (simplified)</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eastAsia="Calibri" w:hAnsi="Arial Narrow" w:cs="Calibri"/>
                <w:color w:val="000000"/>
                <w:sz w:val="18"/>
                <w:szCs w:val="18"/>
                <w:lang w:eastAsia="en-US"/>
              </w:rPr>
            </w:pPr>
            <w:r w:rsidRPr="00E3331A">
              <w:rPr>
                <w:rFonts w:ascii="Arial Narrow" w:hAnsi="Arial Narrow" w:cs="Calibri"/>
                <w:b/>
                <w:bCs/>
                <w:sz w:val="18"/>
                <w:szCs w:val="18"/>
              </w:rPr>
              <w:t>Cyclophosphamide details</w:t>
            </w: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Observation period</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Comments regarding safety analyses</w:t>
            </w: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Any adverse event (AE), n/N (%)</w:t>
            </w:r>
          </w:p>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Any serious adverse event (SAE), n/N (%)</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Details of SAE</w:t>
            </w:r>
          </w:p>
        </w:tc>
      </w:tr>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Cocito 2011 </w:t>
            </w:r>
            <w:r w:rsidR="00B85C75">
              <w:rPr>
                <w:rFonts w:ascii="Arial Narrow" w:hAnsi="Arial Narrow" w:cs="Calibri"/>
                <w:noProof/>
                <w:color w:val="000000"/>
                <w:sz w:val="18"/>
                <w:szCs w:val="18"/>
              </w:rPr>
              <w:t>(Cocito et al. 2011)</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66686B" w:rsidRPr="00E3331A" w:rsidRDefault="0066686B" w:rsidP="00CD0563">
            <w:pPr>
              <w:spacing w:after="0" w:line="240" w:lineRule="auto"/>
              <w:rPr>
                <w:rFonts w:ascii="Arial Narrow" w:hAnsi="Arial Narrow" w:cs="Calibri"/>
                <w:noProof/>
                <w:color w:val="000000"/>
                <w:sz w:val="18"/>
                <w:szCs w:val="18"/>
              </w:rPr>
            </w:pPr>
            <w:r w:rsidRPr="00E3331A">
              <w:rPr>
                <w:rFonts w:ascii="Arial Narrow" w:hAnsi="Arial Narrow" w:cs="Calibri"/>
                <w:color w:val="000000"/>
                <w:sz w:val="18"/>
                <w:szCs w:val="18"/>
              </w:rPr>
              <w:t>110</w:t>
            </w: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eastAsia="Calibri" w:hAnsi="Arial Narrow" w:cs="Times New Roman"/>
                <w:sz w:val="18"/>
                <w:szCs w:val="18"/>
                <w:lang w:eastAsia="en-US"/>
              </w:rPr>
            </w:pPr>
            <w:r w:rsidRPr="00E3331A">
              <w:rPr>
                <w:rFonts w:ascii="Arial Narrow" w:hAnsi="Arial Narrow" w:cs="Calibri"/>
                <w:color w:val="000000"/>
                <w:sz w:val="18"/>
                <w:szCs w:val="18"/>
              </w:rPr>
              <w:t>CIDP patients (EFNS/PNS criteria) who had not responded to conventional therapy</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 g/m</w:t>
            </w:r>
            <w:r w:rsidRPr="00E3331A">
              <w:rPr>
                <w:rFonts w:ascii="Arial Narrow" w:hAnsi="Arial Narrow" w:cs="Calibri"/>
                <w:color w:val="000000"/>
                <w:sz w:val="18"/>
                <w:szCs w:val="18"/>
                <w:vertAlign w:val="superscript"/>
              </w:rPr>
              <w:t>2</w:t>
            </w:r>
            <w:r w:rsidRPr="00E3331A">
              <w:rPr>
                <w:rFonts w:ascii="Arial Narrow" w:hAnsi="Arial Narrow" w:cs="Calibri"/>
                <w:color w:val="000000"/>
                <w:sz w:val="18"/>
                <w:szCs w:val="18"/>
              </w:rPr>
              <w:t xml:space="preserve"> IV/monthly, or 2 mg/kg/daily</w:t>
            </w:r>
          </w:p>
          <w:p w:rsidR="0066686B" w:rsidRPr="00E3331A" w:rsidRDefault="0066686B" w:rsidP="00CD0563">
            <w:pPr>
              <w:spacing w:after="0" w:line="240" w:lineRule="auto"/>
              <w:rPr>
                <w:rFonts w:ascii="Arial Narrow" w:eastAsia="Calibri" w:hAnsi="Arial Narrow" w:cs="Calibri"/>
                <w:color w:val="000000"/>
                <w:sz w:val="18"/>
                <w:szCs w:val="18"/>
                <w:lang w:eastAsia="en-US"/>
              </w:rPr>
            </w:pP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Median 5.4 years</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NR</w:t>
            </w:r>
          </w:p>
          <w:p w:rsidR="0066686B" w:rsidRPr="00E3331A" w:rsidRDefault="0066686B" w:rsidP="00CD0563">
            <w:pPr>
              <w:spacing w:after="0" w:line="240" w:lineRule="auto"/>
              <w:rPr>
                <w:rFonts w:ascii="Arial Narrow" w:hAnsi="Arial Narrow" w:cs="Calibri"/>
                <w:color w:val="000000"/>
                <w:sz w:val="18"/>
                <w:szCs w:val="18"/>
              </w:rPr>
            </w:pP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2/13 (15%)</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1/13 (8%)</w:t>
            </w:r>
          </w:p>
          <w:p w:rsidR="0066686B" w:rsidRPr="00E3331A" w:rsidRDefault="0066686B" w:rsidP="00CD0563">
            <w:pPr>
              <w:spacing w:after="0" w:line="240" w:lineRule="auto"/>
              <w:rPr>
                <w:rFonts w:ascii="Arial Narrow" w:hAnsi="Arial Narrow" w:cs="Calibri"/>
                <w:color w:val="000000"/>
                <w:sz w:val="18"/>
                <w:szCs w:val="18"/>
              </w:rPr>
            </w:pPr>
          </w:p>
        </w:tc>
      </w:tr>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 xml:space="preserve">Good 1998 </w:t>
            </w:r>
            <w:r w:rsidR="00B85C75">
              <w:rPr>
                <w:rFonts w:ascii="Arial Narrow" w:hAnsi="Arial Narrow" w:cs="Calibri"/>
                <w:noProof/>
                <w:color w:val="000000"/>
                <w:sz w:val="18"/>
                <w:szCs w:val="18"/>
              </w:rPr>
              <w:t>(Good et al. 1998)</w:t>
            </w:r>
          </w:p>
          <w:p w:rsidR="0066686B" w:rsidRPr="00E3331A" w:rsidRDefault="0066686B" w:rsidP="00CD0563">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IV</w:t>
            </w:r>
          </w:p>
          <w:p w:rsidR="0066686B" w:rsidRPr="00E3331A" w:rsidRDefault="0066686B" w:rsidP="00CD0563">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P</w:t>
            </w:r>
          </w:p>
          <w:p w:rsidR="0066686B" w:rsidRPr="00E3331A" w:rsidRDefault="0066686B" w:rsidP="00CD0563">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15</w:t>
            </w: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noProof/>
                <w:color w:val="000000"/>
                <w:sz w:val="18"/>
                <w:szCs w:val="18"/>
              </w:rPr>
            </w:pPr>
            <w:r w:rsidRPr="00E3331A">
              <w:rPr>
                <w:rFonts w:ascii="Arial Narrow" w:eastAsia="Calibri" w:hAnsi="Arial Narrow" w:cs="Times New Roman"/>
                <w:sz w:val="18"/>
                <w:szCs w:val="18"/>
                <w:lang w:eastAsia="en-US"/>
              </w:rPr>
              <w:t>CIDP according to established criteria</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eastAsia="Calibri" w:hAnsi="Arial Narrow" w:cs="Calibri"/>
                <w:color w:val="000000"/>
                <w:sz w:val="18"/>
                <w:szCs w:val="18"/>
                <w:lang w:eastAsia="en-US"/>
              </w:rPr>
              <w:t>IV Cyclophosphamide: 1 g/m</w:t>
            </w:r>
            <w:r w:rsidRPr="00E3331A">
              <w:rPr>
                <w:rFonts w:ascii="Arial Narrow" w:eastAsia="Calibri" w:hAnsi="Arial Narrow" w:cs="Calibri"/>
                <w:color w:val="000000"/>
                <w:sz w:val="18"/>
                <w:szCs w:val="18"/>
                <w:vertAlign w:val="superscript"/>
                <w:lang w:eastAsia="en-US"/>
              </w:rPr>
              <w:t>2</w:t>
            </w:r>
            <w:r w:rsidRPr="00E3331A">
              <w:rPr>
                <w:rFonts w:ascii="Arial Narrow" w:eastAsia="Calibri" w:hAnsi="Arial Narrow" w:cs="Calibri"/>
                <w:color w:val="000000"/>
                <w:sz w:val="18"/>
                <w:szCs w:val="18"/>
                <w:lang w:eastAsia="en-US"/>
              </w:rPr>
              <w:t xml:space="preserve"> over 1.5-2 hours as initial treatment and as monthly pulse treatments unless they showed sustained improvement over three courses of pulse. In patients failing to show a significant leukocyte count drop the dose was increased by 25% on subsequent pulses. </w:t>
            </w: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Mean 36.6 months</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Nature of AEs reported </w:t>
            </w: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Overall AEs NR</w:t>
            </w:r>
          </w:p>
          <w:p w:rsidR="0066686B" w:rsidRPr="00E3331A" w:rsidRDefault="0066686B" w:rsidP="00CD0563">
            <w:pPr>
              <w:spacing w:after="0" w:line="240" w:lineRule="auto"/>
              <w:rPr>
                <w:rFonts w:ascii="Arial Narrow" w:hAnsi="Arial Narrow" w:cs="Calibri"/>
                <w:color w:val="000000"/>
                <w:sz w:val="18"/>
                <w:szCs w:val="18"/>
              </w:rPr>
            </w:pPr>
          </w:p>
        </w:tc>
      </w:tr>
    </w:tbl>
    <w:p w:rsidR="0066686B" w:rsidRPr="00E3331A" w:rsidRDefault="0066686B" w:rsidP="0066686B">
      <w:r w:rsidRPr="00E3331A">
        <w:rPr>
          <w:rFonts w:ascii="Arial Narrow" w:hAnsi="Arial Narrow" w:cs="Calibri"/>
          <w:color w:val="000000"/>
          <w:sz w:val="18"/>
          <w:szCs w:val="18"/>
        </w:rPr>
        <w:t xml:space="preserve">EFNS/PNS: European Federation of Neurological Societies/Peripheral Nerve Society; </w:t>
      </w:r>
      <w:r w:rsidRPr="00E3331A">
        <w:rPr>
          <w:rFonts w:ascii="Arial Narrow" w:hAnsi="Arial Narrow"/>
          <w:sz w:val="18"/>
          <w:szCs w:val="18"/>
        </w:rPr>
        <w:t>NR: not reported</w:t>
      </w:r>
    </w:p>
    <w:p w:rsidR="0066686B" w:rsidRPr="00E3331A" w:rsidRDefault="0066686B" w:rsidP="0066686B">
      <w:pPr>
        <w:pStyle w:val="Heading3"/>
        <w:jc w:val="both"/>
      </w:pPr>
      <w:bookmarkStart w:id="282" w:name="_Toc24103478"/>
      <w:r w:rsidRPr="00E3331A">
        <w:t>Adverse events in patients receiving immunoadsorption</w:t>
      </w:r>
      <w:bookmarkEnd w:id="282"/>
    </w:p>
    <w:p w:rsidR="0066686B" w:rsidRDefault="0066686B" w:rsidP="0066686B">
      <w:r w:rsidRPr="00E3331A">
        <w:t xml:space="preserve">Two studies </w:t>
      </w:r>
      <w:r w:rsidR="00D757F4" w:rsidRPr="00E3331A">
        <w:t xml:space="preserve">with </w:t>
      </w:r>
      <w:r w:rsidRPr="00E3331A">
        <w:t>a total of 31 patients reported on immunoadsorption (</w:t>
      </w:r>
      <w:r w:rsidR="006F35B9" w:rsidRPr="00E3331A">
        <w:t xml:space="preserve">Table </w:t>
      </w:r>
      <w:r w:rsidR="006F35B9">
        <w:rPr>
          <w:noProof/>
        </w:rPr>
        <w:t>35</w:t>
      </w:r>
      <w:r w:rsidRPr="00E3331A">
        <w:t xml:space="preserve">), </w:t>
      </w:r>
      <w:r w:rsidR="00D757F4" w:rsidRPr="00E3331A">
        <w:t>but</w:t>
      </w:r>
      <w:r w:rsidRPr="00E3331A">
        <w:t xml:space="preserve"> the proportion of patients experiencing adverse events we</w:t>
      </w:r>
      <w:r w:rsidR="00D757F4" w:rsidRPr="00E3331A">
        <w:t>nt</w:t>
      </w:r>
      <w:r w:rsidRPr="00E3331A">
        <w:t xml:space="preserve"> </w:t>
      </w:r>
      <w:r w:rsidR="00D757F4" w:rsidRPr="00E3331A">
        <w:t>un</w:t>
      </w:r>
      <w:r w:rsidRPr="00E3331A">
        <w:t xml:space="preserve">reported </w:t>
      </w:r>
      <w:r w:rsidR="00B85C75">
        <w:rPr>
          <w:noProof/>
        </w:rPr>
        <w:t>(Dorst et al. 2018; Galldiks et al. 2011)</w:t>
      </w:r>
      <w:r w:rsidRPr="00E3331A">
        <w:t xml:space="preserve">. Dorst </w:t>
      </w:r>
      <w:r w:rsidR="00983BA7">
        <w:t xml:space="preserve">et al. </w:t>
      </w:r>
      <w:r w:rsidRPr="00E3331A">
        <w:t>(2018) included 17 patients and reported the following events: pneumothorax (</w:t>
      </w:r>
      <w:r w:rsidR="00A07838">
        <w:t xml:space="preserve">n = </w:t>
      </w:r>
      <w:r w:rsidRPr="00E3331A">
        <w:t>1)</w:t>
      </w:r>
      <w:r w:rsidR="00D757F4" w:rsidRPr="00E3331A">
        <w:t>,</w:t>
      </w:r>
      <w:r w:rsidRPr="00E3331A">
        <w:t xml:space="preserve"> thrombosis of the jugular vein (</w:t>
      </w:r>
      <w:r w:rsidR="00A07838">
        <w:t xml:space="preserve">n = </w:t>
      </w:r>
      <w:r w:rsidRPr="00E3331A">
        <w:t>2)</w:t>
      </w:r>
      <w:r w:rsidR="00D757F4" w:rsidRPr="00E3331A">
        <w:t>,</w:t>
      </w:r>
      <w:r w:rsidRPr="00E3331A">
        <w:t xml:space="preserve"> febrile infect</w:t>
      </w:r>
      <w:r w:rsidR="0080375D" w:rsidRPr="00E3331A">
        <w:t>ion</w:t>
      </w:r>
      <w:r w:rsidRPr="00E3331A">
        <w:t xml:space="preserve"> (</w:t>
      </w:r>
      <w:r w:rsidR="00A07838">
        <w:t xml:space="preserve">n = </w:t>
      </w:r>
      <w:r w:rsidRPr="00E3331A">
        <w:t>1)</w:t>
      </w:r>
      <w:r w:rsidR="00D757F4" w:rsidRPr="00E3331A">
        <w:t>,</w:t>
      </w:r>
      <w:r w:rsidRPr="00E3331A">
        <w:t xml:space="preserve"> mild </w:t>
      </w:r>
      <w:r w:rsidR="004B5B83" w:rsidRPr="00E3331A">
        <w:t>oedema</w:t>
      </w:r>
      <w:r w:rsidRPr="00E3331A">
        <w:t xml:space="preserve"> (</w:t>
      </w:r>
      <w:r w:rsidR="00A07838">
        <w:t xml:space="preserve">n = </w:t>
      </w:r>
      <w:r w:rsidRPr="00E3331A">
        <w:t>2)</w:t>
      </w:r>
      <w:r w:rsidR="00D757F4" w:rsidRPr="00E3331A">
        <w:t>,</w:t>
      </w:r>
      <w:r w:rsidRPr="00E3331A">
        <w:t xml:space="preserve"> dislocation of catheter (</w:t>
      </w:r>
      <w:r w:rsidR="00A07838">
        <w:t xml:space="preserve">n = </w:t>
      </w:r>
      <w:r w:rsidRPr="00E3331A">
        <w:t>1)</w:t>
      </w:r>
      <w:r w:rsidR="00D757F4" w:rsidRPr="00E3331A">
        <w:t>,</w:t>
      </w:r>
      <w:r w:rsidRPr="00E3331A">
        <w:t xml:space="preserve"> bradycardia (</w:t>
      </w:r>
      <w:r w:rsidR="00A07838">
        <w:t xml:space="preserve">n = </w:t>
      </w:r>
      <w:r w:rsidRPr="00E3331A">
        <w:t>1)</w:t>
      </w:r>
      <w:r w:rsidR="00D757F4" w:rsidRPr="00E3331A">
        <w:t>,</w:t>
      </w:r>
      <w:r w:rsidRPr="00E3331A">
        <w:t xml:space="preserve"> tachycardia (</w:t>
      </w:r>
      <w:r w:rsidR="00A07838">
        <w:t xml:space="preserve">n = </w:t>
      </w:r>
      <w:r w:rsidRPr="00E3331A">
        <w:t>1)</w:t>
      </w:r>
      <w:r w:rsidR="00D757F4" w:rsidRPr="00E3331A">
        <w:t>,</w:t>
      </w:r>
      <w:r w:rsidRPr="00E3331A">
        <w:t xml:space="preserve"> hypotonia (</w:t>
      </w:r>
      <w:r w:rsidR="00A07838">
        <w:t xml:space="preserve">n = </w:t>
      </w:r>
      <w:r w:rsidRPr="00E3331A">
        <w:t>2)</w:t>
      </w:r>
      <w:r w:rsidR="00D757F4" w:rsidRPr="00E3331A">
        <w:t>,</w:t>
      </w:r>
      <w:r w:rsidRPr="00E3331A">
        <w:t xml:space="preserve"> urinary tract infection (</w:t>
      </w:r>
      <w:r w:rsidR="00A07838">
        <w:t xml:space="preserve">n = </w:t>
      </w:r>
      <w:r w:rsidRPr="00E3331A">
        <w:t>1)</w:t>
      </w:r>
      <w:r w:rsidR="00D757F4" w:rsidRPr="00E3331A">
        <w:t>,</w:t>
      </w:r>
      <w:r w:rsidRPr="00E3331A">
        <w:t xml:space="preserve"> gastrointestinal infection (</w:t>
      </w:r>
      <w:r w:rsidR="00A07838">
        <w:t xml:space="preserve">n = </w:t>
      </w:r>
      <w:r w:rsidRPr="00E3331A">
        <w:t>1) and exanthema of the face (</w:t>
      </w:r>
      <w:r w:rsidR="00A07838">
        <w:t xml:space="preserve">n = </w:t>
      </w:r>
      <w:r w:rsidRPr="00E3331A">
        <w:t xml:space="preserve">1). The authors reported that hypotonia, bradycardia and tachycardia are frequent and that common subclinical laboratory changes included mild anaemia, thrombocytopenia, hypokalaemia, hypocalcaemia, hypoproteinemia and increase of C-reactive protein. Galldiks </w:t>
      </w:r>
      <w:r w:rsidR="00983BA7">
        <w:t xml:space="preserve">et al. </w:t>
      </w:r>
      <w:r w:rsidRPr="00E3331A">
        <w:t>(2011) reported that no serious adverse events</w:t>
      </w:r>
      <w:r w:rsidR="004F5FCC" w:rsidRPr="00E3331A">
        <w:t xml:space="preserve"> were observed</w:t>
      </w:r>
      <w:r w:rsidRPr="00E3331A">
        <w:t xml:space="preserve"> in their series (</w:t>
      </w:r>
      <w:r w:rsidR="00A07838">
        <w:t xml:space="preserve">n = </w:t>
      </w:r>
      <w:r w:rsidRPr="00E3331A">
        <w:t xml:space="preserve">14). </w:t>
      </w:r>
    </w:p>
    <w:p w:rsidR="009B58B9" w:rsidRPr="00E3331A" w:rsidRDefault="009B58B9" w:rsidP="0066686B"/>
    <w:p w:rsidR="0066686B" w:rsidRPr="00E3331A" w:rsidRDefault="0066686B" w:rsidP="0066686B">
      <w:pPr>
        <w:pStyle w:val="Caption"/>
      </w:pPr>
      <w:bookmarkStart w:id="283" w:name="_Ref10106552"/>
      <w:bookmarkStart w:id="284" w:name="_Toc9796905"/>
      <w:bookmarkStart w:id="285" w:name="_Toc24103341"/>
      <w:r w:rsidRPr="00E3331A">
        <w:lastRenderedPageBreak/>
        <w:t xml:space="preserve">Table </w:t>
      </w:r>
      <w:r w:rsidR="006F35B9">
        <w:rPr>
          <w:noProof/>
        </w:rPr>
        <w:t>35</w:t>
      </w:r>
      <w:bookmarkEnd w:id="283"/>
      <w:r w:rsidRPr="00E3331A">
        <w:tab/>
        <w:t>Studies reporting outcomes with immunoadsorption</w:t>
      </w:r>
      <w:bookmarkEnd w:id="284"/>
      <w:bookmarkEnd w:id="285"/>
    </w:p>
    <w:tbl>
      <w:tblPr>
        <w:tblW w:w="5000" w:type="pct"/>
        <w:tblLayout w:type="fixed"/>
        <w:tblLook w:val="04A0" w:firstRow="1" w:lastRow="0" w:firstColumn="1" w:lastColumn="0" w:noHBand="0" w:noVBand="1"/>
      </w:tblPr>
      <w:tblGrid>
        <w:gridCol w:w="1627"/>
        <w:gridCol w:w="1451"/>
        <w:gridCol w:w="1958"/>
        <w:gridCol w:w="2002"/>
        <w:gridCol w:w="1978"/>
      </w:tblGrid>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Study ID</w:t>
            </w:r>
          </w:p>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Level of evidence</w:t>
            </w:r>
          </w:p>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Retrospective (R) / Prospective (P)</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N</w:t>
            </w: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Inclusion criteria (simplified)</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Immunoadsorption details</w:t>
            </w: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Observation period</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Comments regarding safety analyses</w:t>
            </w: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Any adverse event (AE), n/N (%)</w:t>
            </w:r>
          </w:p>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Any serious adverse event (SAE), n/N (%)</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Details of SAE</w:t>
            </w:r>
          </w:p>
        </w:tc>
      </w:tr>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Dorst 2018 </w:t>
            </w:r>
            <w:r w:rsidR="00B85C75">
              <w:rPr>
                <w:rFonts w:ascii="Arial Narrow" w:hAnsi="Arial Narrow" w:cs="Calibri"/>
                <w:noProof/>
                <w:color w:val="000000"/>
                <w:sz w:val="18"/>
                <w:szCs w:val="18"/>
              </w:rPr>
              <w:t>(Dorst et al. 2018)</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17</w:t>
            </w: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(EFNS/PNS criteria) who had not responded to steroids, IVIg or both treatments.</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FE7B2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Shaldon catheter (jugular vein). One cycle of IA consisted of </w:t>
            </w:r>
            <w:r w:rsidR="00FE7B2F" w:rsidRPr="00E3331A">
              <w:rPr>
                <w:rFonts w:ascii="Arial Narrow" w:hAnsi="Arial Narrow" w:cs="Calibri"/>
                <w:color w:val="000000"/>
                <w:sz w:val="18"/>
                <w:szCs w:val="18"/>
              </w:rPr>
              <w:t xml:space="preserve">5 </w:t>
            </w:r>
            <w:r w:rsidRPr="00E3331A">
              <w:rPr>
                <w:rFonts w:ascii="Arial Narrow" w:hAnsi="Arial Narrow" w:cs="Calibri"/>
                <w:color w:val="000000"/>
                <w:sz w:val="18"/>
                <w:szCs w:val="18"/>
              </w:rPr>
              <w:t>treatments on 5 consecutive days. Range of cycles was 1-9 per patient.</w:t>
            </w: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reported</w:t>
            </w: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2/17 (12%)</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tc>
      </w:tr>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 xml:space="preserve">Galldik 2011 </w:t>
            </w:r>
            <w:r w:rsidR="00B85C75">
              <w:rPr>
                <w:rFonts w:ascii="Arial Narrow" w:hAnsi="Arial Narrow" w:cs="Calibri"/>
                <w:noProof/>
                <w:color w:val="000000"/>
                <w:sz w:val="18"/>
                <w:szCs w:val="18"/>
              </w:rPr>
              <w:t>(Galldiks et al. 2011)</w:t>
            </w:r>
          </w:p>
          <w:p w:rsidR="0066686B" w:rsidRPr="00E3331A" w:rsidRDefault="0066686B" w:rsidP="00CD0563">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IV</w:t>
            </w:r>
          </w:p>
          <w:p w:rsidR="0066686B" w:rsidRPr="00E3331A" w:rsidRDefault="0066686B" w:rsidP="00CD0563">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noProof/>
                <w:color w:val="000000"/>
                <w:sz w:val="18"/>
                <w:szCs w:val="18"/>
              </w:rPr>
              <w:t>14</w:t>
            </w: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sz w:val="18"/>
                <w:szCs w:val="18"/>
              </w:rPr>
              <w:t>CIDP patients (according to current diagnostic guidelines) who had an unsatisfactory response to at least two of steroids, IVIg or plasma exchange.</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Double</w:t>
            </w:r>
            <w:r w:rsidR="00D45BCF" w:rsidRPr="00E3331A">
              <w:rPr>
                <w:rFonts w:ascii="Arial Narrow" w:hAnsi="Arial Narrow" w:cs="Calibri"/>
                <w:color w:val="000000"/>
                <w:sz w:val="18"/>
                <w:szCs w:val="18"/>
              </w:rPr>
              <w:t>-</w:t>
            </w:r>
            <w:r w:rsidRPr="00E3331A">
              <w:rPr>
                <w:rFonts w:ascii="Arial Narrow" w:hAnsi="Arial Narrow" w:cs="Calibri"/>
                <w:color w:val="000000"/>
                <w:sz w:val="18"/>
                <w:szCs w:val="18"/>
              </w:rPr>
              <w:t>lumen central venous catheter in the jugular or subclavian vein: frequency adjusted according to clinical signs and fibrinogen levels. If necessary, treatment intervals were extended depending on the degree of fibrinogen depletion. Ten patients were treated in-hospital. Four of these 14 patients were treated in outpatient clinics using long-term maintenance IA with 1–2 treatments per week.</w:t>
            </w: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66686B" w:rsidRPr="00E3331A" w:rsidRDefault="0066686B" w:rsidP="000A1BD4">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Authors report in all patients, Immunoadsorption was safe and well tolerated, and no</w:t>
            </w:r>
            <w:r w:rsidR="000A1BD4">
              <w:rPr>
                <w:rFonts w:ascii="Arial Narrow" w:hAnsi="Arial Narrow" w:cs="Calibri"/>
                <w:color w:val="000000"/>
                <w:sz w:val="18"/>
                <w:szCs w:val="18"/>
              </w:rPr>
              <w:t xml:space="preserve"> </w:t>
            </w:r>
            <w:r w:rsidRPr="00E3331A">
              <w:rPr>
                <w:rFonts w:ascii="Arial Narrow" w:hAnsi="Arial Narrow" w:cs="Calibri"/>
                <w:color w:val="000000"/>
                <w:sz w:val="18"/>
                <w:szCs w:val="18"/>
              </w:rPr>
              <w:t>severe side effects occurred.</w:t>
            </w: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0/14 (0%)</w:t>
            </w:r>
          </w:p>
        </w:tc>
      </w:tr>
    </w:tbl>
    <w:p w:rsidR="0066686B" w:rsidRPr="00E3331A" w:rsidRDefault="0066686B" w:rsidP="0066686B">
      <w:r w:rsidRPr="00E3331A">
        <w:rPr>
          <w:rFonts w:ascii="Arial Narrow" w:hAnsi="Arial Narrow" w:cs="Calibri"/>
          <w:color w:val="000000"/>
          <w:sz w:val="18"/>
          <w:szCs w:val="18"/>
        </w:rPr>
        <w:t>EFNS/PNS: European Federation of Neurological Societies/Peripheral Nerve Society; NR: not reported</w:t>
      </w:r>
    </w:p>
    <w:p w:rsidR="0066686B" w:rsidRPr="00E3331A" w:rsidRDefault="0066686B" w:rsidP="0066686B">
      <w:pPr>
        <w:pStyle w:val="Heading3"/>
        <w:jc w:val="both"/>
      </w:pPr>
      <w:bookmarkStart w:id="286" w:name="_Toc24103479"/>
      <w:r w:rsidRPr="00E3331A">
        <w:t>Adverse events in patients receiving methotrexate</w:t>
      </w:r>
      <w:bookmarkEnd w:id="286"/>
    </w:p>
    <w:p w:rsidR="00D57D1D" w:rsidRPr="00E3331A" w:rsidRDefault="0066686B" w:rsidP="001450A2">
      <w:r w:rsidRPr="00E3331A">
        <w:t>Three</w:t>
      </w:r>
      <w:r w:rsidR="00D57D1D" w:rsidRPr="00E3331A">
        <w:t xml:space="preserve"> single</w:t>
      </w:r>
      <w:r w:rsidR="00FE7B2F" w:rsidRPr="00E3331A">
        <w:t>-</w:t>
      </w:r>
      <w:r w:rsidR="00D57D1D" w:rsidRPr="00E3331A">
        <w:t>arm</w:t>
      </w:r>
      <w:r w:rsidRPr="00E3331A">
        <w:t xml:space="preserve"> studies </w:t>
      </w:r>
      <w:r w:rsidR="00FE7B2F" w:rsidRPr="00E3331A">
        <w:t xml:space="preserve">with </w:t>
      </w:r>
      <w:r w:rsidRPr="00E3331A">
        <w:t>a total of 30 patients reported on methotrexate (</w:t>
      </w:r>
      <w:r w:rsidR="006F35B9" w:rsidRPr="00E3331A">
        <w:t xml:space="preserve">Table </w:t>
      </w:r>
      <w:r w:rsidR="006F35B9">
        <w:rPr>
          <w:noProof/>
        </w:rPr>
        <w:t>36</w:t>
      </w:r>
      <w:r w:rsidRPr="00E3331A">
        <w:t>)</w:t>
      </w:r>
      <w:r w:rsidR="00FE7B2F" w:rsidRPr="00E3331A">
        <w:t>.</w:t>
      </w:r>
      <w:r w:rsidR="00D57D1D" w:rsidRPr="00E3331A">
        <w:t xml:space="preserve"> </w:t>
      </w:r>
      <w:r w:rsidR="00FE7B2F" w:rsidRPr="00E3331A">
        <w:t>O</w:t>
      </w:r>
      <w:r w:rsidR="00D57D1D" w:rsidRPr="00E3331A">
        <w:t xml:space="preserve">ne RCT, Mahdi-Rogers </w:t>
      </w:r>
      <w:r w:rsidR="00983BA7">
        <w:t xml:space="preserve">et al. </w:t>
      </w:r>
      <w:r w:rsidR="00D57D1D" w:rsidRPr="00E3331A">
        <w:t>(2009), reported the addition of methotrexate or placebo to patients currently responding to either steroids or Ig</w:t>
      </w:r>
      <w:r w:rsidR="001450A2" w:rsidRPr="00E3331A">
        <w:t xml:space="preserve"> in a cohort of 60 patients</w:t>
      </w:r>
      <w:r w:rsidRPr="00E3331A">
        <w:t xml:space="preserve">. </w:t>
      </w:r>
      <w:r w:rsidR="000F70AD" w:rsidRPr="00E3331A">
        <w:t>T</w:t>
      </w:r>
      <w:r w:rsidR="00D57D1D" w:rsidRPr="00E3331A">
        <w:t xml:space="preserve">he RCT </w:t>
      </w:r>
      <w:r w:rsidR="000F70AD" w:rsidRPr="00E3331A">
        <w:t xml:space="preserve">reported individual adverse events but not </w:t>
      </w:r>
      <w:r w:rsidR="00D57D1D" w:rsidRPr="00E3331A">
        <w:t>the overall burden of adverse events</w:t>
      </w:r>
      <w:r w:rsidR="000F70AD" w:rsidRPr="00E3331A">
        <w:t>.</w:t>
      </w:r>
      <w:r w:rsidR="00D57D1D" w:rsidRPr="00E3331A">
        <w:t xml:space="preserve"> </w:t>
      </w:r>
      <w:r w:rsidR="000F70AD" w:rsidRPr="00E3331A">
        <w:t>Adverse events f</w:t>
      </w:r>
      <w:r w:rsidR="00D57D1D" w:rsidRPr="00E3331A">
        <w:t>or the addition of methotrexate versus placebo included cough or shortness of breath (9/28</w:t>
      </w:r>
      <w:r w:rsidR="000F70AD" w:rsidRPr="00E3331A">
        <w:t xml:space="preserve">; </w:t>
      </w:r>
      <w:r w:rsidR="00D57D1D" w:rsidRPr="00E3331A">
        <w:t>32% v</w:t>
      </w:r>
      <w:r w:rsidR="000F70AD" w:rsidRPr="00E3331A">
        <w:t>s</w:t>
      </w:r>
      <w:r w:rsidR="00D57D1D" w:rsidRPr="00E3331A">
        <w:t xml:space="preserve"> 7/32</w:t>
      </w:r>
      <w:r w:rsidR="000F70AD" w:rsidRPr="00E3331A">
        <w:t xml:space="preserve">; </w:t>
      </w:r>
      <w:r w:rsidR="00D57D1D" w:rsidRPr="00E3331A">
        <w:t>22%)</w:t>
      </w:r>
      <w:r w:rsidR="000F70AD" w:rsidRPr="00E3331A">
        <w:t>,</w:t>
      </w:r>
      <w:r w:rsidR="00D57D1D" w:rsidRPr="00E3331A">
        <w:t xml:space="preserve"> infections (4/28</w:t>
      </w:r>
      <w:r w:rsidR="000F70AD" w:rsidRPr="00E3331A">
        <w:t xml:space="preserve">; </w:t>
      </w:r>
      <w:r w:rsidR="00D57D1D" w:rsidRPr="00E3331A">
        <w:t>14% v</w:t>
      </w:r>
      <w:r w:rsidR="000F70AD" w:rsidRPr="00E3331A">
        <w:t>s</w:t>
      </w:r>
      <w:r w:rsidR="00D57D1D" w:rsidRPr="00E3331A">
        <w:t xml:space="preserve"> 11/32</w:t>
      </w:r>
      <w:r w:rsidR="000F70AD" w:rsidRPr="00E3331A">
        <w:t xml:space="preserve">; </w:t>
      </w:r>
      <w:r w:rsidR="00D57D1D" w:rsidRPr="00E3331A">
        <w:t>34%)</w:t>
      </w:r>
      <w:r w:rsidR="000F70AD" w:rsidRPr="00E3331A">
        <w:t>,</w:t>
      </w:r>
      <w:r w:rsidR="00D57D1D" w:rsidRPr="00E3331A">
        <w:t xml:space="preserve"> bruises and bleeding (2/28</w:t>
      </w:r>
      <w:r w:rsidR="000F70AD" w:rsidRPr="00E3331A">
        <w:t xml:space="preserve">; </w:t>
      </w:r>
      <w:r w:rsidR="001450A2" w:rsidRPr="00E3331A">
        <w:t>7% v</w:t>
      </w:r>
      <w:r w:rsidR="000F70AD" w:rsidRPr="00E3331A">
        <w:t>s</w:t>
      </w:r>
      <w:r w:rsidR="001450A2" w:rsidRPr="00E3331A">
        <w:t xml:space="preserve"> 2/32</w:t>
      </w:r>
      <w:r w:rsidR="000F70AD" w:rsidRPr="00E3331A">
        <w:t xml:space="preserve">; </w:t>
      </w:r>
      <w:r w:rsidR="001450A2" w:rsidRPr="00E3331A">
        <w:t>6%)</w:t>
      </w:r>
      <w:r w:rsidR="000F70AD" w:rsidRPr="00E3331A">
        <w:t>,</w:t>
      </w:r>
      <w:r w:rsidR="001450A2" w:rsidRPr="00E3331A">
        <w:t xml:space="preserve"> mouth ulcers (0/28</w:t>
      </w:r>
      <w:r w:rsidR="000F70AD" w:rsidRPr="00E3331A">
        <w:t xml:space="preserve">; </w:t>
      </w:r>
      <w:r w:rsidR="001450A2" w:rsidRPr="00E3331A">
        <w:t>0% v</w:t>
      </w:r>
      <w:r w:rsidR="000F70AD" w:rsidRPr="00E3331A">
        <w:t>s</w:t>
      </w:r>
      <w:r w:rsidR="001450A2" w:rsidRPr="00E3331A">
        <w:t xml:space="preserve"> 5/32</w:t>
      </w:r>
      <w:r w:rsidR="000F70AD" w:rsidRPr="00E3331A">
        <w:t xml:space="preserve">; </w:t>
      </w:r>
      <w:r w:rsidR="001450A2" w:rsidRPr="00E3331A">
        <w:t>16%)</w:t>
      </w:r>
      <w:r w:rsidR="000F70AD" w:rsidRPr="00E3331A">
        <w:t>,</w:t>
      </w:r>
      <w:r w:rsidR="001450A2" w:rsidRPr="00E3331A">
        <w:t xml:space="preserve"> rash (1/28</w:t>
      </w:r>
      <w:r w:rsidR="000F70AD" w:rsidRPr="00E3331A">
        <w:t xml:space="preserve">; </w:t>
      </w:r>
      <w:r w:rsidR="001450A2" w:rsidRPr="00E3331A">
        <w:t>4% v</w:t>
      </w:r>
      <w:r w:rsidR="000F70AD" w:rsidRPr="00E3331A">
        <w:t>s</w:t>
      </w:r>
      <w:r w:rsidR="001450A2" w:rsidRPr="00E3331A">
        <w:t xml:space="preserve"> 1/32</w:t>
      </w:r>
      <w:r w:rsidR="000F70AD" w:rsidRPr="00E3331A">
        <w:t xml:space="preserve">; </w:t>
      </w:r>
      <w:r w:rsidR="001450A2" w:rsidRPr="00E3331A">
        <w:t>3%)</w:t>
      </w:r>
      <w:r w:rsidR="000F70AD" w:rsidRPr="00E3331A">
        <w:t>,</w:t>
      </w:r>
      <w:r w:rsidR="001450A2" w:rsidRPr="00E3331A">
        <w:t xml:space="preserve"> </w:t>
      </w:r>
      <w:r w:rsidR="000F70AD" w:rsidRPr="00E3331A">
        <w:t xml:space="preserve">and </w:t>
      </w:r>
      <w:r w:rsidR="001450A2" w:rsidRPr="00E3331A">
        <w:t>nausea or vomiting (2/28</w:t>
      </w:r>
      <w:r w:rsidR="000F70AD" w:rsidRPr="00E3331A">
        <w:t xml:space="preserve">; </w:t>
      </w:r>
      <w:r w:rsidR="001450A2" w:rsidRPr="00E3331A">
        <w:t>7% v</w:t>
      </w:r>
      <w:r w:rsidR="000F70AD" w:rsidRPr="00E3331A">
        <w:t>s</w:t>
      </w:r>
      <w:r w:rsidR="001450A2" w:rsidRPr="00E3331A">
        <w:t xml:space="preserve"> 2/32</w:t>
      </w:r>
      <w:r w:rsidR="000F70AD" w:rsidRPr="00E3331A">
        <w:t>;</w:t>
      </w:r>
      <w:r w:rsidR="001450A2" w:rsidRPr="00E3331A">
        <w:t xml:space="preserve"> 6%). Serious adverse events in the methotrexate group included myocardial infarction, inspiratory stridor of unknown cause, and severe limb and respiratory</w:t>
      </w:r>
      <w:r w:rsidR="00417823">
        <w:t xml:space="preserve"> </w:t>
      </w:r>
      <w:r w:rsidR="001450A2" w:rsidRPr="00E3331A">
        <w:t xml:space="preserve">muscle weakness. </w:t>
      </w:r>
      <w:r w:rsidR="0080375D" w:rsidRPr="00E3331A">
        <w:t>One</w:t>
      </w:r>
      <w:r w:rsidR="001450A2" w:rsidRPr="00E3331A">
        <w:t xml:space="preserve"> patient died of respiratory failure after the end of the trial. In the placebo arm</w:t>
      </w:r>
      <w:r w:rsidR="00634D5C" w:rsidRPr="00E3331A">
        <w:t>,</w:t>
      </w:r>
      <w:r w:rsidR="001450A2" w:rsidRPr="00E3331A">
        <w:t xml:space="preserve"> one patient had a rib fracture requiring hospital admission. Both arms of the trial demonstrated similar numbers of abnormal </w:t>
      </w:r>
      <w:r w:rsidR="00634D5C" w:rsidRPr="00E3331A">
        <w:t xml:space="preserve">laboratory test </w:t>
      </w:r>
      <w:r w:rsidR="001450A2" w:rsidRPr="00E3331A">
        <w:t>results (neutropenia, increased bilirubin, increased alkaline phosphatase, increased alanine transaminase, increased aspartate transaminase), except lymphopenia (10/27</w:t>
      </w:r>
      <w:r w:rsidR="00C83B80" w:rsidRPr="00E3331A">
        <w:t xml:space="preserve">; </w:t>
      </w:r>
      <w:r w:rsidR="001450A2" w:rsidRPr="00E3331A">
        <w:t>37% in the methotrexate arm v</w:t>
      </w:r>
      <w:r w:rsidR="00C83B80" w:rsidRPr="00E3331A">
        <w:t>s</w:t>
      </w:r>
      <w:r w:rsidR="001450A2" w:rsidRPr="00E3331A">
        <w:t xml:space="preserve"> 5/28</w:t>
      </w:r>
      <w:r w:rsidR="00C83B80" w:rsidRPr="00E3331A">
        <w:t xml:space="preserve">; </w:t>
      </w:r>
      <w:r w:rsidR="001450A2" w:rsidRPr="00E3331A">
        <w:t>18% in the placebo).</w:t>
      </w:r>
      <w:r w:rsidR="00C83B80" w:rsidRPr="00E3331A">
        <w:t xml:space="preserve"> </w:t>
      </w:r>
      <w:r w:rsidR="001450A2" w:rsidRPr="00E3331A">
        <w:t>The authors d</w:t>
      </w:r>
      <w:r w:rsidR="00C83B80" w:rsidRPr="00E3331A">
        <w:t>o</w:t>
      </w:r>
      <w:r w:rsidR="001450A2" w:rsidRPr="00E3331A">
        <w:t xml:space="preserve"> not believe </w:t>
      </w:r>
      <w:r w:rsidR="00C83B80" w:rsidRPr="00E3331A">
        <w:t xml:space="preserve">that </w:t>
      </w:r>
      <w:r w:rsidR="001450A2" w:rsidRPr="00E3331A">
        <w:t xml:space="preserve">any of the serious adverse events were related to the study drug. </w:t>
      </w:r>
    </w:p>
    <w:p w:rsidR="0066686B" w:rsidRPr="00E3331A" w:rsidRDefault="001450A2" w:rsidP="0066686B">
      <w:r w:rsidRPr="00E3331A">
        <w:t>In the case series evidence</w:t>
      </w:r>
      <w:r w:rsidR="00C83B80" w:rsidRPr="00E3331A">
        <w:t>,</w:t>
      </w:r>
      <w:r w:rsidRPr="00E3331A">
        <w:t xml:space="preserve"> </w:t>
      </w:r>
      <w:r w:rsidR="0066686B" w:rsidRPr="00E3331A">
        <w:t xml:space="preserve">Fialho </w:t>
      </w:r>
      <w:r w:rsidR="00983BA7">
        <w:t xml:space="preserve">et al. </w:t>
      </w:r>
      <w:r w:rsidR="0066686B" w:rsidRPr="00E3331A">
        <w:t xml:space="preserve">(2006) reported on ten patients who received methotrexate and noted that in general it was well tolerated. </w:t>
      </w:r>
      <w:r w:rsidR="00C83B80" w:rsidRPr="00E3331A">
        <w:t>Adverse e</w:t>
      </w:r>
      <w:r w:rsidR="0066686B" w:rsidRPr="00E3331A">
        <w:t>vents included one patient who experienced mild hair loss (resolved on a lower</w:t>
      </w:r>
      <w:r w:rsidR="00D45BCF" w:rsidRPr="00E3331A">
        <w:t>-</w:t>
      </w:r>
      <w:r w:rsidR="0066686B" w:rsidRPr="00E3331A">
        <w:t xml:space="preserve">dose), another who developed a severe chest </w:t>
      </w:r>
      <w:r w:rsidR="0066686B" w:rsidRPr="00E3331A">
        <w:lastRenderedPageBreak/>
        <w:t xml:space="preserve">infection after </w:t>
      </w:r>
      <w:r w:rsidR="00C83B80" w:rsidRPr="00E3331A">
        <w:t xml:space="preserve">eight </w:t>
      </w:r>
      <w:r w:rsidR="0066686B" w:rsidRPr="00E3331A">
        <w:t>months of treatment without neurological improvement</w:t>
      </w:r>
      <w:r w:rsidR="00C83B80" w:rsidRPr="00E3331A">
        <w:t>,</w:t>
      </w:r>
      <w:r w:rsidR="0066686B" w:rsidRPr="00E3331A">
        <w:t xml:space="preserve"> and a third who </w:t>
      </w:r>
      <w:r w:rsidR="00C83B80" w:rsidRPr="00E3331A">
        <w:t>deteriorated</w:t>
      </w:r>
      <w:r w:rsidR="0066686B" w:rsidRPr="00E3331A">
        <w:t xml:space="preserve"> despite the addition of first mycophenolate and then c</w:t>
      </w:r>
      <w:r w:rsidR="00084ED5" w:rsidRPr="00E3331A">
        <w:t>y</w:t>
      </w:r>
      <w:r w:rsidR="0066686B" w:rsidRPr="00E3331A">
        <w:t xml:space="preserve">closporin to the methotrexate regimen. This patient died suddenly with hypotension and fever of undiagnosed cause </w:t>
      </w:r>
      <w:r w:rsidR="00B85C75">
        <w:rPr>
          <w:noProof/>
        </w:rPr>
        <w:t>(Fialho et al. 2006)</w:t>
      </w:r>
      <w:r w:rsidR="0066686B" w:rsidRPr="00E3331A">
        <w:t xml:space="preserve">. Lopate </w:t>
      </w:r>
      <w:r w:rsidR="00983BA7">
        <w:t xml:space="preserve">et al. </w:t>
      </w:r>
      <w:r w:rsidR="0066686B" w:rsidRPr="00E3331A">
        <w:t>(2005) reported that five of eight patients experienced an adverse event including increased LFT results (</w:t>
      </w:r>
      <w:r w:rsidR="00A07838">
        <w:t xml:space="preserve">n = </w:t>
      </w:r>
      <w:r w:rsidR="0066686B" w:rsidRPr="00E3331A">
        <w:t>2) and nausea/emesis (</w:t>
      </w:r>
      <w:r w:rsidR="00A07838">
        <w:t xml:space="preserve">n = </w:t>
      </w:r>
      <w:r w:rsidR="0066686B" w:rsidRPr="00E3331A">
        <w:t>3)</w:t>
      </w:r>
      <w:r w:rsidR="00084ED5" w:rsidRPr="00E3331A">
        <w:t xml:space="preserve"> </w:t>
      </w:r>
      <w:r w:rsidR="00B85C75">
        <w:rPr>
          <w:noProof/>
        </w:rPr>
        <w:t>(Lopate et al. 2005)</w:t>
      </w:r>
      <w:r w:rsidR="00084ED5" w:rsidRPr="00E3331A">
        <w:t>.</w:t>
      </w:r>
      <w:r w:rsidR="0066686B" w:rsidRPr="00E3331A">
        <w:t xml:space="preserve"> Cocito </w:t>
      </w:r>
      <w:r w:rsidR="00983BA7">
        <w:t xml:space="preserve">et al. </w:t>
      </w:r>
      <w:r w:rsidR="0066686B" w:rsidRPr="00E3331A">
        <w:t xml:space="preserve">(2011) reported one patient with an adverse event (8%) </w:t>
      </w:r>
      <w:r w:rsidR="00084ED5" w:rsidRPr="00E3331A">
        <w:t xml:space="preserve">but </w:t>
      </w:r>
      <w:r w:rsidR="0066686B" w:rsidRPr="00E3331A">
        <w:t xml:space="preserve">further details </w:t>
      </w:r>
      <w:r w:rsidR="00084ED5" w:rsidRPr="00E3331A">
        <w:t>we</w:t>
      </w:r>
      <w:r w:rsidR="0066686B" w:rsidRPr="00E3331A">
        <w:t xml:space="preserve">re </w:t>
      </w:r>
      <w:r w:rsidR="00084ED5" w:rsidRPr="00E3331A">
        <w:t>un</w:t>
      </w:r>
      <w:r w:rsidR="0066686B" w:rsidRPr="00E3331A">
        <w:t xml:space="preserve">available. </w:t>
      </w:r>
    </w:p>
    <w:p w:rsidR="0066686B" w:rsidRPr="00E3331A" w:rsidRDefault="0066686B" w:rsidP="0066686B">
      <w:pPr>
        <w:pStyle w:val="Caption"/>
      </w:pPr>
      <w:bookmarkStart w:id="287" w:name="_Ref10106559"/>
      <w:bookmarkStart w:id="288" w:name="_Toc9796906"/>
      <w:bookmarkStart w:id="289" w:name="_Toc24103342"/>
      <w:r w:rsidRPr="00E3331A">
        <w:t xml:space="preserve">Table </w:t>
      </w:r>
      <w:r w:rsidR="006F35B9">
        <w:rPr>
          <w:noProof/>
        </w:rPr>
        <w:t>36</w:t>
      </w:r>
      <w:bookmarkEnd w:id="287"/>
      <w:r w:rsidRPr="00E3331A">
        <w:tab/>
        <w:t>Studies reporting outcomes with methotrexate</w:t>
      </w:r>
      <w:bookmarkEnd w:id="288"/>
      <w:bookmarkEnd w:id="289"/>
    </w:p>
    <w:tbl>
      <w:tblPr>
        <w:tblW w:w="5000" w:type="pct"/>
        <w:tblLayout w:type="fixed"/>
        <w:tblLook w:val="04A0" w:firstRow="1" w:lastRow="0" w:firstColumn="1" w:lastColumn="0" w:noHBand="0" w:noVBand="1"/>
      </w:tblPr>
      <w:tblGrid>
        <w:gridCol w:w="1627"/>
        <w:gridCol w:w="1451"/>
        <w:gridCol w:w="1958"/>
        <w:gridCol w:w="2002"/>
        <w:gridCol w:w="1978"/>
      </w:tblGrid>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Study ID</w:t>
            </w:r>
          </w:p>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Level of evidence</w:t>
            </w:r>
          </w:p>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Retrospective (R) / Prospective (P)</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N</w:t>
            </w: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Inclusion criteria (simplified)</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Methotrexate details</w:t>
            </w: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Observation period</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Comments regarding safety analyses</w:t>
            </w: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Any adverse event (AE), n/N (%)</w:t>
            </w:r>
          </w:p>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Any serious adverse event (SAE), n/N (%)</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Details of SAE</w:t>
            </w:r>
          </w:p>
        </w:tc>
      </w:tr>
      <w:tr w:rsidR="002F73E2"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2F73E2" w:rsidRPr="00E3331A" w:rsidRDefault="002F73E2" w:rsidP="00CD0563">
            <w:pPr>
              <w:spacing w:after="0" w:line="240" w:lineRule="auto"/>
              <w:rPr>
                <w:rFonts w:ascii="Arial Narrow" w:hAnsi="Arial Narrow" w:cs="Calibri"/>
                <w:bCs/>
                <w:sz w:val="18"/>
                <w:szCs w:val="18"/>
              </w:rPr>
            </w:pPr>
            <w:r w:rsidRPr="00E3331A">
              <w:rPr>
                <w:rFonts w:ascii="Arial Narrow" w:hAnsi="Arial Narrow" w:cs="Calibri"/>
                <w:bCs/>
                <w:sz w:val="18"/>
                <w:szCs w:val="18"/>
              </w:rPr>
              <w:t>Mahdi-Rogers 2009</w:t>
            </w:r>
          </w:p>
          <w:p w:rsidR="002F73E2" w:rsidRPr="00E3331A" w:rsidRDefault="002F73E2" w:rsidP="00CD0563">
            <w:pPr>
              <w:spacing w:after="0" w:line="240" w:lineRule="auto"/>
              <w:rPr>
                <w:rFonts w:ascii="Arial Narrow" w:hAnsi="Arial Narrow" w:cs="Calibri"/>
                <w:bCs/>
                <w:sz w:val="18"/>
                <w:szCs w:val="18"/>
              </w:rPr>
            </w:pPr>
            <w:r w:rsidRPr="00E3331A">
              <w:rPr>
                <w:rFonts w:ascii="Arial Narrow" w:hAnsi="Arial Narrow" w:cs="Calibri"/>
                <w:bCs/>
                <w:sz w:val="18"/>
                <w:szCs w:val="18"/>
              </w:rPr>
              <w:t>II</w:t>
            </w:r>
          </w:p>
          <w:p w:rsidR="002F73E2" w:rsidRPr="00E3331A" w:rsidRDefault="002F73E2" w:rsidP="00CD0563">
            <w:pPr>
              <w:spacing w:after="0" w:line="240" w:lineRule="auto"/>
              <w:rPr>
                <w:rFonts w:ascii="Arial Narrow" w:hAnsi="Arial Narrow" w:cs="Calibri"/>
                <w:bCs/>
                <w:sz w:val="18"/>
                <w:szCs w:val="18"/>
              </w:rPr>
            </w:pPr>
            <w:r w:rsidRPr="00E3331A">
              <w:rPr>
                <w:rFonts w:ascii="Arial Narrow" w:hAnsi="Arial Narrow" w:cs="Calibri"/>
                <w:bCs/>
                <w:sz w:val="18"/>
                <w:szCs w:val="18"/>
              </w:rPr>
              <w:t>P</w:t>
            </w:r>
          </w:p>
          <w:p w:rsidR="002F73E2" w:rsidRPr="00E3331A" w:rsidRDefault="002F73E2" w:rsidP="00CD0563">
            <w:pPr>
              <w:spacing w:after="0" w:line="240" w:lineRule="auto"/>
              <w:rPr>
                <w:rFonts w:ascii="Arial Narrow" w:hAnsi="Arial Narrow" w:cs="Calibri"/>
                <w:b/>
                <w:bCs/>
                <w:sz w:val="18"/>
                <w:szCs w:val="18"/>
              </w:rPr>
            </w:pPr>
            <w:r w:rsidRPr="00E3331A">
              <w:rPr>
                <w:rFonts w:ascii="Arial Narrow" w:hAnsi="Arial Narrow" w:cs="Calibri"/>
                <w:bCs/>
                <w:sz w:val="18"/>
                <w:szCs w:val="18"/>
              </w:rPr>
              <w:t>60 (</w:t>
            </w:r>
            <w:r w:rsidR="00D57D1D" w:rsidRPr="00E3331A">
              <w:rPr>
                <w:rFonts w:ascii="Arial Narrow" w:hAnsi="Arial Narrow" w:cs="Calibri"/>
                <w:bCs/>
                <w:sz w:val="18"/>
                <w:szCs w:val="18"/>
              </w:rPr>
              <w:t>28 with methotrexate and 32 with placebo)</w:t>
            </w: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2F73E2" w:rsidRPr="00E3331A" w:rsidRDefault="002F73E2" w:rsidP="00CD0563">
            <w:pPr>
              <w:spacing w:after="0" w:line="240" w:lineRule="auto"/>
              <w:rPr>
                <w:rFonts w:ascii="Arial Narrow" w:hAnsi="Arial Narrow" w:cs="Calibri"/>
                <w:bCs/>
                <w:sz w:val="18"/>
                <w:szCs w:val="18"/>
              </w:rPr>
            </w:pPr>
            <w:r w:rsidRPr="00E3331A">
              <w:rPr>
                <w:rFonts w:ascii="Arial Narrow" w:hAnsi="Arial Narrow" w:cs="Calibri"/>
                <w:bCs/>
                <w:sz w:val="18"/>
                <w:szCs w:val="18"/>
              </w:rPr>
              <w:t>CIDP diagnosed by a neurologist, present for at least 6 months, receiving IVIg</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2F73E2" w:rsidRPr="00E3331A" w:rsidRDefault="002F73E2" w:rsidP="00CD0563">
            <w:pPr>
              <w:spacing w:after="0" w:line="240" w:lineRule="auto"/>
              <w:rPr>
                <w:rFonts w:ascii="Arial Narrow" w:hAnsi="Arial Narrow" w:cs="Calibri"/>
                <w:bCs/>
                <w:sz w:val="18"/>
                <w:szCs w:val="18"/>
              </w:rPr>
            </w:pPr>
            <w:r w:rsidRPr="00E3331A">
              <w:rPr>
                <w:rFonts w:ascii="Arial Narrow" w:hAnsi="Arial Narrow" w:cs="Calibri"/>
                <w:bCs/>
                <w:sz w:val="18"/>
                <w:szCs w:val="18"/>
              </w:rPr>
              <w:t xml:space="preserve">Intervention: 7.5mg once a week for 4 weeks followed by 10 mg once a week for 4 weeks, and 15 mg once a week for 32 weeks. </w:t>
            </w:r>
          </w:p>
          <w:p w:rsidR="002F73E2" w:rsidRPr="00E3331A" w:rsidRDefault="002F73E2" w:rsidP="00CD0563">
            <w:pPr>
              <w:spacing w:after="0" w:line="240" w:lineRule="auto"/>
              <w:rPr>
                <w:rFonts w:ascii="Arial Narrow" w:hAnsi="Arial Narrow" w:cs="Calibri"/>
                <w:b/>
                <w:bCs/>
                <w:sz w:val="18"/>
                <w:szCs w:val="18"/>
              </w:rPr>
            </w:pPr>
            <w:r w:rsidRPr="00E3331A">
              <w:rPr>
                <w:rFonts w:ascii="Arial Narrow" w:hAnsi="Arial Narrow" w:cs="Calibri"/>
                <w:bCs/>
                <w:sz w:val="18"/>
                <w:szCs w:val="18"/>
              </w:rPr>
              <w:t>V Placebo</w:t>
            </w:r>
          </w:p>
        </w:tc>
        <w:tc>
          <w:tcPr>
            <w:tcW w:w="1110" w:type="pct"/>
            <w:tcBorders>
              <w:top w:val="single" w:sz="4" w:space="0" w:color="auto"/>
              <w:left w:val="single" w:sz="4" w:space="0" w:color="auto"/>
              <w:bottom w:val="single" w:sz="4" w:space="0" w:color="auto"/>
              <w:right w:val="single" w:sz="4" w:space="0" w:color="auto"/>
            </w:tcBorders>
          </w:tcPr>
          <w:p w:rsidR="002F73E2" w:rsidRPr="00E3331A" w:rsidRDefault="00D57D1D" w:rsidP="00CD0563">
            <w:pPr>
              <w:spacing w:after="0" w:line="240" w:lineRule="auto"/>
              <w:rPr>
                <w:rFonts w:ascii="Arial Narrow" w:hAnsi="Arial Narrow" w:cs="Calibri"/>
                <w:bCs/>
                <w:sz w:val="18"/>
                <w:szCs w:val="18"/>
              </w:rPr>
            </w:pPr>
            <w:r w:rsidRPr="00E3331A">
              <w:rPr>
                <w:rFonts w:ascii="Arial Narrow" w:hAnsi="Arial Narrow" w:cs="Calibri"/>
                <w:bCs/>
                <w:sz w:val="18"/>
                <w:szCs w:val="18"/>
              </w:rPr>
              <w:t>39-42 weeks</w:t>
            </w:r>
          </w:p>
          <w:p w:rsidR="00D57D1D" w:rsidRPr="00E3331A" w:rsidRDefault="00D57D1D" w:rsidP="00CD0563">
            <w:pPr>
              <w:spacing w:after="0" w:line="240" w:lineRule="auto"/>
              <w:rPr>
                <w:rFonts w:ascii="Arial Narrow" w:hAnsi="Arial Narrow" w:cs="Calibri"/>
                <w:b/>
                <w:bCs/>
                <w:sz w:val="18"/>
                <w:szCs w:val="18"/>
              </w:rPr>
            </w:pPr>
            <w:r w:rsidRPr="00E3331A">
              <w:rPr>
                <w:rFonts w:ascii="Arial Narrow" w:hAnsi="Arial Narrow" w:cs="Calibri"/>
                <w:color w:val="000000"/>
                <w:sz w:val="18"/>
                <w:szCs w:val="18"/>
              </w:rPr>
              <w:t>Nature of AEs reported</w:t>
            </w:r>
          </w:p>
        </w:tc>
        <w:tc>
          <w:tcPr>
            <w:tcW w:w="1097" w:type="pct"/>
            <w:tcBorders>
              <w:top w:val="single" w:sz="4" w:space="0" w:color="auto"/>
              <w:left w:val="single" w:sz="4" w:space="0" w:color="auto"/>
              <w:bottom w:val="single" w:sz="4" w:space="0" w:color="auto"/>
              <w:right w:val="single" w:sz="4" w:space="0" w:color="auto"/>
            </w:tcBorders>
          </w:tcPr>
          <w:p w:rsidR="002F73E2" w:rsidRPr="00E3331A" w:rsidRDefault="00D57D1D" w:rsidP="00CD0563">
            <w:pPr>
              <w:spacing w:after="0" w:line="240" w:lineRule="auto"/>
              <w:rPr>
                <w:rFonts w:ascii="Arial Narrow" w:hAnsi="Arial Narrow" w:cs="Calibri"/>
                <w:bCs/>
                <w:sz w:val="18"/>
                <w:szCs w:val="18"/>
              </w:rPr>
            </w:pPr>
            <w:r w:rsidRPr="00E3331A">
              <w:rPr>
                <w:rFonts w:ascii="Arial Narrow" w:hAnsi="Arial Narrow" w:cs="Calibri"/>
                <w:bCs/>
                <w:sz w:val="18"/>
                <w:szCs w:val="18"/>
              </w:rPr>
              <w:t>Methotrexate v placebo</w:t>
            </w:r>
          </w:p>
          <w:p w:rsidR="00D57D1D" w:rsidRPr="00E3331A" w:rsidRDefault="00D57D1D" w:rsidP="00CD0563">
            <w:pPr>
              <w:spacing w:after="0" w:line="240" w:lineRule="auto"/>
              <w:rPr>
                <w:rFonts w:ascii="Arial Narrow" w:hAnsi="Arial Narrow" w:cs="Calibri"/>
                <w:bCs/>
                <w:sz w:val="18"/>
                <w:szCs w:val="18"/>
              </w:rPr>
            </w:pPr>
            <w:r w:rsidRPr="00E3331A">
              <w:rPr>
                <w:rFonts w:ascii="Arial Narrow" w:hAnsi="Arial Narrow" w:cs="Calibri"/>
                <w:bCs/>
                <w:sz w:val="18"/>
                <w:szCs w:val="18"/>
              </w:rPr>
              <w:t>NR</w:t>
            </w:r>
          </w:p>
          <w:p w:rsidR="00D57D1D" w:rsidRPr="00E3331A" w:rsidRDefault="00D57D1D" w:rsidP="00CD0563">
            <w:pPr>
              <w:spacing w:after="0" w:line="240" w:lineRule="auto"/>
              <w:rPr>
                <w:rFonts w:ascii="Arial Narrow" w:hAnsi="Arial Narrow" w:cs="Calibri"/>
                <w:bCs/>
                <w:sz w:val="18"/>
                <w:szCs w:val="18"/>
              </w:rPr>
            </w:pPr>
            <w:r w:rsidRPr="00E3331A">
              <w:rPr>
                <w:rFonts w:ascii="Arial Narrow" w:hAnsi="Arial Narrow" w:cs="Calibri"/>
                <w:bCs/>
                <w:sz w:val="18"/>
                <w:szCs w:val="18"/>
              </w:rPr>
              <w:t>3/28 (11%) v 1/30 (3%)</w:t>
            </w:r>
          </w:p>
          <w:p w:rsidR="00D57D1D" w:rsidRPr="00E3331A" w:rsidRDefault="00D57D1D" w:rsidP="00CD0563">
            <w:pPr>
              <w:spacing w:after="0" w:line="240" w:lineRule="auto"/>
              <w:rPr>
                <w:rFonts w:ascii="Arial Narrow" w:hAnsi="Arial Narrow" w:cs="Calibri"/>
                <w:bCs/>
                <w:sz w:val="18"/>
                <w:szCs w:val="18"/>
              </w:rPr>
            </w:pPr>
            <w:r w:rsidRPr="00E3331A">
              <w:rPr>
                <w:rFonts w:ascii="Arial Narrow" w:hAnsi="Arial Narrow" w:cs="Calibri"/>
                <w:bCs/>
                <w:sz w:val="18"/>
                <w:szCs w:val="18"/>
              </w:rPr>
              <w:t xml:space="preserve">SAE (methotrexate): myocardial infarction (1), inspiratory stridor (1), severe limb and respiratory muscle weakness (1)* </w:t>
            </w:r>
          </w:p>
          <w:p w:rsidR="00D57D1D" w:rsidRPr="00E3331A" w:rsidRDefault="00D57D1D" w:rsidP="00CD0563">
            <w:pPr>
              <w:spacing w:after="0" w:line="240" w:lineRule="auto"/>
              <w:rPr>
                <w:rFonts w:ascii="Arial Narrow" w:hAnsi="Arial Narrow" w:cs="Calibri"/>
                <w:b/>
                <w:bCs/>
                <w:sz w:val="18"/>
                <w:szCs w:val="18"/>
              </w:rPr>
            </w:pPr>
            <w:r w:rsidRPr="00E3331A">
              <w:rPr>
                <w:rFonts w:ascii="Arial Narrow" w:hAnsi="Arial Narrow" w:cs="Calibri"/>
                <w:bCs/>
                <w:sz w:val="18"/>
                <w:szCs w:val="18"/>
              </w:rPr>
              <w:t>SAE (placebo): fractured rib (1)</w:t>
            </w:r>
          </w:p>
        </w:tc>
      </w:tr>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Fialho 2006 </w:t>
            </w:r>
            <w:r w:rsidR="00B85C75">
              <w:rPr>
                <w:rFonts w:ascii="Arial Narrow" w:hAnsi="Arial Narrow" w:cs="Calibri"/>
                <w:noProof/>
                <w:color w:val="000000"/>
                <w:sz w:val="18"/>
                <w:szCs w:val="18"/>
              </w:rPr>
              <w:t>(Fialho et al. 2006)</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10</w:t>
            </w: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fulfilling recognised clinical criteria and neurophysiological evidence of demyelination</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According to patient</w:t>
            </w:r>
            <w:r w:rsidR="00345C95" w:rsidRPr="00E3331A">
              <w:rPr>
                <w:rFonts w:ascii="Arial Narrow" w:hAnsi="Arial Narrow" w:cs="Calibri"/>
                <w:color w:val="000000"/>
                <w:sz w:val="18"/>
                <w:szCs w:val="18"/>
              </w:rPr>
              <w:t xml:space="preserve"> </w:t>
            </w:r>
            <w:r w:rsidRPr="00E3331A">
              <w:rPr>
                <w:rFonts w:ascii="Arial Narrow" w:hAnsi="Arial Narrow" w:cs="Calibri"/>
                <w:color w:val="000000"/>
                <w:sz w:val="18"/>
                <w:szCs w:val="18"/>
              </w:rPr>
              <w:t>needs from 10-15 mg weekly for as long as clinically appropriate</w:t>
            </w: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reported</w:t>
            </w: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3/10 (30%)</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1/10 (10%)</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SAE: death (1) due hypotension and fever of unknown origin. </w:t>
            </w:r>
          </w:p>
        </w:tc>
      </w:tr>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Lopate </w:t>
            </w:r>
            <w:r w:rsidR="00983BA7">
              <w:rPr>
                <w:rFonts w:ascii="Arial Narrow" w:hAnsi="Arial Narrow" w:cs="Calibri"/>
                <w:color w:val="000000"/>
                <w:sz w:val="18"/>
                <w:szCs w:val="18"/>
              </w:rPr>
              <w:t xml:space="preserve">et al. </w:t>
            </w:r>
            <w:r w:rsidRPr="00E3331A">
              <w:rPr>
                <w:rFonts w:ascii="Arial Narrow" w:hAnsi="Arial Narrow" w:cs="Calibri"/>
                <w:color w:val="000000"/>
                <w:sz w:val="18"/>
                <w:szCs w:val="18"/>
              </w:rPr>
              <w:t xml:space="preserve">2005 </w:t>
            </w:r>
            <w:r w:rsidR="00B85C75">
              <w:rPr>
                <w:rFonts w:ascii="Arial Narrow" w:hAnsi="Arial Narrow" w:cs="Calibri"/>
                <w:noProof/>
                <w:color w:val="000000"/>
                <w:sz w:val="18"/>
                <w:szCs w:val="18"/>
              </w:rPr>
              <w:t>(Lopate et al. 2005)</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III-3</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8</w:t>
            </w: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w:t>
            </w:r>
            <w:r w:rsidR="00345C95" w:rsidRPr="00E3331A">
              <w:rPr>
                <w:rFonts w:ascii="Arial Narrow" w:hAnsi="Arial Narrow" w:cs="Calibri"/>
                <w:color w:val="000000"/>
                <w:sz w:val="18"/>
                <w:szCs w:val="18"/>
              </w:rPr>
              <w:t xml:space="preserve"> </w:t>
            </w:r>
            <w:r w:rsidRPr="00E3331A">
              <w:rPr>
                <w:rFonts w:ascii="Arial Narrow" w:hAnsi="Arial Narrow" w:cs="Calibri"/>
                <w:color w:val="000000"/>
                <w:sz w:val="18"/>
                <w:szCs w:val="18"/>
              </w:rPr>
              <w:t>(EFNS/PNS criteria)</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Oral immunosuppressive agents – further details NR</w:t>
            </w:r>
          </w:p>
          <w:p w:rsidR="0066686B" w:rsidRPr="00E3331A" w:rsidRDefault="0066686B" w:rsidP="00CD0563">
            <w:pPr>
              <w:spacing w:after="0" w:line="240" w:lineRule="auto"/>
              <w:rPr>
                <w:rFonts w:ascii="Arial Narrow" w:hAnsi="Arial Narrow" w:cs="Calibri"/>
                <w:color w:val="000000"/>
                <w:sz w:val="18"/>
                <w:szCs w:val="18"/>
              </w:rPr>
            </w:pP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Oral agents: 4.7 years</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reported</w:t>
            </w: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NR </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Nature of adverse events but not overall n/N </w:t>
            </w:r>
          </w:p>
        </w:tc>
      </w:tr>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Cocito 2011 </w:t>
            </w:r>
            <w:r w:rsidR="00B85C75">
              <w:rPr>
                <w:rFonts w:ascii="Arial Narrow" w:hAnsi="Arial Narrow" w:cs="Calibri"/>
                <w:noProof/>
                <w:color w:val="000000"/>
                <w:sz w:val="18"/>
                <w:szCs w:val="18"/>
              </w:rPr>
              <w:t>(Cocito et al. 2011)</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12</w:t>
            </w: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patients (EFNS/PNS criteria) who had not responded to conventional therapy</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Methotrexate 7.5–15 mg/weekly </w:t>
            </w:r>
          </w:p>
          <w:p w:rsidR="0066686B" w:rsidRPr="00E3331A" w:rsidRDefault="0066686B" w:rsidP="00CD0563">
            <w:pPr>
              <w:spacing w:after="0" w:line="240" w:lineRule="auto"/>
              <w:rPr>
                <w:rFonts w:ascii="Arial Narrow" w:hAnsi="Arial Narrow" w:cs="Calibri"/>
                <w:color w:val="000000"/>
                <w:sz w:val="18"/>
                <w:szCs w:val="18"/>
              </w:rPr>
            </w:pP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Median 5.4 years</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NR</w:t>
            </w:r>
          </w:p>
          <w:p w:rsidR="0066686B" w:rsidRPr="00E3331A" w:rsidRDefault="0066686B" w:rsidP="00CD0563">
            <w:pPr>
              <w:spacing w:after="0" w:line="240" w:lineRule="auto"/>
              <w:rPr>
                <w:rFonts w:ascii="Arial Narrow" w:hAnsi="Arial Narrow" w:cs="Calibri"/>
                <w:color w:val="000000"/>
                <w:sz w:val="18"/>
                <w:szCs w:val="18"/>
              </w:rPr>
            </w:pP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1/12 (8%)</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66686B" w:rsidRPr="00E3331A" w:rsidRDefault="0066686B" w:rsidP="00CD0563">
            <w:pPr>
              <w:spacing w:after="0" w:line="240" w:lineRule="auto"/>
              <w:rPr>
                <w:rFonts w:ascii="Arial Narrow" w:hAnsi="Arial Narrow" w:cs="Calibri"/>
                <w:color w:val="000000"/>
                <w:sz w:val="18"/>
                <w:szCs w:val="18"/>
              </w:rPr>
            </w:pPr>
          </w:p>
        </w:tc>
      </w:tr>
    </w:tbl>
    <w:p w:rsidR="006A08C4" w:rsidRPr="00E3331A" w:rsidRDefault="0066686B" w:rsidP="0037150F">
      <w:pPr>
        <w:pStyle w:val="Tablenotes1"/>
      </w:pPr>
      <w:r w:rsidRPr="00E3331A">
        <w:t>EFNS/PNS: European Federation of Neurological Societies/Peripheral Nerve Society</w:t>
      </w:r>
      <w:r w:rsidR="00D57D1D" w:rsidRPr="00E3331A">
        <w:t xml:space="preserve">; </w:t>
      </w:r>
      <w:r w:rsidR="006A08C4" w:rsidRPr="00E3331A">
        <w:t>NR = not reported</w:t>
      </w:r>
    </w:p>
    <w:p w:rsidR="0066686B" w:rsidRPr="00E3331A" w:rsidRDefault="00D57D1D" w:rsidP="0037150F">
      <w:pPr>
        <w:pStyle w:val="Tablenotes1"/>
      </w:pPr>
      <w:r w:rsidRPr="00E3331A">
        <w:t xml:space="preserve">*this patient died of respiratory distress after the end of the </w:t>
      </w:r>
      <w:r w:rsidR="00E810A5">
        <w:t>t</w:t>
      </w:r>
      <w:r w:rsidRPr="00E3331A">
        <w:t xml:space="preserve">rial. </w:t>
      </w:r>
    </w:p>
    <w:p w:rsidR="0066686B" w:rsidRPr="00E3331A" w:rsidRDefault="0066686B" w:rsidP="0066686B">
      <w:pPr>
        <w:pStyle w:val="Heading3"/>
        <w:jc w:val="both"/>
      </w:pPr>
      <w:bookmarkStart w:id="290" w:name="_Toc24103480"/>
      <w:r w:rsidRPr="00E3331A">
        <w:t>Adverse events in patients receiving mycophenolate mofetil</w:t>
      </w:r>
      <w:bookmarkEnd w:id="290"/>
    </w:p>
    <w:p w:rsidR="0066686B" w:rsidRDefault="0066686B" w:rsidP="0066686B">
      <w:r w:rsidRPr="00E3331A">
        <w:t xml:space="preserve">Gorson </w:t>
      </w:r>
      <w:r w:rsidR="00983BA7">
        <w:t xml:space="preserve">et al. </w:t>
      </w:r>
      <w:r w:rsidRPr="00E3331A">
        <w:t>(2004) reported on 21 patients treated with mycophenolate mofetil of whom five experienced adverse events. Events included nausea (</w:t>
      </w:r>
      <w:r w:rsidR="00A07838">
        <w:t xml:space="preserve">n = </w:t>
      </w:r>
      <w:r w:rsidRPr="00E3331A">
        <w:t>3)</w:t>
      </w:r>
      <w:r w:rsidR="006A08C4" w:rsidRPr="00E3331A">
        <w:t>,</w:t>
      </w:r>
      <w:r w:rsidRPr="00E3331A">
        <w:t xml:space="preserve"> malaise (</w:t>
      </w:r>
      <w:r w:rsidR="00A07838">
        <w:t xml:space="preserve">n = </w:t>
      </w:r>
      <w:r w:rsidRPr="00E3331A">
        <w:t>2)</w:t>
      </w:r>
      <w:r w:rsidR="006A08C4" w:rsidRPr="00E3331A">
        <w:t>,</w:t>
      </w:r>
      <w:r w:rsidRPr="00E3331A">
        <w:t xml:space="preserve"> headache (</w:t>
      </w:r>
      <w:r w:rsidR="00A07838">
        <w:t xml:space="preserve">n = </w:t>
      </w:r>
      <w:r w:rsidRPr="00E3331A">
        <w:t>2)</w:t>
      </w:r>
      <w:r w:rsidR="006A08C4" w:rsidRPr="00E3331A">
        <w:t xml:space="preserve"> </w:t>
      </w:r>
      <w:r w:rsidRPr="00E3331A">
        <w:t>and diarrh</w:t>
      </w:r>
      <w:r w:rsidR="00591599" w:rsidRPr="00E3331A">
        <w:t>oea</w:t>
      </w:r>
      <w:r w:rsidRPr="00E3331A">
        <w:t xml:space="preserve"> (</w:t>
      </w:r>
      <w:r w:rsidR="00A07838">
        <w:t xml:space="preserve">n = </w:t>
      </w:r>
      <w:r w:rsidRPr="00E3331A">
        <w:t xml:space="preserve">1). One patient discontinued due to nausea. Cocito </w:t>
      </w:r>
      <w:r w:rsidR="00983BA7">
        <w:t xml:space="preserve">et al. </w:t>
      </w:r>
      <w:r w:rsidRPr="00E3331A">
        <w:t xml:space="preserve">(2011) reported on 12 patients treated with mycophenolate mofetil of whom </w:t>
      </w:r>
      <w:r w:rsidR="006A08C4" w:rsidRPr="00E3331A">
        <w:t>two</w:t>
      </w:r>
      <w:r w:rsidRPr="00E3331A">
        <w:t xml:space="preserve"> </w:t>
      </w:r>
      <w:r w:rsidR="006A08C4" w:rsidRPr="00E3331A">
        <w:t xml:space="preserve">(16%) </w:t>
      </w:r>
      <w:r w:rsidRPr="00E3331A">
        <w:t>experienced an adverse event (</w:t>
      </w:r>
      <w:r w:rsidR="006F35B9" w:rsidRPr="00E3331A">
        <w:t xml:space="preserve">Table </w:t>
      </w:r>
      <w:r w:rsidR="006F35B9">
        <w:rPr>
          <w:noProof/>
        </w:rPr>
        <w:t>37</w:t>
      </w:r>
      <w:r w:rsidRPr="00E3331A">
        <w:t xml:space="preserve">). </w:t>
      </w:r>
    </w:p>
    <w:p w:rsidR="00832A4E" w:rsidRPr="00E3331A" w:rsidRDefault="00832A4E" w:rsidP="0066686B"/>
    <w:p w:rsidR="0066686B" w:rsidRPr="00E3331A" w:rsidRDefault="0066686B" w:rsidP="0066686B">
      <w:pPr>
        <w:pStyle w:val="Caption"/>
      </w:pPr>
      <w:bookmarkStart w:id="291" w:name="_Ref10106568"/>
      <w:bookmarkStart w:id="292" w:name="_Toc9796907"/>
      <w:bookmarkStart w:id="293" w:name="_Toc24103343"/>
      <w:r w:rsidRPr="00E3331A">
        <w:lastRenderedPageBreak/>
        <w:t xml:space="preserve">Table </w:t>
      </w:r>
      <w:r w:rsidR="006F35B9">
        <w:rPr>
          <w:noProof/>
        </w:rPr>
        <w:t>37</w:t>
      </w:r>
      <w:bookmarkEnd w:id="291"/>
      <w:r w:rsidRPr="00E3331A">
        <w:tab/>
        <w:t>Studies reporting outcomes with mycophenolate mofetil</w:t>
      </w:r>
      <w:bookmarkEnd w:id="292"/>
      <w:bookmarkEnd w:id="293"/>
      <w:r w:rsidRPr="00E3331A">
        <w:t xml:space="preserve"> </w:t>
      </w:r>
    </w:p>
    <w:tbl>
      <w:tblPr>
        <w:tblW w:w="5000" w:type="pct"/>
        <w:tblLayout w:type="fixed"/>
        <w:tblLook w:val="04A0" w:firstRow="1" w:lastRow="0" w:firstColumn="1" w:lastColumn="0" w:noHBand="0" w:noVBand="1"/>
      </w:tblPr>
      <w:tblGrid>
        <w:gridCol w:w="1627"/>
        <w:gridCol w:w="1451"/>
        <w:gridCol w:w="1958"/>
        <w:gridCol w:w="2002"/>
        <w:gridCol w:w="1978"/>
      </w:tblGrid>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Study ID</w:t>
            </w:r>
          </w:p>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Level of evidence</w:t>
            </w:r>
          </w:p>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Retrospective (R) / Prospective (P)</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N</w:t>
            </w: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Inclusion criteria (simplified)</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Mycophenolate mofetil details</w:t>
            </w: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Observation period</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Comments regarding safety analyses</w:t>
            </w: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Any adverse event (AE), n/N (%)</w:t>
            </w:r>
          </w:p>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Any serious adverse event (SAE), n/N (%)</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Details of SAE</w:t>
            </w:r>
          </w:p>
        </w:tc>
      </w:tr>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Cocito 2011 </w:t>
            </w:r>
            <w:r w:rsidR="00B85C75">
              <w:rPr>
                <w:rFonts w:ascii="Arial Narrow" w:hAnsi="Arial Narrow" w:cs="Calibri"/>
                <w:noProof/>
                <w:color w:val="000000"/>
                <w:sz w:val="18"/>
                <w:szCs w:val="18"/>
              </w:rPr>
              <w:t>(Cocito et al. 2011)</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66686B" w:rsidRPr="00E3331A" w:rsidRDefault="0066686B" w:rsidP="00CD0563">
            <w:pPr>
              <w:spacing w:after="0" w:line="240" w:lineRule="auto"/>
              <w:rPr>
                <w:rFonts w:ascii="Arial Narrow" w:hAnsi="Arial Narrow" w:cs="Calibri"/>
                <w:noProof/>
                <w:color w:val="000000"/>
                <w:sz w:val="18"/>
                <w:szCs w:val="18"/>
              </w:rPr>
            </w:pPr>
            <w:r w:rsidRPr="00E3331A">
              <w:rPr>
                <w:rFonts w:ascii="Arial Narrow" w:hAnsi="Arial Narrow" w:cs="Calibri"/>
                <w:color w:val="000000"/>
                <w:sz w:val="18"/>
                <w:szCs w:val="18"/>
              </w:rPr>
              <w:t>110</w:t>
            </w: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eastAsia="Calibri" w:hAnsi="Arial Narrow" w:cs="Times New Roman"/>
                <w:sz w:val="18"/>
                <w:szCs w:val="18"/>
                <w:lang w:eastAsia="en-US"/>
              </w:rPr>
            </w:pPr>
            <w:r w:rsidRPr="00E3331A">
              <w:rPr>
                <w:rFonts w:ascii="Arial Narrow" w:hAnsi="Arial Narrow" w:cs="Calibri"/>
                <w:color w:val="000000"/>
                <w:sz w:val="18"/>
                <w:szCs w:val="18"/>
              </w:rPr>
              <w:t>CIDP patients (EFNS/PNS criteria) who had not responded to conventional therapy</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eastAsia="Calibri" w:hAnsi="Arial Narrow" w:cs="Calibri"/>
                <w:color w:val="000000"/>
                <w:sz w:val="18"/>
                <w:szCs w:val="18"/>
                <w:lang w:eastAsia="en-US"/>
              </w:rPr>
            </w:pPr>
            <w:r w:rsidRPr="00E3331A">
              <w:rPr>
                <w:rFonts w:ascii="Arial Narrow" w:hAnsi="Arial Narrow" w:cs="Calibri"/>
                <w:color w:val="000000"/>
                <w:sz w:val="18"/>
                <w:szCs w:val="18"/>
              </w:rPr>
              <w:t xml:space="preserve"> 1–2 g/day</w:t>
            </w:r>
          </w:p>
          <w:p w:rsidR="0066686B" w:rsidRPr="00E3331A" w:rsidRDefault="0066686B" w:rsidP="00CD0563">
            <w:pPr>
              <w:spacing w:after="0" w:line="240" w:lineRule="auto"/>
              <w:rPr>
                <w:rFonts w:ascii="Arial Narrow" w:eastAsia="Calibri" w:hAnsi="Arial Narrow" w:cs="Calibri"/>
                <w:color w:val="000000"/>
                <w:sz w:val="18"/>
                <w:szCs w:val="18"/>
                <w:lang w:eastAsia="en-US"/>
              </w:rPr>
            </w:pP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Median 5.4 years</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NR</w:t>
            </w:r>
          </w:p>
          <w:p w:rsidR="0066686B" w:rsidRPr="00E3331A" w:rsidRDefault="0066686B" w:rsidP="00CD0563">
            <w:pPr>
              <w:spacing w:after="0" w:line="240" w:lineRule="auto"/>
              <w:rPr>
                <w:rFonts w:ascii="Arial Narrow" w:hAnsi="Arial Narrow" w:cs="Calibri"/>
                <w:color w:val="000000"/>
                <w:sz w:val="18"/>
                <w:szCs w:val="18"/>
              </w:rPr>
            </w:pP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2/12 (16%)</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66686B" w:rsidRPr="00E3331A" w:rsidRDefault="0066686B" w:rsidP="00CD0563">
            <w:pPr>
              <w:spacing w:after="0" w:line="240" w:lineRule="auto"/>
              <w:rPr>
                <w:rFonts w:ascii="Arial Narrow" w:hAnsi="Arial Narrow" w:cs="Calibri"/>
                <w:color w:val="000000"/>
                <w:sz w:val="18"/>
                <w:szCs w:val="18"/>
              </w:rPr>
            </w:pPr>
          </w:p>
        </w:tc>
      </w:tr>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 xml:space="preserve">Gorson 2004 </w:t>
            </w:r>
            <w:r w:rsidR="00B85C75">
              <w:rPr>
                <w:rFonts w:ascii="Arial Narrow" w:hAnsi="Arial Narrow" w:cs="Calibri"/>
                <w:noProof/>
                <w:color w:val="000000"/>
                <w:sz w:val="18"/>
                <w:szCs w:val="18"/>
              </w:rPr>
              <w:t>(Gorson et al. 2004)</w:t>
            </w:r>
          </w:p>
          <w:p w:rsidR="0066686B" w:rsidRPr="00E3331A" w:rsidRDefault="0066686B" w:rsidP="00CD0563">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IV</w:t>
            </w:r>
          </w:p>
          <w:p w:rsidR="0066686B" w:rsidRPr="00E3331A" w:rsidRDefault="0066686B" w:rsidP="00CD0563">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R</w:t>
            </w:r>
          </w:p>
          <w:p w:rsidR="0066686B" w:rsidRPr="00E3331A" w:rsidRDefault="0066686B" w:rsidP="00CD0563">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21</w:t>
            </w: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noProof/>
                <w:color w:val="000000"/>
                <w:sz w:val="18"/>
                <w:szCs w:val="18"/>
              </w:rPr>
            </w:pPr>
            <w:r w:rsidRPr="00E3331A">
              <w:rPr>
                <w:rFonts w:ascii="Arial Narrow" w:eastAsia="Calibri" w:hAnsi="Arial Narrow" w:cs="Times New Roman"/>
                <w:sz w:val="18"/>
                <w:szCs w:val="18"/>
                <w:lang w:eastAsia="en-US"/>
              </w:rPr>
              <w:t>Patients with demyelinating polyneuropathy fulfilling criteria for CIDP</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eastAsia="Calibri" w:hAnsi="Arial Narrow" w:cs="Calibri"/>
                <w:color w:val="000000"/>
                <w:sz w:val="18"/>
                <w:szCs w:val="18"/>
                <w:lang w:eastAsia="en-US"/>
              </w:rPr>
              <w:t>Mycophenolate Mofetil: Mean dose 2.1 g/day, and the average duration of therapy was 13 months</w:t>
            </w:r>
            <w:r w:rsidR="006A08C4" w:rsidRPr="00E3331A">
              <w:rPr>
                <w:rFonts w:ascii="Arial Narrow" w:eastAsia="Calibri" w:hAnsi="Arial Narrow" w:cs="Calibri"/>
                <w:color w:val="000000"/>
                <w:sz w:val="18"/>
                <w:szCs w:val="18"/>
                <w:lang w:eastAsia="en-US"/>
              </w:rPr>
              <w:t xml:space="preserve"> </w:t>
            </w:r>
            <w:r w:rsidRPr="00E3331A">
              <w:rPr>
                <w:rFonts w:ascii="Arial Narrow" w:eastAsia="Calibri" w:hAnsi="Arial Narrow" w:cs="Calibri"/>
                <w:color w:val="000000"/>
                <w:sz w:val="18"/>
                <w:szCs w:val="18"/>
                <w:lang w:eastAsia="en-US"/>
              </w:rPr>
              <w:t>(range, 9</w:t>
            </w:r>
            <w:r w:rsidR="006A08C4" w:rsidRPr="00E3331A">
              <w:rPr>
                <w:rFonts w:ascii="Arial Narrow" w:eastAsia="Calibri" w:hAnsi="Arial Narrow" w:cs="Calibri"/>
                <w:color w:val="000000"/>
                <w:sz w:val="18"/>
                <w:szCs w:val="18"/>
                <w:lang w:eastAsia="en-US"/>
              </w:rPr>
              <w:t>-</w:t>
            </w:r>
            <w:r w:rsidRPr="00E3331A">
              <w:rPr>
                <w:rFonts w:ascii="Arial Narrow" w:eastAsia="Calibri" w:hAnsi="Arial Narrow" w:cs="Calibri"/>
                <w:color w:val="000000"/>
                <w:sz w:val="18"/>
                <w:szCs w:val="18"/>
                <w:lang w:eastAsia="en-US"/>
              </w:rPr>
              <w:t>18 months</w:t>
            </w:r>
            <w:r w:rsidR="001B576E">
              <w:rPr>
                <w:rFonts w:ascii="Arial Narrow" w:eastAsia="Calibri" w:hAnsi="Arial Narrow" w:cs="Calibri"/>
                <w:color w:val="000000"/>
                <w:sz w:val="18"/>
                <w:szCs w:val="18"/>
                <w:lang w:eastAsia="en-US"/>
              </w:rPr>
              <w:t>)</w:t>
            </w: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r w:rsidRPr="00E3331A">
              <w:rPr>
                <w:rFonts w:ascii="Arial Narrow" w:hAnsi="Arial Narrow" w:cs="Calibri"/>
                <w:color w:val="000000"/>
                <w:sz w:val="18"/>
                <w:szCs w:val="18"/>
              </w:rPr>
              <w:br/>
              <w:t>Nature of AEs reported.</w:t>
            </w: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5/21 (24%)</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tc>
      </w:tr>
    </w:tbl>
    <w:p w:rsidR="0066686B" w:rsidRPr="00E3331A" w:rsidRDefault="0066686B" w:rsidP="0066686B">
      <w:pPr>
        <w:rPr>
          <w:rFonts w:ascii="Arial Narrow" w:hAnsi="Arial Narrow" w:cs="Calibri"/>
          <w:color w:val="000000"/>
          <w:sz w:val="18"/>
          <w:szCs w:val="18"/>
        </w:rPr>
      </w:pPr>
      <w:r w:rsidRPr="00E3331A">
        <w:rPr>
          <w:rFonts w:ascii="Arial Narrow" w:hAnsi="Arial Narrow" w:cs="Calibri"/>
          <w:color w:val="000000"/>
          <w:sz w:val="18"/>
          <w:szCs w:val="18"/>
        </w:rPr>
        <w:t>EFNS/PNS: European Federation of Neurological Societies/Peripheral Nerve Society</w:t>
      </w:r>
      <w:r w:rsidR="006A08C4" w:rsidRPr="00E3331A">
        <w:rPr>
          <w:rFonts w:ascii="Arial Narrow" w:hAnsi="Arial Narrow" w:cs="Calibri"/>
          <w:color w:val="000000"/>
          <w:sz w:val="18"/>
          <w:szCs w:val="18"/>
        </w:rPr>
        <w:t xml:space="preserve">; </w:t>
      </w:r>
      <w:r w:rsidR="006A08C4" w:rsidRPr="00E3331A">
        <w:rPr>
          <w:rFonts w:ascii="Arial Narrow" w:hAnsi="Arial Narrow"/>
          <w:sz w:val="18"/>
          <w:szCs w:val="18"/>
        </w:rPr>
        <w:t>NR = not reported</w:t>
      </w:r>
    </w:p>
    <w:p w:rsidR="0066686B" w:rsidRPr="00E3331A" w:rsidRDefault="0066686B" w:rsidP="0066686B">
      <w:pPr>
        <w:pStyle w:val="Heading3"/>
        <w:jc w:val="both"/>
      </w:pPr>
      <w:bookmarkStart w:id="294" w:name="_Toc24103481"/>
      <w:r w:rsidRPr="00E3331A">
        <w:t>Adverse events in patients receiving rituximab</w:t>
      </w:r>
      <w:bookmarkEnd w:id="294"/>
    </w:p>
    <w:p w:rsidR="0066686B" w:rsidRPr="00E3331A" w:rsidRDefault="0066686B" w:rsidP="0066686B">
      <w:r w:rsidRPr="00E3331A">
        <w:t xml:space="preserve">Two studies </w:t>
      </w:r>
      <w:r w:rsidR="007175BF" w:rsidRPr="00E3331A">
        <w:t xml:space="preserve">with </w:t>
      </w:r>
      <w:r w:rsidRPr="00E3331A">
        <w:t xml:space="preserve">a total of 41 patients reported on rituximab </w:t>
      </w:r>
      <w:r w:rsidR="00B85C75">
        <w:rPr>
          <w:noProof/>
        </w:rPr>
        <w:t>(Benedetti et al. 2011; Roux et al. 2018)</w:t>
      </w:r>
      <w:r w:rsidRPr="00E3331A">
        <w:t xml:space="preserve">. Benetti </w:t>
      </w:r>
      <w:r w:rsidR="00983BA7">
        <w:t xml:space="preserve">et al. </w:t>
      </w:r>
      <w:r w:rsidRPr="00E3331A">
        <w:t xml:space="preserve">(2011) reported </w:t>
      </w:r>
      <w:r w:rsidR="007175BF" w:rsidRPr="00E3331A">
        <w:t>flu-like symptoms (</w:t>
      </w:r>
      <w:r w:rsidR="00A07838">
        <w:t xml:space="preserve">n = </w:t>
      </w:r>
      <w:r w:rsidR="007175BF" w:rsidRPr="00E3331A">
        <w:t>1) and a skin rash (</w:t>
      </w:r>
      <w:r w:rsidR="00A07838">
        <w:t xml:space="preserve">n = </w:t>
      </w:r>
      <w:r w:rsidR="007175BF" w:rsidRPr="00E3331A">
        <w:t>2) with</w:t>
      </w:r>
      <w:r w:rsidRPr="00E3331A">
        <w:t xml:space="preserve">in 13 patients (15%). Roux </w:t>
      </w:r>
      <w:r w:rsidR="00983BA7">
        <w:t xml:space="preserve">et al. </w:t>
      </w:r>
      <w:r w:rsidRPr="00E3331A">
        <w:t>(2018) reported three adverse events in 28 patients (11%) including skin rash (</w:t>
      </w:r>
      <w:r w:rsidR="00A07838">
        <w:t xml:space="preserve">n = </w:t>
      </w:r>
      <w:r w:rsidRPr="00E3331A">
        <w:t>1)</w:t>
      </w:r>
      <w:r w:rsidR="007175BF" w:rsidRPr="00E3331A">
        <w:t>,</w:t>
      </w:r>
      <w:r w:rsidRPr="00E3331A">
        <w:t xml:space="preserve"> vomiting (</w:t>
      </w:r>
      <w:r w:rsidR="00A07838">
        <w:t xml:space="preserve">n = </w:t>
      </w:r>
      <w:r w:rsidRPr="00E3331A">
        <w:t>1) and lymphoma (</w:t>
      </w:r>
      <w:r w:rsidR="00A07838">
        <w:t xml:space="preserve">n = </w:t>
      </w:r>
      <w:r w:rsidRPr="00E3331A">
        <w:t xml:space="preserve">1). The lymphoma patient developed a primary CNS lymphoma </w:t>
      </w:r>
      <w:r w:rsidR="007175BF" w:rsidRPr="00E3331A">
        <w:t xml:space="preserve">seven </w:t>
      </w:r>
      <w:r w:rsidRPr="00E3331A">
        <w:t xml:space="preserve">months after rituximab infusion and died </w:t>
      </w:r>
      <w:r w:rsidR="007175BF" w:rsidRPr="00E3331A">
        <w:t xml:space="preserve">four </w:t>
      </w:r>
      <w:r w:rsidRPr="00E3331A">
        <w:t>months later (</w:t>
      </w:r>
      <w:r w:rsidR="006F35B9" w:rsidRPr="00E3331A">
        <w:t xml:space="preserve">Table </w:t>
      </w:r>
      <w:r w:rsidR="006F35B9">
        <w:rPr>
          <w:noProof/>
        </w:rPr>
        <w:t>38</w:t>
      </w:r>
      <w:r w:rsidRPr="00E3331A">
        <w:t>).</w:t>
      </w:r>
    </w:p>
    <w:p w:rsidR="0066686B" w:rsidRPr="00E3331A" w:rsidRDefault="0066686B" w:rsidP="0066686B">
      <w:pPr>
        <w:pStyle w:val="Caption"/>
      </w:pPr>
      <w:bookmarkStart w:id="295" w:name="_Ref10106573"/>
      <w:bookmarkStart w:id="296" w:name="_Toc9796908"/>
      <w:bookmarkStart w:id="297" w:name="_Toc24103344"/>
      <w:r w:rsidRPr="00E3331A">
        <w:t xml:space="preserve">Table </w:t>
      </w:r>
      <w:r w:rsidR="006F35B9">
        <w:rPr>
          <w:noProof/>
        </w:rPr>
        <w:t>38</w:t>
      </w:r>
      <w:bookmarkEnd w:id="295"/>
      <w:r w:rsidRPr="00E3331A">
        <w:t xml:space="preserve"> </w:t>
      </w:r>
      <w:r w:rsidR="00EF78D6" w:rsidRPr="00E3331A">
        <w:tab/>
      </w:r>
      <w:r w:rsidRPr="00E3331A">
        <w:t>Studies reporting outcomes with rituximab</w:t>
      </w:r>
      <w:bookmarkEnd w:id="296"/>
      <w:bookmarkEnd w:id="297"/>
    </w:p>
    <w:tbl>
      <w:tblPr>
        <w:tblW w:w="5000" w:type="pct"/>
        <w:tblLayout w:type="fixed"/>
        <w:tblLook w:val="04A0" w:firstRow="1" w:lastRow="0" w:firstColumn="1" w:lastColumn="0" w:noHBand="0" w:noVBand="1"/>
      </w:tblPr>
      <w:tblGrid>
        <w:gridCol w:w="1627"/>
        <w:gridCol w:w="1451"/>
        <w:gridCol w:w="1958"/>
        <w:gridCol w:w="2002"/>
        <w:gridCol w:w="1978"/>
      </w:tblGrid>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Study ID</w:t>
            </w:r>
          </w:p>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Level of evidence</w:t>
            </w:r>
          </w:p>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Retrospective (R) / Prospective (P)</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N</w:t>
            </w: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Inclusion criteria (simplified)</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Rituximab details</w:t>
            </w: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Observation period</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Comments regarding safety analyses</w:t>
            </w: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Any adverse event (AE), n/N (%)</w:t>
            </w:r>
          </w:p>
          <w:p w:rsidR="0066686B" w:rsidRPr="00E3331A" w:rsidRDefault="0066686B" w:rsidP="00CD0563">
            <w:pPr>
              <w:spacing w:after="0" w:line="240" w:lineRule="auto"/>
              <w:rPr>
                <w:rFonts w:ascii="Arial Narrow" w:hAnsi="Arial Narrow" w:cs="Calibri"/>
                <w:b/>
                <w:bCs/>
                <w:sz w:val="18"/>
                <w:szCs w:val="18"/>
              </w:rPr>
            </w:pPr>
            <w:r w:rsidRPr="00E3331A">
              <w:rPr>
                <w:rFonts w:ascii="Arial Narrow" w:hAnsi="Arial Narrow" w:cs="Calibri"/>
                <w:b/>
                <w:bCs/>
                <w:sz w:val="18"/>
                <w:szCs w:val="18"/>
              </w:rPr>
              <w:t>Any serious adverse event (SAE), n/N (%)</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b/>
                <w:bCs/>
                <w:sz w:val="18"/>
                <w:szCs w:val="18"/>
              </w:rPr>
              <w:t>Details of SAE</w:t>
            </w:r>
          </w:p>
        </w:tc>
      </w:tr>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Benedetti 2011 </w:t>
            </w:r>
            <w:r w:rsidR="00B85C75">
              <w:rPr>
                <w:rFonts w:ascii="Arial Narrow" w:hAnsi="Arial Narrow" w:cs="Calibri"/>
                <w:noProof/>
                <w:color w:val="000000"/>
                <w:sz w:val="18"/>
                <w:szCs w:val="18"/>
              </w:rPr>
              <w:t>(Benedetti et al. 2011)</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13</w:t>
            </w: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Patients with CIDP (EFNS/PNS criteria), four patients had comorbid haematological disease</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375 mg</w:t>
            </w:r>
            <w:r w:rsidR="0080375D" w:rsidRPr="00E3331A">
              <w:rPr>
                <w:rFonts w:ascii="Arial Narrow" w:hAnsi="Arial Narrow" w:cs="Calibri"/>
                <w:color w:val="000000"/>
                <w:sz w:val="18"/>
                <w:szCs w:val="18"/>
              </w:rPr>
              <w:t>/</w:t>
            </w:r>
            <w:r w:rsidRPr="00E3331A">
              <w:rPr>
                <w:rFonts w:ascii="Arial Narrow" w:hAnsi="Arial Narrow" w:cs="Calibri"/>
                <w:color w:val="000000"/>
                <w:sz w:val="18"/>
                <w:szCs w:val="18"/>
              </w:rPr>
              <w:t>m</w:t>
            </w:r>
            <w:r w:rsidRPr="000A1BD4">
              <w:rPr>
                <w:rFonts w:ascii="Arial Narrow" w:hAnsi="Arial Narrow" w:cs="Calibri"/>
                <w:color w:val="000000"/>
                <w:sz w:val="18"/>
                <w:szCs w:val="18"/>
                <w:vertAlign w:val="superscript"/>
              </w:rPr>
              <w:t>2</w:t>
            </w:r>
            <w:r w:rsidRPr="00E3331A">
              <w:rPr>
                <w:rFonts w:ascii="Arial Narrow" w:hAnsi="Arial Narrow" w:cs="Calibri"/>
                <w:color w:val="000000"/>
                <w:sz w:val="18"/>
                <w:szCs w:val="18"/>
              </w:rPr>
              <w:t xml:space="preserve"> IV weekly for 4 consecutive weeks. One </w:t>
            </w:r>
            <w:r w:rsidR="00E810A5" w:rsidRPr="00E3331A">
              <w:rPr>
                <w:rFonts w:ascii="Arial Narrow" w:hAnsi="Arial Narrow" w:cs="Calibri"/>
                <w:color w:val="000000"/>
                <w:sz w:val="18"/>
                <w:szCs w:val="18"/>
              </w:rPr>
              <w:t>patient</w:t>
            </w:r>
            <w:r w:rsidRPr="00E3331A">
              <w:rPr>
                <w:rFonts w:ascii="Arial Narrow" w:hAnsi="Arial Narrow" w:cs="Calibri"/>
                <w:color w:val="000000"/>
                <w:sz w:val="18"/>
                <w:szCs w:val="18"/>
              </w:rPr>
              <w:t xml:space="preserve"> with severe Waldenstrom macroglobulinemia received 1000 mg IV every 6 months for four years</w:t>
            </w: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1-5 years</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reported.</w:t>
            </w:r>
          </w:p>
          <w:p w:rsidR="0066686B" w:rsidRPr="00E3331A" w:rsidRDefault="0066686B" w:rsidP="00CD0563">
            <w:pPr>
              <w:spacing w:after="0" w:line="240" w:lineRule="auto"/>
              <w:rPr>
                <w:rFonts w:ascii="Arial Narrow" w:hAnsi="Arial Narrow" w:cs="Calibri"/>
                <w:color w:val="000000"/>
                <w:sz w:val="18"/>
                <w:szCs w:val="18"/>
              </w:rPr>
            </w:pP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2/13 (15%)</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0/13 (0%)</w:t>
            </w:r>
          </w:p>
        </w:tc>
      </w:tr>
      <w:tr w:rsidR="0066686B" w:rsidRPr="00E3331A" w:rsidTr="00CD0563">
        <w:trPr>
          <w:trHeight w:val="300"/>
        </w:trPr>
        <w:tc>
          <w:tcPr>
            <w:tcW w:w="902" w:type="pct"/>
            <w:tcBorders>
              <w:top w:val="single" w:sz="4" w:space="0" w:color="auto"/>
              <w:left w:val="single" w:sz="4" w:space="0" w:color="auto"/>
              <w:bottom w:val="single" w:sz="4" w:space="0" w:color="auto"/>
              <w:right w:val="single" w:sz="4" w:space="0" w:color="auto"/>
            </w:tcBorders>
            <w:shd w:val="clear" w:color="000000" w:fill="FFFFFF"/>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Roux 2018 </w:t>
            </w:r>
            <w:r w:rsidR="00B85C75">
              <w:rPr>
                <w:rFonts w:ascii="Arial Narrow" w:hAnsi="Arial Narrow" w:cs="Calibri"/>
                <w:noProof/>
                <w:color w:val="000000"/>
                <w:sz w:val="18"/>
                <w:szCs w:val="18"/>
              </w:rPr>
              <w:t>(Roux et al. 2018)</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28</w:t>
            </w:r>
          </w:p>
        </w:tc>
        <w:tc>
          <w:tcPr>
            <w:tcW w:w="804"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patients (EFNS/PNS criteria)</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Varied. The most frequent was a first injection (1 g) followed by a second one (1 g) 2 weeks later (for</w:t>
            </w:r>
            <w:r w:rsidR="004A0601" w:rsidRPr="00E3331A">
              <w:rPr>
                <w:rFonts w:ascii="Arial Narrow" w:hAnsi="Arial Narrow" w:cs="Calibri"/>
                <w:color w:val="000000"/>
                <w:sz w:val="18"/>
                <w:szCs w:val="18"/>
              </w:rPr>
              <w:t xml:space="preserve"> </w:t>
            </w:r>
            <w:r w:rsidRPr="00E3331A">
              <w:rPr>
                <w:rFonts w:ascii="Arial Narrow" w:hAnsi="Arial Narrow" w:cs="Calibri"/>
                <w:color w:val="000000"/>
                <w:sz w:val="18"/>
                <w:szCs w:val="18"/>
              </w:rPr>
              <w:t>13 patients). Two patients received weekly infusions of 375 mg/m</w:t>
            </w:r>
            <w:r w:rsidRPr="000A1BD4">
              <w:rPr>
                <w:rFonts w:ascii="Arial Narrow" w:hAnsi="Arial Narrow" w:cs="Calibri"/>
                <w:color w:val="000000"/>
                <w:sz w:val="18"/>
                <w:szCs w:val="18"/>
                <w:vertAlign w:val="superscript"/>
              </w:rPr>
              <w:t>2</w:t>
            </w:r>
            <w:r w:rsidR="004A0601" w:rsidRPr="00E3331A">
              <w:rPr>
                <w:rFonts w:ascii="Arial Narrow" w:hAnsi="Arial Narrow" w:cs="Calibri"/>
                <w:color w:val="000000"/>
                <w:sz w:val="18"/>
                <w:szCs w:val="18"/>
              </w:rPr>
              <w:t xml:space="preserve"> </w:t>
            </w:r>
            <w:r w:rsidRPr="00E3331A">
              <w:rPr>
                <w:rFonts w:ascii="Arial Narrow" w:hAnsi="Arial Narrow" w:cs="Calibri"/>
                <w:color w:val="000000"/>
                <w:sz w:val="18"/>
                <w:szCs w:val="18"/>
              </w:rPr>
              <w:t>for 4 weeks; and nine patients received 375 mg/m2/month for 4 or</w:t>
            </w:r>
            <w:r w:rsidR="004A0601" w:rsidRPr="00E3331A">
              <w:rPr>
                <w:rFonts w:ascii="Arial Narrow" w:hAnsi="Arial Narrow" w:cs="Calibri"/>
                <w:color w:val="000000"/>
                <w:sz w:val="18"/>
                <w:szCs w:val="18"/>
              </w:rPr>
              <w:t xml:space="preserve"> </w:t>
            </w:r>
            <w:r w:rsidRPr="00E3331A">
              <w:rPr>
                <w:rFonts w:ascii="Arial Narrow" w:hAnsi="Arial Narrow" w:cs="Calibri"/>
                <w:color w:val="000000"/>
                <w:sz w:val="18"/>
                <w:szCs w:val="18"/>
              </w:rPr>
              <w:t>6 months, five of whom received rituximab with another chemotherapy</w:t>
            </w:r>
            <w:r w:rsidR="004A0601" w:rsidRPr="00E3331A">
              <w:rPr>
                <w:rFonts w:ascii="Arial Narrow" w:hAnsi="Arial Narrow" w:cs="Calibri"/>
                <w:color w:val="000000"/>
                <w:sz w:val="18"/>
                <w:szCs w:val="18"/>
              </w:rPr>
              <w:t xml:space="preserve"> </w:t>
            </w:r>
            <w:r w:rsidRPr="00E3331A">
              <w:rPr>
                <w:rFonts w:ascii="Arial Narrow" w:hAnsi="Arial Narrow" w:cs="Calibri"/>
                <w:color w:val="000000"/>
                <w:sz w:val="18"/>
                <w:szCs w:val="18"/>
              </w:rPr>
              <w:t>because of a haematological indication. One patient (with lupus)</w:t>
            </w:r>
            <w:r w:rsidR="004A0601" w:rsidRPr="00E3331A">
              <w:rPr>
                <w:rFonts w:ascii="Arial Narrow" w:hAnsi="Arial Narrow" w:cs="Calibri"/>
                <w:color w:val="000000"/>
                <w:sz w:val="18"/>
                <w:szCs w:val="18"/>
              </w:rPr>
              <w:t xml:space="preserve"> </w:t>
            </w:r>
            <w:r w:rsidRPr="00E3331A">
              <w:rPr>
                <w:rFonts w:ascii="Arial Narrow" w:hAnsi="Arial Narrow" w:cs="Calibri"/>
                <w:color w:val="000000"/>
                <w:sz w:val="18"/>
                <w:szCs w:val="18"/>
              </w:rPr>
              <w:t>received one infusion of 375 mg/m</w:t>
            </w:r>
            <w:r w:rsidRPr="000A1BD4">
              <w:rPr>
                <w:rFonts w:ascii="Arial Narrow" w:hAnsi="Arial Narrow" w:cs="Calibri"/>
                <w:color w:val="000000"/>
                <w:sz w:val="18"/>
                <w:szCs w:val="18"/>
                <w:vertAlign w:val="superscript"/>
              </w:rPr>
              <w:t>2</w:t>
            </w:r>
            <w:r w:rsidRPr="00E3331A">
              <w:rPr>
                <w:rFonts w:ascii="Arial Narrow" w:hAnsi="Arial Narrow" w:cs="Calibri"/>
                <w:color w:val="000000"/>
                <w:sz w:val="18"/>
                <w:szCs w:val="18"/>
              </w:rPr>
              <w:t xml:space="preserve"> every 3 months for 3 years.</w:t>
            </w:r>
          </w:p>
        </w:tc>
        <w:tc>
          <w:tcPr>
            <w:tcW w:w="1110"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Median 2 years</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reported.</w:t>
            </w:r>
          </w:p>
        </w:tc>
        <w:tc>
          <w:tcPr>
            <w:tcW w:w="1097" w:type="pct"/>
            <w:tcBorders>
              <w:top w:val="single" w:sz="4" w:space="0" w:color="auto"/>
              <w:left w:val="single" w:sz="4" w:space="0" w:color="auto"/>
              <w:bottom w:val="single" w:sz="4" w:space="0" w:color="auto"/>
              <w:right w:val="single" w:sz="4" w:space="0" w:color="auto"/>
            </w:tcBorders>
          </w:tcPr>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3/28 (11%)</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1/28 (4%)</w:t>
            </w:r>
          </w:p>
          <w:p w:rsidR="0066686B" w:rsidRPr="00E3331A" w:rsidRDefault="0066686B" w:rsidP="00CD0563">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SAE: CNS lymphoma (1) 7 months after rituximab infusion.</w:t>
            </w:r>
          </w:p>
        </w:tc>
      </w:tr>
    </w:tbl>
    <w:p w:rsidR="0066686B" w:rsidRPr="00E3331A" w:rsidRDefault="0066686B" w:rsidP="0066686B">
      <w:r w:rsidRPr="00E3331A">
        <w:rPr>
          <w:rFonts w:ascii="Arial Narrow" w:hAnsi="Arial Narrow" w:cs="Calibri"/>
          <w:color w:val="000000"/>
          <w:sz w:val="18"/>
          <w:szCs w:val="18"/>
        </w:rPr>
        <w:t>EFNS/PNS: European Federation of Neurological Societies/Peripheral Nerve Society</w:t>
      </w:r>
    </w:p>
    <w:p w:rsidR="0025076A" w:rsidRPr="00E3331A" w:rsidRDefault="0025076A" w:rsidP="0025076A">
      <w:pPr>
        <w:pStyle w:val="Heading3"/>
        <w:jc w:val="both"/>
      </w:pPr>
      <w:bookmarkStart w:id="298" w:name="_Toc24103482"/>
      <w:r>
        <w:lastRenderedPageBreak/>
        <w:t>Summary of extended</w:t>
      </w:r>
      <w:r w:rsidRPr="00E3331A">
        <w:t xml:space="preserve"> safety</w:t>
      </w:r>
      <w:r>
        <w:t xml:space="preserve"> data</w:t>
      </w:r>
      <w:bookmarkEnd w:id="298"/>
    </w:p>
    <w:p w:rsidR="0025076A" w:rsidRPr="00E3331A" w:rsidRDefault="0025076A" w:rsidP="0025076A">
      <w:r w:rsidRPr="00E3331A">
        <w:t>Generally speaking, IVIg is reported to be associated with an adverse event rate of 5-15% of all IVIg infusions and 20-50% of patients. Many adverse events are understood to be mild and reversible, with the majority of patients continuing to receive subsequent infusions. Risks of adverse events increase with high</w:t>
      </w:r>
      <w:r w:rsidR="000C0E99">
        <w:t>-dose</w:t>
      </w:r>
      <w:r w:rsidRPr="00E3331A">
        <w:t>, high rate of infusion, first infusion and product switching. Patient factors such as underlying organ deficiency will also influence the likelihood of experiencing a particular adverse event. In patients with CIDP, the most frequently reported adverse event was headache (reported in 155 patients)</w:t>
      </w:r>
      <w:r w:rsidRPr="00E3331A">
        <w:rPr>
          <w:rStyle w:val="FootnoteReference"/>
        </w:rPr>
        <w:footnoteReference w:id="20"/>
      </w:r>
      <w:r w:rsidRPr="00E3331A">
        <w:t>, followed by general disorders and administration site conditions (</w:t>
      </w:r>
      <w:r w:rsidR="00A07838">
        <w:t xml:space="preserve">n = </w:t>
      </w:r>
      <w:r w:rsidRPr="00E3331A">
        <w:t>80) that included fever, chills and flu-like reaction etc. Gastrointestinal disorders (</w:t>
      </w:r>
      <w:r w:rsidR="00A07838">
        <w:t xml:space="preserve">n = </w:t>
      </w:r>
      <w:r w:rsidRPr="00E3331A">
        <w:t>55), skin disorders (</w:t>
      </w:r>
      <w:r w:rsidR="00A07838">
        <w:t xml:space="preserve">n = </w:t>
      </w:r>
      <w:r w:rsidRPr="00E3331A">
        <w:t>31, predominantly rash) and infections (</w:t>
      </w:r>
      <w:r w:rsidR="00A07838">
        <w:t xml:space="preserve">n = </w:t>
      </w:r>
      <w:r w:rsidRPr="00E3331A">
        <w:t>46) were also common. Less frequent but serious events were vascular disorders and blood and lymphatic system disorders namely deep vein thrombosis (</w:t>
      </w:r>
      <w:r w:rsidR="00A07838">
        <w:t xml:space="preserve">n = </w:t>
      </w:r>
      <w:r w:rsidRPr="00E3331A">
        <w:t>3), cerebrovascular event (</w:t>
      </w:r>
      <w:r w:rsidR="00A07838">
        <w:t xml:space="preserve">n = </w:t>
      </w:r>
      <w:r w:rsidRPr="00E3331A">
        <w:t>2), and haemolysis (</w:t>
      </w:r>
      <w:r w:rsidR="00A07838">
        <w:t xml:space="preserve">n = </w:t>
      </w:r>
      <w:r w:rsidRPr="00E3331A">
        <w:t>11). Deaths included one case of cardiac arrest and a second of heart failure, the details of which are reported in the section on comparative safety.</w:t>
      </w:r>
    </w:p>
    <w:p w:rsidR="0025076A" w:rsidRPr="00E3331A" w:rsidRDefault="0025076A" w:rsidP="0025076A">
      <w:r w:rsidRPr="00E3331A">
        <w:t>In comparison, steroids were associated with psychiatric disorders, metabolic complications, infections and gastrointestinal disorders. There was no association with vascular disorders and blood and lymphatic system disorders or nervous system disorders. The most common adverse events reported were insomnia (</w:t>
      </w:r>
      <w:r w:rsidR="00A07838">
        <w:t xml:space="preserve">n = </w:t>
      </w:r>
      <w:r w:rsidRPr="00E3331A">
        <w:t>35), mood changes (</w:t>
      </w:r>
      <w:r w:rsidR="00A07838">
        <w:t xml:space="preserve">n = </w:t>
      </w:r>
      <w:r w:rsidRPr="00E3331A">
        <w:t>23), Cushing appearance (</w:t>
      </w:r>
      <w:r w:rsidR="00A07838">
        <w:t xml:space="preserve">n = </w:t>
      </w:r>
      <w:r w:rsidRPr="00E3331A">
        <w:t>20), indigestions (</w:t>
      </w:r>
      <w:r w:rsidR="00A07838">
        <w:t xml:space="preserve">n = </w:t>
      </w:r>
      <w:r w:rsidRPr="00E3331A">
        <w:t>23), hypertension (</w:t>
      </w:r>
      <w:r w:rsidR="00A07838">
        <w:t xml:space="preserve">n = </w:t>
      </w:r>
      <w:r w:rsidRPr="00E3331A">
        <w:t>14) and infections (</w:t>
      </w:r>
      <w:r w:rsidR="00A07838">
        <w:t xml:space="preserve">n = </w:t>
      </w:r>
      <w:r w:rsidRPr="00E3331A">
        <w:t xml:space="preserve">15). Of these, serious events (as determined by study authors) included gastritis (n = 11), psychosis (n = 1), </w:t>
      </w:r>
      <w:r w:rsidR="00A07838">
        <w:t>Cushing</w:t>
      </w:r>
      <w:r w:rsidRPr="00E3331A">
        <w:t xml:space="preserve">oid appearance (n = 3), gastrointestinal bleeding (n = 2) and infectious complications (n = 3). There was one death in a patient with urinary sepsis. </w:t>
      </w:r>
    </w:p>
    <w:p w:rsidR="0025076A" w:rsidRPr="00E3331A" w:rsidRDefault="0025076A" w:rsidP="0025076A">
      <w:r w:rsidRPr="00E3331A">
        <w:t xml:space="preserve">The broader literature indicates that long term corticosteroid use is associated with hypertension; bone fracture; cataract; nausea, vomiting, and other gastrointestinal conditions; metabolic issues such as weight gain, </w:t>
      </w:r>
      <w:r w:rsidR="00E810A5" w:rsidRPr="00E3331A">
        <w:t>hyperglycaemia</w:t>
      </w:r>
      <w:r w:rsidRPr="00E3331A">
        <w:t>, and type 2 diabetes; and cardiovascular adverse events. Safety measured at or after 12 months of treatment in the reviewed evidence on steroids is discussed here.</w:t>
      </w:r>
    </w:p>
    <w:p w:rsidR="0025076A" w:rsidRPr="00E3331A" w:rsidRDefault="0025076A" w:rsidP="0025076A">
      <w:r w:rsidRPr="00E3331A">
        <w:t xml:space="preserve">Within the population of CIDP patients, the steroids study with the longest follow-up is a level IV study in which 15 patients received IV methylprednisolone at 1000 mg/day for 10 days followed by the same dose once every four weeks for five years </w:t>
      </w:r>
      <w:r w:rsidR="00B85C75">
        <w:rPr>
          <w:noProof/>
        </w:rPr>
        <w:t>(Boru et al. 2014)</w:t>
      </w:r>
      <w:r w:rsidRPr="00E3331A">
        <w:t>. This cohort was followed for 10 years. Long-term adverse events were weight gain (</w:t>
      </w:r>
      <w:r w:rsidR="006D1062">
        <w:t xml:space="preserve">n = </w:t>
      </w:r>
      <w:r w:rsidRPr="00E3331A">
        <w:t>6), glucose intolerance (</w:t>
      </w:r>
      <w:r w:rsidR="006D1062">
        <w:t xml:space="preserve">n = </w:t>
      </w:r>
      <w:r w:rsidRPr="00E3331A">
        <w:t>3) and osteopenia (</w:t>
      </w:r>
      <w:r w:rsidR="006D1062">
        <w:t xml:space="preserve">n = </w:t>
      </w:r>
      <w:r w:rsidRPr="00E3331A">
        <w:t xml:space="preserve">1). One other patient was not included in long-term follow-up because of early discontinuation due to hypertension and nausea. Another study </w:t>
      </w:r>
      <w:r w:rsidR="00B85C75">
        <w:rPr>
          <w:noProof/>
        </w:rPr>
        <w:t>(Wertman et al. 1988)</w:t>
      </w:r>
      <w:r w:rsidRPr="00E3331A">
        <w:t>, reported several serious adverse events in 16 patients receiving high</w:t>
      </w:r>
      <w:r w:rsidR="000C0E99">
        <w:t>-dose</w:t>
      </w:r>
      <w:r w:rsidRPr="00E3331A">
        <w:t xml:space="preserve"> steroids for 5.2 years. One RCT </w:t>
      </w:r>
      <w:r w:rsidR="00B85C75">
        <w:rPr>
          <w:noProof/>
        </w:rPr>
        <w:t xml:space="preserve">(van </w:t>
      </w:r>
      <w:r w:rsidR="00B85C75">
        <w:rPr>
          <w:noProof/>
        </w:rPr>
        <w:lastRenderedPageBreak/>
        <w:t>Schaik et al. 2010)</w:t>
      </w:r>
      <w:r w:rsidRPr="00E3331A">
        <w:t xml:space="preserve"> in which patients received pulsed high-dose dexamethasone or standard oral prednisolone (both tapered to 0 over 32 weeks), reported comprehensively on safety up to 12 months, including ocular assessments, bone mineral density and blood pressure monitoring. These authors report that most adverse events were minor and transient with persistent events being weight gain (&gt;3kg </w:t>
      </w:r>
      <w:r w:rsidR="00A07838">
        <w:t xml:space="preserve">n = </w:t>
      </w:r>
      <w:r w:rsidRPr="00E3331A">
        <w:t>7/40,</w:t>
      </w:r>
      <w:r w:rsidR="00130F53">
        <w:t xml:space="preserve"> </w:t>
      </w:r>
      <w:r w:rsidRPr="00E3331A">
        <w:t>16%), moderate hypertension (3/40,</w:t>
      </w:r>
      <w:r w:rsidR="00130F53">
        <w:t xml:space="preserve"> </w:t>
      </w:r>
      <w:r w:rsidRPr="00E3331A">
        <w:t>7.5%), and diabetes mellitus (2/40, 5%).</w:t>
      </w:r>
      <w:r w:rsidRPr="00E3331A">
        <w:rPr>
          <w:rStyle w:val="FootnoteReference"/>
        </w:rPr>
        <w:footnoteReference w:id="21"/>
      </w:r>
      <w:r w:rsidRPr="00E3331A">
        <w:t xml:space="preserve"> One patient (with a history of glaucoma) stopped treatment due to an attack of glaucoma, Five patients developed new hypertension or worsening of existing hypertension (</w:t>
      </w:r>
      <w:r w:rsidR="006D1062">
        <w:t xml:space="preserve">n = </w:t>
      </w:r>
      <w:r w:rsidRPr="00E3331A">
        <w:t xml:space="preserve">20 at baseline had mild or moderate hypertension of which the majority remained stable or improved over the study period). With respect to bone density, no new cases of osteopenia or osteoporosis were identified. However, T score worsened in one patient on dexamethasone. </w:t>
      </w:r>
    </w:p>
    <w:p w:rsidR="0025076A" w:rsidRPr="00E3331A" w:rsidRDefault="0025076A" w:rsidP="0025076A">
      <w:r w:rsidRPr="00E3331A">
        <w:t xml:space="preserve">As discussed in B.6, RCTs that followed patients for 4.5 years did not identify new serious adverse events beyond those in the 52-week analysis. </w:t>
      </w:r>
    </w:p>
    <w:p w:rsidR="0025076A" w:rsidRPr="00E3331A" w:rsidRDefault="0025076A" w:rsidP="0025076A">
      <w:r w:rsidRPr="00E3331A">
        <w:t>Adverse events with plasma exchange were poorly reported but included difficulty accessing veins (</w:t>
      </w:r>
      <w:r w:rsidR="00A07838">
        <w:t xml:space="preserve">n = </w:t>
      </w:r>
      <w:r w:rsidRPr="00E3331A">
        <w:t>3) and deficiency of coagulation factors (</w:t>
      </w:r>
      <w:r w:rsidR="00A07838">
        <w:t xml:space="preserve">n = </w:t>
      </w:r>
      <w:r w:rsidRPr="00E3331A">
        <w:t>1), myocardial infarction (</w:t>
      </w:r>
      <w:r w:rsidR="00A07838">
        <w:t xml:space="preserve">n = </w:t>
      </w:r>
      <w:r w:rsidRPr="00E3331A">
        <w:t>1), cerebrovascular event (</w:t>
      </w:r>
      <w:r w:rsidR="00A07838">
        <w:t xml:space="preserve">n = </w:t>
      </w:r>
      <w:r w:rsidRPr="00E3331A">
        <w:t xml:space="preserve">1), and </w:t>
      </w:r>
      <w:r w:rsidR="00E810A5" w:rsidRPr="00E3331A">
        <w:t>septicaemia</w:t>
      </w:r>
      <w:r w:rsidRPr="00E3331A">
        <w:t xml:space="preserve"> associated with a tunnelled venous catheter (</w:t>
      </w:r>
      <w:r w:rsidR="00A07838">
        <w:t xml:space="preserve">n = </w:t>
      </w:r>
      <w:r w:rsidRPr="00E3331A">
        <w:t>1). However, the total number of patients in studies reporting safety with plasma exchange was small (</w:t>
      </w:r>
      <w:r w:rsidR="00BE1416">
        <w:t xml:space="preserve">n = </w:t>
      </w:r>
      <w:r w:rsidRPr="00E3331A">
        <w:t>104) relative to studies of steroids and IVIg. Studies reporting on the experience of CIDP patients receiving azathioprine, cyclosporin, cyclophosphamide, methotrexate, mycophenolate mofetil, rituximab and immunoadsorption were also reviewed. However, the quantity and quality of evidence was poor, with total patient numbers typically less than 100. All of these interventions were associated with adverse events with notable or severe complications including the development of lymphoma in a patient receiving rituximab</w:t>
      </w:r>
      <w:r w:rsidRPr="00E3331A">
        <w:rPr>
          <w:rStyle w:val="FootnoteReference"/>
        </w:rPr>
        <w:footnoteReference w:id="22"/>
      </w:r>
      <w:r w:rsidRPr="00E3331A">
        <w:t xml:space="preserve">, thrombotic events with immunoadsorption, and significant nephrotoxicity in patients receiving cyclosporin. Azathioprine, methotrexate and mycophenolate mofetil were associated with adverse events such as nausea. </w:t>
      </w:r>
    </w:p>
    <w:p w:rsidR="0025076A" w:rsidRPr="00E3331A" w:rsidRDefault="0025076A" w:rsidP="0025076A">
      <w:r w:rsidRPr="00E3331A">
        <w:t xml:space="preserve">The overall rate of any adverse event with steroids was 12%-94%, and for IVIG was 0-95%. The rate of any adverse event with plasma exchange was 19%-41% of patients, with one study reporting that complications rated as severe occurred in 0.7% of procedures, the most frequent being infection of the venous access site (0.5% of procedures) and sepsis at 0.2% of procedures (34). Other interventions were limited to studies with small cohorts and do not lend themselves to a comparison of the rate of adverse events. Taken together, the extended assessment of harms indicates that IVIg </w:t>
      </w:r>
      <w:r w:rsidRPr="00E3331A">
        <w:lastRenderedPageBreak/>
        <w:t xml:space="preserve">can be considered a relatively safe intervention, with serious adverse events being infrequent and common adverse events being typically transient and mild. Steroids, the main comparator, result in a similar number of patients experiencing adverse events, however, the number of adverse events and the impact of them on a patient’s quality of life is dependent on dose and duration of therapy. Clinical feedback indicates that longer-term harms of steroids in this population may not be adequately represented in the evidence base. It would be anticipated that the long-term adverse event profile of extended high-dose steroids is unfavourable relative to IVIg. Whether patients can be effectively titrated to low-dose steroids would affect the anticipated adverse event profile. </w:t>
      </w:r>
    </w:p>
    <w:p w:rsidR="0025076A" w:rsidRPr="00E3331A" w:rsidRDefault="0025076A" w:rsidP="0025076A">
      <w:r w:rsidRPr="00E3331A">
        <w:t xml:space="preserve">Plasma exchange appeared relatively safe, however, infectious and vascular complications of catheters are a recognised concern with plasma exchange and the evidence available in patients with CIDP is too limited to provide robust conclusions about comparative safety. </w:t>
      </w:r>
    </w:p>
    <w:p w:rsidR="0066686B" w:rsidRPr="00E3331A" w:rsidRDefault="0066686B" w:rsidP="0066686B">
      <w:pPr>
        <w:pStyle w:val="Heading3"/>
        <w:jc w:val="both"/>
      </w:pPr>
      <w:bookmarkStart w:id="299" w:name="_Toc24103483"/>
      <w:r w:rsidRPr="00E3331A">
        <w:t>Tables summarising the char</w:t>
      </w:r>
      <w:r w:rsidR="00DF4A36">
        <w:t xml:space="preserve">acteristics of included studies and </w:t>
      </w:r>
      <w:r w:rsidRPr="00E3331A">
        <w:t>adverse events</w:t>
      </w:r>
      <w:bookmarkEnd w:id="299"/>
      <w:r w:rsidRPr="00E3331A">
        <w:t xml:space="preserve"> </w:t>
      </w:r>
    </w:p>
    <w:p w:rsidR="0066686B" w:rsidRPr="00E3331A" w:rsidRDefault="006F35B9" w:rsidP="0066686B">
      <w:r w:rsidRPr="00E3331A">
        <w:t xml:space="preserve">Table </w:t>
      </w:r>
      <w:r>
        <w:rPr>
          <w:noProof/>
        </w:rPr>
        <w:t>39</w:t>
      </w:r>
      <w:r w:rsidR="0083119B" w:rsidRPr="00E3331A">
        <w:t xml:space="preserve"> </w:t>
      </w:r>
      <w:r w:rsidR="0066686B" w:rsidRPr="00E3331A">
        <w:t>summarises</w:t>
      </w:r>
      <w:r w:rsidR="00345C95" w:rsidRPr="00E3331A">
        <w:t xml:space="preserve"> </w:t>
      </w:r>
      <w:r w:rsidR="0066686B" w:rsidRPr="00E3331A">
        <w:t>adverse events reported in the included studies for IVIg</w:t>
      </w:r>
      <w:r w:rsidR="0083119B" w:rsidRPr="00E3331A">
        <w:t xml:space="preserve"> (</w:t>
      </w:r>
      <w:r w:rsidR="0066686B" w:rsidRPr="00E3331A">
        <w:t>including SCIg</w:t>
      </w:r>
      <w:r w:rsidR="0083119B" w:rsidRPr="00E3331A">
        <w:t>)</w:t>
      </w:r>
      <w:r w:rsidR="0066686B" w:rsidRPr="00E3331A">
        <w:t xml:space="preserve">, steroids and plasma exchange. </w:t>
      </w:r>
      <w:r w:rsidR="0083119B" w:rsidRPr="00E3331A">
        <w:t>E</w:t>
      </w:r>
      <w:r w:rsidR="0066686B" w:rsidRPr="00E3331A">
        <w:t>vents are presented as the number of patients experiencing the event (n), the number of studies reporting that event (including explicitly reported 0 rates, k), and the total number of patients in the reporting studies (N).</w:t>
      </w:r>
      <w:r w:rsidR="00345C95" w:rsidRPr="00E3331A">
        <w:t xml:space="preserve"> </w:t>
      </w:r>
      <w:r w:rsidR="0066686B" w:rsidRPr="00E3331A">
        <w:t>Events are ordered according to frequency</w:t>
      </w:r>
      <w:r w:rsidR="0083119B" w:rsidRPr="00E3331A">
        <w:t>,</w:t>
      </w:r>
      <w:r w:rsidR="0066686B" w:rsidRPr="00E3331A">
        <w:t xml:space="preserve"> except</w:t>
      </w:r>
      <w:r w:rsidR="0083119B" w:rsidRPr="00E3331A">
        <w:t xml:space="preserve"> for</w:t>
      </w:r>
      <w:r w:rsidR="0066686B" w:rsidRPr="00E3331A">
        <w:t xml:space="preserve"> of bolded </w:t>
      </w:r>
      <w:r w:rsidR="0083119B" w:rsidRPr="00E3331A">
        <w:t xml:space="preserve">and underlined </w:t>
      </w:r>
      <w:r w:rsidR="0066686B" w:rsidRPr="00E3331A">
        <w:t>adverse events</w:t>
      </w:r>
      <w:r w:rsidR="0083119B" w:rsidRPr="00E3331A">
        <w:t>,</w:t>
      </w:r>
      <w:r w:rsidR="0066686B" w:rsidRPr="00E3331A">
        <w:t xml:space="preserve"> which are those known to be associated with the intervention in broader (non-CIDP) literature</w:t>
      </w:r>
      <w:r w:rsidR="0083119B" w:rsidRPr="00E3331A">
        <w:t>.</w:t>
      </w:r>
      <w:r w:rsidR="0066686B" w:rsidRPr="00E3331A">
        <w:t xml:space="preserve"> </w:t>
      </w:r>
      <w:r w:rsidRPr="00E3331A">
        <w:t xml:space="preserve">Table </w:t>
      </w:r>
      <w:r>
        <w:rPr>
          <w:noProof/>
        </w:rPr>
        <w:t>40</w:t>
      </w:r>
      <w:r w:rsidR="00D42DAD" w:rsidRPr="00E3331A">
        <w:t xml:space="preserve"> </w:t>
      </w:r>
      <w:r w:rsidR="0066686B" w:rsidRPr="00E3331A">
        <w:t xml:space="preserve">provides the </w:t>
      </w:r>
      <w:r w:rsidR="0083119B" w:rsidRPr="00E3331A">
        <w:t xml:space="preserve">equivalent </w:t>
      </w:r>
      <w:r w:rsidR="0066686B" w:rsidRPr="00E3331A">
        <w:t>information for</w:t>
      </w:r>
      <w:r w:rsidR="00345C95" w:rsidRPr="00E3331A">
        <w:t xml:space="preserve"> </w:t>
      </w:r>
      <w:r w:rsidR="0066686B" w:rsidRPr="00E3331A">
        <w:t>immunosuppressant drugs and immunoadsorption</w:t>
      </w:r>
      <w:r w:rsidR="0083119B" w:rsidRPr="00E3331A">
        <w:t xml:space="preserve">, which </w:t>
      </w:r>
      <w:r w:rsidR="0066686B" w:rsidRPr="00E3331A">
        <w:t>are reported separately due to a paucity of available literature, and in the understanding that</w:t>
      </w:r>
      <w:r w:rsidR="00DD52EC" w:rsidRPr="00E3331A">
        <w:t>, in practice,</w:t>
      </w:r>
      <w:r w:rsidR="0066686B" w:rsidRPr="00E3331A">
        <w:t xml:space="preserve"> these interventions would typically be considered second</w:t>
      </w:r>
      <w:r w:rsidR="00D45BCF" w:rsidRPr="00E3331A">
        <w:t>-</w:t>
      </w:r>
      <w:r w:rsidR="0066686B" w:rsidRPr="00E3331A">
        <w:t xml:space="preserve">line and/or adjunct therapies. Immunoadsorption is a </w:t>
      </w:r>
      <w:r w:rsidR="00DD52EC" w:rsidRPr="00E3331A">
        <w:t xml:space="preserve">more recent </w:t>
      </w:r>
      <w:r w:rsidR="0066686B" w:rsidRPr="00E3331A">
        <w:t xml:space="preserve">intervention and is included in this table </w:t>
      </w:r>
      <w:r w:rsidR="00DD52EC" w:rsidRPr="00E3331A">
        <w:t>because of</w:t>
      </w:r>
      <w:r w:rsidR="0066686B" w:rsidRPr="00E3331A">
        <w:t xml:space="preserve"> the limited data regarding its safety.</w:t>
      </w:r>
      <w:r w:rsidR="00345C95" w:rsidRPr="00E3331A">
        <w:t xml:space="preserve"> </w:t>
      </w:r>
      <w:r w:rsidRPr="00E3331A">
        <w:t xml:space="preserve">Table </w:t>
      </w:r>
      <w:r>
        <w:rPr>
          <w:noProof/>
        </w:rPr>
        <w:t>99</w:t>
      </w:r>
      <w:r w:rsidR="0066686B" w:rsidRPr="00E3331A">
        <w:t xml:space="preserve"> </w:t>
      </w:r>
      <w:r w:rsidR="00DD52EC" w:rsidRPr="00E3331A">
        <w:t xml:space="preserve">(Appendix C) </w:t>
      </w:r>
      <w:r w:rsidR="0066686B" w:rsidRPr="00E3331A">
        <w:t xml:space="preserve">summarises the characteristics of the included studies and the rate of </w:t>
      </w:r>
      <w:r w:rsidR="00DD52EC" w:rsidRPr="00E3331A">
        <w:t xml:space="preserve">all </w:t>
      </w:r>
      <w:r w:rsidR="0066686B" w:rsidRPr="00E3331A">
        <w:t>adverse events, serious adverse events</w:t>
      </w:r>
      <w:r w:rsidR="00DD52EC" w:rsidRPr="00E3331A">
        <w:t>,</w:t>
      </w:r>
      <w:r w:rsidR="0066686B" w:rsidRPr="00E3331A">
        <w:t xml:space="preserve"> and the nature of serious events on a per study basis.</w:t>
      </w:r>
    </w:p>
    <w:p w:rsidR="00AF5D9D" w:rsidRPr="00E3331A" w:rsidRDefault="00AF5D9D" w:rsidP="0066686B"/>
    <w:p w:rsidR="00AF5D9D" w:rsidRPr="00E3331A" w:rsidRDefault="00AF5D9D" w:rsidP="0066686B">
      <w:pPr>
        <w:sectPr w:rsidR="00AF5D9D" w:rsidRPr="00E3331A" w:rsidSect="00D22209">
          <w:pgSz w:w="11906" w:h="16838"/>
          <w:pgMar w:top="1440" w:right="1440" w:bottom="1440" w:left="1440" w:header="720" w:footer="720" w:gutter="0"/>
          <w:paperSrc w:first="7" w:other="7"/>
          <w:cols w:space="720"/>
          <w:docGrid w:linePitch="299"/>
        </w:sectPr>
      </w:pPr>
    </w:p>
    <w:p w:rsidR="0066686B" w:rsidRPr="00E3331A" w:rsidRDefault="00AF5D9D" w:rsidP="00AF5D9D">
      <w:pPr>
        <w:pStyle w:val="Caption"/>
      </w:pPr>
      <w:bookmarkStart w:id="300" w:name="_Ref10109424"/>
      <w:bookmarkStart w:id="301" w:name="_Toc9796909"/>
      <w:bookmarkStart w:id="302" w:name="_Toc24103345"/>
      <w:r w:rsidRPr="00E3331A">
        <w:lastRenderedPageBreak/>
        <w:t xml:space="preserve">Table </w:t>
      </w:r>
      <w:r w:rsidR="006F35B9">
        <w:rPr>
          <w:noProof/>
        </w:rPr>
        <w:t>39</w:t>
      </w:r>
      <w:bookmarkEnd w:id="300"/>
      <w:r w:rsidR="0066686B" w:rsidRPr="00E3331A">
        <w:tab/>
        <w:t>Adverse events reported in patients receiving IVI</w:t>
      </w:r>
      <w:r w:rsidR="00DD52EC" w:rsidRPr="00E3331A">
        <w:t>g</w:t>
      </w:r>
      <w:r w:rsidR="0066686B" w:rsidRPr="00E3331A">
        <w:t xml:space="preserve"> (includes SCI</w:t>
      </w:r>
      <w:r w:rsidR="00DD52EC" w:rsidRPr="00E3331A">
        <w:t>g</w:t>
      </w:r>
      <w:r w:rsidR="0066686B" w:rsidRPr="00E3331A">
        <w:t xml:space="preserve">), steroids or </w:t>
      </w:r>
      <w:r w:rsidR="00DD52EC" w:rsidRPr="00E3331A">
        <w:t>p</w:t>
      </w:r>
      <w:r w:rsidR="0066686B" w:rsidRPr="00E3331A">
        <w:t xml:space="preserve">lasma </w:t>
      </w:r>
      <w:r w:rsidR="00DD52EC" w:rsidRPr="00E3331A">
        <w:t>e</w:t>
      </w:r>
      <w:r w:rsidR="0066686B" w:rsidRPr="00E3331A">
        <w:t>xchange</w:t>
      </w:r>
      <w:bookmarkEnd w:id="301"/>
      <w:bookmarkEnd w:id="302"/>
      <w:r w:rsidR="00345C95" w:rsidRPr="00E3331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3903"/>
        <w:gridCol w:w="3894"/>
        <w:gridCol w:w="3889"/>
      </w:tblGrid>
      <w:tr w:rsidR="00281EC2" w:rsidRPr="00E3331A" w:rsidTr="005231F0">
        <w:tc>
          <w:tcPr>
            <w:tcW w:w="811" w:type="pct"/>
            <w:tcBorders>
              <w:bottom w:val="single" w:sz="4" w:space="0" w:color="auto"/>
              <w:right w:val="single" w:sz="4" w:space="0" w:color="auto"/>
            </w:tcBorders>
            <w:shd w:val="clear" w:color="auto" w:fill="auto"/>
          </w:tcPr>
          <w:p w:rsidR="0066686B" w:rsidRPr="00E3331A" w:rsidRDefault="005231F0" w:rsidP="0007007F">
            <w:pPr>
              <w:spacing w:after="0" w:line="240" w:lineRule="auto"/>
              <w:rPr>
                <w:rFonts w:ascii="Arial Narrow" w:eastAsia="Calibri" w:hAnsi="Arial Narrow" w:cs="Times New Roman"/>
                <w:b/>
                <w:sz w:val="18"/>
                <w:szCs w:val="18"/>
                <w:lang w:eastAsia="en-US"/>
              </w:rPr>
            </w:pPr>
            <w:bookmarkStart w:id="303" w:name="_Ref9179624"/>
            <w:r>
              <w:rPr>
                <w:rFonts w:ascii="Arial Narrow" w:eastAsia="Calibri" w:hAnsi="Arial Narrow" w:cs="Times New Roman"/>
                <w:b/>
                <w:sz w:val="18"/>
                <w:szCs w:val="18"/>
                <w:lang w:eastAsia="en-US"/>
              </w:rPr>
              <w:t>Adverse event category</w:t>
            </w:r>
          </w:p>
        </w:tc>
        <w:tc>
          <w:tcPr>
            <w:tcW w:w="1399" w:type="pct"/>
            <w:tcBorders>
              <w:left w:val="single" w:sz="4" w:space="0" w:color="auto"/>
              <w:bottom w:val="single" w:sz="4" w:space="0" w:color="auto"/>
              <w:right w:val="single" w:sz="4" w:space="0" w:color="auto"/>
            </w:tcBorders>
            <w:shd w:val="clear" w:color="auto" w:fill="auto"/>
          </w:tcPr>
          <w:p w:rsidR="0066686B" w:rsidRPr="00E3331A" w:rsidRDefault="0066686B" w:rsidP="0007007F">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Times New Roman"/>
                <w:b/>
                <w:sz w:val="18"/>
                <w:szCs w:val="18"/>
                <w:lang w:eastAsia="en-US"/>
              </w:rPr>
              <w:t>Observed complications with IVIG</w:t>
            </w:r>
          </w:p>
          <w:p w:rsidR="0066686B" w:rsidRPr="00E3331A" w:rsidRDefault="0066686B" w:rsidP="0007007F">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 = number reported in the included studies, k = number of studies reporting that outcome, N</w:t>
            </w:r>
            <w:r w:rsidR="00DD52EC" w:rsidRPr="00E3331A">
              <w:rPr>
                <w:rFonts w:ascii="Arial Narrow" w:eastAsia="Calibri" w:hAnsi="Arial Narrow" w:cs="Times New Roman"/>
                <w:sz w:val="18"/>
                <w:szCs w:val="18"/>
                <w:lang w:eastAsia="en-US"/>
              </w:rPr>
              <w:t xml:space="preserve"> </w:t>
            </w:r>
            <w:r w:rsidRPr="00E3331A">
              <w:rPr>
                <w:rFonts w:ascii="Arial Narrow" w:eastAsia="Calibri" w:hAnsi="Arial Narrow" w:cs="Times New Roman"/>
                <w:sz w:val="18"/>
                <w:szCs w:val="18"/>
                <w:lang w:eastAsia="en-US"/>
              </w:rPr>
              <w:t>= total patient numbers in those studies</w:t>
            </w:r>
          </w:p>
          <w:p w:rsidR="0066686B" w:rsidRPr="00E3331A" w:rsidRDefault="0066686B" w:rsidP="0007007F">
            <w:pPr>
              <w:spacing w:after="0" w:line="240" w:lineRule="auto"/>
              <w:rPr>
                <w:rFonts w:ascii="Arial Narrow" w:eastAsia="Calibri" w:hAnsi="Arial Narrow" w:cs="Times New Roman"/>
                <w:b/>
                <w:sz w:val="18"/>
                <w:szCs w:val="18"/>
                <w:u w:val="single"/>
                <w:lang w:eastAsia="en-US"/>
              </w:rPr>
            </w:pPr>
            <w:r w:rsidRPr="00E3331A">
              <w:rPr>
                <w:rFonts w:ascii="Arial Narrow" w:eastAsia="Calibri" w:hAnsi="Arial Narrow" w:cs="Times New Roman"/>
                <w:b/>
                <w:sz w:val="18"/>
                <w:szCs w:val="18"/>
                <w:u w:val="single"/>
                <w:lang w:eastAsia="en-US"/>
              </w:rPr>
              <w:t>Represents recognised complications with IVIG</w:t>
            </w:r>
          </w:p>
        </w:tc>
        <w:tc>
          <w:tcPr>
            <w:tcW w:w="1396" w:type="pct"/>
            <w:tcBorders>
              <w:left w:val="single" w:sz="4" w:space="0" w:color="auto"/>
              <w:bottom w:val="single" w:sz="4" w:space="0" w:color="auto"/>
              <w:right w:val="single" w:sz="4" w:space="0" w:color="auto"/>
            </w:tcBorders>
            <w:shd w:val="clear" w:color="auto" w:fill="auto"/>
          </w:tcPr>
          <w:p w:rsidR="0066686B" w:rsidRPr="00E3331A" w:rsidRDefault="0066686B" w:rsidP="0007007F">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Times New Roman"/>
                <w:b/>
                <w:sz w:val="18"/>
                <w:szCs w:val="18"/>
                <w:lang w:eastAsia="en-US"/>
              </w:rPr>
              <w:t xml:space="preserve">Observed complications of steroid therapy </w:t>
            </w:r>
          </w:p>
          <w:p w:rsidR="0066686B" w:rsidRPr="00E3331A" w:rsidRDefault="0066686B" w:rsidP="0007007F">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 = number reported in the included studies, k = number of studies reporting that outcome, N</w:t>
            </w:r>
            <w:r w:rsidR="00DD52EC" w:rsidRPr="00E3331A">
              <w:rPr>
                <w:rFonts w:ascii="Arial Narrow" w:eastAsia="Calibri" w:hAnsi="Arial Narrow" w:cs="Times New Roman"/>
                <w:sz w:val="18"/>
                <w:szCs w:val="18"/>
                <w:lang w:eastAsia="en-US"/>
              </w:rPr>
              <w:t xml:space="preserve"> </w:t>
            </w:r>
            <w:r w:rsidRPr="00E3331A">
              <w:rPr>
                <w:rFonts w:ascii="Arial Narrow" w:eastAsia="Calibri" w:hAnsi="Arial Narrow" w:cs="Times New Roman"/>
                <w:sz w:val="18"/>
                <w:szCs w:val="18"/>
                <w:lang w:eastAsia="en-US"/>
              </w:rPr>
              <w:t>= total patient numbers in those studies</w:t>
            </w:r>
          </w:p>
          <w:p w:rsidR="0066686B" w:rsidRPr="00E3331A" w:rsidRDefault="0066686B" w:rsidP="0007007F">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Represents recognised complications with steroids</w:t>
            </w:r>
          </w:p>
        </w:tc>
        <w:tc>
          <w:tcPr>
            <w:tcW w:w="1394" w:type="pct"/>
            <w:tcBorders>
              <w:left w:val="single" w:sz="4" w:space="0" w:color="auto"/>
              <w:bottom w:val="single" w:sz="4" w:space="0" w:color="auto"/>
            </w:tcBorders>
            <w:shd w:val="clear" w:color="auto" w:fill="auto"/>
          </w:tcPr>
          <w:p w:rsidR="0066686B" w:rsidRPr="00E3331A" w:rsidRDefault="0066686B" w:rsidP="0007007F">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Times New Roman"/>
                <w:b/>
                <w:sz w:val="18"/>
                <w:szCs w:val="18"/>
                <w:lang w:eastAsia="en-US"/>
              </w:rPr>
              <w:t xml:space="preserve">Observed complications of </w:t>
            </w:r>
            <w:r w:rsidR="00DD52EC" w:rsidRPr="00E3331A">
              <w:rPr>
                <w:rFonts w:ascii="Arial Narrow" w:eastAsia="Calibri" w:hAnsi="Arial Narrow" w:cs="Times New Roman"/>
                <w:b/>
                <w:sz w:val="18"/>
                <w:szCs w:val="18"/>
                <w:lang w:eastAsia="en-US"/>
              </w:rPr>
              <w:t>p</w:t>
            </w:r>
            <w:r w:rsidRPr="00E3331A">
              <w:rPr>
                <w:rFonts w:ascii="Arial Narrow" w:eastAsia="Calibri" w:hAnsi="Arial Narrow" w:cs="Times New Roman"/>
                <w:b/>
                <w:sz w:val="18"/>
                <w:szCs w:val="18"/>
                <w:lang w:eastAsia="en-US"/>
              </w:rPr>
              <w:t xml:space="preserve">lasma </w:t>
            </w:r>
            <w:r w:rsidR="00DD52EC" w:rsidRPr="00E3331A">
              <w:rPr>
                <w:rFonts w:ascii="Arial Narrow" w:eastAsia="Calibri" w:hAnsi="Arial Narrow" w:cs="Times New Roman"/>
                <w:b/>
                <w:sz w:val="18"/>
                <w:szCs w:val="18"/>
                <w:lang w:eastAsia="en-US"/>
              </w:rPr>
              <w:t>e</w:t>
            </w:r>
            <w:r w:rsidRPr="00E3331A">
              <w:rPr>
                <w:rFonts w:ascii="Arial Narrow" w:eastAsia="Calibri" w:hAnsi="Arial Narrow" w:cs="Times New Roman"/>
                <w:b/>
                <w:sz w:val="18"/>
                <w:szCs w:val="18"/>
                <w:lang w:eastAsia="en-US"/>
              </w:rPr>
              <w:t xml:space="preserve">xchange </w:t>
            </w:r>
          </w:p>
          <w:p w:rsidR="0066686B" w:rsidRPr="00E3331A" w:rsidRDefault="0066686B" w:rsidP="0007007F">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 = number reported in the included studies, k = number of studies reporting that outcome, N</w:t>
            </w:r>
            <w:r w:rsidR="00DD52EC" w:rsidRPr="00E3331A">
              <w:rPr>
                <w:rFonts w:ascii="Arial Narrow" w:eastAsia="Calibri" w:hAnsi="Arial Narrow" w:cs="Times New Roman"/>
                <w:sz w:val="18"/>
                <w:szCs w:val="18"/>
                <w:lang w:eastAsia="en-US"/>
              </w:rPr>
              <w:t xml:space="preserve"> </w:t>
            </w:r>
            <w:r w:rsidRPr="00E3331A">
              <w:rPr>
                <w:rFonts w:ascii="Arial Narrow" w:eastAsia="Calibri" w:hAnsi="Arial Narrow" w:cs="Times New Roman"/>
                <w:sz w:val="18"/>
                <w:szCs w:val="18"/>
                <w:lang w:eastAsia="en-US"/>
              </w:rPr>
              <w:t>= total patient numbers in those studies</w:t>
            </w:r>
          </w:p>
          <w:p w:rsidR="0066686B" w:rsidRPr="00E3331A" w:rsidRDefault="0066686B" w:rsidP="0007007F">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Represents recognised complications with plasma exchange</w:t>
            </w:r>
          </w:p>
        </w:tc>
      </w:tr>
      <w:tr w:rsidR="00281EC2" w:rsidRPr="00E3331A" w:rsidTr="005231F0">
        <w:tc>
          <w:tcPr>
            <w:tcW w:w="811" w:type="pct"/>
            <w:tcBorders>
              <w:bottom w:val="single" w:sz="4" w:space="0" w:color="auto"/>
              <w:right w:val="single" w:sz="4" w:space="0" w:color="auto"/>
            </w:tcBorders>
            <w:shd w:val="clear" w:color="auto" w:fill="auto"/>
          </w:tcPr>
          <w:p w:rsidR="0066686B" w:rsidRPr="00E3331A" w:rsidRDefault="0066686B" w:rsidP="0007007F">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Times New Roman"/>
                <w:b/>
                <w:sz w:val="18"/>
                <w:szCs w:val="18"/>
                <w:lang w:eastAsia="en-US"/>
              </w:rPr>
              <w:t>Any adverse event</w:t>
            </w:r>
          </w:p>
        </w:tc>
        <w:tc>
          <w:tcPr>
            <w:tcW w:w="1399" w:type="pct"/>
            <w:tcBorders>
              <w:left w:val="single" w:sz="4" w:space="0" w:color="auto"/>
              <w:bottom w:val="single" w:sz="4" w:space="0" w:color="auto"/>
              <w:right w:val="single" w:sz="4" w:space="0" w:color="auto"/>
            </w:tcBorders>
            <w:shd w:val="clear" w:color="auto" w:fill="auto"/>
          </w:tcPr>
          <w:p w:rsidR="0066686B" w:rsidRPr="00E3331A" w:rsidRDefault="0066686B" w:rsidP="0007007F">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Times New Roman"/>
                <w:b/>
                <w:sz w:val="18"/>
                <w:szCs w:val="18"/>
                <w:lang w:eastAsia="en-US"/>
              </w:rPr>
              <w:t>410/1108 (37%)</w:t>
            </w:r>
          </w:p>
        </w:tc>
        <w:tc>
          <w:tcPr>
            <w:tcW w:w="1396" w:type="pct"/>
            <w:tcBorders>
              <w:left w:val="single" w:sz="4" w:space="0" w:color="auto"/>
              <w:bottom w:val="single" w:sz="4" w:space="0" w:color="auto"/>
              <w:right w:val="single" w:sz="4" w:space="0" w:color="auto"/>
            </w:tcBorders>
            <w:shd w:val="clear" w:color="auto" w:fill="auto"/>
          </w:tcPr>
          <w:p w:rsidR="0066686B" w:rsidRPr="00E3331A" w:rsidRDefault="0066686B" w:rsidP="0007007F">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Times New Roman"/>
                <w:b/>
                <w:sz w:val="18"/>
                <w:szCs w:val="18"/>
                <w:lang w:eastAsia="en-US"/>
              </w:rPr>
              <w:t>94/358 (26%)</w:t>
            </w:r>
          </w:p>
        </w:tc>
        <w:tc>
          <w:tcPr>
            <w:tcW w:w="1394" w:type="pct"/>
            <w:tcBorders>
              <w:left w:val="single" w:sz="4" w:space="0" w:color="auto"/>
              <w:bottom w:val="single" w:sz="4" w:space="0" w:color="auto"/>
            </w:tcBorders>
            <w:shd w:val="clear" w:color="auto" w:fill="auto"/>
          </w:tcPr>
          <w:p w:rsidR="0066686B" w:rsidRPr="00E3331A" w:rsidRDefault="0066686B" w:rsidP="0007007F">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Times New Roman"/>
                <w:b/>
                <w:sz w:val="18"/>
                <w:szCs w:val="18"/>
                <w:lang w:eastAsia="en-US"/>
              </w:rPr>
              <w:t>Not estimable</w:t>
            </w: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Times New Roman"/>
                <w:b/>
                <w:sz w:val="18"/>
                <w:szCs w:val="18"/>
                <w:lang w:eastAsia="en-US"/>
              </w:rPr>
              <w:t>Blood and lymphatic system disorders</w:t>
            </w:r>
          </w:p>
        </w:tc>
        <w:tc>
          <w:tcPr>
            <w:tcW w:w="1399"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 xml:space="preserve">Haemolysis: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11, k=5,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371</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Neutropenia:</w:t>
            </w:r>
            <w:r w:rsidRPr="00E3331A">
              <w:rPr>
                <w:rFonts w:ascii="Arial Narrow" w:eastAsia="Calibri" w:hAnsi="Arial Narrow" w:cs="Times New Roman"/>
                <w:sz w:val="18"/>
                <w:szCs w:val="18"/>
                <w:lang w:eastAsia="en-US"/>
              </w:rPr>
              <w:t xml:space="preserve"> (NR)</w:t>
            </w:r>
          </w:p>
        </w:tc>
        <w:tc>
          <w:tcPr>
            <w:tcW w:w="1396"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Increased white blood cell count (NR)</w:t>
            </w:r>
          </w:p>
        </w:tc>
        <w:tc>
          <w:tcPr>
            <w:tcW w:w="1394"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Immunoglobulin depletion</w:t>
            </w:r>
            <w:r w:rsidRPr="00E3331A">
              <w:rPr>
                <w:rFonts w:ascii="Arial Narrow" w:eastAsia="Calibri" w:hAnsi="Arial Narrow" w:cs="Times New Roman"/>
                <w:b/>
                <w:sz w:val="18"/>
                <w:szCs w:val="18"/>
                <w:lang w:eastAsia="en-US"/>
              </w:rPr>
              <w:t xml:space="preserve"> </w:t>
            </w:r>
            <w:r w:rsidRPr="00E3331A">
              <w:rPr>
                <w:rFonts w:ascii="Arial Narrow" w:eastAsia="Calibri" w:hAnsi="Arial Narrow" w:cs="Times New Roman"/>
                <w:sz w:val="18"/>
                <w:szCs w:val="18"/>
                <w:lang w:eastAsia="en-US"/>
              </w:rPr>
              <w:t>(NR)</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 xml:space="preserve">Coagulation factor depletion: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21</w:t>
            </w:r>
          </w:p>
          <w:p w:rsidR="005231F0" w:rsidRPr="00E3331A" w:rsidRDefault="005231F0" w:rsidP="005231F0">
            <w:pPr>
              <w:spacing w:after="0" w:line="240" w:lineRule="auto"/>
              <w:rPr>
                <w:rFonts w:ascii="Arial Narrow" w:eastAsia="Calibri" w:hAnsi="Arial Narrow" w:cs="Times New Roman"/>
                <w:sz w:val="18"/>
                <w:szCs w:val="18"/>
                <w:lang w:eastAsia="en-US"/>
              </w:rPr>
            </w:pP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Times New Roman"/>
                <w:b/>
                <w:sz w:val="18"/>
                <w:szCs w:val="18"/>
                <w:lang w:eastAsia="en-US"/>
              </w:rPr>
              <w:t>Cardiac disorders</w:t>
            </w:r>
          </w:p>
        </w:tc>
        <w:tc>
          <w:tcPr>
            <w:tcW w:w="1399"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Cardiac arrest</w:t>
            </w:r>
            <w:r w:rsidRPr="00E3331A">
              <w:rPr>
                <w:rFonts w:ascii="Arial Narrow" w:eastAsia="Calibri" w:hAnsi="Arial Narrow" w:cs="Times New Roman"/>
                <w:sz w:val="18"/>
                <w:szCs w:val="18"/>
                <w:vertAlign w:val="superscript"/>
                <w:lang w:eastAsia="en-US"/>
              </w:rPr>
              <w:t>a</w:t>
            </w:r>
            <w:r w:rsidRPr="00E3331A">
              <w:rPr>
                <w:rFonts w:ascii="Arial Narrow" w:eastAsia="Calibri" w:hAnsi="Arial Narrow" w:cs="Times New Roman"/>
                <w:sz w:val="18"/>
                <w:szCs w:val="18"/>
                <w:lang w:eastAsia="en-US"/>
              </w:rPr>
              <w:t xml:space="preserve">: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177</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Heart failure</w:t>
            </w:r>
            <w:r w:rsidRPr="00E3331A">
              <w:rPr>
                <w:rFonts w:ascii="Arial Narrow" w:eastAsia="Calibri" w:hAnsi="Arial Narrow" w:cs="Times New Roman"/>
                <w:sz w:val="18"/>
                <w:szCs w:val="18"/>
                <w:vertAlign w:val="superscript"/>
                <w:lang w:eastAsia="en-US"/>
              </w:rPr>
              <w:t>a</w:t>
            </w:r>
            <w:r w:rsidRPr="00E3331A">
              <w:rPr>
                <w:rFonts w:ascii="Arial Narrow" w:eastAsia="Calibri" w:hAnsi="Arial Narrow" w:cs="Times New Roman"/>
                <w:sz w:val="18"/>
                <w:szCs w:val="18"/>
                <w:lang w:eastAsia="en-US"/>
              </w:rPr>
              <w:t xml:space="preserve">: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54</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Fluid retention (limbs/peripheral):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6, k=3,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257</w:t>
            </w:r>
          </w:p>
        </w:tc>
        <w:tc>
          <w:tcPr>
            <w:tcW w:w="1396"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Arial"/>
                <w:color w:val="232323"/>
                <w:sz w:val="18"/>
                <w:szCs w:val="18"/>
                <w:shd w:val="clear" w:color="auto" w:fill="FFFFFF"/>
                <w:lang w:eastAsia="en-US"/>
              </w:rPr>
            </w:pPr>
            <w:r w:rsidRPr="00E3331A">
              <w:rPr>
                <w:rFonts w:ascii="Arial Narrow" w:eastAsia="Calibri" w:hAnsi="Arial Narrow" w:cs="Arial"/>
                <w:b/>
                <w:color w:val="232323"/>
                <w:sz w:val="18"/>
                <w:szCs w:val="18"/>
                <w:u w:val="single"/>
                <w:shd w:val="clear" w:color="auto" w:fill="FFFFFF"/>
                <w:lang w:eastAsia="en-US"/>
              </w:rPr>
              <w:t>Fluid retention:</w:t>
            </w:r>
            <w:r w:rsidRPr="00E3331A">
              <w:rPr>
                <w:rFonts w:ascii="Arial Narrow" w:eastAsia="Calibri" w:hAnsi="Arial Narrow" w:cs="Arial"/>
                <w:color w:val="232323"/>
                <w:sz w:val="18"/>
                <w:szCs w:val="18"/>
                <w:u w:val="single"/>
                <w:shd w:val="clear" w:color="auto" w:fill="FFFFFF"/>
                <w:lang w:eastAsia="en-US"/>
              </w:rPr>
              <w:t xml:space="preserve"> </w:t>
            </w:r>
            <w:r>
              <w:rPr>
                <w:rFonts w:ascii="Arial Narrow" w:eastAsia="Calibri" w:hAnsi="Arial Narrow" w:cs="Arial"/>
                <w:color w:val="232323"/>
                <w:sz w:val="18"/>
                <w:szCs w:val="18"/>
                <w:shd w:val="clear" w:color="auto" w:fill="FFFFFF"/>
                <w:lang w:eastAsia="en-US"/>
              </w:rPr>
              <w:t xml:space="preserve">n = </w:t>
            </w:r>
            <w:r w:rsidRPr="00E3331A">
              <w:rPr>
                <w:rFonts w:ascii="Arial Narrow" w:eastAsia="Calibri" w:hAnsi="Arial Narrow" w:cs="Arial"/>
                <w:color w:val="232323"/>
                <w:sz w:val="18"/>
                <w:szCs w:val="18"/>
                <w:shd w:val="clear" w:color="auto" w:fill="FFFFFF"/>
                <w:lang w:eastAsia="en-US"/>
              </w:rPr>
              <w:t xml:space="preserve">3, k=1, </w:t>
            </w:r>
            <w:r>
              <w:rPr>
                <w:rFonts w:ascii="Arial Narrow" w:eastAsia="Calibri" w:hAnsi="Arial Narrow" w:cs="Arial"/>
                <w:color w:val="232323"/>
                <w:sz w:val="18"/>
                <w:szCs w:val="18"/>
                <w:shd w:val="clear" w:color="auto" w:fill="FFFFFF"/>
                <w:lang w:eastAsia="en-US"/>
              </w:rPr>
              <w:t xml:space="preserve">N = </w:t>
            </w:r>
            <w:r w:rsidRPr="00E3331A">
              <w:rPr>
                <w:rFonts w:ascii="Arial Narrow" w:eastAsia="Calibri" w:hAnsi="Arial Narrow" w:cs="Arial"/>
                <w:color w:val="232323"/>
                <w:sz w:val="18"/>
                <w:szCs w:val="18"/>
                <w:shd w:val="clear" w:color="auto" w:fill="FFFFFF"/>
                <w:lang w:eastAsia="en-US"/>
              </w:rPr>
              <w:t>10</w:t>
            </w:r>
          </w:p>
          <w:p w:rsidR="005231F0" w:rsidRPr="00E3331A" w:rsidRDefault="005231F0" w:rsidP="005231F0">
            <w:pPr>
              <w:spacing w:after="0" w:line="240" w:lineRule="auto"/>
              <w:rPr>
                <w:rFonts w:ascii="Arial Narrow" w:eastAsia="Calibri" w:hAnsi="Arial Narrow" w:cs="Arial"/>
                <w:color w:val="232323"/>
                <w:sz w:val="18"/>
                <w:szCs w:val="18"/>
                <w:shd w:val="clear" w:color="auto" w:fill="FFFFFF"/>
                <w:lang w:eastAsia="en-US"/>
              </w:rPr>
            </w:pPr>
            <w:r w:rsidRPr="00E3331A">
              <w:rPr>
                <w:rFonts w:ascii="Arial Narrow" w:eastAsia="Calibri" w:hAnsi="Arial Narrow" w:cs="Arial"/>
                <w:b/>
                <w:color w:val="232323"/>
                <w:sz w:val="18"/>
                <w:szCs w:val="18"/>
                <w:u w:val="single"/>
                <w:shd w:val="clear" w:color="auto" w:fill="FFFFFF"/>
                <w:lang w:eastAsia="en-US"/>
              </w:rPr>
              <w:t>Premature atherosclerotic disease:</w:t>
            </w:r>
            <w:r w:rsidRPr="00E3331A">
              <w:rPr>
                <w:rFonts w:ascii="Arial Narrow" w:eastAsia="Calibri" w:hAnsi="Arial Narrow" w:cs="Arial"/>
                <w:color w:val="232323"/>
                <w:sz w:val="18"/>
                <w:szCs w:val="18"/>
                <w:shd w:val="clear" w:color="auto" w:fill="FFFFFF"/>
                <w:lang w:eastAsia="en-US"/>
              </w:rPr>
              <w:t xml:space="preserve"> (NR)</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Arial"/>
                <w:b/>
                <w:color w:val="232323"/>
                <w:sz w:val="18"/>
                <w:szCs w:val="18"/>
                <w:u w:val="single"/>
                <w:shd w:val="clear" w:color="auto" w:fill="FFFFFF"/>
                <w:lang w:eastAsia="en-US"/>
              </w:rPr>
              <w:t>Arrhythmias</w:t>
            </w:r>
            <w:r w:rsidRPr="00E3331A">
              <w:rPr>
                <w:rFonts w:ascii="Arial Narrow" w:eastAsia="Calibri" w:hAnsi="Arial Narrow" w:cs="Arial"/>
                <w:color w:val="232323"/>
                <w:sz w:val="18"/>
                <w:szCs w:val="18"/>
                <w:u w:val="single"/>
                <w:shd w:val="clear" w:color="auto" w:fill="FFFFFF"/>
                <w:lang w:eastAsia="en-US"/>
              </w:rPr>
              <w:t>:</w:t>
            </w:r>
            <w:r w:rsidRPr="00E3331A">
              <w:rPr>
                <w:rFonts w:ascii="Arial Narrow" w:eastAsia="Calibri" w:hAnsi="Arial Narrow" w:cs="Arial"/>
                <w:color w:val="232323"/>
                <w:sz w:val="18"/>
                <w:szCs w:val="18"/>
                <w:shd w:val="clear" w:color="auto" w:fill="FFFFFF"/>
                <w:lang w:eastAsia="en-US"/>
              </w:rPr>
              <w:t xml:space="preserve"> (NR)</w:t>
            </w:r>
          </w:p>
        </w:tc>
        <w:tc>
          <w:tcPr>
            <w:tcW w:w="1394"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u w:val="single"/>
                <w:lang w:eastAsia="en-US"/>
              </w:rPr>
              <w:t>Myocardial infarction</w:t>
            </w:r>
            <w:r w:rsidRPr="00E3331A">
              <w:rPr>
                <w:rFonts w:ascii="Arial Narrow" w:eastAsia="Calibri" w:hAnsi="Arial Narrow" w:cs="Times New Roman"/>
                <w:sz w:val="18"/>
                <w:szCs w:val="18"/>
                <w:lang w:eastAsia="en-US"/>
              </w:rPr>
              <w:t xml:space="preserve">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18</w:t>
            </w:r>
          </w:p>
          <w:p w:rsidR="005231F0" w:rsidRPr="00E3331A" w:rsidRDefault="005231F0" w:rsidP="005231F0">
            <w:pPr>
              <w:spacing w:after="0" w:line="240" w:lineRule="auto"/>
              <w:rPr>
                <w:rFonts w:ascii="Arial Narrow" w:eastAsia="Calibri" w:hAnsi="Arial Narrow" w:cs="Times New Roman"/>
                <w:sz w:val="18"/>
                <w:szCs w:val="18"/>
                <w:lang w:eastAsia="en-US"/>
              </w:rPr>
            </w:pP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Calibri"/>
                <w:b/>
                <w:sz w:val="18"/>
                <w:szCs w:val="18"/>
                <w:lang w:eastAsia="en-US"/>
              </w:rPr>
            </w:pPr>
            <w:r w:rsidRPr="00E3331A">
              <w:rPr>
                <w:rFonts w:ascii="Arial Narrow" w:eastAsia="Calibri" w:hAnsi="Arial Narrow" w:cs="Calibri"/>
                <w:b/>
                <w:sz w:val="18"/>
                <w:szCs w:val="18"/>
                <w:lang w:eastAsia="en-US"/>
              </w:rPr>
              <w:t>Endocrine disorders</w:t>
            </w:r>
          </w:p>
        </w:tc>
        <w:tc>
          <w:tcPr>
            <w:tcW w:w="1399"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Not applicable/NR</w:t>
            </w:r>
          </w:p>
        </w:tc>
        <w:tc>
          <w:tcPr>
            <w:tcW w:w="1396"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Arial"/>
                <w:color w:val="232323"/>
                <w:sz w:val="18"/>
                <w:szCs w:val="18"/>
                <w:shd w:val="clear" w:color="auto" w:fill="FFFFFF"/>
                <w:lang w:eastAsia="en-US"/>
              </w:rPr>
              <w:t>Adrenal insufficiency (NR)</w:t>
            </w:r>
          </w:p>
        </w:tc>
        <w:tc>
          <w:tcPr>
            <w:tcW w:w="1394"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Not applicable</w:t>
            </w: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Calibri"/>
                <w:b/>
                <w:sz w:val="18"/>
                <w:szCs w:val="18"/>
                <w:lang w:eastAsia="en-US"/>
              </w:rPr>
              <w:t>Eye disorders</w:t>
            </w:r>
          </w:p>
        </w:tc>
        <w:tc>
          <w:tcPr>
            <w:tcW w:w="1399"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Not applicable/NR</w:t>
            </w:r>
          </w:p>
        </w:tc>
        <w:tc>
          <w:tcPr>
            <w:tcW w:w="1396"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Arial"/>
                <w:color w:val="232323"/>
                <w:sz w:val="18"/>
                <w:szCs w:val="18"/>
                <w:shd w:val="clear" w:color="auto" w:fill="FFFFFF"/>
                <w:lang w:eastAsia="en-US"/>
              </w:rPr>
            </w:pPr>
            <w:r w:rsidRPr="00E3331A">
              <w:rPr>
                <w:rFonts w:ascii="Arial Narrow" w:eastAsia="Calibri" w:hAnsi="Arial Narrow" w:cs="Arial"/>
                <w:b/>
                <w:color w:val="232323"/>
                <w:sz w:val="18"/>
                <w:szCs w:val="18"/>
                <w:u w:val="single"/>
                <w:shd w:val="clear" w:color="auto" w:fill="FFFFFF"/>
                <w:lang w:eastAsia="en-US"/>
              </w:rPr>
              <w:t xml:space="preserve">Cataracts </w:t>
            </w:r>
            <w:r w:rsidRPr="00E3331A">
              <w:rPr>
                <w:rFonts w:ascii="Arial Narrow" w:eastAsia="Calibri" w:hAnsi="Arial Narrow" w:cs="Arial"/>
                <w:color w:val="232323"/>
                <w:sz w:val="18"/>
                <w:szCs w:val="18"/>
                <w:shd w:val="clear" w:color="auto" w:fill="FFFFFF"/>
                <w:lang w:eastAsia="en-US"/>
              </w:rPr>
              <w:t>(NR)</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Arial"/>
                <w:b/>
                <w:color w:val="232323"/>
                <w:sz w:val="18"/>
                <w:szCs w:val="18"/>
                <w:u w:val="single"/>
                <w:shd w:val="clear" w:color="auto" w:fill="FFFFFF"/>
                <w:lang w:eastAsia="en-US"/>
              </w:rPr>
              <w:t>Glaucoma</w:t>
            </w:r>
            <w:r w:rsidRPr="00E3331A">
              <w:rPr>
                <w:rFonts w:ascii="Arial Narrow" w:eastAsia="Calibri" w:hAnsi="Arial Narrow" w:cs="Arial"/>
                <w:color w:val="232323"/>
                <w:sz w:val="18"/>
                <w:szCs w:val="18"/>
                <w:shd w:val="clear" w:color="auto" w:fill="FFFFFF"/>
                <w:lang w:eastAsia="en-US"/>
              </w:rPr>
              <w:t xml:space="preserve"> (NR, </w:t>
            </w:r>
            <w:r>
              <w:rPr>
                <w:rFonts w:ascii="Arial Narrow" w:eastAsia="Calibri" w:hAnsi="Arial Narrow" w:cs="Arial"/>
                <w:color w:val="232323"/>
                <w:sz w:val="18"/>
                <w:szCs w:val="18"/>
                <w:shd w:val="clear" w:color="auto" w:fill="FFFFFF"/>
                <w:lang w:eastAsia="en-US"/>
              </w:rPr>
              <w:t xml:space="preserve">n = </w:t>
            </w:r>
            <w:r w:rsidRPr="00E3331A">
              <w:rPr>
                <w:rFonts w:ascii="Arial Narrow" w:eastAsia="Calibri" w:hAnsi="Arial Narrow" w:cs="Arial"/>
                <w:color w:val="232323"/>
                <w:sz w:val="18"/>
                <w:szCs w:val="18"/>
                <w:shd w:val="clear" w:color="auto" w:fill="FFFFFF"/>
                <w:lang w:eastAsia="en-US"/>
              </w:rPr>
              <w:t xml:space="preserve">1 ↑ intraocular pressure) </w:t>
            </w:r>
          </w:p>
        </w:tc>
        <w:tc>
          <w:tcPr>
            <w:tcW w:w="1394"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Not applicable</w:t>
            </w:r>
          </w:p>
        </w:tc>
      </w:tr>
      <w:tr w:rsidR="005231F0" w:rsidRPr="00E3331A" w:rsidTr="005231F0">
        <w:trPr>
          <w:trHeight w:val="467"/>
        </w:trPr>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Calibri"/>
                <w:b/>
                <w:sz w:val="18"/>
                <w:szCs w:val="18"/>
                <w:lang w:eastAsia="en-US"/>
              </w:rPr>
              <w:t>Gastrointestinal disorders</w:t>
            </w:r>
          </w:p>
        </w:tc>
        <w:tc>
          <w:tcPr>
            <w:tcW w:w="1399"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Nausea: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32, k=7,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422 </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Vomiting: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8, k=3,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257</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Indigestion: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6,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30</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Diarrhoea: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3, k=1, K=49</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Abdominal/gastric pain: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3,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30</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Inguinal hernia: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49</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Colitis: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24</w:t>
            </w:r>
          </w:p>
        </w:tc>
        <w:tc>
          <w:tcPr>
            <w:tcW w:w="1396"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Arial"/>
                <w:color w:val="232323"/>
                <w:sz w:val="18"/>
                <w:szCs w:val="18"/>
                <w:shd w:val="clear" w:color="auto" w:fill="FFFFFF"/>
                <w:lang w:eastAsia="en-US"/>
              </w:rPr>
            </w:pPr>
            <w:r w:rsidRPr="00E3331A">
              <w:rPr>
                <w:rFonts w:ascii="Arial Narrow" w:eastAsia="Calibri" w:hAnsi="Arial Narrow" w:cs="Arial"/>
                <w:b/>
                <w:color w:val="232323"/>
                <w:sz w:val="18"/>
                <w:szCs w:val="18"/>
                <w:u w:val="single"/>
                <w:shd w:val="clear" w:color="auto" w:fill="FFFFFF"/>
                <w:lang w:eastAsia="en-US"/>
              </w:rPr>
              <w:t>Gastritis</w:t>
            </w:r>
            <w:r w:rsidRPr="00E3331A">
              <w:rPr>
                <w:rFonts w:ascii="Arial Narrow" w:eastAsia="Calibri" w:hAnsi="Arial Narrow" w:cs="Arial"/>
                <w:color w:val="232323"/>
                <w:sz w:val="18"/>
                <w:szCs w:val="18"/>
                <w:u w:val="single"/>
                <w:shd w:val="clear" w:color="auto" w:fill="FFFFFF"/>
                <w:lang w:eastAsia="en-US"/>
              </w:rPr>
              <w:t xml:space="preserve">: </w:t>
            </w:r>
            <w:r>
              <w:rPr>
                <w:rFonts w:ascii="Arial Narrow" w:eastAsia="Calibri" w:hAnsi="Arial Narrow" w:cs="Arial"/>
                <w:color w:val="232323"/>
                <w:sz w:val="18"/>
                <w:szCs w:val="18"/>
                <w:shd w:val="clear" w:color="auto" w:fill="FFFFFF"/>
                <w:lang w:eastAsia="en-US"/>
              </w:rPr>
              <w:t xml:space="preserve">n = </w:t>
            </w:r>
            <w:r w:rsidRPr="00E3331A">
              <w:rPr>
                <w:rFonts w:ascii="Arial Narrow" w:eastAsia="Calibri" w:hAnsi="Arial Narrow" w:cs="Arial"/>
                <w:color w:val="232323"/>
                <w:sz w:val="18"/>
                <w:szCs w:val="18"/>
                <w:shd w:val="clear" w:color="auto" w:fill="FFFFFF"/>
                <w:lang w:eastAsia="en-US"/>
              </w:rPr>
              <w:t xml:space="preserve">4, k=3, </w:t>
            </w:r>
            <w:r>
              <w:rPr>
                <w:rFonts w:ascii="Arial Narrow" w:eastAsia="Calibri" w:hAnsi="Arial Narrow" w:cs="Arial"/>
                <w:color w:val="232323"/>
                <w:sz w:val="18"/>
                <w:szCs w:val="18"/>
                <w:shd w:val="clear" w:color="auto" w:fill="FFFFFF"/>
                <w:lang w:eastAsia="en-US"/>
              </w:rPr>
              <w:t xml:space="preserve">N = </w:t>
            </w:r>
            <w:r w:rsidRPr="00E3331A">
              <w:rPr>
                <w:rFonts w:ascii="Arial Narrow" w:eastAsia="Calibri" w:hAnsi="Arial Narrow" w:cs="Arial"/>
                <w:color w:val="232323"/>
                <w:sz w:val="18"/>
                <w:szCs w:val="18"/>
                <w:shd w:val="clear" w:color="auto" w:fill="FFFFFF"/>
                <w:lang w:eastAsia="en-US"/>
              </w:rPr>
              <w:t>61</w:t>
            </w:r>
          </w:p>
          <w:p w:rsidR="005231F0" w:rsidRPr="00E3331A" w:rsidRDefault="005231F0" w:rsidP="005231F0">
            <w:pPr>
              <w:spacing w:after="0" w:line="240" w:lineRule="auto"/>
              <w:rPr>
                <w:rFonts w:ascii="Arial Narrow" w:eastAsia="Calibri" w:hAnsi="Arial Narrow" w:cs="Arial"/>
                <w:color w:val="232323"/>
                <w:sz w:val="18"/>
                <w:szCs w:val="18"/>
                <w:shd w:val="clear" w:color="auto" w:fill="FFFFFF"/>
                <w:lang w:eastAsia="en-US"/>
              </w:rPr>
            </w:pPr>
            <w:r w:rsidRPr="00E3331A">
              <w:rPr>
                <w:rFonts w:ascii="Arial Narrow" w:eastAsia="Calibri" w:hAnsi="Arial Narrow" w:cs="Arial"/>
                <w:b/>
                <w:color w:val="232323"/>
                <w:sz w:val="18"/>
                <w:szCs w:val="18"/>
                <w:u w:val="single"/>
                <w:shd w:val="clear" w:color="auto" w:fill="FFFFFF"/>
                <w:lang w:eastAsia="en-US"/>
              </w:rPr>
              <w:t>Ulcer formation</w:t>
            </w:r>
            <w:r w:rsidRPr="00E3331A">
              <w:rPr>
                <w:rFonts w:ascii="Arial Narrow" w:eastAsia="Calibri" w:hAnsi="Arial Narrow" w:cs="Arial"/>
                <w:color w:val="232323"/>
                <w:sz w:val="18"/>
                <w:szCs w:val="18"/>
                <w:u w:val="single"/>
                <w:shd w:val="clear" w:color="auto" w:fill="FFFFFF"/>
                <w:lang w:eastAsia="en-US"/>
              </w:rPr>
              <w:t xml:space="preserve">: </w:t>
            </w:r>
            <w:r>
              <w:rPr>
                <w:rFonts w:ascii="Arial Narrow" w:eastAsia="Calibri" w:hAnsi="Arial Narrow" w:cs="Arial"/>
                <w:color w:val="232323"/>
                <w:sz w:val="18"/>
                <w:szCs w:val="18"/>
                <w:shd w:val="clear" w:color="auto" w:fill="FFFFFF"/>
                <w:lang w:eastAsia="en-US"/>
              </w:rPr>
              <w:t xml:space="preserve">n = </w:t>
            </w:r>
            <w:r w:rsidRPr="00E3331A">
              <w:rPr>
                <w:rFonts w:ascii="Arial Narrow" w:eastAsia="Calibri" w:hAnsi="Arial Narrow" w:cs="Arial"/>
                <w:color w:val="232323"/>
                <w:sz w:val="18"/>
                <w:szCs w:val="18"/>
                <w:shd w:val="clear" w:color="auto" w:fill="FFFFFF"/>
                <w:lang w:eastAsia="en-US"/>
              </w:rPr>
              <w:t xml:space="preserve">3, k=1, </w:t>
            </w:r>
            <w:r>
              <w:rPr>
                <w:rFonts w:ascii="Arial Narrow" w:eastAsia="Calibri" w:hAnsi="Arial Narrow" w:cs="Arial"/>
                <w:color w:val="232323"/>
                <w:sz w:val="18"/>
                <w:szCs w:val="18"/>
                <w:shd w:val="clear" w:color="auto" w:fill="FFFFFF"/>
                <w:lang w:eastAsia="en-US"/>
              </w:rPr>
              <w:t xml:space="preserve">N = </w:t>
            </w:r>
            <w:r w:rsidRPr="00E3331A">
              <w:rPr>
                <w:rFonts w:ascii="Arial Narrow" w:eastAsia="Calibri" w:hAnsi="Arial Narrow" w:cs="Arial"/>
                <w:color w:val="232323"/>
                <w:sz w:val="18"/>
                <w:szCs w:val="18"/>
                <w:shd w:val="clear" w:color="auto" w:fill="FFFFFF"/>
                <w:lang w:eastAsia="en-US"/>
              </w:rPr>
              <w:t>155</w:t>
            </w:r>
          </w:p>
          <w:p w:rsidR="005231F0" w:rsidRPr="00E3331A" w:rsidRDefault="005231F0" w:rsidP="005231F0">
            <w:pPr>
              <w:spacing w:after="0" w:line="240" w:lineRule="auto"/>
              <w:rPr>
                <w:rFonts w:ascii="Arial Narrow" w:eastAsia="Calibri" w:hAnsi="Arial Narrow" w:cs="Arial"/>
                <w:color w:val="232323"/>
                <w:sz w:val="18"/>
                <w:szCs w:val="18"/>
                <w:shd w:val="clear" w:color="auto" w:fill="FFFFFF"/>
                <w:lang w:eastAsia="en-US"/>
              </w:rPr>
            </w:pPr>
            <w:r w:rsidRPr="00E3331A">
              <w:rPr>
                <w:rFonts w:ascii="Arial Narrow" w:eastAsia="Calibri" w:hAnsi="Arial Narrow" w:cs="Arial"/>
                <w:b/>
                <w:color w:val="232323"/>
                <w:sz w:val="18"/>
                <w:szCs w:val="18"/>
                <w:u w:val="single"/>
                <w:shd w:val="clear" w:color="auto" w:fill="FFFFFF"/>
                <w:lang w:eastAsia="en-US"/>
              </w:rPr>
              <w:t>Gastrointestinal bleeding</w:t>
            </w:r>
            <w:r w:rsidRPr="00E3331A">
              <w:rPr>
                <w:rFonts w:ascii="Arial Narrow" w:eastAsia="Calibri" w:hAnsi="Arial Narrow" w:cs="Arial"/>
                <w:color w:val="232323"/>
                <w:sz w:val="18"/>
                <w:szCs w:val="18"/>
                <w:shd w:val="clear" w:color="auto" w:fill="FFFFFF"/>
                <w:lang w:eastAsia="en-US"/>
              </w:rPr>
              <w:t xml:space="preserve"> </w:t>
            </w:r>
            <w:r>
              <w:rPr>
                <w:rFonts w:ascii="Arial Narrow" w:eastAsia="Calibri" w:hAnsi="Arial Narrow" w:cs="Arial"/>
                <w:color w:val="232323"/>
                <w:sz w:val="18"/>
                <w:szCs w:val="18"/>
                <w:shd w:val="clear" w:color="auto" w:fill="FFFFFF"/>
                <w:lang w:eastAsia="en-US"/>
              </w:rPr>
              <w:t xml:space="preserve">n = </w:t>
            </w:r>
            <w:r w:rsidRPr="00E3331A">
              <w:rPr>
                <w:rFonts w:ascii="Arial Narrow" w:eastAsia="Calibri" w:hAnsi="Arial Narrow" w:cs="Arial"/>
                <w:color w:val="232323"/>
                <w:sz w:val="18"/>
                <w:szCs w:val="18"/>
                <w:shd w:val="clear" w:color="auto" w:fill="FFFFFF"/>
                <w:lang w:eastAsia="en-US"/>
              </w:rPr>
              <w:t xml:space="preserve">2, k=1, </w:t>
            </w:r>
            <w:r>
              <w:rPr>
                <w:rFonts w:ascii="Arial Narrow" w:eastAsia="Calibri" w:hAnsi="Arial Narrow" w:cs="Arial"/>
                <w:color w:val="232323"/>
                <w:sz w:val="18"/>
                <w:szCs w:val="18"/>
                <w:shd w:val="clear" w:color="auto" w:fill="FFFFFF"/>
                <w:lang w:eastAsia="en-US"/>
              </w:rPr>
              <w:t xml:space="preserve">N = </w:t>
            </w:r>
            <w:r w:rsidRPr="00E3331A">
              <w:rPr>
                <w:rFonts w:ascii="Arial Narrow" w:eastAsia="Calibri" w:hAnsi="Arial Narrow" w:cs="Arial"/>
                <w:color w:val="232323"/>
                <w:sz w:val="18"/>
                <w:szCs w:val="18"/>
                <w:shd w:val="clear" w:color="auto" w:fill="FFFFFF"/>
                <w:lang w:eastAsia="en-US"/>
              </w:rPr>
              <w:t>16</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Indigestion: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23, k=3,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77</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Abdominal/gastric pain: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21</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Diarrhoea: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21</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Vomiting: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31</w:t>
            </w:r>
          </w:p>
        </w:tc>
        <w:tc>
          <w:tcPr>
            <w:tcW w:w="1394"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Not applicable</w:t>
            </w:r>
          </w:p>
        </w:tc>
      </w:tr>
      <w:tr w:rsidR="005231F0" w:rsidRPr="00E3331A" w:rsidTr="005231F0">
        <w:trPr>
          <w:trHeight w:val="467"/>
        </w:trPr>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Calibri"/>
                <w:b/>
                <w:sz w:val="18"/>
                <w:szCs w:val="18"/>
                <w:lang w:eastAsia="en-US"/>
              </w:rPr>
            </w:pPr>
            <w:r w:rsidRPr="00E3331A">
              <w:rPr>
                <w:rFonts w:ascii="Arial Narrow" w:eastAsia="Calibri" w:hAnsi="Arial Narrow" w:cs="Times New Roman"/>
                <w:b/>
                <w:sz w:val="18"/>
                <w:szCs w:val="18"/>
                <w:lang w:eastAsia="en-US"/>
              </w:rPr>
              <w:t>General disorders and administration site conditions</w:t>
            </w:r>
          </w:p>
        </w:tc>
        <w:tc>
          <w:tcPr>
            <w:tcW w:w="1399"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 xml:space="preserve">Reactions resembling anaphylaxis: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26 </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Anaphylaxis in IgA-deficient patients:</w:t>
            </w:r>
            <w:r w:rsidRPr="00E3331A">
              <w:rPr>
                <w:rFonts w:ascii="Arial Narrow" w:eastAsia="Calibri" w:hAnsi="Arial Narrow" w:cs="Times New Roman"/>
                <w:sz w:val="18"/>
                <w:szCs w:val="18"/>
                <w:lang w:eastAsia="en-US"/>
              </w:rPr>
              <w:t xml:space="preserve"> (NR)</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Fever: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30, k=3,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167</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Chills: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18,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143</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Fatigue: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10, k=3, K=300</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Flu-like syndrome: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8,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50</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Dose administration syndrome: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6,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27</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Thoracic pain or pressure: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44</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Rigors: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44</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Hyperthermia: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207</w:t>
            </w:r>
          </w:p>
        </w:tc>
        <w:tc>
          <w:tcPr>
            <w:tcW w:w="1396"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Dose administration syndrome (IV methylprednisone):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6,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16</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Fatigue: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5,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10</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Malaise: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3,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31</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Thoracic pain or pressure: m=1,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21</w:t>
            </w:r>
          </w:p>
        </w:tc>
        <w:tc>
          <w:tcPr>
            <w:tcW w:w="1394"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Anaphylaxis</w:t>
            </w:r>
            <w:r w:rsidRPr="00E3331A">
              <w:rPr>
                <w:rFonts w:ascii="Arial Narrow" w:eastAsia="Calibri" w:hAnsi="Arial Narrow" w:cs="Times New Roman"/>
                <w:sz w:val="18"/>
                <w:szCs w:val="18"/>
                <w:lang w:eastAsia="en-US"/>
              </w:rPr>
              <w:t xml:space="preserve"> (NR)</w:t>
            </w: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Calibri"/>
                <w:b/>
                <w:sz w:val="18"/>
                <w:szCs w:val="18"/>
                <w:lang w:eastAsia="en-US"/>
              </w:rPr>
              <w:t>Infections and infestations</w:t>
            </w:r>
          </w:p>
        </w:tc>
        <w:tc>
          <w:tcPr>
            <w:tcW w:w="1399"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Concurrent infections/phlogistic reactions</w:t>
            </w:r>
            <w:r w:rsidRPr="00E3331A">
              <w:rPr>
                <w:rFonts w:ascii="Arial Narrow" w:eastAsia="Calibri" w:hAnsi="Arial Narrow" w:cs="Times New Roman"/>
                <w:sz w:val="18"/>
                <w:szCs w:val="18"/>
                <w:lang w:eastAsia="en-US"/>
              </w:rPr>
              <w:t xml:space="preserve"> (NR)</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Infections: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46 across a number of studies with pharyngitis being the most common and sepsis occurring in 1 patient. Catheter infection was described in 1 patient. </w:t>
            </w:r>
          </w:p>
        </w:tc>
        <w:tc>
          <w:tcPr>
            <w:tcW w:w="1396"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b/>
                <w:sz w:val="18"/>
                <w:szCs w:val="18"/>
                <w:u w:val="single"/>
                <w:lang w:eastAsia="en-US"/>
              </w:rPr>
            </w:pPr>
            <w:r w:rsidRPr="00E3331A">
              <w:rPr>
                <w:rFonts w:ascii="Arial Narrow" w:eastAsia="Calibri" w:hAnsi="Arial Narrow" w:cs="Times New Roman"/>
                <w:b/>
                <w:sz w:val="18"/>
                <w:szCs w:val="18"/>
                <w:u w:val="single"/>
                <w:lang w:eastAsia="en-US"/>
              </w:rPr>
              <w:t>Dose-dependent increase in the risk of infection especially with common bacterial, viral, and fungal pathogens</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Total infections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15 across a number of studies</w:t>
            </w:r>
          </w:p>
        </w:tc>
        <w:tc>
          <w:tcPr>
            <w:tcW w:w="1394"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 xml:space="preserve">Infectious catheter complications: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33</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One study reported infection of the venous access site in 0.5% of procedures with sepsis in 0.2% of procedures.</w:t>
            </w: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Calibri"/>
                <w:b/>
                <w:sz w:val="18"/>
                <w:szCs w:val="18"/>
                <w:lang w:eastAsia="en-US"/>
              </w:rPr>
              <w:t>Metabolism and nutrition disorders</w:t>
            </w:r>
          </w:p>
        </w:tc>
        <w:tc>
          <w:tcPr>
            <w:tcW w:w="1399"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Hyperglycaemia: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24</w:t>
            </w:r>
          </w:p>
        </w:tc>
        <w:tc>
          <w:tcPr>
            <w:tcW w:w="1396"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 xml:space="preserve">Hyperglycaemia: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5,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36</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 xml:space="preserve">Diabetes: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9,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195</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lastRenderedPageBreak/>
              <w:t>Cushingoid appearance</w:t>
            </w:r>
            <w:r w:rsidRPr="00E3331A">
              <w:rPr>
                <w:rFonts w:ascii="Arial Narrow" w:eastAsia="Calibri" w:hAnsi="Arial Narrow" w:cs="Times New Roman"/>
                <w:sz w:val="18"/>
                <w:szCs w:val="18"/>
                <w:lang w:eastAsia="en-US"/>
              </w:rPr>
              <w:t xml:space="preserve">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20, K=3,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66</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 xml:space="preserve">Weight gain: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46, K=7,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281</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Impaired glucose tolerance: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16</w:t>
            </w:r>
          </w:p>
        </w:tc>
        <w:tc>
          <w:tcPr>
            <w:tcW w:w="1394"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lastRenderedPageBreak/>
              <w:t>Hypocalcaemia</w:t>
            </w:r>
            <w:r w:rsidRPr="00E3331A">
              <w:rPr>
                <w:rFonts w:ascii="Arial Narrow" w:eastAsia="Calibri" w:hAnsi="Arial Narrow" w:cs="Times New Roman"/>
                <w:sz w:val="18"/>
                <w:szCs w:val="18"/>
                <w:lang w:eastAsia="en-US"/>
              </w:rPr>
              <w:t xml:space="preserve"> (NR)</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Hypokalaemia</w:t>
            </w:r>
            <w:r w:rsidRPr="00E3331A">
              <w:rPr>
                <w:rFonts w:ascii="Arial Narrow" w:eastAsia="Calibri" w:hAnsi="Arial Narrow" w:cs="Times New Roman"/>
                <w:sz w:val="18"/>
                <w:szCs w:val="18"/>
                <w:u w:val="single"/>
                <w:lang w:eastAsia="en-US"/>
              </w:rPr>
              <w:t xml:space="preserve"> </w:t>
            </w:r>
            <w:r w:rsidRPr="00E3331A">
              <w:rPr>
                <w:rFonts w:ascii="Arial Narrow" w:eastAsia="Calibri" w:hAnsi="Arial Narrow" w:cs="Times New Roman"/>
                <w:sz w:val="18"/>
                <w:szCs w:val="18"/>
                <w:lang w:eastAsia="en-US"/>
              </w:rPr>
              <w:t>(NR)</w:t>
            </w: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Calibri"/>
                <w:b/>
                <w:sz w:val="18"/>
                <w:szCs w:val="18"/>
                <w:lang w:eastAsia="en-US"/>
              </w:rPr>
              <w:t>Musculoskeletal and connective tissue disorders</w:t>
            </w:r>
          </w:p>
        </w:tc>
        <w:tc>
          <w:tcPr>
            <w:tcW w:w="1399"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Weakness (Asthenia):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9,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113</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Back pain: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6,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217</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Muscle pain: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44</w:t>
            </w:r>
          </w:p>
          <w:p w:rsidR="005231F0" w:rsidRPr="00E3331A" w:rsidRDefault="005231F0" w:rsidP="005231F0">
            <w:pPr>
              <w:spacing w:after="0" w:line="240" w:lineRule="auto"/>
              <w:rPr>
                <w:rFonts w:ascii="Arial Narrow" w:eastAsia="Calibri" w:hAnsi="Arial Narrow" w:cs="Times New Roman"/>
                <w:sz w:val="18"/>
                <w:szCs w:val="18"/>
                <w:lang w:eastAsia="en-US"/>
              </w:rPr>
            </w:pPr>
          </w:p>
        </w:tc>
        <w:tc>
          <w:tcPr>
            <w:tcW w:w="1396"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Osteopenia</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15</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 xml:space="preserve">Osteoporosis: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3,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155</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Osteonecrosis</w:t>
            </w:r>
            <w:r w:rsidRPr="00E3331A">
              <w:rPr>
                <w:rFonts w:ascii="Arial Narrow" w:eastAsia="Calibri" w:hAnsi="Arial Narrow" w:cs="Times New Roman"/>
                <w:sz w:val="18"/>
                <w:szCs w:val="18"/>
                <w:lang w:eastAsia="en-US"/>
              </w:rPr>
              <w:t xml:space="preserve"> (NR)</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Weakness (Asthenia):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10</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Limb pain: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21</w:t>
            </w:r>
          </w:p>
        </w:tc>
        <w:tc>
          <w:tcPr>
            <w:tcW w:w="1394"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Not applicable</w:t>
            </w: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Calibri"/>
                <w:b/>
                <w:sz w:val="18"/>
                <w:szCs w:val="18"/>
                <w:lang w:eastAsia="en-US"/>
              </w:rPr>
              <w:t>Nervous system disorders</w:t>
            </w:r>
          </w:p>
        </w:tc>
        <w:tc>
          <w:tcPr>
            <w:tcW w:w="1399"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 xml:space="preserve">Headache: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155, k=14,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587</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Dizziness/light headedness: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8, k=3,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163</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Paraesthesia: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50</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Syncope: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50</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CIDP worsening: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4,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77</w:t>
            </w:r>
          </w:p>
        </w:tc>
        <w:tc>
          <w:tcPr>
            <w:tcW w:w="1396"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Headache: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7,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48</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Dizziness/light headedness: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21</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Tremor: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21</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Neuralgia: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21</w:t>
            </w:r>
          </w:p>
        </w:tc>
        <w:tc>
          <w:tcPr>
            <w:tcW w:w="1394"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Not applicable</w:t>
            </w: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Calibri"/>
                <w:b/>
                <w:sz w:val="18"/>
                <w:szCs w:val="18"/>
                <w:lang w:eastAsia="en-US"/>
              </w:rPr>
            </w:pPr>
            <w:r w:rsidRPr="00E3331A">
              <w:rPr>
                <w:rFonts w:ascii="Arial Narrow" w:eastAsia="Calibri" w:hAnsi="Arial Narrow" w:cs="Times New Roman"/>
                <w:b/>
                <w:bCs/>
                <w:sz w:val="18"/>
                <w:szCs w:val="18"/>
                <w:lang w:eastAsia="en-US"/>
              </w:rPr>
              <w:t>Neoplasms benign, malignant and unspecified (incl cysts and polyps)</w:t>
            </w:r>
          </w:p>
        </w:tc>
        <w:tc>
          <w:tcPr>
            <w:tcW w:w="1399"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Uterine leiomyoma: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24</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Carcinoma of the bronchus: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30</w:t>
            </w:r>
          </w:p>
        </w:tc>
        <w:tc>
          <w:tcPr>
            <w:tcW w:w="1396"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Lymphoma: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3, k=3,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50</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Rectum polyp: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21</w:t>
            </w:r>
          </w:p>
        </w:tc>
        <w:tc>
          <w:tcPr>
            <w:tcW w:w="1394"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Not applicable</w:t>
            </w: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Calibri"/>
                <w:b/>
                <w:sz w:val="18"/>
                <w:szCs w:val="18"/>
                <w:lang w:eastAsia="en-US"/>
              </w:rPr>
              <w:t>Psychiatric disorders</w:t>
            </w:r>
          </w:p>
        </w:tc>
        <w:tc>
          <w:tcPr>
            <w:tcW w:w="1399"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Insomnia: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50</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Anxiety: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73</w:t>
            </w:r>
          </w:p>
        </w:tc>
        <w:tc>
          <w:tcPr>
            <w:tcW w:w="1396"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Arial"/>
                <w:color w:val="232323"/>
                <w:sz w:val="18"/>
                <w:szCs w:val="18"/>
                <w:shd w:val="clear" w:color="auto" w:fill="FFFFFF"/>
                <w:lang w:eastAsia="en-US"/>
              </w:rPr>
            </w:pPr>
            <w:r w:rsidRPr="00E3331A">
              <w:rPr>
                <w:rFonts w:ascii="Arial Narrow" w:eastAsia="Calibri" w:hAnsi="Arial Narrow" w:cs="Arial"/>
                <w:b/>
                <w:color w:val="232323"/>
                <w:sz w:val="18"/>
                <w:szCs w:val="18"/>
                <w:u w:val="single"/>
                <w:shd w:val="clear" w:color="auto" w:fill="FFFFFF"/>
                <w:lang w:eastAsia="en-US"/>
              </w:rPr>
              <w:t>Emotional lability</w:t>
            </w:r>
            <w:r w:rsidRPr="00E3331A">
              <w:rPr>
                <w:rFonts w:ascii="Arial Narrow" w:eastAsia="Calibri" w:hAnsi="Arial Narrow" w:cs="Arial"/>
                <w:color w:val="232323"/>
                <w:sz w:val="18"/>
                <w:szCs w:val="18"/>
                <w:shd w:val="clear" w:color="auto" w:fill="FFFFFF"/>
                <w:lang w:eastAsia="en-US"/>
              </w:rPr>
              <w:t xml:space="preserve"> (NR)</w:t>
            </w:r>
          </w:p>
          <w:p w:rsidR="005231F0" w:rsidRPr="00E3331A" w:rsidRDefault="005231F0" w:rsidP="005231F0">
            <w:pPr>
              <w:spacing w:after="0" w:line="240" w:lineRule="auto"/>
              <w:rPr>
                <w:rFonts w:ascii="Arial Narrow" w:eastAsia="Calibri" w:hAnsi="Arial Narrow" w:cs="Arial"/>
                <w:color w:val="232323"/>
                <w:sz w:val="18"/>
                <w:szCs w:val="18"/>
                <w:shd w:val="clear" w:color="auto" w:fill="FFFFFF"/>
                <w:lang w:eastAsia="en-US"/>
              </w:rPr>
            </w:pPr>
            <w:r w:rsidRPr="00E3331A">
              <w:rPr>
                <w:rFonts w:ascii="Arial Narrow" w:eastAsia="Calibri" w:hAnsi="Arial Narrow" w:cs="Arial"/>
                <w:b/>
                <w:color w:val="232323"/>
                <w:sz w:val="18"/>
                <w:szCs w:val="18"/>
                <w:u w:val="single"/>
                <w:shd w:val="clear" w:color="auto" w:fill="FFFFFF"/>
                <w:lang w:eastAsia="en-US"/>
              </w:rPr>
              <w:t>Hypomania</w:t>
            </w:r>
            <w:r w:rsidRPr="00E3331A">
              <w:rPr>
                <w:rFonts w:ascii="Arial Narrow" w:eastAsia="Calibri" w:hAnsi="Arial Narrow" w:cs="Arial"/>
                <w:b/>
                <w:color w:val="232323"/>
                <w:sz w:val="18"/>
                <w:szCs w:val="18"/>
                <w:shd w:val="clear" w:color="auto" w:fill="FFFFFF"/>
                <w:lang w:eastAsia="en-US"/>
              </w:rPr>
              <w:t xml:space="preserve"> </w:t>
            </w:r>
            <w:r w:rsidRPr="00E3331A">
              <w:rPr>
                <w:rFonts w:ascii="Arial Narrow" w:eastAsia="Calibri" w:hAnsi="Arial Narrow" w:cs="Arial"/>
                <w:color w:val="232323"/>
                <w:sz w:val="18"/>
                <w:szCs w:val="18"/>
                <w:shd w:val="clear" w:color="auto" w:fill="FFFFFF"/>
                <w:lang w:eastAsia="en-US"/>
              </w:rPr>
              <w:t>(NR)</w:t>
            </w:r>
          </w:p>
          <w:p w:rsidR="005231F0" w:rsidRPr="00E3331A" w:rsidRDefault="005231F0" w:rsidP="005231F0">
            <w:pPr>
              <w:spacing w:after="0" w:line="240" w:lineRule="auto"/>
              <w:rPr>
                <w:rFonts w:ascii="Arial Narrow" w:eastAsia="Calibri" w:hAnsi="Arial Narrow" w:cs="Arial"/>
                <w:color w:val="232323"/>
                <w:sz w:val="18"/>
                <w:szCs w:val="18"/>
                <w:shd w:val="clear" w:color="auto" w:fill="FFFFFF"/>
                <w:lang w:eastAsia="en-US"/>
              </w:rPr>
            </w:pPr>
            <w:r w:rsidRPr="00E3331A">
              <w:rPr>
                <w:rFonts w:ascii="Arial Narrow" w:eastAsia="Calibri" w:hAnsi="Arial Narrow" w:cs="Arial"/>
                <w:b/>
                <w:color w:val="232323"/>
                <w:sz w:val="18"/>
                <w:szCs w:val="18"/>
                <w:u w:val="single"/>
                <w:shd w:val="clear" w:color="auto" w:fill="FFFFFF"/>
                <w:lang w:eastAsia="en-US"/>
              </w:rPr>
              <w:t>Mania</w:t>
            </w:r>
            <w:r w:rsidRPr="00E3331A">
              <w:rPr>
                <w:rFonts w:ascii="Arial Narrow" w:eastAsia="Calibri" w:hAnsi="Arial Narrow" w:cs="Arial"/>
                <w:color w:val="232323"/>
                <w:sz w:val="18"/>
                <w:szCs w:val="18"/>
                <w:shd w:val="clear" w:color="auto" w:fill="FFFFFF"/>
                <w:lang w:eastAsia="en-US"/>
              </w:rPr>
              <w:t xml:space="preserve"> (NR)</w:t>
            </w:r>
          </w:p>
          <w:p w:rsidR="005231F0" w:rsidRPr="00E3331A" w:rsidRDefault="005231F0" w:rsidP="005231F0">
            <w:pPr>
              <w:spacing w:after="0" w:line="240" w:lineRule="auto"/>
              <w:rPr>
                <w:rFonts w:ascii="Arial Narrow" w:eastAsia="Calibri" w:hAnsi="Arial Narrow" w:cs="Arial"/>
                <w:color w:val="232323"/>
                <w:sz w:val="18"/>
                <w:szCs w:val="18"/>
                <w:shd w:val="clear" w:color="auto" w:fill="FFFFFF"/>
                <w:lang w:eastAsia="en-US"/>
              </w:rPr>
            </w:pPr>
            <w:r w:rsidRPr="00E3331A">
              <w:rPr>
                <w:rFonts w:ascii="Arial Narrow" w:eastAsia="Calibri" w:hAnsi="Arial Narrow" w:cs="Arial"/>
                <w:b/>
                <w:color w:val="232323"/>
                <w:sz w:val="18"/>
                <w:szCs w:val="18"/>
                <w:u w:val="single"/>
                <w:shd w:val="clear" w:color="auto" w:fill="FFFFFF"/>
                <w:lang w:eastAsia="en-US"/>
              </w:rPr>
              <w:t xml:space="preserve">Depression: </w:t>
            </w:r>
            <w:r>
              <w:rPr>
                <w:rFonts w:ascii="Arial Narrow" w:eastAsia="Calibri" w:hAnsi="Arial Narrow" w:cs="Arial"/>
                <w:color w:val="232323"/>
                <w:sz w:val="18"/>
                <w:szCs w:val="18"/>
                <w:shd w:val="clear" w:color="auto" w:fill="FFFFFF"/>
                <w:lang w:eastAsia="en-US"/>
              </w:rPr>
              <w:t xml:space="preserve">n = </w:t>
            </w:r>
            <w:r w:rsidRPr="00E3331A">
              <w:rPr>
                <w:rFonts w:ascii="Arial Narrow" w:eastAsia="Calibri" w:hAnsi="Arial Narrow" w:cs="Arial"/>
                <w:color w:val="232323"/>
                <w:sz w:val="18"/>
                <w:szCs w:val="18"/>
                <w:shd w:val="clear" w:color="auto" w:fill="FFFFFF"/>
                <w:lang w:eastAsia="en-US"/>
              </w:rPr>
              <w:t xml:space="preserve">1, k=1, </w:t>
            </w:r>
            <w:r>
              <w:rPr>
                <w:rFonts w:ascii="Arial Narrow" w:eastAsia="Calibri" w:hAnsi="Arial Narrow" w:cs="Arial"/>
                <w:color w:val="232323"/>
                <w:sz w:val="18"/>
                <w:szCs w:val="18"/>
                <w:shd w:val="clear" w:color="auto" w:fill="FFFFFF"/>
                <w:lang w:eastAsia="en-US"/>
              </w:rPr>
              <w:t xml:space="preserve">N = </w:t>
            </w:r>
            <w:r w:rsidRPr="00E3331A">
              <w:rPr>
                <w:rFonts w:ascii="Arial Narrow" w:eastAsia="Calibri" w:hAnsi="Arial Narrow" w:cs="Arial"/>
                <w:color w:val="232323"/>
                <w:sz w:val="18"/>
                <w:szCs w:val="18"/>
                <w:shd w:val="clear" w:color="auto" w:fill="FFFFFF"/>
                <w:lang w:eastAsia="en-US"/>
              </w:rPr>
              <w:t>21</w:t>
            </w:r>
          </w:p>
          <w:p w:rsidR="005231F0" w:rsidRPr="00E3331A" w:rsidRDefault="005231F0" w:rsidP="005231F0">
            <w:pPr>
              <w:spacing w:after="0" w:line="240" w:lineRule="auto"/>
              <w:rPr>
                <w:rFonts w:ascii="Arial Narrow" w:eastAsia="Calibri" w:hAnsi="Arial Narrow" w:cs="Arial"/>
                <w:color w:val="232323"/>
                <w:sz w:val="18"/>
                <w:szCs w:val="18"/>
                <w:shd w:val="clear" w:color="auto" w:fill="FFFFFF"/>
                <w:lang w:eastAsia="en-US"/>
              </w:rPr>
            </w:pPr>
            <w:r w:rsidRPr="00E3331A">
              <w:rPr>
                <w:rFonts w:ascii="Arial Narrow" w:eastAsia="Calibri" w:hAnsi="Arial Narrow" w:cs="Arial"/>
                <w:b/>
                <w:color w:val="232323"/>
                <w:sz w:val="18"/>
                <w:szCs w:val="18"/>
                <w:u w:val="single"/>
                <w:shd w:val="clear" w:color="auto" w:fill="FFFFFF"/>
                <w:lang w:eastAsia="en-US"/>
              </w:rPr>
              <w:t xml:space="preserve">Psychosis: </w:t>
            </w:r>
            <w:r>
              <w:rPr>
                <w:rFonts w:ascii="Arial Narrow" w:eastAsia="Calibri" w:hAnsi="Arial Narrow" w:cs="Arial"/>
                <w:color w:val="232323"/>
                <w:sz w:val="18"/>
                <w:szCs w:val="18"/>
                <w:shd w:val="clear" w:color="auto" w:fill="FFFFFF"/>
                <w:lang w:eastAsia="en-US"/>
              </w:rPr>
              <w:t xml:space="preserve">n = </w:t>
            </w:r>
            <w:r w:rsidRPr="00E3331A">
              <w:rPr>
                <w:rFonts w:ascii="Arial Narrow" w:eastAsia="Calibri" w:hAnsi="Arial Narrow" w:cs="Arial"/>
                <w:color w:val="232323"/>
                <w:sz w:val="18"/>
                <w:szCs w:val="18"/>
                <w:shd w:val="clear" w:color="auto" w:fill="FFFFFF"/>
                <w:lang w:eastAsia="en-US"/>
              </w:rPr>
              <w:t xml:space="preserve">3, k=2, </w:t>
            </w:r>
            <w:r>
              <w:rPr>
                <w:rFonts w:ascii="Arial Narrow" w:eastAsia="Calibri" w:hAnsi="Arial Narrow" w:cs="Arial"/>
                <w:color w:val="232323"/>
                <w:sz w:val="18"/>
                <w:szCs w:val="18"/>
                <w:shd w:val="clear" w:color="auto" w:fill="FFFFFF"/>
                <w:lang w:eastAsia="en-US"/>
              </w:rPr>
              <w:t xml:space="preserve">N = </w:t>
            </w:r>
            <w:r w:rsidRPr="00E3331A">
              <w:rPr>
                <w:rFonts w:ascii="Arial Narrow" w:eastAsia="Calibri" w:hAnsi="Arial Narrow" w:cs="Arial"/>
                <w:color w:val="232323"/>
                <w:sz w:val="18"/>
                <w:szCs w:val="18"/>
                <w:shd w:val="clear" w:color="auto" w:fill="FFFFFF"/>
                <w:lang w:eastAsia="en-US"/>
              </w:rPr>
              <w:t>50</w:t>
            </w:r>
          </w:p>
          <w:p w:rsidR="005231F0" w:rsidRPr="00E3331A" w:rsidRDefault="005231F0" w:rsidP="005231F0">
            <w:pPr>
              <w:spacing w:after="0" w:line="240" w:lineRule="auto"/>
              <w:rPr>
                <w:rFonts w:ascii="Arial Narrow" w:eastAsia="Calibri" w:hAnsi="Arial Narrow" w:cs="Arial"/>
                <w:color w:val="232323"/>
                <w:sz w:val="18"/>
                <w:szCs w:val="18"/>
                <w:shd w:val="clear" w:color="auto" w:fill="FFFFFF"/>
                <w:lang w:eastAsia="en-US"/>
              </w:rPr>
            </w:pPr>
            <w:r w:rsidRPr="00E3331A">
              <w:rPr>
                <w:rFonts w:ascii="Arial Narrow" w:eastAsia="Calibri" w:hAnsi="Arial Narrow" w:cs="Arial"/>
                <w:b/>
                <w:color w:val="232323"/>
                <w:sz w:val="18"/>
                <w:szCs w:val="18"/>
                <w:u w:val="single"/>
                <w:shd w:val="clear" w:color="auto" w:fill="FFFFFF"/>
                <w:lang w:eastAsia="en-US"/>
              </w:rPr>
              <w:t xml:space="preserve">Delirium: </w:t>
            </w:r>
            <w:r>
              <w:rPr>
                <w:rFonts w:ascii="Arial Narrow" w:eastAsia="Calibri" w:hAnsi="Arial Narrow" w:cs="Arial"/>
                <w:color w:val="232323"/>
                <w:sz w:val="18"/>
                <w:szCs w:val="18"/>
                <w:shd w:val="clear" w:color="auto" w:fill="FFFFFF"/>
                <w:lang w:eastAsia="en-US"/>
              </w:rPr>
              <w:t xml:space="preserve">n = </w:t>
            </w:r>
            <w:r w:rsidRPr="00E3331A">
              <w:rPr>
                <w:rFonts w:ascii="Arial Narrow" w:eastAsia="Calibri" w:hAnsi="Arial Narrow" w:cs="Arial"/>
                <w:color w:val="232323"/>
                <w:sz w:val="18"/>
                <w:szCs w:val="18"/>
                <w:shd w:val="clear" w:color="auto" w:fill="FFFFFF"/>
                <w:lang w:eastAsia="en-US"/>
              </w:rPr>
              <w:t xml:space="preserve">1, k=1, </w:t>
            </w:r>
            <w:r>
              <w:rPr>
                <w:rFonts w:ascii="Arial Narrow" w:eastAsia="Calibri" w:hAnsi="Arial Narrow" w:cs="Arial"/>
                <w:color w:val="232323"/>
                <w:sz w:val="18"/>
                <w:szCs w:val="18"/>
                <w:shd w:val="clear" w:color="auto" w:fill="FFFFFF"/>
                <w:lang w:eastAsia="en-US"/>
              </w:rPr>
              <w:t xml:space="preserve">N = </w:t>
            </w:r>
            <w:r w:rsidRPr="00E3331A">
              <w:rPr>
                <w:rFonts w:ascii="Arial Narrow" w:eastAsia="Calibri" w:hAnsi="Arial Narrow" w:cs="Arial"/>
                <w:color w:val="232323"/>
                <w:sz w:val="18"/>
                <w:szCs w:val="18"/>
                <w:shd w:val="clear" w:color="auto" w:fill="FFFFFF"/>
                <w:lang w:eastAsia="en-US"/>
              </w:rPr>
              <w:t>21</w:t>
            </w:r>
          </w:p>
          <w:p w:rsidR="005231F0" w:rsidRPr="00E3331A" w:rsidRDefault="005231F0" w:rsidP="005231F0">
            <w:pPr>
              <w:spacing w:after="0" w:line="240" w:lineRule="auto"/>
              <w:rPr>
                <w:rFonts w:ascii="Arial Narrow" w:eastAsia="Calibri" w:hAnsi="Arial Narrow" w:cs="Arial"/>
                <w:color w:val="232323"/>
                <w:sz w:val="18"/>
                <w:szCs w:val="18"/>
                <w:shd w:val="clear" w:color="auto" w:fill="FFFFFF"/>
                <w:lang w:eastAsia="en-US"/>
              </w:rPr>
            </w:pPr>
            <w:r w:rsidRPr="00E3331A">
              <w:rPr>
                <w:rFonts w:ascii="Arial Narrow" w:eastAsia="Calibri" w:hAnsi="Arial Narrow" w:cs="Arial"/>
                <w:b/>
                <w:color w:val="232323"/>
                <w:sz w:val="18"/>
                <w:szCs w:val="18"/>
                <w:u w:val="single"/>
                <w:shd w:val="clear" w:color="auto" w:fill="FFFFFF"/>
                <w:lang w:eastAsia="en-US"/>
              </w:rPr>
              <w:t>Confusion:</w:t>
            </w:r>
            <w:r w:rsidRPr="00E3331A">
              <w:rPr>
                <w:rFonts w:ascii="Arial Narrow" w:eastAsia="Calibri" w:hAnsi="Arial Narrow" w:cs="Arial"/>
                <w:color w:val="232323"/>
                <w:sz w:val="18"/>
                <w:szCs w:val="18"/>
                <w:shd w:val="clear" w:color="auto" w:fill="FFFFFF"/>
                <w:lang w:eastAsia="en-US"/>
              </w:rPr>
              <w:t xml:space="preserve"> (NR)</w:t>
            </w:r>
          </w:p>
          <w:p w:rsidR="005231F0" w:rsidRPr="00E3331A" w:rsidRDefault="005231F0" w:rsidP="005231F0">
            <w:pPr>
              <w:spacing w:after="0" w:line="240" w:lineRule="auto"/>
              <w:rPr>
                <w:rFonts w:ascii="Arial Narrow" w:eastAsia="Calibri" w:hAnsi="Arial Narrow" w:cs="Arial"/>
                <w:color w:val="232323"/>
                <w:sz w:val="18"/>
                <w:szCs w:val="18"/>
                <w:shd w:val="clear" w:color="auto" w:fill="FFFFFF"/>
                <w:lang w:eastAsia="en-US"/>
              </w:rPr>
            </w:pPr>
            <w:r w:rsidRPr="00E3331A">
              <w:rPr>
                <w:rFonts w:ascii="Arial Narrow" w:eastAsia="Calibri" w:hAnsi="Arial Narrow" w:cs="Arial"/>
                <w:b/>
                <w:color w:val="232323"/>
                <w:sz w:val="18"/>
                <w:szCs w:val="18"/>
                <w:u w:val="single"/>
                <w:shd w:val="clear" w:color="auto" w:fill="FFFFFF"/>
                <w:lang w:eastAsia="en-US"/>
              </w:rPr>
              <w:t>Disorientation:</w:t>
            </w:r>
            <w:r w:rsidRPr="00E3331A">
              <w:rPr>
                <w:rFonts w:ascii="Arial Narrow" w:eastAsia="Calibri" w:hAnsi="Arial Narrow" w:cs="Arial"/>
                <w:color w:val="232323"/>
                <w:sz w:val="18"/>
                <w:szCs w:val="18"/>
                <w:u w:val="single"/>
                <w:shd w:val="clear" w:color="auto" w:fill="FFFFFF"/>
                <w:lang w:eastAsia="en-US"/>
              </w:rPr>
              <w:t xml:space="preserve"> </w:t>
            </w:r>
            <w:r w:rsidRPr="00E3331A">
              <w:rPr>
                <w:rFonts w:ascii="Arial Narrow" w:eastAsia="Calibri" w:hAnsi="Arial Narrow" w:cs="Arial"/>
                <w:color w:val="232323"/>
                <w:sz w:val="18"/>
                <w:szCs w:val="18"/>
                <w:shd w:val="clear" w:color="auto" w:fill="FFFFFF"/>
                <w:lang w:eastAsia="en-US"/>
              </w:rPr>
              <w:t>(NR)</w:t>
            </w:r>
          </w:p>
          <w:p w:rsidR="005231F0" w:rsidRPr="00E3331A" w:rsidRDefault="005231F0" w:rsidP="005231F0">
            <w:pPr>
              <w:spacing w:after="0" w:line="240" w:lineRule="auto"/>
              <w:rPr>
                <w:rFonts w:ascii="Arial Narrow" w:eastAsia="Calibri" w:hAnsi="Arial Narrow" w:cs="Arial"/>
                <w:color w:val="232323"/>
                <w:sz w:val="18"/>
                <w:szCs w:val="18"/>
                <w:shd w:val="clear" w:color="auto" w:fill="FFFFFF"/>
                <w:lang w:eastAsia="en-US"/>
              </w:rPr>
            </w:pPr>
            <w:r w:rsidRPr="00E3331A">
              <w:rPr>
                <w:rFonts w:ascii="Arial Narrow" w:eastAsia="Calibri" w:hAnsi="Arial Narrow" w:cs="Arial"/>
                <w:b/>
                <w:color w:val="232323"/>
                <w:sz w:val="18"/>
                <w:szCs w:val="18"/>
                <w:u w:val="single"/>
                <w:shd w:val="clear" w:color="auto" w:fill="FFFFFF"/>
                <w:lang w:eastAsia="en-US"/>
              </w:rPr>
              <w:t xml:space="preserve">Insomnia: </w:t>
            </w:r>
            <w:r>
              <w:rPr>
                <w:rFonts w:ascii="Arial Narrow" w:eastAsia="Calibri" w:hAnsi="Arial Narrow" w:cs="Arial"/>
                <w:color w:val="232323"/>
                <w:sz w:val="18"/>
                <w:szCs w:val="18"/>
                <w:shd w:val="clear" w:color="auto" w:fill="FFFFFF"/>
                <w:lang w:eastAsia="en-US"/>
              </w:rPr>
              <w:t xml:space="preserve">n = </w:t>
            </w:r>
            <w:r w:rsidRPr="00E3331A">
              <w:rPr>
                <w:rFonts w:ascii="Arial Narrow" w:eastAsia="Calibri" w:hAnsi="Arial Narrow" w:cs="Arial"/>
                <w:color w:val="232323"/>
                <w:sz w:val="18"/>
                <w:szCs w:val="18"/>
                <w:shd w:val="clear" w:color="auto" w:fill="FFFFFF"/>
                <w:lang w:eastAsia="en-US"/>
              </w:rPr>
              <w:t xml:space="preserve">35, k=4, </w:t>
            </w:r>
            <w:r>
              <w:rPr>
                <w:rFonts w:ascii="Arial Narrow" w:eastAsia="Calibri" w:hAnsi="Arial Narrow" w:cs="Arial"/>
                <w:color w:val="232323"/>
                <w:sz w:val="18"/>
                <w:szCs w:val="18"/>
                <w:shd w:val="clear" w:color="auto" w:fill="FFFFFF"/>
                <w:lang w:eastAsia="en-US"/>
              </w:rPr>
              <w:t xml:space="preserve">N = </w:t>
            </w:r>
            <w:r w:rsidRPr="00E3331A">
              <w:rPr>
                <w:rFonts w:ascii="Arial Narrow" w:eastAsia="Calibri" w:hAnsi="Arial Narrow" w:cs="Arial"/>
                <w:color w:val="232323"/>
                <w:sz w:val="18"/>
                <w:szCs w:val="18"/>
                <w:shd w:val="clear" w:color="auto" w:fill="FFFFFF"/>
                <w:lang w:eastAsia="en-US"/>
              </w:rPr>
              <w:t>241</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Mood changes: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23,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50</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Agitation: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5,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31</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Visual hallucinations: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21</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Anxiety: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21</w:t>
            </w:r>
          </w:p>
        </w:tc>
        <w:tc>
          <w:tcPr>
            <w:tcW w:w="1394"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Not applicable</w:t>
            </w: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Calibri"/>
                <w:b/>
                <w:sz w:val="18"/>
                <w:szCs w:val="18"/>
                <w:lang w:eastAsia="en-US"/>
              </w:rPr>
            </w:pPr>
            <w:r w:rsidRPr="00E3331A">
              <w:rPr>
                <w:rFonts w:ascii="Arial Narrow" w:eastAsia="Calibri" w:hAnsi="Arial Narrow" w:cs="Calibri"/>
                <w:b/>
                <w:sz w:val="18"/>
                <w:szCs w:val="18"/>
                <w:lang w:eastAsia="en-US"/>
              </w:rPr>
              <w:t>Renal and urinary disorders</w:t>
            </w:r>
          </w:p>
          <w:p w:rsidR="005231F0" w:rsidRPr="00E3331A" w:rsidRDefault="005231F0" w:rsidP="005231F0">
            <w:pPr>
              <w:spacing w:after="0" w:line="240" w:lineRule="auto"/>
              <w:rPr>
                <w:rFonts w:ascii="Arial Narrow" w:eastAsia="Calibri" w:hAnsi="Arial Narrow" w:cs="Times New Roman"/>
                <w:b/>
                <w:sz w:val="18"/>
                <w:szCs w:val="18"/>
                <w:lang w:eastAsia="en-US"/>
              </w:rPr>
            </w:pPr>
          </w:p>
        </w:tc>
        <w:tc>
          <w:tcPr>
            <w:tcW w:w="1399"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Acute kidney injury</w:t>
            </w:r>
            <w:r w:rsidRPr="00E3331A">
              <w:rPr>
                <w:rFonts w:ascii="Arial Narrow" w:eastAsia="Calibri" w:hAnsi="Arial Narrow" w:cs="Times New Roman"/>
                <w:sz w:val="18"/>
                <w:szCs w:val="18"/>
                <w:lang w:eastAsia="en-US"/>
              </w:rPr>
              <w:t xml:space="preserve"> (NR)</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Hyponatremia</w:t>
            </w:r>
            <w:r w:rsidRPr="00E3331A">
              <w:rPr>
                <w:rFonts w:ascii="Arial Narrow" w:eastAsia="Calibri" w:hAnsi="Arial Narrow" w:cs="Times New Roman"/>
                <w:sz w:val="18"/>
                <w:szCs w:val="18"/>
                <w:u w:val="single"/>
                <w:lang w:eastAsia="en-US"/>
              </w:rPr>
              <w:t xml:space="preserve"> </w:t>
            </w:r>
            <w:r w:rsidRPr="00E3331A">
              <w:rPr>
                <w:rFonts w:ascii="Arial Narrow" w:eastAsia="Calibri" w:hAnsi="Arial Narrow" w:cs="Times New Roman"/>
                <w:sz w:val="18"/>
                <w:szCs w:val="18"/>
                <w:lang w:eastAsia="en-US"/>
              </w:rPr>
              <w:t>(NR)</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u w:val="single"/>
                <w:lang w:eastAsia="en-US"/>
              </w:rPr>
              <w:t xml:space="preserve">Reversible decrease in renal function: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3,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26</w:t>
            </w:r>
          </w:p>
        </w:tc>
        <w:tc>
          <w:tcPr>
            <w:tcW w:w="1396"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Acute kidney injury/renal insufficiency: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16</w:t>
            </w:r>
          </w:p>
        </w:tc>
        <w:tc>
          <w:tcPr>
            <w:tcW w:w="1394"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Not applicable</w:t>
            </w: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Calibri"/>
                <w:b/>
                <w:sz w:val="18"/>
                <w:szCs w:val="18"/>
                <w:lang w:eastAsia="en-US"/>
              </w:rPr>
              <w:t>Respiratory, thoracic and mediastinal disorders</w:t>
            </w:r>
          </w:p>
        </w:tc>
        <w:tc>
          <w:tcPr>
            <w:tcW w:w="1399"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Transfusion-related acute lung injury (TRALI)</w:t>
            </w:r>
            <w:r w:rsidRPr="00E3331A">
              <w:rPr>
                <w:rFonts w:ascii="Arial Narrow" w:eastAsia="Calibri" w:hAnsi="Arial Narrow" w:cs="Times New Roman"/>
                <w:sz w:val="18"/>
                <w:szCs w:val="18"/>
                <w:lang w:eastAsia="en-US"/>
              </w:rPr>
              <w:t xml:space="preserve"> (NR)</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Upper respiratory tract inflammation: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4,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49</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Dyspnoea: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50</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Respiratory failure: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231</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Cough: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24</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Pneumothorax: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207</w:t>
            </w:r>
          </w:p>
        </w:tc>
        <w:tc>
          <w:tcPr>
            <w:tcW w:w="1396"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Dyspnoea: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21</w:t>
            </w:r>
          </w:p>
        </w:tc>
        <w:tc>
          <w:tcPr>
            <w:tcW w:w="1394"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b/>
                <w:sz w:val="18"/>
                <w:szCs w:val="18"/>
                <w:u w:val="single"/>
                <w:lang w:eastAsia="en-US"/>
              </w:rPr>
            </w:pPr>
            <w:r w:rsidRPr="00E3331A">
              <w:rPr>
                <w:rFonts w:ascii="Arial Narrow" w:eastAsia="Calibri" w:hAnsi="Arial Narrow" w:cs="Times New Roman"/>
                <w:b/>
                <w:sz w:val="18"/>
                <w:szCs w:val="18"/>
                <w:u w:val="single"/>
                <w:lang w:eastAsia="en-US"/>
              </w:rPr>
              <w:t xml:space="preserve">Shortness of breath </w:t>
            </w:r>
            <w:r w:rsidRPr="00E3331A">
              <w:rPr>
                <w:rFonts w:ascii="Arial Narrow" w:eastAsia="Calibri" w:hAnsi="Arial Narrow" w:cs="Times New Roman"/>
                <w:sz w:val="18"/>
                <w:szCs w:val="18"/>
                <w:u w:val="single"/>
                <w:lang w:eastAsia="en-US"/>
              </w:rPr>
              <w:t>(NR)</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TRALI</w:t>
            </w:r>
            <w:r w:rsidRPr="00E3331A">
              <w:rPr>
                <w:rFonts w:ascii="Arial Narrow" w:eastAsia="Calibri" w:hAnsi="Arial Narrow" w:cs="Times New Roman"/>
                <w:sz w:val="18"/>
                <w:szCs w:val="18"/>
                <w:lang w:eastAsia="en-US"/>
              </w:rPr>
              <w:t xml:space="preserve"> (NR)</w:t>
            </w: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Calibri"/>
                <w:b/>
                <w:sz w:val="18"/>
                <w:szCs w:val="18"/>
                <w:lang w:eastAsia="en-US"/>
              </w:rPr>
              <w:t>Skin and subcutaneous tissue disorders</w:t>
            </w:r>
          </w:p>
        </w:tc>
        <w:tc>
          <w:tcPr>
            <w:tcW w:w="1399"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 xml:space="preserve">Rash: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26, k=6,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517</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Erythema: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4,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115</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Dermatitis: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24</w:t>
            </w:r>
          </w:p>
          <w:p w:rsidR="005231F0" w:rsidRPr="00E3331A" w:rsidRDefault="005231F0" w:rsidP="005231F0">
            <w:pPr>
              <w:spacing w:after="0" w:line="240" w:lineRule="auto"/>
              <w:rPr>
                <w:rFonts w:ascii="Arial Narrow" w:eastAsia="Calibri" w:hAnsi="Arial Narrow" w:cs="Times New Roman"/>
                <w:sz w:val="18"/>
                <w:szCs w:val="18"/>
                <w:lang w:eastAsia="en-US"/>
              </w:rPr>
            </w:pPr>
          </w:p>
        </w:tc>
        <w:tc>
          <w:tcPr>
            <w:tcW w:w="1396"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 xml:space="preserve">Skin thinning: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8,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50</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Ecchymoses</w:t>
            </w:r>
            <w:r w:rsidRPr="00E3331A">
              <w:rPr>
                <w:rFonts w:ascii="Arial Narrow" w:eastAsia="Calibri" w:hAnsi="Arial Narrow" w:cs="Times New Roman"/>
                <w:sz w:val="18"/>
                <w:szCs w:val="18"/>
                <w:lang w:eastAsia="en-US"/>
              </w:rPr>
              <w:t xml:space="preserve"> (NR)</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 xml:space="preserve">Acne: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7,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40</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Hirsutism</w:t>
            </w:r>
            <w:r w:rsidRPr="00E3331A">
              <w:rPr>
                <w:rFonts w:ascii="Arial Narrow" w:eastAsia="Calibri" w:hAnsi="Arial Narrow" w:cs="Times New Roman"/>
                <w:sz w:val="18"/>
                <w:szCs w:val="18"/>
                <w:lang w:eastAsia="en-US"/>
              </w:rPr>
              <w:t xml:space="preserve"> (NR)</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lastRenderedPageBreak/>
              <w:t xml:space="preserve">Erythema: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5,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15</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Delayed wound healing: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4,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40</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Rash: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37</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Dermatitis: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0,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21</w:t>
            </w:r>
          </w:p>
        </w:tc>
        <w:tc>
          <w:tcPr>
            <w:tcW w:w="1394"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u w:val="single"/>
                <w:lang w:eastAsia="en-US"/>
              </w:rPr>
              <w:lastRenderedPageBreak/>
              <w:t>Hives</w:t>
            </w:r>
            <w:r w:rsidRPr="00E3331A">
              <w:rPr>
                <w:rFonts w:ascii="Arial Narrow" w:eastAsia="Calibri" w:hAnsi="Arial Narrow" w:cs="Times New Roman"/>
                <w:sz w:val="18"/>
                <w:szCs w:val="18"/>
                <w:lang w:eastAsia="en-US"/>
              </w:rPr>
              <w:t xml:space="preserve"> (NR)</w:t>
            </w: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Calibri"/>
                <w:b/>
                <w:sz w:val="18"/>
                <w:szCs w:val="18"/>
                <w:lang w:eastAsia="en-US"/>
              </w:rPr>
            </w:pPr>
            <w:r w:rsidRPr="00E3331A">
              <w:rPr>
                <w:rFonts w:ascii="Arial Narrow" w:eastAsia="Calibri" w:hAnsi="Arial Narrow" w:cs="Calibri"/>
                <w:b/>
                <w:sz w:val="18"/>
                <w:szCs w:val="18"/>
                <w:lang w:eastAsia="en-US"/>
              </w:rPr>
              <w:t>Unclassified</w:t>
            </w:r>
          </w:p>
        </w:tc>
        <w:tc>
          <w:tcPr>
            <w:tcW w:w="1399"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Not applicable/NR</w:t>
            </w:r>
          </w:p>
        </w:tc>
        <w:tc>
          <w:tcPr>
            <w:tcW w:w="1396"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Increased appetite: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17,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40</w:t>
            </w:r>
          </w:p>
        </w:tc>
        <w:tc>
          <w:tcPr>
            <w:tcW w:w="1394"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lang w:eastAsia="en-US"/>
              </w:rPr>
              <w:t>Not applicable/NR</w:t>
            </w:r>
          </w:p>
        </w:tc>
      </w:tr>
      <w:tr w:rsidR="005231F0" w:rsidRPr="00E3331A" w:rsidTr="005231F0">
        <w:tc>
          <w:tcPr>
            <w:tcW w:w="811" w:type="pct"/>
            <w:shd w:val="clear" w:color="auto" w:fill="auto"/>
          </w:tcPr>
          <w:p w:rsidR="005231F0" w:rsidRPr="00E3331A" w:rsidRDefault="005231F0" w:rsidP="005231F0">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Calibri"/>
                <w:b/>
                <w:sz w:val="18"/>
                <w:szCs w:val="18"/>
                <w:lang w:eastAsia="en-US"/>
              </w:rPr>
              <w:t>Vascular disorders</w:t>
            </w:r>
          </w:p>
        </w:tc>
        <w:tc>
          <w:tcPr>
            <w:tcW w:w="1399" w:type="pct"/>
            <w:shd w:val="clear" w:color="auto" w:fill="auto"/>
          </w:tcPr>
          <w:p w:rsidR="005231F0" w:rsidRPr="00E3331A" w:rsidRDefault="005231F0" w:rsidP="005231F0">
            <w:pPr>
              <w:spacing w:after="0" w:line="240" w:lineRule="auto"/>
              <w:rPr>
                <w:rFonts w:ascii="Arial Narrow" w:eastAsia="Calibri" w:hAnsi="Arial Narrow" w:cs="Times New Roman"/>
                <w:b/>
                <w:sz w:val="18"/>
                <w:szCs w:val="18"/>
                <w:u w:val="single"/>
                <w:lang w:eastAsia="en-US"/>
              </w:rPr>
            </w:pPr>
            <w:r w:rsidRPr="00E3331A">
              <w:rPr>
                <w:rFonts w:ascii="Arial Narrow" w:eastAsia="Calibri" w:hAnsi="Arial Narrow" w:cs="Times New Roman"/>
                <w:b/>
                <w:sz w:val="18"/>
                <w:szCs w:val="18"/>
                <w:u w:val="single"/>
                <w:lang w:eastAsia="en-US"/>
              </w:rPr>
              <w:t>Thromboembolic events (see below)</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lang w:eastAsia="en-US"/>
              </w:rPr>
              <w:t>Deep vein thrombosis</w:t>
            </w:r>
            <w:r w:rsidRPr="00E3331A">
              <w:rPr>
                <w:rFonts w:ascii="Arial Narrow" w:eastAsia="Calibri" w:hAnsi="Arial Narrow" w:cs="Times New Roman"/>
                <w:sz w:val="18"/>
                <w:szCs w:val="18"/>
                <w:lang w:eastAsia="en-US"/>
              </w:rPr>
              <w:t xml:space="preserve">: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3,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219</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lang w:eastAsia="en-US"/>
              </w:rPr>
              <w:t>Cerebrovascular event</w:t>
            </w:r>
            <w:r w:rsidRPr="00E3331A">
              <w:rPr>
                <w:rFonts w:ascii="Arial Narrow" w:eastAsia="Calibri" w:hAnsi="Arial Narrow" w:cs="Times New Roman"/>
                <w:sz w:val="18"/>
                <w:szCs w:val="18"/>
                <w:lang w:eastAsia="en-US"/>
              </w:rPr>
              <w:t xml:space="preserve">: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49</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Hypertension: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14, k=5,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371</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Hypotension: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30</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Flushing/blushing: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68</w:t>
            </w:r>
          </w:p>
        </w:tc>
        <w:tc>
          <w:tcPr>
            <w:tcW w:w="1396"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Hypertension: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14, k=5,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242</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Flushing/blushing: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21</w:t>
            </w:r>
          </w:p>
        </w:tc>
        <w:tc>
          <w:tcPr>
            <w:tcW w:w="1394"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 xml:space="preserve">Hypotension </w:t>
            </w:r>
            <w:r w:rsidRPr="00E3331A">
              <w:rPr>
                <w:rFonts w:ascii="Arial Narrow" w:eastAsia="Calibri" w:hAnsi="Arial Narrow" w:cs="Times New Roman"/>
                <w:sz w:val="18"/>
                <w:szCs w:val="18"/>
                <w:lang w:eastAsia="en-US"/>
              </w:rPr>
              <w:t>(NR)</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b/>
                <w:sz w:val="18"/>
                <w:szCs w:val="18"/>
                <w:u w:val="single"/>
                <w:lang w:eastAsia="en-US"/>
              </w:rPr>
              <w:t>Vascular catheter complications</w:t>
            </w:r>
            <w:r w:rsidRPr="00E3331A">
              <w:rPr>
                <w:rFonts w:ascii="Arial Narrow" w:eastAsia="Calibri" w:hAnsi="Arial Narrow" w:cs="Times New Roman"/>
                <w:sz w:val="18"/>
                <w:szCs w:val="18"/>
                <w:lang w:eastAsia="en-US"/>
              </w:rPr>
              <w:t xml:space="preserve"> (NR)</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u w:val="single"/>
                <w:lang w:eastAsia="en-US"/>
              </w:rPr>
              <w:t>Cerebrovascular event</w:t>
            </w:r>
            <w:r w:rsidRPr="00E3331A">
              <w:rPr>
                <w:rFonts w:ascii="Arial Narrow" w:eastAsia="Calibri" w:hAnsi="Arial Narrow" w:cs="Times New Roman"/>
                <w:sz w:val="18"/>
                <w:szCs w:val="18"/>
                <w:lang w:eastAsia="en-US"/>
              </w:rPr>
              <w:t xml:space="preserve">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37</w:t>
            </w:r>
          </w:p>
        </w:tc>
      </w:tr>
    </w:tbl>
    <w:p w:rsidR="0066686B" w:rsidRPr="00E3331A" w:rsidRDefault="0066686B" w:rsidP="0066686B">
      <w:pPr>
        <w:pStyle w:val="Caption"/>
        <w:rPr>
          <w:b w:val="0"/>
          <w:sz w:val="18"/>
          <w:szCs w:val="18"/>
        </w:rPr>
      </w:pPr>
      <w:r w:rsidRPr="00E3331A">
        <w:rPr>
          <w:b w:val="0"/>
          <w:sz w:val="18"/>
          <w:szCs w:val="18"/>
        </w:rPr>
        <w:t>a</w:t>
      </w:r>
      <w:r w:rsidR="00DD52EC" w:rsidRPr="00E3331A">
        <w:rPr>
          <w:b w:val="0"/>
          <w:sz w:val="18"/>
          <w:szCs w:val="18"/>
        </w:rPr>
        <w:t>.</w:t>
      </w:r>
      <w:r w:rsidRPr="00E3331A">
        <w:rPr>
          <w:b w:val="0"/>
          <w:sz w:val="18"/>
          <w:szCs w:val="18"/>
        </w:rPr>
        <w:t xml:space="preserve"> cardiac disorders: </w:t>
      </w:r>
      <w:r w:rsidR="00855B04" w:rsidRPr="00E3331A">
        <w:rPr>
          <w:b w:val="0"/>
          <w:sz w:val="18"/>
          <w:szCs w:val="18"/>
        </w:rPr>
        <w:t>I</w:t>
      </w:r>
      <w:r w:rsidRPr="00E3331A">
        <w:rPr>
          <w:b w:val="0"/>
          <w:sz w:val="18"/>
          <w:szCs w:val="18"/>
        </w:rPr>
        <w:t xml:space="preserve">ncludes one myocardial infarction with no further detail and one cardiac arrest in a patient who later died of respiratory failure (details in comparative safety). Heart failure requiring hospitalisation </w:t>
      </w:r>
      <w:r w:rsidR="00855B04" w:rsidRPr="00E3331A">
        <w:rPr>
          <w:b w:val="0"/>
          <w:sz w:val="18"/>
          <w:szCs w:val="18"/>
        </w:rPr>
        <w:t xml:space="preserve">occurred </w:t>
      </w:r>
      <w:r w:rsidRPr="00E3331A">
        <w:rPr>
          <w:b w:val="0"/>
          <w:sz w:val="18"/>
          <w:szCs w:val="18"/>
        </w:rPr>
        <w:t>four weeks after the first IVIg treatment (details in comparative safety). NR: not reported</w:t>
      </w:r>
    </w:p>
    <w:p w:rsidR="00AF5D9D" w:rsidRPr="00E3331A" w:rsidRDefault="00AF5D9D" w:rsidP="00AF5D9D">
      <w:bookmarkStart w:id="304" w:name="_Toc9796910"/>
    </w:p>
    <w:p w:rsidR="0066686B" w:rsidRPr="00E3331A" w:rsidRDefault="00AF5D9D" w:rsidP="00AF5D9D">
      <w:pPr>
        <w:pStyle w:val="Caption"/>
      </w:pPr>
      <w:bookmarkStart w:id="305" w:name="_Ref10109425"/>
      <w:bookmarkStart w:id="306" w:name="_Toc24103346"/>
      <w:r w:rsidRPr="00E3331A">
        <w:t xml:space="preserve">Table </w:t>
      </w:r>
      <w:r w:rsidR="006F35B9">
        <w:rPr>
          <w:noProof/>
        </w:rPr>
        <w:t>40</w:t>
      </w:r>
      <w:bookmarkEnd w:id="305"/>
      <w:r w:rsidR="0066686B" w:rsidRPr="00E3331A">
        <w:tab/>
        <w:t>Adverse events reported in patients receiving immunosuppressants or immunoadsorption</w:t>
      </w:r>
      <w:bookmarkEnd w:id="304"/>
      <w:bookmarkEnd w:id="3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3903"/>
        <w:gridCol w:w="3894"/>
        <w:gridCol w:w="3889"/>
      </w:tblGrid>
      <w:tr w:rsidR="00281EC2" w:rsidRPr="00E3331A" w:rsidTr="005231F0">
        <w:tc>
          <w:tcPr>
            <w:tcW w:w="811" w:type="pct"/>
            <w:tcBorders>
              <w:bottom w:val="single" w:sz="4" w:space="0" w:color="auto"/>
              <w:right w:val="single" w:sz="4" w:space="0" w:color="auto"/>
            </w:tcBorders>
            <w:shd w:val="clear" w:color="auto" w:fill="auto"/>
          </w:tcPr>
          <w:p w:rsidR="0066686B" w:rsidRPr="00E3331A" w:rsidRDefault="005231F0" w:rsidP="0007007F">
            <w:pPr>
              <w:spacing w:after="0" w:line="240" w:lineRule="auto"/>
              <w:rPr>
                <w:rFonts w:ascii="Arial Narrow" w:eastAsia="Calibri" w:hAnsi="Arial Narrow" w:cs="Times New Roman"/>
                <w:b/>
                <w:sz w:val="18"/>
                <w:szCs w:val="18"/>
                <w:lang w:eastAsia="en-US"/>
              </w:rPr>
            </w:pPr>
            <w:r>
              <w:rPr>
                <w:rFonts w:ascii="Arial Narrow" w:eastAsia="Calibri" w:hAnsi="Arial Narrow" w:cs="Times New Roman"/>
                <w:b/>
                <w:sz w:val="18"/>
                <w:szCs w:val="18"/>
                <w:lang w:eastAsia="en-US"/>
              </w:rPr>
              <w:t>Adverse event category</w:t>
            </w:r>
          </w:p>
        </w:tc>
        <w:tc>
          <w:tcPr>
            <w:tcW w:w="1399" w:type="pct"/>
            <w:tcBorders>
              <w:left w:val="single" w:sz="4" w:space="0" w:color="auto"/>
              <w:bottom w:val="single" w:sz="4" w:space="0" w:color="auto"/>
              <w:right w:val="single" w:sz="4" w:space="0" w:color="auto"/>
            </w:tcBorders>
            <w:shd w:val="clear" w:color="auto" w:fill="auto"/>
          </w:tcPr>
          <w:p w:rsidR="0066686B" w:rsidRPr="00E3331A" w:rsidRDefault="0066686B" w:rsidP="0007007F">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Times New Roman"/>
                <w:b/>
                <w:sz w:val="18"/>
                <w:szCs w:val="18"/>
                <w:lang w:eastAsia="en-US"/>
              </w:rPr>
              <w:t>Observed complications with azathioprine (AZA), methotrexate (MTX), cyclophosphamide (CYP) and mycophenolate mofetil (MMF)</w:t>
            </w:r>
          </w:p>
          <w:p w:rsidR="0066686B" w:rsidRPr="00E3331A" w:rsidRDefault="0066686B" w:rsidP="0007007F">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 = number reported in the included studies, k = number of studies reporting that outcome, N</w:t>
            </w:r>
            <w:r w:rsidR="00855B04" w:rsidRPr="00E3331A">
              <w:rPr>
                <w:rFonts w:ascii="Arial Narrow" w:eastAsia="Calibri" w:hAnsi="Arial Narrow" w:cs="Times New Roman"/>
                <w:sz w:val="18"/>
                <w:szCs w:val="18"/>
                <w:lang w:eastAsia="en-US"/>
              </w:rPr>
              <w:t xml:space="preserve"> </w:t>
            </w:r>
            <w:r w:rsidRPr="00E3331A">
              <w:rPr>
                <w:rFonts w:ascii="Arial Narrow" w:eastAsia="Calibri" w:hAnsi="Arial Narrow" w:cs="Times New Roman"/>
                <w:sz w:val="18"/>
                <w:szCs w:val="18"/>
                <w:lang w:eastAsia="en-US"/>
              </w:rPr>
              <w:t>= total patient numbers in those studies</w:t>
            </w:r>
          </w:p>
        </w:tc>
        <w:tc>
          <w:tcPr>
            <w:tcW w:w="1396" w:type="pct"/>
            <w:tcBorders>
              <w:left w:val="single" w:sz="4" w:space="0" w:color="auto"/>
              <w:bottom w:val="single" w:sz="4" w:space="0" w:color="auto"/>
              <w:right w:val="single" w:sz="4" w:space="0" w:color="auto"/>
            </w:tcBorders>
            <w:shd w:val="clear" w:color="auto" w:fill="auto"/>
          </w:tcPr>
          <w:p w:rsidR="0066686B" w:rsidRPr="00E3331A" w:rsidRDefault="0066686B" w:rsidP="0007007F">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Times New Roman"/>
                <w:b/>
                <w:sz w:val="18"/>
                <w:szCs w:val="18"/>
                <w:lang w:eastAsia="en-US"/>
              </w:rPr>
              <w:t xml:space="preserve">Observed complications of immunoadsorption </w:t>
            </w:r>
          </w:p>
          <w:p w:rsidR="0066686B" w:rsidRPr="00E3331A" w:rsidRDefault="0066686B" w:rsidP="0007007F">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 = number reported in the included studies, k = number of studies reporting that outcome, N</w:t>
            </w:r>
            <w:r w:rsidR="00855B04" w:rsidRPr="00E3331A">
              <w:rPr>
                <w:rFonts w:ascii="Arial Narrow" w:eastAsia="Calibri" w:hAnsi="Arial Narrow" w:cs="Times New Roman"/>
                <w:sz w:val="18"/>
                <w:szCs w:val="18"/>
                <w:lang w:eastAsia="en-US"/>
              </w:rPr>
              <w:t xml:space="preserve"> </w:t>
            </w:r>
            <w:r w:rsidRPr="00E3331A">
              <w:rPr>
                <w:rFonts w:ascii="Arial Narrow" w:eastAsia="Calibri" w:hAnsi="Arial Narrow" w:cs="Times New Roman"/>
                <w:sz w:val="18"/>
                <w:szCs w:val="18"/>
                <w:lang w:eastAsia="en-US"/>
              </w:rPr>
              <w:t>= total patient numbers in those studies</w:t>
            </w:r>
          </w:p>
        </w:tc>
        <w:tc>
          <w:tcPr>
            <w:tcW w:w="1394" w:type="pct"/>
            <w:tcBorders>
              <w:left w:val="single" w:sz="4" w:space="0" w:color="auto"/>
              <w:bottom w:val="single" w:sz="4" w:space="0" w:color="auto"/>
            </w:tcBorders>
            <w:shd w:val="clear" w:color="auto" w:fill="auto"/>
          </w:tcPr>
          <w:p w:rsidR="0066686B" w:rsidRPr="00E3331A" w:rsidRDefault="0066686B" w:rsidP="0007007F">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Times New Roman"/>
                <w:b/>
                <w:sz w:val="18"/>
                <w:szCs w:val="18"/>
                <w:lang w:eastAsia="en-US"/>
              </w:rPr>
              <w:t xml:space="preserve">Observed complications of Rituximab </w:t>
            </w:r>
          </w:p>
          <w:p w:rsidR="0066686B" w:rsidRPr="00E3331A" w:rsidRDefault="0066686B" w:rsidP="0007007F">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 = number reported in the included studies, k = number of studies reporting that outcome, N</w:t>
            </w:r>
            <w:r w:rsidR="00855B04" w:rsidRPr="00E3331A">
              <w:rPr>
                <w:rFonts w:ascii="Arial Narrow" w:eastAsia="Calibri" w:hAnsi="Arial Narrow" w:cs="Times New Roman"/>
                <w:sz w:val="18"/>
                <w:szCs w:val="18"/>
                <w:lang w:eastAsia="en-US"/>
              </w:rPr>
              <w:t xml:space="preserve"> </w:t>
            </w:r>
            <w:r w:rsidRPr="00E3331A">
              <w:rPr>
                <w:rFonts w:ascii="Arial Narrow" w:eastAsia="Calibri" w:hAnsi="Arial Narrow" w:cs="Times New Roman"/>
                <w:sz w:val="18"/>
                <w:szCs w:val="18"/>
                <w:lang w:eastAsia="en-US"/>
              </w:rPr>
              <w:t>= total patient numbers in those studies</w:t>
            </w:r>
          </w:p>
          <w:p w:rsidR="0066686B" w:rsidRPr="00E3331A" w:rsidRDefault="0066686B" w:rsidP="0007007F">
            <w:pPr>
              <w:spacing w:after="0" w:line="240" w:lineRule="auto"/>
              <w:rPr>
                <w:rFonts w:ascii="Arial Narrow" w:eastAsia="Calibri" w:hAnsi="Arial Narrow" w:cs="Times New Roman"/>
                <w:sz w:val="18"/>
                <w:szCs w:val="18"/>
                <w:lang w:eastAsia="en-US"/>
              </w:rPr>
            </w:pPr>
          </w:p>
        </w:tc>
      </w:tr>
      <w:tr w:rsidR="00281EC2" w:rsidRPr="00E3331A" w:rsidTr="005231F0">
        <w:tc>
          <w:tcPr>
            <w:tcW w:w="811" w:type="pct"/>
            <w:tcBorders>
              <w:bottom w:val="single" w:sz="4" w:space="0" w:color="auto"/>
            </w:tcBorders>
            <w:shd w:val="clear" w:color="auto" w:fill="auto"/>
          </w:tcPr>
          <w:p w:rsidR="0066686B" w:rsidRPr="00E3331A" w:rsidRDefault="005231F0" w:rsidP="0007007F">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Times New Roman"/>
                <w:b/>
                <w:sz w:val="18"/>
                <w:szCs w:val="18"/>
                <w:lang w:eastAsia="en-US"/>
              </w:rPr>
              <w:t>Blood and lymphatic system disorders</w:t>
            </w:r>
          </w:p>
        </w:tc>
        <w:tc>
          <w:tcPr>
            <w:tcW w:w="1399" w:type="pct"/>
            <w:shd w:val="clear" w:color="auto" w:fill="auto"/>
          </w:tcPr>
          <w:p w:rsidR="0066686B" w:rsidRPr="00E3331A" w:rsidRDefault="0066686B" w:rsidP="0007007F">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 xml:space="preserve">Anaemia or cytopenia </w:t>
            </w:r>
          </w:p>
          <w:p w:rsidR="0066686B" w:rsidRPr="00E3331A" w:rsidRDefault="0066686B" w:rsidP="0007007F">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AZA:</w:t>
            </w:r>
            <w:r w:rsidR="00345C95" w:rsidRPr="00E3331A">
              <w:rPr>
                <w:rFonts w:ascii="Arial Narrow" w:eastAsia="Calibri" w:hAnsi="Arial Narrow" w:cs="Times New Roman"/>
                <w:sz w:val="18"/>
                <w:szCs w:val="18"/>
                <w:lang w:eastAsia="en-US"/>
              </w:rPr>
              <w:t xml:space="preserve"> </w:t>
            </w:r>
            <w:r w:rsidR="00A07838">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4, k=1, </w:t>
            </w:r>
            <w:r w:rsidR="00A07838">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18</w:t>
            </w:r>
          </w:p>
          <w:p w:rsidR="0066686B" w:rsidRPr="00E3331A" w:rsidRDefault="0066686B" w:rsidP="0007007F">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CSA: </w:t>
            </w:r>
            <w:r w:rsidR="00A07838">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sidR="00A07838">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13</w:t>
            </w:r>
          </w:p>
          <w:p w:rsidR="0066686B" w:rsidRPr="00E3331A" w:rsidRDefault="0066686B" w:rsidP="0007007F">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Leukopenia (intended effect)</w:t>
            </w:r>
          </w:p>
          <w:p w:rsidR="0066686B" w:rsidRPr="00E3331A" w:rsidRDefault="0066686B" w:rsidP="0007007F">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 CYP: </w:t>
            </w:r>
            <w:r w:rsidR="00A07838">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15, k=1, </w:t>
            </w:r>
            <w:r w:rsidR="00A07838">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15</w:t>
            </w:r>
          </w:p>
        </w:tc>
        <w:tc>
          <w:tcPr>
            <w:tcW w:w="1396" w:type="pct"/>
            <w:shd w:val="clear" w:color="auto" w:fill="auto"/>
          </w:tcPr>
          <w:p w:rsidR="0066686B" w:rsidRPr="00E3331A" w:rsidRDefault="0066686B" w:rsidP="0007007F">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None reported</w:t>
            </w:r>
          </w:p>
        </w:tc>
        <w:tc>
          <w:tcPr>
            <w:tcW w:w="1394" w:type="pct"/>
            <w:shd w:val="clear" w:color="auto" w:fill="auto"/>
          </w:tcPr>
          <w:p w:rsidR="0066686B" w:rsidRPr="00E3331A" w:rsidRDefault="0066686B" w:rsidP="0007007F">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None reported</w:t>
            </w: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Times New Roman"/>
                <w:b/>
                <w:sz w:val="18"/>
                <w:szCs w:val="18"/>
                <w:lang w:eastAsia="en-US"/>
              </w:rPr>
              <w:t>Cardiac disorders</w:t>
            </w:r>
          </w:p>
        </w:tc>
        <w:tc>
          <w:tcPr>
            <w:tcW w:w="1399"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u w:val="single"/>
                <w:lang w:eastAsia="en-US"/>
              </w:rPr>
              <w:t>Oedema</w:t>
            </w:r>
            <w:r w:rsidRPr="00E3331A">
              <w:rPr>
                <w:rFonts w:ascii="Arial Narrow" w:eastAsia="Calibri" w:hAnsi="Arial Narrow" w:cs="Times New Roman"/>
                <w:sz w:val="18"/>
                <w:szCs w:val="18"/>
                <w:lang w:eastAsia="en-US"/>
              </w:rPr>
              <w:t xml:space="preserve"> </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CyP: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3,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13</w:t>
            </w:r>
          </w:p>
        </w:tc>
        <w:tc>
          <w:tcPr>
            <w:tcW w:w="1396"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 xml:space="preserve">Mild oedema </w:t>
            </w:r>
          </w:p>
          <w:p w:rsidR="005231F0" w:rsidRPr="00E3331A" w:rsidRDefault="005231F0" w:rsidP="005231F0">
            <w:pPr>
              <w:spacing w:after="0" w:line="240" w:lineRule="auto"/>
              <w:rPr>
                <w:rFonts w:ascii="Arial Narrow" w:eastAsia="Calibri" w:hAnsi="Arial Narrow" w:cs="Times New Roman"/>
                <w:sz w:val="18"/>
                <w:szCs w:val="18"/>
                <w:lang w:eastAsia="en-US"/>
              </w:rPr>
            </w:pP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17</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u w:val="single"/>
                <w:lang w:eastAsia="en-US"/>
              </w:rPr>
              <w:t>Bradycardia or Tachycardia</w:t>
            </w:r>
            <w:r w:rsidRPr="00E3331A">
              <w:rPr>
                <w:rFonts w:ascii="Arial Narrow" w:eastAsia="Calibri" w:hAnsi="Arial Narrow" w:cs="Times New Roman"/>
                <w:sz w:val="18"/>
                <w:szCs w:val="18"/>
                <w:lang w:eastAsia="en-US"/>
              </w:rPr>
              <w:t xml:space="preserve">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17</w:t>
            </w:r>
          </w:p>
        </w:tc>
        <w:tc>
          <w:tcPr>
            <w:tcW w:w="1394" w:type="pct"/>
            <w:shd w:val="clear" w:color="auto" w:fill="auto"/>
          </w:tcPr>
          <w:p w:rsidR="005231F0" w:rsidRPr="00E3331A" w:rsidRDefault="005231F0" w:rsidP="005231F0">
            <w:pPr>
              <w:spacing w:after="0" w:line="240" w:lineRule="auto"/>
              <w:rPr>
                <w:rFonts w:eastAsia="Calibri" w:cs="Times New Roman"/>
                <w:lang w:eastAsia="en-US"/>
              </w:rPr>
            </w:pPr>
            <w:r w:rsidRPr="00E3331A">
              <w:rPr>
                <w:rFonts w:ascii="Arial Narrow" w:eastAsia="Calibri" w:hAnsi="Arial Narrow" w:cs="Times New Roman"/>
                <w:sz w:val="18"/>
                <w:szCs w:val="18"/>
                <w:lang w:eastAsia="en-US"/>
              </w:rPr>
              <w:t>None reported</w:t>
            </w:r>
          </w:p>
        </w:tc>
      </w:tr>
      <w:tr w:rsidR="005231F0" w:rsidRPr="00E3331A" w:rsidTr="005231F0">
        <w:trPr>
          <w:trHeight w:val="467"/>
        </w:trPr>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Calibri"/>
                <w:b/>
                <w:sz w:val="18"/>
                <w:szCs w:val="18"/>
                <w:lang w:eastAsia="en-US"/>
              </w:rPr>
              <w:t>Gastrointestinal disorders</w:t>
            </w:r>
          </w:p>
        </w:tc>
        <w:tc>
          <w:tcPr>
            <w:tcW w:w="1399"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 xml:space="preserve">Nausea </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AZA: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5,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18</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CSA: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3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13</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CYP: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4,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15</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MTX: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5,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36</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MMF: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3,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21</w:t>
            </w:r>
          </w:p>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Diarrhoea</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MMF: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21</w:t>
            </w:r>
          </w:p>
        </w:tc>
        <w:tc>
          <w:tcPr>
            <w:tcW w:w="1396"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None reported</w:t>
            </w:r>
          </w:p>
        </w:tc>
        <w:tc>
          <w:tcPr>
            <w:tcW w:w="1394"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 xml:space="preserve">Vomiting </w:t>
            </w:r>
          </w:p>
          <w:p w:rsidR="005231F0" w:rsidRPr="00E3331A" w:rsidRDefault="005231F0" w:rsidP="005231F0">
            <w:pPr>
              <w:spacing w:after="0" w:line="240" w:lineRule="auto"/>
              <w:rPr>
                <w:rFonts w:ascii="Arial Narrow" w:eastAsia="Calibri" w:hAnsi="Arial Narrow" w:cs="Times New Roman"/>
                <w:sz w:val="18"/>
                <w:szCs w:val="18"/>
                <w:lang w:eastAsia="en-US"/>
              </w:rPr>
            </w:pP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28</w:t>
            </w:r>
          </w:p>
        </w:tc>
      </w:tr>
      <w:tr w:rsidR="005231F0" w:rsidRPr="00E3331A" w:rsidTr="005231F0">
        <w:trPr>
          <w:trHeight w:val="467"/>
        </w:trPr>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Calibri"/>
                <w:b/>
                <w:sz w:val="18"/>
                <w:szCs w:val="18"/>
                <w:lang w:eastAsia="en-US"/>
              </w:rPr>
            </w:pPr>
            <w:r w:rsidRPr="00E3331A">
              <w:rPr>
                <w:rFonts w:ascii="Arial Narrow" w:eastAsia="Calibri" w:hAnsi="Arial Narrow" w:cs="Times New Roman"/>
                <w:b/>
                <w:sz w:val="18"/>
                <w:szCs w:val="18"/>
                <w:lang w:eastAsia="en-US"/>
              </w:rPr>
              <w:t>General disorders and administration site conditions</w:t>
            </w:r>
          </w:p>
        </w:tc>
        <w:tc>
          <w:tcPr>
            <w:tcW w:w="1399"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Malaise</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MMF: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21</w:t>
            </w:r>
          </w:p>
        </w:tc>
        <w:tc>
          <w:tcPr>
            <w:tcW w:w="1396"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 xml:space="preserve">Febrile infect </w:t>
            </w:r>
          </w:p>
          <w:p w:rsidR="005231F0" w:rsidRPr="00E3331A" w:rsidRDefault="005231F0" w:rsidP="005231F0">
            <w:pPr>
              <w:spacing w:after="0" w:line="240" w:lineRule="auto"/>
              <w:rPr>
                <w:rFonts w:ascii="Arial Narrow" w:eastAsia="Calibri" w:hAnsi="Arial Narrow" w:cs="Times New Roman"/>
                <w:sz w:val="18"/>
                <w:szCs w:val="18"/>
                <w:lang w:eastAsia="en-US"/>
              </w:rPr>
            </w:pP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17</w:t>
            </w:r>
          </w:p>
        </w:tc>
        <w:tc>
          <w:tcPr>
            <w:tcW w:w="1394"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 xml:space="preserve">Flu-like symptoms </w:t>
            </w:r>
          </w:p>
          <w:p w:rsidR="005231F0" w:rsidRPr="00E3331A" w:rsidRDefault="005231F0" w:rsidP="005231F0">
            <w:pPr>
              <w:spacing w:after="0" w:line="240" w:lineRule="auto"/>
              <w:rPr>
                <w:rFonts w:ascii="Arial Narrow" w:eastAsia="Calibri" w:hAnsi="Arial Narrow" w:cs="Times New Roman"/>
                <w:sz w:val="18"/>
                <w:szCs w:val="18"/>
                <w:lang w:eastAsia="en-US"/>
              </w:rPr>
            </w:pP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13</w:t>
            </w: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Calibri"/>
                <w:b/>
                <w:sz w:val="18"/>
                <w:szCs w:val="18"/>
                <w:lang w:eastAsia="en-US"/>
              </w:rPr>
              <w:lastRenderedPageBreak/>
              <w:t>Infections and infestations</w:t>
            </w:r>
          </w:p>
        </w:tc>
        <w:tc>
          <w:tcPr>
            <w:tcW w:w="1399"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Severe chest infection</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MTX: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10</w:t>
            </w:r>
          </w:p>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Infection</w:t>
            </w:r>
          </w:p>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 xml:space="preserve">MTX: </w:t>
            </w:r>
            <w:r>
              <w:rPr>
                <w:rFonts w:ascii="Arial Narrow" w:eastAsia="Calibri" w:hAnsi="Arial Narrow" w:cs="Times New Roman"/>
                <w:sz w:val="18"/>
                <w:szCs w:val="18"/>
                <w:u w:val="single"/>
                <w:lang w:eastAsia="en-US"/>
              </w:rPr>
              <w:t xml:space="preserve">n = </w:t>
            </w:r>
            <w:r w:rsidRPr="00E3331A">
              <w:rPr>
                <w:rFonts w:ascii="Arial Narrow" w:eastAsia="Calibri" w:hAnsi="Arial Narrow" w:cs="Times New Roman"/>
                <w:sz w:val="18"/>
                <w:szCs w:val="18"/>
                <w:u w:val="single"/>
                <w:lang w:eastAsia="en-US"/>
              </w:rPr>
              <w:t xml:space="preserve">4, k=1, </w:t>
            </w:r>
            <w:r>
              <w:rPr>
                <w:rFonts w:ascii="Arial Narrow" w:eastAsia="Calibri" w:hAnsi="Arial Narrow" w:cs="Times New Roman"/>
                <w:sz w:val="18"/>
                <w:szCs w:val="18"/>
                <w:u w:val="single"/>
                <w:lang w:eastAsia="en-US"/>
              </w:rPr>
              <w:t xml:space="preserve">N = </w:t>
            </w:r>
            <w:r w:rsidRPr="00E3331A">
              <w:rPr>
                <w:rFonts w:ascii="Arial Narrow" w:eastAsia="Calibri" w:hAnsi="Arial Narrow" w:cs="Times New Roman"/>
                <w:sz w:val="18"/>
                <w:szCs w:val="18"/>
                <w:u w:val="single"/>
                <w:lang w:eastAsia="en-US"/>
              </w:rPr>
              <w:t>28</w:t>
            </w:r>
          </w:p>
        </w:tc>
        <w:tc>
          <w:tcPr>
            <w:tcW w:w="1396"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 xml:space="preserve">Infections </w:t>
            </w:r>
          </w:p>
          <w:p w:rsidR="005231F0" w:rsidRPr="00E3331A" w:rsidRDefault="005231F0" w:rsidP="005231F0">
            <w:pPr>
              <w:spacing w:after="0" w:line="240" w:lineRule="auto"/>
              <w:rPr>
                <w:rFonts w:ascii="Arial Narrow" w:eastAsia="Calibri" w:hAnsi="Arial Narrow" w:cs="Times New Roman"/>
                <w:sz w:val="18"/>
                <w:szCs w:val="18"/>
                <w:lang w:eastAsia="en-US"/>
              </w:rPr>
            </w:pP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17</w:t>
            </w:r>
          </w:p>
          <w:p w:rsidR="005231F0" w:rsidRPr="00E3331A" w:rsidRDefault="005231F0" w:rsidP="005231F0">
            <w:pPr>
              <w:spacing w:after="0" w:line="240" w:lineRule="auto"/>
              <w:rPr>
                <w:rFonts w:ascii="Arial Narrow" w:eastAsia="Calibri" w:hAnsi="Arial Narrow" w:cs="Times New Roman"/>
                <w:sz w:val="18"/>
                <w:szCs w:val="18"/>
                <w:lang w:eastAsia="en-US"/>
              </w:rPr>
            </w:pPr>
          </w:p>
        </w:tc>
        <w:tc>
          <w:tcPr>
            <w:tcW w:w="1394"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None reported</w:t>
            </w: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Times New Roman"/>
                <w:b/>
                <w:sz w:val="18"/>
                <w:szCs w:val="18"/>
                <w:lang w:eastAsia="en-US"/>
              </w:rPr>
              <w:t>Investigations</w:t>
            </w:r>
          </w:p>
        </w:tc>
        <w:tc>
          <w:tcPr>
            <w:tcW w:w="1399"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 xml:space="preserve">Increased liver function test results </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AZA: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18</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MTX: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8</w:t>
            </w:r>
          </w:p>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Lymphopenia</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MTX: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10,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28</w:t>
            </w:r>
          </w:p>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Neutropenia</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MTX: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28</w:t>
            </w:r>
          </w:p>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Increased bilirubin</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MTX: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28</w:t>
            </w:r>
          </w:p>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Increased alkaline phosphatase</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MTX: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28</w:t>
            </w:r>
          </w:p>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Increased alanine transaminase</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MTX: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28</w:t>
            </w:r>
          </w:p>
        </w:tc>
        <w:tc>
          <w:tcPr>
            <w:tcW w:w="1396"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None reported</w:t>
            </w:r>
          </w:p>
        </w:tc>
        <w:tc>
          <w:tcPr>
            <w:tcW w:w="1394"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None reported</w:t>
            </w: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Calibri"/>
                <w:b/>
                <w:sz w:val="18"/>
                <w:szCs w:val="18"/>
                <w:lang w:eastAsia="en-US"/>
              </w:rPr>
              <w:t>Musculoskeletal and connective tissue disorders</w:t>
            </w:r>
          </w:p>
        </w:tc>
        <w:tc>
          <w:tcPr>
            <w:tcW w:w="1399"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None reported</w:t>
            </w:r>
          </w:p>
        </w:tc>
        <w:tc>
          <w:tcPr>
            <w:tcW w:w="1396"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 xml:space="preserve">Hypotonia </w:t>
            </w:r>
          </w:p>
          <w:p w:rsidR="005231F0" w:rsidRPr="00E3331A" w:rsidRDefault="005231F0" w:rsidP="005231F0">
            <w:pPr>
              <w:spacing w:after="0" w:line="240" w:lineRule="auto"/>
              <w:rPr>
                <w:rFonts w:ascii="Arial Narrow" w:eastAsia="Calibri" w:hAnsi="Arial Narrow" w:cs="Times New Roman"/>
                <w:sz w:val="18"/>
                <w:szCs w:val="18"/>
                <w:lang w:eastAsia="en-US"/>
              </w:rPr>
            </w:pP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17</w:t>
            </w:r>
          </w:p>
        </w:tc>
        <w:tc>
          <w:tcPr>
            <w:tcW w:w="1394"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None reported</w:t>
            </w: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Calibri"/>
                <w:b/>
                <w:sz w:val="18"/>
                <w:szCs w:val="18"/>
                <w:lang w:eastAsia="en-US"/>
              </w:rPr>
              <w:t>Nervous system disorders</w:t>
            </w:r>
          </w:p>
        </w:tc>
        <w:tc>
          <w:tcPr>
            <w:tcW w:w="1399"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Headache</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CYP: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15</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MMF: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21</w:t>
            </w:r>
          </w:p>
        </w:tc>
        <w:tc>
          <w:tcPr>
            <w:tcW w:w="1396"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None reported</w:t>
            </w:r>
          </w:p>
        </w:tc>
        <w:tc>
          <w:tcPr>
            <w:tcW w:w="1394"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None reported</w:t>
            </w: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Calibri"/>
                <w:b/>
                <w:sz w:val="18"/>
                <w:szCs w:val="18"/>
                <w:lang w:eastAsia="en-US"/>
              </w:rPr>
            </w:pPr>
            <w:r w:rsidRPr="00E3331A">
              <w:rPr>
                <w:rFonts w:ascii="Arial Narrow" w:eastAsia="Calibri" w:hAnsi="Arial Narrow" w:cs="Times New Roman"/>
                <w:b/>
                <w:bCs/>
                <w:sz w:val="18"/>
                <w:szCs w:val="18"/>
                <w:lang w:eastAsia="en-US"/>
              </w:rPr>
              <w:t>Neoplasms benign, malignant and unspecified (incl cysts and polyps)</w:t>
            </w:r>
          </w:p>
        </w:tc>
        <w:tc>
          <w:tcPr>
            <w:tcW w:w="1399"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None reported</w:t>
            </w:r>
          </w:p>
        </w:tc>
        <w:tc>
          <w:tcPr>
            <w:tcW w:w="1396"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None reported</w:t>
            </w:r>
          </w:p>
        </w:tc>
        <w:tc>
          <w:tcPr>
            <w:tcW w:w="1394"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 xml:space="preserve">Lymphoma </w:t>
            </w:r>
          </w:p>
          <w:p w:rsidR="005231F0" w:rsidRPr="00E3331A" w:rsidRDefault="005231F0" w:rsidP="005231F0">
            <w:pPr>
              <w:spacing w:after="0" w:line="240" w:lineRule="auto"/>
              <w:rPr>
                <w:rFonts w:ascii="Arial Narrow" w:eastAsia="Calibri" w:hAnsi="Arial Narrow" w:cs="Times New Roman"/>
                <w:sz w:val="18"/>
                <w:szCs w:val="18"/>
                <w:lang w:eastAsia="en-US"/>
              </w:rPr>
            </w:pP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28</w:t>
            </w: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Calibri"/>
                <w:b/>
                <w:sz w:val="18"/>
                <w:szCs w:val="18"/>
                <w:lang w:eastAsia="en-US"/>
              </w:rPr>
            </w:pPr>
            <w:r w:rsidRPr="00E3331A">
              <w:rPr>
                <w:rFonts w:ascii="Arial Narrow" w:eastAsia="Calibri" w:hAnsi="Arial Narrow" w:cs="Calibri"/>
                <w:b/>
                <w:sz w:val="18"/>
                <w:szCs w:val="18"/>
                <w:lang w:eastAsia="en-US"/>
              </w:rPr>
              <w:t>Renal and urinary disorders</w:t>
            </w:r>
          </w:p>
          <w:p w:rsidR="005231F0" w:rsidRPr="00E3331A" w:rsidRDefault="005231F0" w:rsidP="005231F0">
            <w:pPr>
              <w:spacing w:after="0" w:line="240" w:lineRule="auto"/>
              <w:rPr>
                <w:rFonts w:ascii="Arial Narrow" w:eastAsia="Calibri" w:hAnsi="Arial Narrow" w:cs="Times New Roman"/>
                <w:b/>
                <w:sz w:val="18"/>
                <w:szCs w:val="18"/>
                <w:lang w:eastAsia="en-US"/>
              </w:rPr>
            </w:pPr>
          </w:p>
        </w:tc>
        <w:tc>
          <w:tcPr>
            <w:tcW w:w="1399"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 xml:space="preserve">Nephrotoxicity requiring dose reduction or cessation </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CSA: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7,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26</w:t>
            </w:r>
          </w:p>
        </w:tc>
        <w:tc>
          <w:tcPr>
            <w:tcW w:w="1396"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None reported</w:t>
            </w:r>
          </w:p>
        </w:tc>
        <w:tc>
          <w:tcPr>
            <w:tcW w:w="1394"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None reported</w:t>
            </w: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Calibri"/>
                <w:b/>
                <w:sz w:val="18"/>
                <w:szCs w:val="18"/>
                <w:lang w:eastAsia="en-US"/>
              </w:rPr>
              <w:t>Respiratory, thoracic and mediastinal disorders</w:t>
            </w:r>
          </w:p>
        </w:tc>
        <w:tc>
          <w:tcPr>
            <w:tcW w:w="1399"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Cough or shortness of breath</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MTX: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9,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28</w:t>
            </w:r>
          </w:p>
        </w:tc>
        <w:tc>
          <w:tcPr>
            <w:tcW w:w="1396"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 xml:space="preserve">Pneumothorax </w:t>
            </w:r>
          </w:p>
          <w:p w:rsidR="005231F0" w:rsidRPr="00E3331A" w:rsidRDefault="005231F0" w:rsidP="005231F0">
            <w:pPr>
              <w:spacing w:after="0" w:line="240" w:lineRule="auto"/>
              <w:rPr>
                <w:rFonts w:ascii="Arial Narrow" w:eastAsia="Calibri" w:hAnsi="Arial Narrow" w:cs="Times New Roman"/>
                <w:sz w:val="18"/>
                <w:szCs w:val="18"/>
                <w:lang w:eastAsia="en-US"/>
              </w:rPr>
            </w:pP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17</w:t>
            </w:r>
          </w:p>
        </w:tc>
        <w:tc>
          <w:tcPr>
            <w:tcW w:w="1394"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None reported</w:t>
            </w:r>
          </w:p>
        </w:tc>
      </w:tr>
      <w:tr w:rsidR="005231F0" w:rsidRPr="00E3331A" w:rsidTr="005231F0">
        <w:tc>
          <w:tcPr>
            <w:tcW w:w="811" w:type="pct"/>
            <w:tcBorders>
              <w:bottom w:val="single" w:sz="4" w:space="0" w:color="auto"/>
            </w:tcBorders>
            <w:shd w:val="clear" w:color="auto" w:fill="auto"/>
          </w:tcPr>
          <w:p w:rsidR="005231F0" w:rsidRPr="00E3331A" w:rsidRDefault="005231F0" w:rsidP="005231F0">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Calibri"/>
                <w:b/>
                <w:sz w:val="18"/>
                <w:szCs w:val="18"/>
                <w:lang w:eastAsia="en-US"/>
              </w:rPr>
              <w:t>Skin and subcutaneous tissue disorders</w:t>
            </w:r>
          </w:p>
        </w:tc>
        <w:tc>
          <w:tcPr>
            <w:tcW w:w="1399"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 xml:space="preserve">Hirsutism </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CSA: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4,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13</w:t>
            </w:r>
          </w:p>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 xml:space="preserve">Rash </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CYP: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15</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MTX: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28</w:t>
            </w:r>
          </w:p>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 xml:space="preserve">Alopecia </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CYP: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15</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MTX: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10</w:t>
            </w:r>
          </w:p>
        </w:tc>
        <w:tc>
          <w:tcPr>
            <w:tcW w:w="1396"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 xml:space="preserve">Exanthema of the face </w:t>
            </w:r>
          </w:p>
          <w:p w:rsidR="005231F0" w:rsidRPr="00E3331A" w:rsidRDefault="005231F0" w:rsidP="005231F0">
            <w:pPr>
              <w:spacing w:after="0" w:line="240" w:lineRule="auto"/>
              <w:rPr>
                <w:rFonts w:ascii="Arial Narrow" w:eastAsia="Calibri" w:hAnsi="Arial Narrow" w:cs="Times New Roman"/>
                <w:sz w:val="18"/>
                <w:szCs w:val="18"/>
                <w:lang w:eastAsia="en-US"/>
              </w:rPr>
            </w:pP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1,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17</w:t>
            </w:r>
          </w:p>
        </w:tc>
        <w:tc>
          <w:tcPr>
            <w:tcW w:w="1394"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 xml:space="preserve">Rash </w:t>
            </w:r>
          </w:p>
          <w:p w:rsidR="005231F0" w:rsidRPr="00E3331A" w:rsidRDefault="005231F0" w:rsidP="005231F0">
            <w:pPr>
              <w:spacing w:after="0" w:line="240" w:lineRule="auto"/>
              <w:rPr>
                <w:rFonts w:ascii="Arial Narrow" w:eastAsia="Calibri" w:hAnsi="Arial Narrow" w:cs="Times New Roman"/>
                <w:sz w:val="18"/>
                <w:szCs w:val="18"/>
                <w:lang w:eastAsia="en-US"/>
              </w:rPr>
            </w:pP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41</w:t>
            </w:r>
          </w:p>
        </w:tc>
      </w:tr>
      <w:tr w:rsidR="005231F0" w:rsidRPr="00E3331A" w:rsidTr="005231F0">
        <w:tc>
          <w:tcPr>
            <w:tcW w:w="811" w:type="pct"/>
            <w:shd w:val="clear" w:color="auto" w:fill="auto"/>
          </w:tcPr>
          <w:p w:rsidR="005231F0" w:rsidRPr="00E3331A" w:rsidRDefault="001F11D2" w:rsidP="005231F0">
            <w:pPr>
              <w:spacing w:after="0" w:line="240" w:lineRule="auto"/>
              <w:rPr>
                <w:rFonts w:ascii="Arial Narrow" w:eastAsia="Calibri" w:hAnsi="Arial Narrow" w:cs="Times New Roman"/>
                <w:b/>
                <w:sz w:val="18"/>
                <w:szCs w:val="18"/>
                <w:lang w:eastAsia="en-US"/>
              </w:rPr>
            </w:pPr>
            <w:r w:rsidRPr="00E3331A">
              <w:rPr>
                <w:rFonts w:ascii="Arial Narrow" w:eastAsia="Calibri" w:hAnsi="Arial Narrow" w:cs="Calibri"/>
                <w:b/>
                <w:sz w:val="18"/>
                <w:szCs w:val="18"/>
                <w:lang w:eastAsia="en-US"/>
              </w:rPr>
              <w:t>Vascular disorders</w:t>
            </w:r>
          </w:p>
        </w:tc>
        <w:tc>
          <w:tcPr>
            <w:tcW w:w="1399"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u w:val="single"/>
                <w:lang w:eastAsia="en-US"/>
              </w:rPr>
            </w:pPr>
            <w:r w:rsidRPr="00E3331A">
              <w:rPr>
                <w:rFonts w:ascii="Arial Narrow" w:eastAsia="Calibri" w:hAnsi="Arial Narrow" w:cs="Times New Roman"/>
                <w:sz w:val="18"/>
                <w:szCs w:val="18"/>
                <w:u w:val="single"/>
                <w:lang w:eastAsia="en-US"/>
              </w:rPr>
              <w:t xml:space="preserve">Hypertension </w:t>
            </w:r>
          </w:p>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 xml:space="preserve">CSA: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7, k=2,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26</w:t>
            </w:r>
          </w:p>
        </w:tc>
        <w:tc>
          <w:tcPr>
            <w:tcW w:w="1396"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u w:val="single"/>
                <w:lang w:eastAsia="en-US"/>
              </w:rPr>
              <w:t xml:space="preserve">Thrombosis of jugular vein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 xml:space="preserve">2, k=1, </w:t>
            </w:r>
            <w:r>
              <w:rPr>
                <w:rFonts w:ascii="Arial Narrow" w:eastAsia="Calibri" w:hAnsi="Arial Narrow" w:cs="Times New Roman"/>
                <w:sz w:val="18"/>
                <w:szCs w:val="18"/>
                <w:lang w:eastAsia="en-US"/>
              </w:rPr>
              <w:t xml:space="preserve">N = </w:t>
            </w:r>
            <w:r w:rsidRPr="00E3331A">
              <w:rPr>
                <w:rFonts w:ascii="Arial Narrow" w:eastAsia="Calibri" w:hAnsi="Arial Narrow" w:cs="Times New Roman"/>
                <w:sz w:val="18"/>
                <w:szCs w:val="18"/>
                <w:lang w:eastAsia="en-US"/>
              </w:rPr>
              <w:t>17</w:t>
            </w:r>
          </w:p>
        </w:tc>
        <w:tc>
          <w:tcPr>
            <w:tcW w:w="1394" w:type="pct"/>
            <w:shd w:val="clear" w:color="auto" w:fill="auto"/>
          </w:tcPr>
          <w:p w:rsidR="005231F0" w:rsidRPr="00E3331A" w:rsidRDefault="005231F0" w:rsidP="005231F0">
            <w:pPr>
              <w:spacing w:after="0" w:line="240" w:lineRule="auto"/>
              <w:rPr>
                <w:rFonts w:ascii="Arial Narrow" w:eastAsia="Calibri" w:hAnsi="Arial Narrow" w:cs="Times New Roman"/>
                <w:sz w:val="18"/>
                <w:szCs w:val="18"/>
                <w:lang w:eastAsia="en-US"/>
              </w:rPr>
            </w:pPr>
            <w:r w:rsidRPr="00E3331A">
              <w:rPr>
                <w:rFonts w:ascii="Arial Narrow" w:eastAsia="Calibri" w:hAnsi="Arial Narrow" w:cs="Times New Roman"/>
                <w:sz w:val="18"/>
                <w:szCs w:val="18"/>
                <w:lang w:eastAsia="en-US"/>
              </w:rPr>
              <w:t>None reported</w:t>
            </w:r>
          </w:p>
        </w:tc>
      </w:tr>
    </w:tbl>
    <w:p w:rsidR="0066686B" w:rsidRPr="00E3331A" w:rsidRDefault="0066686B" w:rsidP="0066686B"/>
    <w:bookmarkEnd w:id="303"/>
    <w:p w:rsidR="0066686B" w:rsidRPr="00E3331A" w:rsidRDefault="0066686B" w:rsidP="0066686B">
      <w:pPr>
        <w:sectPr w:rsidR="0066686B" w:rsidRPr="00E3331A" w:rsidSect="00CD0563">
          <w:pgSz w:w="16838" w:h="11906" w:orient="landscape"/>
          <w:pgMar w:top="1440" w:right="1440" w:bottom="1440" w:left="1440" w:header="720" w:footer="720" w:gutter="0"/>
          <w:paperSrc w:first="7" w:other="7"/>
          <w:cols w:space="720"/>
          <w:docGrid w:linePitch="299"/>
        </w:sectPr>
      </w:pPr>
    </w:p>
    <w:p w:rsidR="00DB3295" w:rsidRPr="00E3331A" w:rsidRDefault="00DB3295" w:rsidP="003E4E1F">
      <w:pPr>
        <w:pStyle w:val="Heading2"/>
        <w:numPr>
          <w:ilvl w:val="1"/>
          <w:numId w:val="9"/>
        </w:numPr>
      </w:pPr>
      <w:bookmarkStart w:id="307" w:name="_Ref421189603"/>
      <w:bookmarkStart w:id="308" w:name="_Ref421189625"/>
      <w:bookmarkStart w:id="309" w:name="_Toc24103484"/>
      <w:r w:rsidRPr="00E3331A">
        <w:lastRenderedPageBreak/>
        <w:t>Interpretation of the Clinical Evidence</w:t>
      </w:r>
      <w:bookmarkEnd w:id="307"/>
      <w:bookmarkEnd w:id="308"/>
      <w:bookmarkEnd w:id="309"/>
    </w:p>
    <w:p w:rsidR="0066686B" w:rsidRPr="00E3331A" w:rsidRDefault="0066686B" w:rsidP="0066686B">
      <w:pPr>
        <w:jc w:val="both"/>
        <w:rPr>
          <w:b/>
        </w:rPr>
      </w:pPr>
      <w:r w:rsidRPr="00E3331A">
        <w:rPr>
          <w:b/>
        </w:rPr>
        <w:t>Safety</w:t>
      </w:r>
    </w:p>
    <w:p w:rsidR="0066686B" w:rsidRPr="00E3331A" w:rsidRDefault="0066686B" w:rsidP="0066686B">
      <w:pPr>
        <w:jc w:val="both"/>
      </w:pPr>
      <w:r w:rsidRPr="00E3331A">
        <w:t xml:space="preserve">Treatments for CIDP including IVIg, steroids, plasma exchange and immunosuppressant and/or immunomodulatory drugs differ in their mode of action, speed of control, degree of invasiveness, side effect profile and cost. </w:t>
      </w:r>
      <w:bookmarkStart w:id="310" w:name="_Hlk9762599"/>
      <w:r w:rsidRPr="00E3331A">
        <w:t xml:space="preserve">The evidence reviewed in this </w:t>
      </w:r>
      <w:r w:rsidR="005541CA" w:rsidRPr="00E3331A">
        <w:t>A</w:t>
      </w:r>
      <w:r w:rsidRPr="00E3331A">
        <w:t xml:space="preserve">ssessment </w:t>
      </w:r>
      <w:r w:rsidR="00D902D5" w:rsidRPr="00E3331A">
        <w:t>indicates</w:t>
      </w:r>
      <w:r w:rsidRPr="00E3331A">
        <w:t xml:space="preserve"> that the overall rate of serious adverse </w:t>
      </w:r>
      <w:r w:rsidR="005E05D4" w:rsidRPr="00E3331A">
        <w:t xml:space="preserve">events </w:t>
      </w:r>
      <w:r w:rsidRPr="00E3331A">
        <w:t>with any treatment over the short to intermediate term is low. However, a formal test of non-inferiority or superiority could not be applied</w:t>
      </w:r>
      <w:r w:rsidR="005E05D4" w:rsidRPr="00E3331A">
        <w:t>,</w:t>
      </w:r>
      <w:r w:rsidRPr="00E3331A">
        <w:t xml:space="preserve"> owing </w:t>
      </w:r>
      <w:r w:rsidR="005E05D4" w:rsidRPr="00E3331A">
        <w:t xml:space="preserve">to </w:t>
      </w:r>
      <w:r w:rsidRPr="00E3331A">
        <w:t>the paucity of studies reporting safety outcomes and limitations in trial design. As most patients with CIDP will require long-term treatment and may require multiple therapies over the course of their disease</w:t>
      </w:r>
      <w:r w:rsidR="005E05D4" w:rsidRPr="00E3331A">
        <w:t>,</w:t>
      </w:r>
      <w:r w:rsidRPr="00E3331A">
        <w:t xml:space="preserve"> comparison of the safety profile</w:t>
      </w:r>
      <w:r w:rsidR="005E05D4" w:rsidRPr="00E3331A">
        <w:t>s</w:t>
      </w:r>
      <w:r w:rsidRPr="00E3331A">
        <w:t xml:space="preserve"> of various therapies for CIDP </w:t>
      </w:r>
      <w:r w:rsidR="005E05D4" w:rsidRPr="00E3331A">
        <w:t>sh</w:t>
      </w:r>
      <w:r w:rsidRPr="00E3331A">
        <w:t xml:space="preserve">ould be considered in light of the heterogenous clinical presentation and </w:t>
      </w:r>
      <w:r w:rsidR="005E05D4" w:rsidRPr="00E3331A">
        <w:t xml:space="preserve">respective </w:t>
      </w:r>
      <w:r w:rsidRPr="00E3331A">
        <w:t>needs of CIDP patients.</w:t>
      </w:r>
    </w:p>
    <w:p w:rsidR="0066686B" w:rsidRPr="00E3331A" w:rsidRDefault="0066686B" w:rsidP="0066686B">
      <w:pPr>
        <w:jc w:val="both"/>
      </w:pPr>
      <w:bookmarkStart w:id="311" w:name="_Hlk9762121"/>
      <w:bookmarkEnd w:id="310"/>
      <w:r w:rsidRPr="00E3331A">
        <w:t>Side effects of IVIg frequently involve headache, fever, rash and infusion</w:t>
      </w:r>
      <w:r w:rsidR="005E05D4" w:rsidRPr="00E3331A">
        <w:t>-</w:t>
      </w:r>
      <w:r w:rsidRPr="00E3331A">
        <w:t xml:space="preserve">like reactions </w:t>
      </w:r>
      <w:r w:rsidR="005E05D4" w:rsidRPr="00E3331A">
        <w:t xml:space="preserve">that </w:t>
      </w:r>
      <w:r w:rsidRPr="00E3331A">
        <w:t xml:space="preserve">tend to be transient and non-severe. Rare but serious events include haemolysis. The data review </w:t>
      </w:r>
      <w:r w:rsidR="005E05D4" w:rsidRPr="00E3331A">
        <w:t xml:space="preserve">of </w:t>
      </w:r>
      <w:r w:rsidR="00BA3B0B" w:rsidRPr="00E3331A">
        <w:t xml:space="preserve">CIDP </w:t>
      </w:r>
      <w:r w:rsidRPr="00E3331A">
        <w:t>patients shows an adverse event profile consistent with the broad literature on the safety of IVIg. Steroids result in a similar number of patients experiencing adverse events, however, the number of events and the</w:t>
      </w:r>
      <w:r w:rsidR="00BA3B0B" w:rsidRPr="00E3331A">
        <w:t>ir</w:t>
      </w:r>
      <w:r w:rsidRPr="00E3331A">
        <w:t xml:space="preserve"> impact on </w:t>
      </w:r>
      <w:r w:rsidR="00D97F71" w:rsidRPr="00E3331A">
        <w:t>patient</w:t>
      </w:r>
      <w:r w:rsidRPr="00E3331A">
        <w:t xml:space="preserve"> quality of life is </w:t>
      </w:r>
      <w:r w:rsidR="00BA3B0B" w:rsidRPr="00E3331A">
        <w:t xml:space="preserve">dependent on </w:t>
      </w:r>
      <w:r w:rsidRPr="00E3331A">
        <w:t xml:space="preserve">dose and duration of therapy. </w:t>
      </w:r>
      <w:r w:rsidR="007930EE" w:rsidRPr="00E3331A">
        <w:t xml:space="preserve">Based on the rheumatoid arthritis experience </w:t>
      </w:r>
      <w:r w:rsidR="00B85C75">
        <w:rPr>
          <w:noProof/>
        </w:rPr>
        <w:t>(Huscher et al. 2009)</w:t>
      </w:r>
      <w:r w:rsidR="007930EE" w:rsidRPr="00E3331A">
        <w:t xml:space="preserve"> i</w:t>
      </w:r>
      <w:r w:rsidRPr="00E3331A">
        <w:t xml:space="preserve">t </w:t>
      </w:r>
      <w:r w:rsidR="007930EE" w:rsidRPr="00E3331A">
        <w:t>is</w:t>
      </w:r>
      <w:r w:rsidRPr="00E3331A">
        <w:t xml:space="preserve"> anticipated that the </w:t>
      </w:r>
      <w:r w:rsidR="00D97F71" w:rsidRPr="00E3331A">
        <w:t>long-term</w:t>
      </w:r>
      <w:r w:rsidRPr="00E3331A">
        <w:t xml:space="preserve"> adverse event profile of extended high</w:t>
      </w:r>
      <w:r w:rsidR="00D45BCF" w:rsidRPr="00E3331A">
        <w:t>-</w:t>
      </w:r>
      <w:r w:rsidRPr="00E3331A">
        <w:t>dose steroids is unfavourable relative to IVI</w:t>
      </w:r>
      <w:r w:rsidR="007930EE" w:rsidRPr="00E3331A">
        <w:t>g.</w:t>
      </w:r>
      <w:r w:rsidRPr="00E3331A">
        <w:t xml:space="preserve"> Whether patients can be effectively titrated to low</w:t>
      </w:r>
      <w:r w:rsidR="007930EE" w:rsidRPr="00E3331A">
        <w:t>-</w:t>
      </w:r>
      <w:r w:rsidRPr="00E3331A">
        <w:t xml:space="preserve">dose steroids (&lt; 7.5 mg/day of prednisone or equivalent) </w:t>
      </w:r>
      <w:r w:rsidR="007930EE" w:rsidRPr="00E3331A">
        <w:t>will impact</w:t>
      </w:r>
      <w:r w:rsidRPr="00E3331A">
        <w:t xml:space="preserve"> the anticipated adverse event profile. The safety of plasma exchange and immunosuppressant and/or immunomodulatory drugs was poorly reported in the included studies, and/or was reported in too few studies to </w:t>
      </w:r>
      <w:r w:rsidR="007930EE" w:rsidRPr="00E3331A">
        <w:t xml:space="preserve">allow </w:t>
      </w:r>
      <w:r w:rsidRPr="00E3331A">
        <w:t>comment.</w:t>
      </w:r>
    </w:p>
    <w:p w:rsidR="00BE763C" w:rsidRPr="00E3331A" w:rsidRDefault="00105C53" w:rsidP="00BE763C">
      <w:pPr>
        <w:jc w:val="both"/>
      </w:pPr>
      <w:r w:rsidRPr="00E3331A">
        <w:t>N</w:t>
      </w:r>
      <w:r w:rsidR="0066686B" w:rsidRPr="00E3331A">
        <w:t xml:space="preserve">o evidence to inform on the </w:t>
      </w:r>
      <w:r w:rsidRPr="00E3331A">
        <w:t xml:space="preserve">safety of </w:t>
      </w:r>
      <w:r w:rsidR="0066686B" w:rsidRPr="00E3331A">
        <w:t>combination</w:t>
      </w:r>
      <w:r w:rsidRPr="00E3331A">
        <w:t>s</w:t>
      </w:r>
      <w:r w:rsidR="0066686B" w:rsidRPr="00E3331A">
        <w:t xml:space="preserve"> of </w:t>
      </w:r>
      <w:r w:rsidRPr="00E3331A">
        <w:t xml:space="preserve">treatment </w:t>
      </w:r>
      <w:r w:rsidR="0066686B" w:rsidRPr="00E3331A">
        <w:t>strategies was available.</w:t>
      </w:r>
    </w:p>
    <w:p w:rsidR="008D6716" w:rsidRPr="00E3331A" w:rsidRDefault="008D6716" w:rsidP="00BE763C">
      <w:pPr>
        <w:jc w:val="both"/>
      </w:pPr>
      <w:r w:rsidRPr="00E3331A">
        <w:t xml:space="preserve">The Reference Group identified that a limitation of the evidence </w:t>
      </w:r>
      <w:r w:rsidR="00E810A5" w:rsidRPr="00E3331A">
        <w:t>base</w:t>
      </w:r>
      <w:r w:rsidRPr="00E3331A">
        <w:t xml:space="preserve"> is that it failed to </w:t>
      </w:r>
      <w:r w:rsidR="00E810A5" w:rsidRPr="00E3331A">
        <w:t>adequately</w:t>
      </w:r>
      <w:r w:rsidRPr="00E3331A">
        <w:t xml:space="preserve"> capture the adverse events associated with steroid use. The Reference Group suggested the adverse event profile reported in the publication by Wilson et al. (2007) provides an overview of the risks of steroid use and is </w:t>
      </w:r>
      <w:r w:rsidR="00E810A5" w:rsidRPr="00E3331A">
        <w:t>applicable</w:t>
      </w:r>
      <w:r w:rsidRPr="00E3331A">
        <w:t xml:space="preserve"> to the Australian CIDP population. Results from this publication are included in Section B6. Steroid use increased the risk of diabetes, osteoporosis, fractures, glaucoma and serious infection in patients with giant cell </w:t>
      </w:r>
      <w:r w:rsidR="00AE0320" w:rsidRPr="00AE0320">
        <w:t>arteritis</w:t>
      </w:r>
      <w:r w:rsidRPr="00E3331A">
        <w:t xml:space="preserve">. </w:t>
      </w:r>
    </w:p>
    <w:bookmarkEnd w:id="311"/>
    <w:p w:rsidR="0066686B" w:rsidRPr="00E3331A" w:rsidRDefault="00A872B4" w:rsidP="00402FBA">
      <w:pPr>
        <w:jc w:val="both"/>
        <w:rPr>
          <w:b/>
        </w:rPr>
      </w:pPr>
      <w:r w:rsidRPr="00E3331A">
        <w:rPr>
          <w:b/>
        </w:rPr>
        <w:t>Effectiveness</w:t>
      </w:r>
    </w:p>
    <w:p w:rsidR="00A872B4" w:rsidRPr="00E3331A" w:rsidRDefault="00B41196" w:rsidP="00402FBA">
      <w:pPr>
        <w:jc w:val="both"/>
      </w:pPr>
      <w:r w:rsidRPr="00E3331A">
        <w:t xml:space="preserve">The evidence reviewed in this </w:t>
      </w:r>
      <w:r w:rsidR="005541CA" w:rsidRPr="00E3331A">
        <w:t>A</w:t>
      </w:r>
      <w:r w:rsidRPr="00E3331A">
        <w:t xml:space="preserve">ssessment </w:t>
      </w:r>
      <w:r w:rsidR="00D902D5" w:rsidRPr="00E3331A">
        <w:t>indicates</w:t>
      </w:r>
      <w:r w:rsidRPr="00E3331A">
        <w:t xml:space="preserve"> that</w:t>
      </w:r>
      <w:r w:rsidR="00FB4876" w:rsidRPr="00E3331A">
        <w:t>,</w:t>
      </w:r>
      <w:r w:rsidRPr="00E3331A">
        <w:t xml:space="preserve"> relative to no treatment, Ig </w:t>
      </w:r>
      <w:r w:rsidR="00196FCD" w:rsidRPr="00E3331A">
        <w:t>likely has</w:t>
      </w:r>
      <w:r w:rsidRPr="00E3331A">
        <w:t xml:space="preserve"> superior effectiveness</w:t>
      </w:r>
      <w:r w:rsidR="007C4CBB" w:rsidRPr="00E3331A">
        <w:t xml:space="preserve"> (moderate</w:t>
      </w:r>
      <w:r w:rsidR="00FB4876" w:rsidRPr="00E3331A">
        <w:t>-</w:t>
      </w:r>
      <w:r w:rsidR="007C4CBB" w:rsidRPr="00E3331A">
        <w:t>quality evidence)</w:t>
      </w:r>
      <w:r w:rsidR="00F67E61" w:rsidRPr="00E3331A">
        <w:t xml:space="preserve">. </w:t>
      </w:r>
      <w:r w:rsidR="00B46A9A" w:rsidRPr="00E3331A">
        <w:t xml:space="preserve">There is moderate </w:t>
      </w:r>
      <w:r w:rsidR="00196FCD" w:rsidRPr="00E3331A">
        <w:t xml:space="preserve">evidence </w:t>
      </w:r>
      <w:r w:rsidR="00B46A9A" w:rsidRPr="00E3331A">
        <w:t xml:space="preserve">indicating </w:t>
      </w:r>
      <w:r w:rsidR="00FB4876" w:rsidRPr="00E3331A">
        <w:t xml:space="preserve">that </w:t>
      </w:r>
      <w:r w:rsidR="00196FCD" w:rsidRPr="00E3331A">
        <w:t>I</w:t>
      </w:r>
      <w:r w:rsidRPr="00E3331A">
        <w:t>g has</w:t>
      </w:r>
      <w:r w:rsidR="00FF0651" w:rsidRPr="00E3331A">
        <w:t xml:space="preserve"> at least</w:t>
      </w:r>
      <w:r w:rsidRPr="00E3331A">
        <w:t xml:space="preserve"> non-inferior effectiveness</w:t>
      </w:r>
      <w:r w:rsidR="00F67E61" w:rsidRPr="00E3331A">
        <w:t xml:space="preserve"> relative to steroids</w:t>
      </w:r>
      <w:r w:rsidRPr="00E3331A">
        <w:t xml:space="preserve">. </w:t>
      </w:r>
      <w:r w:rsidR="00B46A9A" w:rsidRPr="00E3331A">
        <w:t xml:space="preserve">Advice from the Reference Group is that the evidence </w:t>
      </w:r>
      <w:r w:rsidR="00096949" w:rsidRPr="00E3331A">
        <w:t>may s</w:t>
      </w:r>
      <w:r w:rsidR="00B46A9A" w:rsidRPr="00E3331A">
        <w:t xml:space="preserve">upport a finding of superior effectiveness based on the </w:t>
      </w:r>
      <w:r w:rsidR="00AD05CA" w:rsidRPr="00E3331A">
        <w:t xml:space="preserve">relative </w:t>
      </w:r>
      <w:r w:rsidR="00B46A9A" w:rsidRPr="00E3331A">
        <w:t xml:space="preserve">number of patients </w:t>
      </w:r>
      <w:r w:rsidR="00096949" w:rsidRPr="00E3331A">
        <w:t xml:space="preserve">discontinuing </w:t>
      </w:r>
      <w:r w:rsidR="00B46A9A" w:rsidRPr="00E3331A">
        <w:t xml:space="preserve">treatment. </w:t>
      </w:r>
      <w:r w:rsidR="00FB4876" w:rsidRPr="00E3331A">
        <w:t>There was insufficient e</w:t>
      </w:r>
      <w:r w:rsidR="00F67E61" w:rsidRPr="00E3331A">
        <w:t xml:space="preserve">vidence on the comparison of Ig and plasma </w:t>
      </w:r>
      <w:r w:rsidR="00F67E61" w:rsidRPr="00E3331A">
        <w:lastRenderedPageBreak/>
        <w:t xml:space="preserve">exchange to support a finding of non-inferiority. </w:t>
      </w:r>
      <w:r w:rsidR="00FB4876" w:rsidRPr="00E3331A">
        <w:t>Overall, t</w:t>
      </w:r>
      <w:r w:rsidRPr="00E3331A">
        <w:t>here was limited, mixed</w:t>
      </w:r>
      <w:r w:rsidR="00D45BCF" w:rsidRPr="00E3331A">
        <w:t>-</w:t>
      </w:r>
      <w:r w:rsidRPr="00E3331A">
        <w:t xml:space="preserve">quality evidence investigating treatments for CIDP. Generally, trials were small and follow-up </w:t>
      </w:r>
      <w:r w:rsidR="00144EB4" w:rsidRPr="00E3331A">
        <w:t xml:space="preserve">duration was </w:t>
      </w:r>
      <w:r w:rsidRPr="00E3331A">
        <w:t xml:space="preserve">short. </w:t>
      </w:r>
      <w:r w:rsidR="00F67E61" w:rsidRPr="00E3331A">
        <w:t>Risk of bias was “high” in eleven of the 20 identified RCTs and “</w:t>
      </w:r>
      <w:r w:rsidR="00FB4876" w:rsidRPr="00E3331A">
        <w:t xml:space="preserve">of </w:t>
      </w:r>
      <w:r w:rsidR="00F67E61" w:rsidRPr="00E3331A">
        <w:t xml:space="preserve">concern” in a further three. </w:t>
      </w:r>
      <w:r w:rsidRPr="00E3331A">
        <w:t>The relative long-term effectiveness of any of the active treatments for CIDP is th</w:t>
      </w:r>
      <w:r w:rsidR="00FB4876" w:rsidRPr="00E3331A">
        <w:t>us</w:t>
      </w:r>
      <w:r w:rsidRPr="00E3331A">
        <w:t xml:space="preserve"> uncertain. </w:t>
      </w:r>
      <w:r w:rsidR="00A5149C" w:rsidRPr="00E3331A">
        <w:t>Ig was found to elicit a clinically meaningful response in the approximately 50</w:t>
      </w:r>
      <w:r w:rsidR="00FB4876" w:rsidRPr="00E3331A">
        <w:t>%</w:t>
      </w:r>
      <w:r w:rsidR="00A5149C" w:rsidRPr="00E3331A">
        <w:t xml:space="preserve"> of patients receiving the treatment</w:t>
      </w:r>
      <w:r w:rsidR="00FB4876" w:rsidRPr="00E3331A">
        <w:t>,</w:t>
      </w:r>
      <w:r w:rsidR="00A5149C" w:rsidRPr="00E3331A">
        <w:t xml:space="preserve"> and </w:t>
      </w:r>
      <w:r w:rsidR="00F67E61" w:rsidRPr="00E3331A">
        <w:t>th</w:t>
      </w:r>
      <w:r w:rsidR="00FB4876" w:rsidRPr="00E3331A">
        <w:t>us</w:t>
      </w:r>
      <w:r w:rsidR="00A5149C" w:rsidRPr="00E3331A">
        <w:t xml:space="preserve"> is likely to be beneficial for </w:t>
      </w:r>
      <w:r w:rsidR="00FB4876" w:rsidRPr="00E3331A">
        <w:t xml:space="preserve">CIDP </w:t>
      </w:r>
      <w:r w:rsidR="00F67E61" w:rsidRPr="00E3331A">
        <w:t>patients</w:t>
      </w:r>
      <w:r w:rsidR="00A5149C" w:rsidRPr="00E3331A">
        <w:t xml:space="preserve">. </w:t>
      </w:r>
    </w:p>
    <w:p w:rsidR="00A5149C" w:rsidRPr="00E3331A" w:rsidRDefault="00A5149C" w:rsidP="00402FBA">
      <w:pPr>
        <w:jc w:val="both"/>
      </w:pPr>
      <w:r w:rsidRPr="00E3331A">
        <w:t xml:space="preserve">Available evidence </w:t>
      </w:r>
      <w:r w:rsidR="00D902D5" w:rsidRPr="00E3331A">
        <w:t>indicates that</w:t>
      </w:r>
      <w:r w:rsidRPr="00E3331A">
        <w:t xml:space="preserve"> there is little</w:t>
      </w:r>
      <w:r w:rsidR="00F67E61" w:rsidRPr="00E3331A">
        <w:t xml:space="preserve"> short-term (≤ 6 months)</w:t>
      </w:r>
      <w:r w:rsidRPr="00E3331A">
        <w:t xml:space="preserve"> benefit from the addition of immunosuppressants to other treatments (using drug and dosage studies in the RCTs)</w:t>
      </w:r>
      <w:r w:rsidR="00F144B7" w:rsidRPr="00E3331A">
        <w:t>.</w:t>
      </w:r>
      <w:r w:rsidR="00F67E61" w:rsidRPr="00E3331A">
        <w:t xml:space="preserve"> </w:t>
      </w:r>
      <w:r w:rsidR="00F144B7" w:rsidRPr="00E3331A">
        <w:t>N</w:t>
      </w:r>
      <w:r w:rsidR="00F67E61" w:rsidRPr="00E3331A">
        <w:t>o long-term data was available.</w:t>
      </w:r>
    </w:p>
    <w:p w:rsidR="00BC60A8" w:rsidRPr="00E3331A" w:rsidRDefault="00BC60A8" w:rsidP="00BC60A8">
      <w:pPr>
        <w:jc w:val="both"/>
      </w:pPr>
      <w:r w:rsidRPr="00E3331A">
        <w:t xml:space="preserve">On the basis of the benefits and harms reported in the evidence base (summarised in </w:t>
      </w:r>
      <w:r w:rsidR="006F35B9" w:rsidRPr="00E3331A">
        <w:t xml:space="preserve">Table </w:t>
      </w:r>
      <w:r w:rsidR="006F35B9">
        <w:rPr>
          <w:noProof/>
        </w:rPr>
        <w:t>41</w:t>
      </w:r>
      <w:r w:rsidRPr="00E3331A">
        <w:t>), it is suggested that; relative to:</w:t>
      </w:r>
    </w:p>
    <w:p w:rsidR="00BC60A8" w:rsidRPr="00E3331A" w:rsidRDefault="00BC60A8" w:rsidP="00BC60A8">
      <w:pPr>
        <w:pStyle w:val="ColorfulList-Accent11"/>
        <w:numPr>
          <w:ilvl w:val="0"/>
          <w:numId w:val="45"/>
        </w:numPr>
        <w:jc w:val="both"/>
      </w:pPr>
      <w:r w:rsidRPr="00E3331A">
        <w:t>No treatment, Ig has inferior safety and superior effectiveness; noting that Ig is rarely associated with serious adverse events.</w:t>
      </w:r>
    </w:p>
    <w:p w:rsidR="00096949" w:rsidRPr="00E3331A" w:rsidRDefault="00BC60A8" w:rsidP="00BC60A8">
      <w:pPr>
        <w:pStyle w:val="ColorfulList-Accent11"/>
        <w:numPr>
          <w:ilvl w:val="0"/>
          <w:numId w:val="45"/>
        </w:numPr>
        <w:jc w:val="both"/>
      </w:pPr>
      <w:r w:rsidRPr="00E3331A">
        <w:t xml:space="preserve">Steroids, Ig has superior safety and at least non-inferior effectiveness. Advice from the Reference Group is that the evidence </w:t>
      </w:r>
      <w:r w:rsidR="00096949" w:rsidRPr="00E3331A">
        <w:t xml:space="preserve">may </w:t>
      </w:r>
      <w:r w:rsidRPr="00E3331A">
        <w:t xml:space="preserve">support a finding of superior effectiveness based on the relative number of patients </w:t>
      </w:r>
      <w:r w:rsidR="00096949" w:rsidRPr="00E3331A">
        <w:t>discontinuing</w:t>
      </w:r>
      <w:r w:rsidRPr="00E3331A">
        <w:t xml:space="preserve"> treatment. </w:t>
      </w:r>
    </w:p>
    <w:p w:rsidR="00BC60A8" w:rsidRPr="00E3331A" w:rsidRDefault="00BC60A8" w:rsidP="00BC60A8">
      <w:pPr>
        <w:pStyle w:val="ColorfulList-Accent11"/>
        <w:numPr>
          <w:ilvl w:val="0"/>
          <w:numId w:val="45"/>
        </w:numPr>
        <w:jc w:val="both"/>
      </w:pPr>
      <w:r w:rsidRPr="00E3331A">
        <w:t>Plasma exchange, there is insufficient evidence to comment on the relative safety and effectiveness of Ig.</w:t>
      </w:r>
    </w:p>
    <w:p w:rsidR="00BC60A8" w:rsidRPr="00E3331A" w:rsidRDefault="00BC60A8" w:rsidP="00BC60A8">
      <w:pPr>
        <w:pStyle w:val="ColorfulList-Accent11"/>
        <w:numPr>
          <w:ilvl w:val="0"/>
          <w:numId w:val="45"/>
        </w:numPr>
        <w:jc w:val="both"/>
      </w:pPr>
      <w:r w:rsidRPr="00E3331A">
        <w:t>Immunosuppressants, there is insufficient evidence to comment on the relative safety and effectiveness of Ig.</w:t>
      </w:r>
    </w:p>
    <w:p w:rsidR="00BC60A8" w:rsidRPr="00E3331A" w:rsidRDefault="00BC60A8" w:rsidP="00BC60A8">
      <w:pPr>
        <w:pStyle w:val="ColorfulList-Accent11"/>
        <w:numPr>
          <w:ilvl w:val="0"/>
          <w:numId w:val="45"/>
        </w:numPr>
        <w:jc w:val="both"/>
      </w:pPr>
      <w:r w:rsidRPr="00E3331A">
        <w:t>Combination therapy, there is insufficient evidence to comment on the relative safety and effectiveness of Ig.</w:t>
      </w:r>
    </w:p>
    <w:p w:rsidR="00BC60A8" w:rsidRPr="00E3331A" w:rsidRDefault="00BC60A8" w:rsidP="00BC60A8">
      <w:pPr>
        <w:jc w:val="both"/>
      </w:pPr>
      <w:r w:rsidRPr="00E3331A">
        <w:t>Note the Reference Group agreed that it was not appropriate to perform a GRADE summary for safety outcomes due to the different safety profiles of the intervention and comparators.</w:t>
      </w:r>
    </w:p>
    <w:p w:rsidR="00402FBA" w:rsidRDefault="00402FBA" w:rsidP="00402FBA">
      <w:pPr>
        <w:pStyle w:val="Caption"/>
        <w:jc w:val="both"/>
        <w:rPr>
          <w:rFonts w:cs="Arial"/>
          <w:snapToGrid w:val="0"/>
          <w:szCs w:val="16"/>
          <w:lang w:eastAsia="en-US"/>
        </w:rPr>
      </w:pPr>
      <w:bookmarkStart w:id="312" w:name="_Ref399239890"/>
      <w:bookmarkStart w:id="313" w:name="_Toc24103347"/>
      <w:r w:rsidRPr="00E3331A">
        <w:t xml:space="preserve">Table </w:t>
      </w:r>
      <w:r w:rsidR="006F35B9">
        <w:rPr>
          <w:noProof/>
        </w:rPr>
        <w:t>41</w:t>
      </w:r>
      <w:bookmarkEnd w:id="312"/>
      <w:r w:rsidRPr="00E3331A">
        <w:tab/>
      </w:r>
      <w:r w:rsidRPr="00E3331A">
        <w:rPr>
          <w:rFonts w:cs="Arial"/>
          <w:snapToGrid w:val="0"/>
          <w:szCs w:val="16"/>
          <w:lang w:eastAsia="en-US"/>
        </w:rPr>
        <w:t xml:space="preserve">Balance of clinical benefits and harms of </w:t>
      </w:r>
      <w:r w:rsidR="00A93D7D" w:rsidRPr="00E3331A">
        <w:rPr>
          <w:rFonts w:cs="Arial"/>
          <w:snapToGrid w:val="0"/>
          <w:szCs w:val="16"/>
          <w:lang w:eastAsia="en-US"/>
        </w:rPr>
        <w:t>Ig</w:t>
      </w:r>
      <w:r w:rsidRPr="00E3331A">
        <w:rPr>
          <w:rFonts w:cs="Arial"/>
          <w:snapToGrid w:val="0"/>
          <w:szCs w:val="16"/>
          <w:lang w:eastAsia="en-US"/>
        </w:rPr>
        <w:t xml:space="preserve">, relative to </w:t>
      </w:r>
      <w:r w:rsidR="00E33AA4" w:rsidRPr="00E3331A">
        <w:rPr>
          <w:rFonts w:cs="Arial"/>
          <w:snapToGrid w:val="0"/>
          <w:szCs w:val="16"/>
          <w:lang w:eastAsia="en-US"/>
        </w:rPr>
        <w:t>no treatment</w:t>
      </w:r>
      <w:r w:rsidRPr="00E3331A">
        <w:rPr>
          <w:rFonts w:cs="Arial"/>
          <w:snapToGrid w:val="0"/>
          <w:szCs w:val="16"/>
          <w:lang w:eastAsia="en-US"/>
        </w:rPr>
        <w:t xml:space="preserve">, as measured by the </w:t>
      </w:r>
      <w:r w:rsidR="0027645A" w:rsidRPr="00E3331A">
        <w:rPr>
          <w:rFonts w:cs="Arial"/>
          <w:snapToGrid w:val="0"/>
          <w:szCs w:val="16"/>
          <w:u w:val="single"/>
          <w:lang w:eastAsia="en-US"/>
        </w:rPr>
        <w:t>critical</w:t>
      </w:r>
      <w:r w:rsidR="0027645A" w:rsidRPr="00E3331A">
        <w:rPr>
          <w:rFonts w:cs="Arial"/>
          <w:snapToGrid w:val="0"/>
          <w:szCs w:val="16"/>
          <w:lang w:eastAsia="en-US"/>
        </w:rPr>
        <w:t xml:space="preserve"> </w:t>
      </w:r>
      <w:r w:rsidRPr="00E3331A">
        <w:rPr>
          <w:rFonts w:cs="Arial"/>
          <w:snapToGrid w:val="0"/>
          <w:szCs w:val="16"/>
          <w:lang w:eastAsia="en-US"/>
        </w:rPr>
        <w:t xml:space="preserve">patient-relevant outcomes in the </w:t>
      </w:r>
      <w:r w:rsidR="003C7A14" w:rsidRPr="00E3331A">
        <w:rPr>
          <w:rFonts w:cs="Arial"/>
          <w:snapToGrid w:val="0"/>
          <w:szCs w:val="16"/>
          <w:lang w:eastAsia="en-US"/>
        </w:rPr>
        <w:t>key studies</w:t>
      </w:r>
      <w:bookmarkEnd w:id="313"/>
      <w:r w:rsidR="003C7A14" w:rsidRPr="00E3331A">
        <w:rPr>
          <w:rFonts w:cs="Arial"/>
          <w:snapToGrid w:val="0"/>
          <w:szCs w:val="16"/>
          <w:lang w:eastAsia="en-US"/>
        </w:rPr>
        <w:t xml:space="preserve"> </w:t>
      </w:r>
    </w:p>
    <w:tbl>
      <w:tblPr>
        <w:tblW w:w="5000" w:type="pct"/>
        <w:tblLook w:val="04A0" w:firstRow="1" w:lastRow="0" w:firstColumn="1" w:lastColumn="0" w:noHBand="0" w:noVBand="1"/>
      </w:tblPr>
      <w:tblGrid>
        <w:gridCol w:w="1715"/>
        <w:gridCol w:w="1859"/>
        <w:gridCol w:w="1608"/>
        <w:gridCol w:w="1870"/>
        <w:gridCol w:w="1964"/>
      </w:tblGrid>
      <w:tr w:rsidR="00301987" w:rsidRPr="00E3331A" w:rsidTr="00952841">
        <w:tc>
          <w:tcPr>
            <w:tcW w:w="951" w:type="pct"/>
            <w:tcBorders>
              <w:top w:val="single" w:sz="4" w:space="0" w:color="auto"/>
              <w:left w:val="single" w:sz="4" w:space="0" w:color="auto"/>
              <w:bottom w:val="single" w:sz="4" w:space="0" w:color="auto"/>
              <w:right w:val="single" w:sz="4" w:space="0" w:color="auto"/>
            </w:tcBorders>
          </w:tcPr>
          <w:p w:rsidR="00301987" w:rsidRPr="00E3331A" w:rsidRDefault="00301987" w:rsidP="00952841">
            <w:pPr>
              <w:pStyle w:val="TableHeading"/>
            </w:pPr>
            <w:r w:rsidRPr="00E3331A">
              <w:t>Outcomes</w:t>
            </w:r>
          </w:p>
          <w:p w:rsidR="00301987" w:rsidRPr="00E3331A" w:rsidRDefault="00301987" w:rsidP="00952841">
            <w:pPr>
              <w:pStyle w:val="TableHeading"/>
            </w:pPr>
            <w:r w:rsidRPr="00E3331A">
              <w:t>Follow-up</w:t>
            </w:r>
          </w:p>
        </w:tc>
        <w:tc>
          <w:tcPr>
            <w:tcW w:w="1031" w:type="pct"/>
            <w:tcBorders>
              <w:top w:val="single" w:sz="4" w:space="0" w:color="auto"/>
              <w:left w:val="single" w:sz="4" w:space="0" w:color="auto"/>
              <w:bottom w:val="single" w:sz="4" w:space="0" w:color="auto"/>
              <w:right w:val="single" w:sz="4" w:space="0" w:color="auto"/>
            </w:tcBorders>
          </w:tcPr>
          <w:p w:rsidR="00301987" w:rsidRPr="00E3331A" w:rsidRDefault="00301987" w:rsidP="00952841">
            <w:pPr>
              <w:pStyle w:val="TableHeading"/>
            </w:pPr>
            <w:r w:rsidRPr="00E3331A">
              <w:t>Participants (studies)</w:t>
            </w:r>
          </w:p>
          <w:p w:rsidR="00301987" w:rsidRPr="00E3331A" w:rsidRDefault="00301987" w:rsidP="00952841">
            <w:pPr>
              <w:pStyle w:val="TableHeading"/>
            </w:pPr>
          </w:p>
        </w:tc>
        <w:tc>
          <w:tcPr>
            <w:tcW w:w="892" w:type="pct"/>
            <w:tcBorders>
              <w:top w:val="single" w:sz="4" w:space="0" w:color="auto"/>
              <w:left w:val="single" w:sz="4" w:space="0" w:color="auto"/>
              <w:bottom w:val="single" w:sz="4" w:space="0" w:color="auto"/>
              <w:right w:val="single" w:sz="4" w:space="0" w:color="auto"/>
            </w:tcBorders>
          </w:tcPr>
          <w:p w:rsidR="00301987" w:rsidRPr="00E3331A" w:rsidRDefault="00301987" w:rsidP="00952841">
            <w:pPr>
              <w:pStyle w:val="TableHeading"/>
            </w:pPr>
            <w:r w:rsidRPr="00E3331A">
              <w:t>Quality of evidence (GRADE)</w:t>
            </w:r>
            <w:r w:rsidRPr="00E3331A">
              <w:rPr>
                <w:rFonts w:cs="Arial"/>
                <w:sz w:val="18"/>
                <w:szCs w:val="18"/>
                <w:vertAlign w:val="superscript"/>
              </w:rPr>
              <w:t xml:space="preserve"> a</w:t>
            </w:r>
          </w:p>
        </w:tc>
        <w:tc>
          <w:tcPr>
            <w:tcW w:w="1037" w:type="pct"/>
            <w:tcBorders>
              <w:top w:val="single" w:sz="4" w:space="0" w:color="auto"/>
              <w:left w:val="single" w:sz="4" w:space="0" w:color="auto"/>
              <w:bottom w:val="single" w:sz="4" w:space="0" w:color="auto"/>
              <w:right w:val="single" w:sz="4" w:space="0" w:color="auto"/>
            </w:tcBorders>
          </w:tcPr>
          <w:p w:rsidR="00301987" w:rsidRPr="00E3331A" w:rsidRDefault="00301987" w:rsidP="00952841">
            <w:pPr>
              <w:pStyle w:val="TableHeading"/>
            </w:pPr>
            <w:r w:rsidRPr="00E3331A">
              <w:rPr>
                <w:color w:val="000000"/>
              </w:rPr>
              <w:t xml:space="preserve">Risk with no </w:t>
            </w:r>
            <w:r w:rsidR="00E810A5" w:rsidRPr="00E3331A">
              <w:rPr>
                <w:color w:val="000000"/>
              </w:rPr>
              <w:t>treatment</w:t>
            </w:r>
          </w:p>
        </w:tc>
        <w:tc>
          <w:tcPr>
            <w:tcW w:w="1089" w:type="pct"/>
            <w:tcBorders>
              <w:top w:val="single" w:sz="4" w:space="0" w:color="auto"/>
              <w:left w:val="single" w:sz="4" w:space="0" w:color="auto"/>
              <w:bottom w:val="single" w:sz="4" w:space="0" w:color="auto"/>
              <w:right w:val="single" w:sz="4" w:space="0" w:color="auto"/>
            </w:tcBorders>
          </w:tcPr>
          <w:p w:rsidR="00301987" w:rsidRPr="00E3331A" w:rsidRDefault="00301987" w:rsidP="00952841">
            <w:pPr>
              <w:pStyle w:val="TableHeading"/>
            </w:pPr>
            <w:r w:rsidRPr="00E3331A">
              <w:rPr>
                <w:color w:val="000000"/>
              </w:rPr>
              <w:t>Risk difference with Ig</w:t>
            </w:r>
          </w:p>
        </w:tc>
      </w:tr>
      <w:tr w:rsidR="001F11D2" w:rsidRPr="00E3331A" w:rsidTr="001F11D2">
        <w:tc>
          <w:tcPr>
            <w:tcW w:w="5000" w:type="pct"/>
            <w:gridSpan w:val="5"/>
            <w:tcBorders>
              <w:top w:val="single" w:sz="4" w:space="0" w:color="auto"/>
              <w:left w:val="single" w:sz="4" w:space="0" w:color="auto"/>
              <w:bottom w:val="single" w:sz="4" w:space="0" w:color="auto"/>
              <w:right w:val="single" w:sz="4" w:space="0" w:color="auto"/>
            </w:tcBorders>
          </w:tcPr>
          <w:p w:rsidR="001F11D2" w:rsidRPr="00E3331A" w:rsidRDefault="001F11D2" w:rsidP="00952841">
            <w:pPr>
              <w:pStyle w:val="TableHeading"/>
              <w:rPr>
                <w:color w:val="000000"/>
              </w:rPr>
            </w:pPr>
            <w:r w:rsidRPr="00E3331A">
              <w:t>Relative to no treatment</w:t>
            </w:r>
          </w:p>
        </w:tc>
      </w:tr>
      <w:tr w:rsidR="00301987" w:rsidRPr="00E3331A" w:rsidTr="00952841">
        <w:tc>
          <w:tcPr>
            <w:tcW w:w="951"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rsidRPr="00E3331A">
              <w:t>INCAT</w:t>
            </w:r>
            <w:r w:rsidRPr="00E3331A">
              <w:br/>
              <w:t>follow</w:t>
            </w:r>
            <w:r w:rsidR="000C0E99">
              <w:t>-up</w:t>
            </w:r>
            <w:r w:rsidRPr="00E3331A">
              <w:t xml:space="preserve">: median 6 months </w:t>
            </w:r>
          </w:p>
        </w:tc>
        <w:tc>
          <w:tcPr>
            <w:tcW w:w="1031"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rsidRPr="00E3331A">
              <w:t>117</w:t>
            </w:r>
            <w:r w:rsidRPr="00E3331A">
              <w:br/>
              <w:t xml:space="preserve">(1 RCT) </w:t>
            </w:r>
          </w:p>
        </w:tc>
        <w:tc>
          <w:tcPr>
            <w:tcW w:w="892"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rsidRPr="00E3331A">
              <w:rPr>
                <w:rFonts w:ascii="Cambria Math" w:hAnsi="Cambria Math" w:cs="Cambria Math"/>
                <w:sz w:val="21"/>
                <w:szCs w:val="21"/>
              </w:rPr>
              <w:t>⨁⨁⨁</w:t>
            </w:r>
            <w:r w:rsidRPr="00E3331A">
              <w:rPr>
                <w:rFonts w:ascii="MS Gothic" w:eastAsia="MS Gothic" w:hAnsi="MS Gothic" w:cs="MS Gothic" w:hint="eastAsia"/>
                <w:sz w:val="21"/>
                <w:szCs w:val="21"/>
              </w:rPr>
              <w:t>◯</w:t>
            </w:r>
            <w:r w:rsidRPr="00E3331A">
              <w:br/>
              <w:t xml:space="preserve">MODERATE </w:t>
            </w:r>
            <w:r w:rsidRPr="00E3331A">
              <w:rPr>
                <w:vertAlign w:val="superscript"/>
              </w:rPr>
              <w:t>a</w:t>
            </w:r>
          </w:p>
        </w:tc>
        <w:tc>
          <w:tcPr>
            <w:tcW w:w="1037"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rsidRPr="00E3331A">
              <w:t xml:space="preserve">The mean change in INCAT was -0.3 </w:t>
            </w:r>
          </w:p>
        </w:tc>
        <w:tc>
          <w:tcPr>
            <w:tcW w:w="1089"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rsidRPr="00E3331A">
              <w:t>mean change 0.7 lower</w:t>
            </w:r>
            <w:r w:rsidRPr="00E3331A">
              <w:br/>
              <w:t xml:space="preserve">(1.3 lower to 0.2 lower) </w:t>
            </w:r>
          </w:p>
        </w:tc>
      </w:tr>
      <w:tr w:rsidR="00301987" w:rsidRPr="00E3331A" w:rsidTr="00952841">
        <w:tc>
          <w:tcPr>
            <w:tcW w:w="951"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rsidRPr="00E3331A">
              <w:t>MRC</w:t>
            </w:r>
            <w:r w:rsidRPr="00E3331A">
              <w:br/>
              <w:t>follow</w:t>
            </w:r>
            <w:r w:rsidR="000C0E99">
              <w:t>-up</w:t>
            </w:r>
            <w:r w:rsidRPr="00E3331A">
              <w:t xml:space="preserve">: range 3 weeks to 24 weeks </w:t>
            </w:r>
          </w:p>
        </w:tc>
        <w:tc>
          <w:tcPr>
            <w:tcW w:w="1031"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rsidRPr="00E3331A">
              <w:t>145</w:t>
            </w:r>
            <w:r w:rsidRPr="00E3331A">
              <w:br/>
              <w:t xml:space="preserve">(2 RCTs) </w:t>
            </w:r>
          </w:p>
        </w:tc>
        <w:tc>
          <w:tcPr>
            <w:tcW w:w="892"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rsidRPr="00E3331A">
              <w:rPr>
                <w:rFonts w:ascii="Cambria Math" w:hAnsi="Cambria Math" w:cs="Cambria Math"/>
                <w:sz w:val="21"/>
                <w:szCs w:val="21"/>
              </w:rPr>
              <w:t>⨁⨁⨁</w:t>
            </w:r>
            <w:r w:rsidRPr="00E3331A">
              <w:rPr>
                <w:rFonts w:ascii="MS Gothic" w:eastAsia="MS Gothic" w:hAnsi="MS Gothic" w:cs="MS Gothic" w:hint="eastAsia"/>
                <w:sz w:val="21"/>
                <w:szCs w:val="21"/>
              </w:rPr>
              <w:t>◯</w:t>
            </w:r>
            <w:r w:rsidRPr="00E3331A">
              <w:br/>
              <w:t xml:space="preserve">MODERATE </w:t>
            </w:r>
            <w:r w:rsidRPr="00E3331A">
              <w:rPr>
                <w:vertAlign w:val="superscript"/>
              </w:rPr>
              <w:t>b</w:t>
            </w:r>
          </w:p>
        </w:tc>
        <w:tc>
          <w:tcPr>
            <w:tcW w:w="2126" w:type="pct"/>
            <w:gridSpan w:val="2"/>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t>Change in MRC favoured Ig in both RCTs with different magnitude (study 1: n = 117, mean change 3.1, p = 0.001 and study 2: n = 18, mean change = 0.29, p = NR)</w:t>
            </w:r>
            <w:r w:rsidRPr="00E3331A">
              <w:t xml:space="preserve"> </w:t>
            </w:r>
          </w:p>
        </w:tc>
      </w:tr>
      <w:tr w:rsidR="00301987" w:rsidRPr="00E3331A" w:rsidTr="00952841">
        <w:tc>
          <w:tcPr>
            <w:tcW w:w="951"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rsidRPr="00E3331A">
              <w:t>Clinically meaningful response</w:t>
            </w:r>
            <w:r w:rsidRPr="00E3331A">
              <w:br/>
            </w:r>
            <w:r w:rsidRPr="00E3331A">
              <w:lastRenderedPageBreak/>
              <w:t>follow</w:t>
            </w:r>
            <w:r w:rsidR="000C0E99">
              <w:t>-up</w:t>
            </w:r>
            <w:r w:rsidRPr="00E3331A">
              <w:t xml:space="preserve">: range 3 weeks to 24 weeks </w:t>
            </w:r>
          </w:p>
        </w:tc>
        <w:tc>
          <w:tcPr>
            <w:tcW w:w="1031"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rsidRPr="00E3331A">
              <w:lastRenderedPageBreak/>
              <w:t>255</w:t>
            </w:r>
            <w:r w:rsidRPr="00E3331A">
              <w:br/>
              <w:t xml:space="preserve">(4 RCTs) </w:t>
            </w:r>
          </w:p>
        </w:tc>
        <w:tc>
          <w:tcPr>
            <w:tcW w:w="892"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rsidRPr="00E3331A">
              <w:rPr>
                <w:rFonts w:ascii="Cambria Math" w:hAnsi="Cambria Math" w:cs="Cambria Math"/>
                <w:sz w:val="21"/>
                <w:szCs w:val="21"/>
              </w:rPr>
              <w:t>⨁⨁⨁</w:t>
            </w:r>
            <w:r w:rsidRPr="00E3331A">
              <w:rPr>
                <w:rFonts w:ascii="MS Gothic" w:eastAsia="MS Gothic" w:hAnsi="MS Gothic" w:cs="MS Gothic" w:hint="eastAsia"/>
                <w:sz w:val="21"/>
                <w:szCs w:val="21"/>
              </w:rPr>
              <w:t>◯</w:t>
            </w:r>
            <w:r w:rsidRPr="00E3331A">
              <w:br/>
              <w:t xml:space="preserve">MODERATE </w:t>
            </w:r>
            <w:r w:rsidRPr="00E3331A">
              <w:rPr>
                <w:vertAlign w:val="superscript"/>
              </w:rPr>
              <w:t>a</w:t>
            </w:r>
          </w:p>
        </w:tc>
        <w:tc>
          <w:tcPr>
            <w:tcW w:w="2126" w:type="pct"/>
            <w:gridSpan w:val="2"/>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t xml:space="preserve">Clinically meaningful response as higher in the Ig group in ¾ studies. Rates of response ranged </w:t>
            </w:r>
            <w:r>
              <w:lastRenderedPageBreak/>
              <w:t xml:space="preserve">from 13% to 63% in the Ig group and 10% to 23% in the no treatment group. </w:t>
            </w:r>
          </w:p>
        </w:tc>
      </w:tr>
      <w:tr w:rsidR="001F11D2" w:rsidRPr="00E3331A" w:rsidTr="001F11D2">
        <w:tc>
          <w:tcPr>
            <w:tcW w:w="5000" w:type="pct"/>
            <w:gridSpan w:val="5"/>
            <w:tcBorders>
              <w:top w:val="single" w:sz="4" w:space="0" w:color="auto"/>
              <w:left w:val="single" w:sz="4" w:space="0" w:color="auto"/>
              <w:bottom w:val="single" w:sz="4" w:space="0" w:color="auto"/>
              <w:right w:val="single" w:sz="4" w:space="0" w:color="auto"/>
            </w:tcBorders>
            <w:vAlign w:val="center"/>
          </w:tcPr>
          <w:p w:rsidR="001F11D2" w:rsidRPr="001F11D2" w:rsidRDefault="001F11D2" w:rsidP="00952841">
            <w:pPr>
              <w:pStyle w:val="Tabletext1"/>
              <w:rPr>
                <w:b/>
              </w:rPr>
            </w:pPr>
            <w:r w:rsidRPr="001F11D2">
              <w:rPr>
                <w:b/>
              </w:rPr>
              <w:lastRenderedPageBreak/>
              <w:t>Relative to steroids</w:t>
            </w:r>
          </w:p>
        </w:tc>
      </w:tr>
      <w:tr w:rsidR="00301987" w:rsidRPr="00E3331A" w:rsidTr="00952841">
        <w:tc>
          <w:tcPr>
            <w:tcW w:w="951"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rsidRPr="00E3331A">
              <w:t>INCAT</w:t>
            </w:r>
          </w:p>
          <w:p w:rsidR="00301987" w:rsidRPr="00E3331A" w:rsidRDefault="00301987" w:rsidP="00952841">
            <w:pPr>
              <w:pStyle w:val="Tabletext1"/>
            </w:pPr>
            <w:r w:rsidRPr="00E3331A">
              <w:t>follow</w:t>
            </w:r>
            <w:r w:rsidR="000C0E99">
              <w:t>-up</w:t>
            </w:r>
            <w:r w:rsidRPr="00E3331A">
              <w:t>: 6 weeks</w:t>
            </w:r>
          </w:p>
        </w:tc>
        <w:tc>
          <w:tcPr>
            <w:tcW w:w="1031" w:type="pct"/>
            <w:tcBorders>
              <w:top w:val="single" w:sz="4" w:space="0" w:color="auto"/>
              <w:left w:val="single" w:sz="4" w:space="0" w:color="auto"/>
              <w:bottom w:val="single" w:sz="4" w:space="0" w:color="auto"/>
              <w:right w:val="single" w:sz="4" w:space="0" w:color="auto"/>
            </w:tcBorders>
            <w:vAlign w:val="center"/>
          </w:tcPr>
          <w:p w:rsidR="00301987" w:rsidRDefault="00301987" w:rsidP="00952841">
            <w:pPr>
              <w:pStyle w:val="Tabletext1"/>
            </w:pPr>
            <w:r>
              <w:t>42</w:t>
            </w:r>
          </w:p>
          <w:p w:rsidR="00301987" w:rsidRPr="00E3331A" w:rsidRDefault="00301987" w:rsidP="00952841">
            <w:pPr>
              <w:pStyle w:val="Tabletext1"/>
            </w:pPr>
            <w:r>
              <w:t>(1 RCT)</w:t>
            </w:r>
          </w:p>
        </w:tc>
        <w:tc>
          <w:tcPr>
            <w:tcW w:w="892"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rPr>
                <w:rFonts w:ascii="Cambria Math" w:hAnsi="Cambria Math" w:cs="Cambria Math"/>
                <w:sz w:val="21"/>
                <w:szCs w:val="21"/>
              </w:rPr>
            </w:pPr>
            <w:r w:rsidRPr="00E3331A">
              <w:rPr>
                <w:rFonts w:ascii="Cambria Math" w:hAnsi="Cambria Math" w:cs="Cambria Math"/>
                <w:sz w:val="21"/>
                <w:szCs w:val="21"/>
              </w:rPr>
              <w:t>⨁⨁⨁</w:t>
            </w:r>
            <w:r w:rsidRPr="00E3331A">
              <w:rPr>
                <w:rFonts w:ascii="MS Gothic" w:eastAsia="MS Gothic" w:hAnsi="MS Gothic" w:cs="MS Gothic" w:hint="eastAsia"/>
                <w:sz w:val="21"/>
                <w:szCs w:val="21"/>
              </w:rPr>
              <w:t>◯</w:t>
            </w:r>
            <w:r w:rsidRPr="00E3331A">
              <w:br/>
              <w:t xml:space="preserve">MODERATE </w:t>
            </w:r>
            <w:r w:rsidRPr="00E3331A">
              <w:rPr>
                <w:vertAlign w:val="superscript"/>
              </w:rPr>
              <w:t>a</w:t>
            </w:r>
          </w:p>
        </w:tc>
        <w:tc>
          <w:tcPr>
            <w:tcW w:w="1037"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rsidRPr="00E3331A">
              <w:rPr>
                <w:rStyle w:val="cell-value"/>
              </w:rPr>
              <w:t xml:space="preserve">The mean INCAT was </w:t>
            </w:r>
            <w:r w:rsidRPr="00E3331A">
              <w:rPr>
                <w:rStyle w:val="cell-value"/>
                <w:b/>
                <w:bCs/>
              </w:rPr>
              <w:t>0</w:t>
            </w:r>
          </w:p>
        </w:tc>
        <w:tc>
          <w:tcPr>
            <w:tcW w:w="1089"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rsidRPr="00E3331A">
              <w:rPr>
                <w:rStyle w:val="cell-value"/>
              </w:rPr>
              <w:t xml:space="preserve">MD </w:t>
            </w:r>
            <w:r w:rsidRPr="00E3331A">
              <w:rPr>
                <w:rStyle w:val="cell-value"/>
                <w:b/>
                <w:bCs/>
              </w:rPr>
              <w:t>0.22 lower</w:t>
            </w:r>
            <w:r w:rsidRPr="00E3331A">
              <w:br/>
            </w:r>
            <w:r w:rsidRPr="00E3331A">
              <w:rPr>
                <w:rStyle w:val="cell-value"/>
              </w:rPr>
              <w:t>(0.62 lower to 1.06 higher)</w:t>
            </w:r>
          </w:p>
        </w:tc>
      </w:tr>
      <w:tr w:rsidR="00301987" w:rsidRPr="00E3331A" w:rsidTr="00952841">
        <w:tc>
          <w:tcPr>
            <w:tcW w:w="951" w:type="pct"/>
            <w:tcBorders>
              <w:top w:val="single" w:sz="4" w:space="0" w:color="auto"/>
              <w:left w:val="single" w:sz="4" w:space="0" w:color="auto"/>
              <w:bottom w:val="single" w:sz="4" w:space="0" w:color="auto"/>
              <w:right w:val="single" w:sz="4" w:space="0" w:color="auto"/>
            </w:tcBorders>
            <w:vAlign w:val="center"/>
          </w:tcPr>
          <w:p w:rsidR="00E810A5" w:rsidRDefault="00301987" w:rsidP="00952841">
            <w:pPr>
              <w:pStyle w:val="Tabletext1"/>
            </w:pPr>
            <w:r>
              <w:t>Discontinue treatment</w:t>
            </w:r>
          </w:p>
          <w:p w:rsidR="00301987" w:rsidRPr="00E3331A" w:rsidRDefault="00301987" w:rsidP="00952841">
            <w:pPr>
              <w:pStyle w:val="Tabletext1"/>
            </w:pPr>
            <w:r w:rsidRPr="00E3331A">
              <w:t>follow up: 6 months</w:t>
            </w:r>
          </w:p>
        </w:tc>
        <w:tc>
          <w:tcPr>
            <w:tcW w:w="1031"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rsidRPr="00E3331A">
              <w:t>45</w:t>
            </w:r>
          </w:p>
          <w:p w:rsidR="00301987" w:rsidRPr="00E3331A" w:rsidRDefault="00301987" w:rsidP="00952841">
            <w:pPr>
              <w:pStyle w:val="Tabletext1"/>
            </w:pPr>
            <w:r w:rsidRPr="00E3331A">
              <w:t>(1 RCT)</w:t>
            </w:r>
          </w:p>
        </w:tc>
        <w:tc>
          <w:tcPr>
            <w:tcW w:w="892"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rPr>
                <w:rFonts w:ascii="Cambria Math" w:hAnsi="Cambria Math" w:cs="Cambria Math"/>
                <w:sz w:val="21"/>
                <w:szCs w:val="21"/>
              </w:rPr>
            </w:pPr>
            <w:r w:rsidRPr="00E3331A">
              <w:rPr>
                <w:rFonts w:ascii="Cambria Math" w:hAnsi="Cambria Math" w:cs="Cambria Math"/>
                <w:sz w:val="21"/>
                <w:szCs w:val="21"/>
              </w:rPr>
              <w:t>⨁⨁⨁</w:t>
            </w:r>
            <w:r w:rsidRPr="00E3331A">
              <w:rPr>
                <w:rFonts w:ascii="MS Gothic" w:eastAsia="MS Gothic" w:hAnsi="MS Gothic" w:cs="MS Gothic" w:hint="eastAsia"/>
                <w:sz w:val="21"/>
                <w:szCs w:val="21"/>
              </w:rPr>
              <w:t>◯</w:t>
            </w:r>
            <w:r w:rsidRPr="00E3331A">
              <w:br/>
              <w:t xml:space="preserve">MODERATE </w:t>
            </w:r>
            <w:r w:rsidRPr="00E3331A">
              <w:rPr>
                <w:vertAlign w:val="superscript"/>
              </w:rPr>
              <w:t>a</w:t>
            </w:r>
          </w:p>
        </w:tc>
        <w:tc>
          <w:tcPr>
            <w:tcW w:w="1037"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t>524 per 1,000</w:t>
            </w:r>
          </w:p>
        </w:tc>
        <w:tc>
          <w:tcPr>
            <w:tcW w:w="1089"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t>241 fewer per 1,000 (from 346 to 68 fewer, RR = 0.54)</w:t>
            </w:r>
          </w:p>
        </w:tc>
      </w:tr>
      <w:tr w:rsidR="00301987" w:rsidRPr="00E3331A" w:rsidTr="00952841">
        <w:tc>
          <w:tcPr>
            <w:tcW w:w="951"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rsidRPr="00E3331A">
              <w:t>MRC</w:t>
            </w:r>
          </w:p>
          <w:p w:rsidR="00301987" w:rsidRPr="00E3331A" w:rsidRDefault="00301987" w:rsidP="00952841">
            <w:pPr>
              <w:pStyle w:val="Tabletext1"/>
            </w:pPr>
            <w:r w:rsidRPr="00E3331A">
              <w:t>follow</w:t>
            </w:r>
            <w:r w:rsidR="000C0E99">
              <w:t>-up</w:t>
            </w:r>
            <w:r w:rsidRPr="00E3331A">
              <w:t>: 6 months</w:t>
            </w:r>
          </w:p>
        </w:tc>
        <w:tc>
          <w:tcPr>
            <w:tcW w:w="1031"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rsidRPr="00E3331A">
              <w:t>45</w:t>
            </w:r>
          </w:p>
          <w:p w:rsidR="00301987" w:rsidRPr="00E3331A" w:rsidRDefault="00301987" w:rsidP="00952841">
            <w:pPr>
              <w:pStyle w:val="Tabletext1"/>
            </w:pPr>
            <w:r w:rsidRPr="00E3331A">
              <w:t>(1 RCT)</w:t>
            </w:r>
          </w:p>
        </w:tc>
        <w:tc>
          <w:tcPr>
            <w:tcW w:w="892"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rPr>
                <w:rFonts w:ascii="Cambria Math" w:hAnsi="Cambria Math" w:cs="Cambria Math"/>
                <w:sz w:val="21"/>
                <w:szCs w:val="21"/>
              </w:rPr>
            </w:pPr>
            <w:r w:rsidRPr="00E3331A">
              <w:rPr>
                <w:rFonts w:ascii="Cambria Math" w:hAnsi="Cambria Math" w:cs="Cambria Math"/>
                <w:sz w:val="21"/>
                <w:szCs w:val="21"/>
              </w:rPr>
              <w:t>⨁⨁⨁</w:t>
            </w:r>
            <w:r w:rsidRPr="00E3331A">
              <w:rPr>
                <w:rFonts w:ascii="MS Gothic" w:eastAsia="MS Gothic" w:hAnsi="MS Gothic" w:cs="MS Gothic" w:hint="eastAsia"/>
                <w:sz w:val="21"/>
                <w:szCs w:val="21"/>
              </w:rPr>
              <w:t>◯</w:t>
            </w:r>
            <w:r w:rsidRPr="00E3331A">
              <w:br/>
              <w:t xml:space="preserve">MODERATE </w:t>
            </w:r>
            <w:r w:rsidRPr="00E3331A">
              <w:rPr>
                <w:vertAlign w:val="superscript"/>
              </w:rPr>
              <w:t>a</w:t>
            </w:r>
          </w:p>
        </w:tc>
        <w:tc>
          <w:tcPr>
            <w:tcW w:w="1037"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t>Mean change in MRC was 1.8</w:t>
            </w:r>
            <w:r w:rsidRPr="00E3331A">
              <w:t xml:space="preserve"> </w:t>
            </w:r>
            <w:r w:rsidRPr="004A307C">
              <w:t>± 11.64</w:t>
            </w:r>
          </w:p>
        </w:tc>
        <w:tc>
          <w:tcPr>
            <w:tcW w:w="1089" w:type="pct"/>
            <w:tcBorders>
              <w:top w:val="single" w:sz="4" w:space="0" w:color="auto"/>
              <w:left w:val="single" w:sz="4" w:space="0" w:color="auto"/>
              <w:bottom w:val="single" w:sz="4" w:space="0" w:color="auto"/>
              <w:right w:val="single" w:sz="4" w:space="0" w:color="auto"/>
            </w:tcBorders>
            <w:vAlign w:val="center"/>
          </w:tcPr>
          <w:p w:rsidR="00301987" w:rsidRPr="00E3331A" w:rsidRDefault="00301987" w:rsidP="00952841">
            <w:pPr>
              <w:pStyle w:val="Tabletext1"/>
            </w:pPr>
            <w:r>
              <w:t>Mean change in MRC was</w:t>
            </w:r>
            <w:r w:rsidRPr="00E3331A">
              <w:t xml:space="preserve"> </w:t>
            </w:r>
            <w:r>
              <w:t xml:space="preserve">4.7 </w:t>
            </w:r>
            <w:r w:rsidRPr="004A307C">
              <w:t>± 7.69</w:t>
            </w:r>
            <w:r>
              <w:t xml:space="preserve"> (p = 0.0929)</w:t>
            </w:r>
          </w:p>
        </w:tc>
      </w:tr>
    </w:tbl>
    <w:p w:rsidR="00F105D5" w:rsidRPr="00E3331A" w:rsidRDefault="00F105D5" w:rsidP="00F105D5">
      <w:pPr>
        <w:pStyle w:val="Tablenotes0"/>
      </w:pPr>
      <w:bookmarkStart w:id="314" w:name="_Ref141600866"/>
      <w:bookmarkStart w:id="315" w:name="_Toc122538733"/>
      <w:r w:rsidRPr="00E3331A">
        <w:t>Source: GRADE Working Group grades of evidence (Guyatt et al., 2013)</w:t>
      </w:r>
      <w:r w:rsidRPr="00E3331A">
        <w:br/>
      </w:r>
      <w:r w:rsidRPr="00E3331A">
        <w:rPr>
          <w:rFonts w:ascii="Cambria Math" w:hAnsi="Cambria Math"/>
          <w:color w:val="00B050"/>
        </w:rPr>
        <w:t xml:space="preserve">⨁⨁⨁⨁ </w:t>
      </w:r>
      <w:r w:rsidRPr="00E3331A">
        <w:rPr>
          <w:b/>
          <w:bCs/>
        </w:rPr>
        <w:t>High quality:</w:t>
      </w:r>
      <w:r w:rsidRPr="00E3331A">
        <w:t xml:space="preserve"> We are very confident that the true effect lies close to that of the estimate of effect. </w:t>
      </w:r>
      <w:r w:rsidRPr="00E3331A">
        <w:br/>
      </w:r>
      <w:r w:rsidRPr="00E3331A">
        <w:rPr>
          <w:rFonts w:ascii="Cambria Math" w:hAnsi="Cambria Math"/>
          <w:color w:val="00B050"/>
        </w:rPr>
        <w:t>⨁⨁⨁</w:t>
      </w:r>
      <w:r w:rsidRPr="00E3331A">
        <w:rPr>
          <w:rFonts w:ascii="Cambria Math" w:hAnsi="Cambria Math" w:cs="Cambria Math"/>
          <w:color w:val="C00000"/>
        </w:rPr>
        <w:t xml:space="preserve">⨀ </w:t>
      </w:r>
      <w:r w:rsidRPr="00E3331A">
        <w:rPr>
          <w:b/>
          <w:bCs/>
        </w:rPr>
        <w:t>Moderate quality:</w:t>
      </w:r>
      <w:r w:rsidRPr="00E3331A">
        <w:t xml:space="preserve"> We are moderately confident in the effect estimate: The true effect is likely to be close to the estimate of the effect, but there is a possibility that it is substantially different. </w:t>
      </w:r>
      <w:r w:rsidRPr="00E3331A">
        <w:br/>
      </w:r>
      <w:r w:rsidRPr="00E3331A">
        <w:rPr>
          <w:rFonts w:ascii="Cambria Math" w:hAnsi="Cambria Math"/>
          <w:color w:val="00B050"/>
        </w:rPr>
        <w:t>⨁⨁</w:t>
      </w:r>
      <w:r w:rsidRPr="00E3331A">
        <w:rPr>
          <w:rFonts w:ascii="Cambria Math" w:hAnsi="Cambria Math" w:cs="Cambria Math"/>
          <w:color w:val="C00000"/>
        </w:rPr>
        <w:t xml:space="preserve">⨀⨀ </w:t>
      </w:r>
      <w:r w:rsidRPr="00E3331A">
        <w:rPr>
          <w:b/>
          <w:bCs/>
        </w:rPr>
        <w:t>Low quality:</w:t>
      </w:r>
      <w:r w:rsidRPr="00E3331A">
        <w:t xml:space="preserve"> Our confidence in the effect estimate is limited: The true effect may be substantially different from the estimate of the effect.</w:t>
      </w:r>
      <w:r w:rsidRPr="00E3331A">
        <w:br/>
      </w:r>
      <w:r w:rsidRPr="00E3331A">
        <w:rPr>
          <w:rFonts w:ascii="Cambria Math" w:hAnsi="Cambria Math"/>
          <w:color w:val="00B050"/>
        </w:rPr>
        <w:t>⨁</w:t>
      </w:r>
      <w:r w:rsidRPr="00E3331A">
        <w:rPr>
          <w:rFonts w:ascii="Cambria Math" w:hAnsi="Cambria Math" w:cs="Cambria Math"/>
          <w:color w:val="C00000"/>
        </w:rPr>
        <w:t xml:space="preserve">⨀⨀⨀ </w:t>
      </w:r>
      <w:r w:rsidRPr="00E3331A">
        <w:rPr>
          <w:b/>
          <w:bCs/>
        </w:rPr>
        <w:t>Very low quality:</w:t>
      </w:r>
      <w:r w:rsidRPr="00E3331A">
        <w:t xml:space="preserve"> We have very little confidence in the effect estimate: The true effect is likely to be substantially different from the estimate of effect.</w:t>
      </w:r>
    </w:p>
    <w:p w:rsidR="00096949" w:rsidRPr="00E3331A" w:rsidRDefault="00096949" w:rsidP="00096949">
      <w:pPr>
        <w:pStyle w:val="Tablenotes0"/>
        <w:rPr>
          <w:snapToGrid w:val="0"/>
        </w:rPr>
      </w:pPr>
      <w:r w:rsidRPr="00E3331A">
        <w:rPr>
          <w:snapToGrid w:val="0"/>
        </w:rPr>
        <w:t xml:space="preserve">INCAT = </w:t>
      </w:r>
      <w:r w:rsidRPr="00E3331A">
        <w:t>Inflammatory Neuropathy Cause and Treatment</w:t>
      </w:r>
      <w:r w:rsidRPr="00E3331A">
        <w:rPr>
          <w:snapToGrid w:val="0"/>
        </w:rPr>
        <w:t xml:space="preserve">; MD = mean difference; MRC = </w:t>
      </w:r>
      <w:r w:rsidRPr="00E3331A">
        <w:t>Medical Research Council Sum Score</w:t>
      </w:r>
      <w:r w:rsidRPr="00E3331A">
        <w:rPr>
          <w:snapToGrid w:val="0"/>
        </w:rPr>
        <w:t>; RCT = randomised controlled trial.</w:t>
      </w:r>
    </w:p>
    <w:p w:rsidR="00F105D5" w:rsidRPr="00E3331A" w:rsidRDefault="00F105D5" w:rsidP="00F105D5">
      <w:pPr>
        <w:pStyle w:val="Tablenotes0"/>
        <w:rPr>
          <w:lang w:val="en"/>
        </w:rPr>
      </w:pPr>
      <w:r w:rsidRPr="00E3331A">
        <w:rPr>
          <w:lang w:val="en"/>
        </w:rPr>
        <w:t xml:space="preserve">a. Assessed using the Cochran Risk of Bias tool, b. Inconsistent findings in the two trials </w:t>
      </w:r>
    </w:p>
    <w:p w:rsidR="001F5B33" w:rsidRPr="00E3331A" w:rsidRDefault="001F5B33" w:rsidP="001F5B33">
      <w:pPr>
        <w:pStyle w:val="Heading1"/>
      </w:pPr>
      <w:bookmarkStart w:id="316" w:name="_Toc24103485"/>
      <w:bookmarkEnd w:id="314"/>
      <w:bookmarkEnd w:id="315"/>
      <w:r w:rsidRPr="00E3331A">
        <w:lastRenderedPageBreak/>
        <w:t>Section C</w:t>
      </w:r>
      <w:r w:rsidRPr="00E3331A">
        <w:tab/>
        <w:t>Translation Issues</w:t>
      </w:r>
      <w:bookmarkEnd w:id="316"/>
    </w:p>
    <w:p w:rsidR="001F5B33" w:rsidRPr="00E3331A" w:rsidRDefault="00BB6E4C" w:rsidP="003E4E1F">
      <w:pPr>
        <w:pStyle w:val="Heading2"/>
      </w:pPr>
      <w:bookmarkStart w:id="317" w:name="_Toc24103486"/>
      <w:r w:rsidRPr="00E3331A">
        <w:t>C.1.</w:t>
      </w:r>
      <w:r w:rsidRPr="00E3331A">
        <w:tab/>
      </w:r>
      <w:r w:rsidR="001F5B33" w:rsidRPr="00E3331A">
        <w:t>Overview</w:t>
      </w:r>
      <w:bookmarkEnd w:id="317"/>
      <w:r w:rsidR="001F5B33" w:rsidRPr="00E3331A">
        <w:t xml:space="preserve"> </w:t>
      </w:r>
    </w:p>
    <w:p w:rsidR="001F5B33" w:rsidRPr="00E3331A" w:rsidRDefault="001F5B33" w:rsidP="00BB6E4C">
      <w:r w:rsidRPr="00E3331A">
        <w:t>Three key issues arise in translating the evidence provided in Section B to an economic model presented in Section D</w:t>
      </w:r>
      <w:r w:rsidR="00C414E3" w:rsidRPr="00E3331A">
        <w:t>:</w:t>
      </w:r>
      <w:r w:rsidRPr="00E3331A">
        <w:t xml:space="preserve"> first</w:t>
      </w:r>
      <w:r w:rsidR="00C414E3" w:rsidRPr="00E3331A">
        <w:t>ly,</w:t>
      </w:r>
      <w:r w:rsidRPr="00E3331A">
        <w:t xml:space="preserve"> the applicability of the populations in key trials to clinical practice in Australia</w:t>
      </w:r>
      <w:r w:rsidR="00C414E3" w:rsidRPr="00E3331A">
        <w:t>;</w:t>
      </w:r>
      <w:r w:rsidRPr="00E3331A">
        <w:t xml:space="preserve"> secondly</w:t>
      </w:r>
      <w:r w:rsidR="00C414E3" w:rsidRPr="00E3331A">
        <w:t>, the</w:t>
      </w:r>
      <w:r w:rsidRPr="00E3331A">
        <w:t xml:space="preserve"> selection of utilities</w:t>
      </w:r>
      <w:r w:rsidR="00C414E3" w:rsidRPr="00E3331A">
        <w:t>;</w:t>
      </w:r>
      <w:r w:rsidRPr="00E3331A">
        <w:t xml:space="preserve"> and thirdly</w:t>
      </w:r>
      <w:r w:rsidR="00C414E3" w:rsidRPr="00E3331A">
        <w:t>, the</w:t>
      </w:r>
      <w:r w:rsidRPr="00E3331A">
        <w:t xml:space="preserve"> extrapolation of trial evidence beyond the maximum follow-up of key trials. Each </w:t>
      </w:r>
      <w:r w:rsidR="00C414E3" w:rsidRPr="00E3331A">
        <w:t xml:space="preserve">of these </w:t>
      </w:r>
      <w:r w:rsidRPr="00E3331A">
        <w:t>issue</w:t>
      </w:r>
      <w:r w:rsidR="00C414E3" w:rsidRPr="00E3331A">
        <w:t>s</w:t>
      </w:r>
      <w:r w:rsidRPr="00E3331A">
        <w:t xml:space="preserve"> is addressed in separate pre-modelling studies in Sections C2, C3 and C4. The sections provide an overview of the issue to be addressed, the pre-modelling methodology to translate trial data into assumptions for economic modelling</w:t>
      </w:r>
      <w:r w:rsidR="00C414E3" w:rsidRPr="00E3331A">
        <w:t>,</w:t>
      </w:r>
      <w:r w:rsidRPr="00E3331A">
        <w:t xml:space="preserve"> and how results are used in Section D.</w:t>
      </w:r>
    </w:p>
    <w:p w:rsidR="001F5B33" w:rsidRPr="00E3331A" w:rsidRDefault="001F5B33" w:rsidP="001F5B33">
      <w:pPr>
        <w:pStyle w:val="Caption"/>
      </w:pPr>
      <w:bookmarkStart w:id="318" w:name="_Ref494114260"/>
      <w:bookmarkStart w:id="319" w:name="_Toc474318242"/>
      <w:bookmarkStart w:id="320" w:name="_Toc493000463"/>
      <w:bookmarkStart w:id="321" w:name="_Toc24103348"/>
      <w:r w:rsidRPr="00E3331A">
        <w:t xml:space="preserve">Table </w:t>
      </w:r>
      <w:r w:rsidR="006F35B9">
        <w:rPr>
          <w:noProof/>
        </w:rPr>
        <w:t>42</w:t>
      </w:r>
      <w:bookmarkEnd w:id="318"/>
      <w:r w:rsidR="00C414E3" w:rsidRPr="00E3331A">
        <w:tab/>
      </w:r>
      <w:r w:rsidRPr="00E3331A">
        <w:t>Outline of Section C issues being addressed</w:t>
      </w:r>
      <w:bookmarkEnd w:id="319"/>
      <w:bookmarkEnd w:id="320"/>
      <w:bookmarkEnd w:id="321"/>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6"/>
        <w:gridCol w:w="5902"/>
      </w:tblGrid>
      <w:tr w:rsidR="001F5B33" w:rsidRPr="00E3331A" w:rsidTr="00493DDF">
        <w:trPr>
          <w:cantSplit/>
          <w:tblHeader/>
        </w:trPr>
        <w:tc>
          <w:tcPr>
            <w:tcW w:w="1687" w:type="pct"/>
            <w:tcBorders>
              <w:right w:val="single" w:sz="4" w:space="0" w:color="auto"/>
            </w:tcBorders>
            <w:shd w:val="clear" w:color="auto" w:fill="auto"/>
          </w:tcPr>
          <w:p w:rsidR="001F5B33" w:rsidRPr="00E3331A" w:rsidRDefault="001F5B33" w:rsidP="00493DDF">
            <w:pPr>
              <w:pStyle w:val="Tabletext1"/>
              <w:rPr>
                <w:b/>
              </w:rPr>
            </w:pPr>
            <w:r w:rsidRPr="00E3331A">
              <w:rPr>
                <w:b/>
              </w:rPr>
              <w:t>Section</w:t>
            </w:r>
          </w:p>
        </w:tc>
        <w:tc>
          <w:tcPr>
            <w:tcW w:w="3313" w:type="pct"/>
            <w:tcBorders>
              <w:right w:val="single" w:sz="4" w:space="0" w:color="auto"/>
            </w:tcBorders>
            <w:shd w:val="clear" w:color="auto" w:fill="auto"/>
          </w:tcPr>
          <w:p w:rsidR="001F5B33" w:rsidRPr="00E3331A" w:rsidRDefault="001F5B33" w:rsidP="00493DDF">
            <w:pPr>
              <w:pStyle w:val="Tabletext1"/>
              <w:rPr>
                <w:b/>
              </w:rPr>
            </w:pPr>
            <w:r w:rsidRPr="00E3331A">
              <w:rPr>
                <w:b/>
              </w:rPr>
              <w:t>Issue</w:t>
            </w:r>
          </w:p>
        </w:tc>
      </w:tr>
      <w:tr w:rsidR="001F5B33" w:rsidRPr="00E3331A" w:rsidTr="00493DDF">
        <w:trPr>
          <w:cantSplit/>
        </w:trPr>
        <w:tc>
          <w:tcPr>
            <w:tcW w:w="1687" w:type="pct"/>
          </w:tcPr>
          <w:p w:rsidR="001F5B33" w:rsidRPr="00E3331A" w:rsidRDefault="001F5B33" w:rsidP="00493DDF">
            <w:pPr>
              <w:pStyle w:val="TableText"/>
            </w:pPr>
            <w:r w:rsidRPr="00E3331A">
              <w:t>C2</w:t>
            </w:r>
          </w:p>
        </w:tc>
        <w:tc>
          <w:tcPr>
            <w:tcW w:w="3313" w:type="pct"/>
          </w:tcPr>
          <w:p w:rsidR="001F5B33" w:rsidRPr="00E3331A" w:rsidRDefault="001F5B33" w:rsidP="00493DDF">
            <w:pPr>
              <w:pStyle w:val="TableText"/>
            </w:pPr>
            <w:r w:rsidRPr="00E3331A">
              <w:t>Applicability of the trial-based evidence to the NBA</w:t>
            </w:r>
            <w:r w:rsidR="00C414E3" w:rsidRPr="00E3331A">
              <w:t>-</w:t>
            </w:r>
            <w:r w:rsidRPr="00E3331A">
              <w:t xml:space="preserve">listing population </w:t>
            </w:r>
          </w:p>
        </w:tc>
      </w:tr>
      <w:tr w:rsidR="001F5B33" w:rsidRPr="00E3331A" w:rsidTr="00493DDF">
        <w:trPr>
          <w:cantSplit/>
        </w:trPr>
        <w:tc>
          <w:tcPr>
            <w:tcW w:w="1687" w:type="pct"/>
          </w:tcPr>
          <w:p w:rsidR="001F5B33" w:rsidRPr="00E3331A" w:rsidRDefault="001F5B33" w:rsidP="00493DDF">
            <w:pPr>
              <w:pStyle w:val="TableText"/>
            </w:pPr>
            <w:r w:rsidRPr="00E3331A">
              <w:t>C3</w:t>
            </w:r>
          </w:p>
        </w:tc>
        <w:tc>
          <w:tcPr>
            <w:tcW w:w="3313" w:type="pct"/>
          </w:tcPr>
          <w:p w:rsidR="001F5B33" w:rsidRPr="00E3331A" w:rsidRDefault="001F5B33" w:rsidP="00493DDF">
            <w:pPr>
              <w:pStyle w:val="TableText"/>
            </w:pPr>
            <w:r w:rsidRPr="00E3331A">
              <w:t>Selection of utilities</w:t>
            </w:r>
          </w:p>
        </w:tc>
      </w:tr>
      <w:tr w:rsidR="001F5B33" w:rsidRPr="00E3331A" w:rsidTr="00493DDF">
        <w:trPr>
          <w:cantSplit/>
        </w:trPr>
        <w:tc>
          <w:tcPr>
            <w:tcW w:w="1687" w:type="pct"/>
          </w:tcPr>
          <w:p w:rsidR="001F5B33" w:rsidRPr="00E3331A" w:rsidRDefault="001F5B33" w:rsidP="00493DDF">
            <w:pPr>
              <w:pStyle w:val="TableText"/>
            </w:pPr>
            <w:r w:rsidRPr="00E3331A">
              <w:t>C4</w:t>
            </w:r>
          </w:p>
        </w:tc>
        <w:tc>
          <w:tcPr>
            <w:tcW w:w="3313" w:type="pct"/>
          </w:tcPr>
          <w:p w:rsidR="001F5B33" w:rsidRPr="00E3331A" w:rsidRDefault="001F5B33" w:rsidP="00493DDF">
            <w:pPr>
              <w:pStyle w:val="TableText"/>
              <w:tabs>
                <w:tab w:val="left" w:pos="3165"/>
              </w:tabs>
            </w:pPr>
            <w:r w:rsidRPr="00E3331A">
              <w:t>Extrapolation of trial-based evidence.</w:t>
            </w:r>
          </w:p>
        </w:tc>
      </w:tr>
    </w:tbl>
    <w:p w:rsidR="001F5B33" w:rsidRPr="00E3331A" w:rsidRDefault="001F5B33" w:rsidP="001F5B33">
      <w:pPr>
        <w:rPr>
          <w:rFonts w:ascii="Arial Narrow" w:hAnsi="Arial Narrow"/>
          <w:sz w:val="18"/>
        </w:rPr>
      </w:pPr>
      <w:r w:rsidRPr="00E3331A">
        <w:rPr>
          <w:rFonts w:ascii="Arial Narrow" w:hAnsi="Arial Narrow"/>
          <w:sz w:val="18"/>
        </w:rPr>
        <w:t>Abbreviations: MBS</w:t>
      </w:r>
      <w:r w:rsidR="00C414E3" w:rsidRPr="00E3331A">
        <w:rPr>
          <w:rFonts w:ascii="Arial Narrow" w:hAnsi="Arial Narrow"/>
          <w:sz w:val="18"/>
        </w:rPr>
        <w:t xml:space="preserve"> =</w:t>
      </w:r>
      <w:r w:rsidRPr="00E3331A">
        <w:rPr>
          <w:rFonts w:ascii="Arial Narrow" w:hAnsi="Arial Narrow"/>
          <w:sz w:val="18"/>
        </w:rPr>
        <w:t xml:space="preserve"> Medicare Benefits Schedule</w:t>
      </w:r>
    </w:p>
    <w:p w:rsidR="001F5B33" w:rsidRPr="00E3331A" w:rsidRDefault="00BB6E4C" w:rsidP="003E4E1F">
      <w:pPr>
        <w:pStyle w:val="Heading2"/>
      </w:pPr>
      <w:bookmarkStart w:id="322" w:name="_Toc24103487"/>
      <w:r w:rsidRPr="00E3331A">
        <w:t>C.2.</w:t>
      </w:r>
      <w:r w:rsidRPr="00E3331A">
        <w:tab/>
      </w:r>
      <w:r w:rsidR="001F5B33" w:rsidRPr="00E3331A">
        <w:t>Applicability translation issues</w:t>
      </w:r>
      <w:bookmarkEnd w:id="322"/>
    </w:p>
    <w:p w:rsidR="001F5B33" w:rsidRPr="00E3331A" w:rsidRDefault="001F5B33" w:rsidP="001F5B33">
      <w:pPr>
        <w:pStyle w:val="Heading3"/>
      </w:pPr>
      <w:bookmarkStart w:id="323" w:name="_Toc24103488"/>
      <w:r w:rsidRPr="00E3331A">
        <w:t>C.2.1.</w:t>
      </w:r>
      <w:r w:rsidRPr="00E3331A">
        <w:tab/>
      </w:r>
      <w:r w:rsidRPr="00E3331A">
        <w:tab/>
        <w:t xml:space="preserve">Applicability of the trial-based evidence to the </w:t>
      </w:r>
      <w:r w:rsidR="00582BF0" w:rsidRPr="00E3331A">
        <w:t>CIDP</w:t>
      </w:r>
      <w:r w:rsidR="00C414E3" w:rsidRPr="00E3331A">
        <w:t xml:space="preserve"> </w:t>
      </w:r>
      <w:r w:rsidRPr="00E3331A">
        <w:t>population</w:t>
      </w:r>
      <w:bookmarkEnd w:id="323"/>
    </w:p>
    <w:p w:rsidR="001F5B33" w:rsidRPr="00E3331A" w:rsidRDefault="001F5B33" w:rsidP="001F5B33">
      <w:pPr>
        <w:pStyle w:val="Heading4"/>
      </w:pPr>
      <w:bookmarkStart w:id="324" w:name="_Toc474245341"/>
      <w:r w:rsidRPr="00E3331A">
        <w:t>C.2.1.1</w:t>
      </w:r>
      <w:r w:rsidRPr="00E3331A">
        <w:tab/>
        <w:t>Identification of issue that needs to be addressed</w:t>
      </w:r>
      <w:bookmarkEnd w:id="324"/>
    </w:p>
    <w:p w:rsidR="001F5B33" w:rsidRPr="00E3331A" w:rsidRDefault="001F5B33" w:rsidP="00BB6E4C">
      <w:pPr>
        <w:pStyle w:val="BodyTextSTD"/>
      </w:pPr>
      <w:r w:rsidRPr="00E3331A">
        <w:t>Applicability describes the manner in which the participants and circumstances of use in key trials and studies presented in Section B</w:t>
      </w:r>
      <w:r w:rsidR="00C414E3" w:rsidRPr="00E3331A">
        <w:t>,</w:t>
      </w:r>
      <w:r w:rsidRPr="00E3331A">
        <w:t xml:space="preserve"> differ from the Australian population indicated for treatment. This pre-modelling study addresses whether characteristics of patients are representative of Australian CIDP patients currently </w:t>
      </w:r>
      <w:r w:rsidR="001B60A6" w:rsidRPr="00E3331A">
        <w:t xml:space="preserve">using </w:t>
      </w:r>
      <w:r w:rsidRPr="00E3331A">
        <w:t>Ig; and whether the circumstances of use of Ig and steroids in trials are representative of how these products are being used in Australian clinical practice.</w:t>
      </w:r>
    </w:p>
    <w:p w:rsidR="001F5B33" w:rsidRPr="00E3331A" w:rsidRDefault="001F5B33" w:rsidP="001F5B33">
      <w:pPr>
        <w:pStyle w:val="Heading3"/>
      </w:pPr>
      <w:bookmarkStart w:id="325" w:name="_Toc474245342"/>
      <w:bookmarkStart w:id="326" w:name="_Toc24103489"/>
      <w:r w:rsidRPr="00E3331A">
        <w:t>C.2.1.2</w:t>
      </w:r>
      <w:r w:rsidRPr="00E3331A">
        <w:tab/>
        <w:t>Focused analytical plan</w:t>
      </w:r>
      <w:bookmarkEnd w:id="325"/>
      <w:bookmarkEnd w:id="326"/>
    </w:p>
    <w:p w:rsidR="001F5B33" w:rsidRPr="00E3331A" w:rsidRDefault="001F5B33" w:rsidP="00BB6E4C">
      <w:r w:rsidRPr="00E3331A">
        <w:t>Patient demographic characteristics, along with inclusion and exclusion criteria of included clinical trials</w:t>
      </w:r>
      <w:r w:rsidR="001B60A6" w:rsidRPr="00E3331A">
        <w:t>,</w:t>
      </w:r>
      <w:r w:rsidRPr="00E3331A">
        <w:t xml:space="preserve"> are reviewed and compared with the current criteria for Ig use in Australia. Inclusion covers age, gender and disease characteristics. </w:t>
      </w:r>
    </w:p>
    <w:p w:rsidR="001F5B33" w:rsidRPr="00E3331A" w:rsidRDefault="001F5B33" w:rsidP="001F5B33">
      <w:pPr>
        <w:pStyle w:val="Heading3"/>
      </w:pPr>
      <w:bookmarkStart w:id="327" w:name="_Toc474245343"/>
      <w:bookmarkStart w:id="328" w:name="_Toc24103490"/>
      <w:r w:rsidRPr="00E3331A">
        <w:t>C.2.1.3</w:t>
      </w:r>
      <w:r w:rsidRPr="00E3331A">
        <w:tab/>
        <w:t>Results of pre-modelling study</w:t>
      </w:r>
      <w:bookmarkEnd w:id="327"/>
      <w:bookmarkEnd w:id="328"/>
    </w:p>
    <w:p w:rsidR="001F5B33" w:rsidRPr="00E3331A" w:rsidRDefault="001B60A6" w:rsidP="00BB6E4C">
      <w:pPr>
        <w:pStyle w:val="BodyTextSTD"/>
      </w:pPr>
      <w:r w:rsidRPr="00E3331A">
        <w:t>CIDP p</w:t>
      </w:r>
      <w:r w:rsidR="001F5B33" w:rsidRPr="00E3331A">
        <w:t xml:space="preserve">atients currently eligible for Ig treatment in Australia are specified in Version 3 of </w:t>
      </w:r>
      <w:r w:rsidR="00F64AD0" w:rsidRPr="00E3331A">
        <w:t>‘</w:t>
      </w:r>
      <w:r w:rsidR="001F5B33" w:rsidRPr="00E3331A">
        <w:rPr>
          <w:i/>
        </w:rPr>
        <w:t xml:space="preserve">the </w:t>
      </w:r>
      <w:r w:rsidR="005541CA" w:rsidRPr="00E3331A">
        <w:rPr>
          <w:i/>
        </w:rPr>
        <w:t>C</w:t>
      </w:r>
      <w:r w:rsidR="001F5B33" w:rsidRPr="00E3331A">
        <w:rPr>
          <w:i/>
        </w:rPr>
        <w:t>riteria</w:t>
      </w:r>
      <w:r w:rsidR="00F64AD0" w:rsidRPr="00E3331A">
        <w:rPr>
          <w:i/>
        </w:rPr>
        <w:t>’</w:t>
      </w:r>
      <w:r w:rsidR="001F5B33" w:rsidRPr="00E3331A">
        <w:t xml:space="preserve"> for the clinical use of </w:t>
      </w:r>
      <w:r w:rsidR="005541CA" w:rsidRPr="00E3331A">
        <w:t>I</w:t>
      </w:r>
      <w:r w:rsidR="001F5B33" w:rsidRPr="00E3331A">
        <w:t xml:space="preserve">g in Australia. The criteria specify that confirmed CIDP patients with significant disability or compromised walking (ONLS score of at least two points, and the MRC sum score), or </w:t>
      </w:r>
      <w:r w:rsidR="001F5B33" w:rsidRPr="00E3331A">
        <w:lastRenderedPageBreak/>
        <w:t>CIDP patients who relapse within six months of commencing a trial off Ig therapy</w:t>
      </w:r>
      <w:r w:rsidRPr="00E3331A">
        <w:t>,</w:t>
      </w:r>
      <w:r w:rsidR="001F5B33" w:rsidRPr="00E3331A">
        <w:t xml:space="preserve"> are eligible for Ig. Review by a neurologist should be undertaken after four months of Ig therapy to determine response</w:t>
      </w:r>
      <w:r w:rsidRPr="00E3331A">
        <w:t xml:space="preserve"> or lack thereof</w:t>
      </w:r>
      <w:r w:rsidR="001F5B33" w:rsidRPr="00E3331A">
        <w:t xml:space="preserve">. Reviews should be </w:t>
      </w:r>
      <w:r w:rsidRPr="00E3331A">
        <w:t xml:space="preserve">conducted </w:t>
      </w:r>
      <w:r w:rsidR="001F5B33" w:rsidRPr="00E3331A">
        <w:t xml:space="preserve">annually to support continuation of Ig therapy. Patients </w:t>
      </w:r>
      <w:r w:rsidR="00AF1E42" w:rsidRPr="00E3331A">
        <w:t xml:space="preserve">who </w:t>
      </w:r>
      <w:r w:rsidR="001F5B33" w:rsidRPr="00E3331A">
        <w:t>relapse within six months of the last Ig dose</w:t>
      </w:r>
      <w:r w:rsidR="00AF1E42" w:rsidRPr="00E3331A">
        <w:t xml:space="preserve"> are also eligible for Ig therapy</w:t>
      </w:r>
      <w:r w:rsidR="001F5B33" w:rsidRPr="00E3331A">
        <w:t>.</w:t>
      </w:r>
      <w:r w:rsidR="00345C95" w:rsidRPr="00E3331A">
        <w:t xml:space="preserve"> </w:t>
      </w:r>
      <w:r w:rsidR="001F5B33" w:rsidRPr="00E3331A">
        <w:t>Patient characteristics in key trials, along with dose regimen and frequency</w:t>
      </w:r>
      <w:r w:rsidR="00AF1E42" w:rsidRPr="00E3331A">
        <w:t>,</w:t>
      </w:r>
      <w:r w:rsidR="001F5B33" w:rsidRPr="00E3331A">
        <w:t xml:space="preserve"> and setting are summarised in </w:t>
      </w:r>
      <w:r w:rsidR="006F35B9" w:rsidRPr="00E3331A">
        <w:t xml:space="preserve">Table </w:t>
      </w:r>
      <w:r w:rsidR="006F35B9">
        <w:rPr>
          <w:noProof/>
        </w:rPr>
        <w:t>43</w:t>
      </w:r>
      <w:r w:rsidR="001F5B33" w:rsidRPr="00E3331A">
        <w:t>.</w:t>
      </w:r>
    </w:p>
    <w:p w:rsidR="001F5B33" w:rsidRPr="00E3331A" w:rsidRDefault="001F5B33" w:rsidP="001F5B33">
      <w:pPr>
        <w:pStyle w:val="Caption"/>
      </w:pPr>
      <w:bookmarkStart w:id="329" w:name="_Ref504130751"/>
      <w:bookmarkStart w:id="330" w:name="_Toc506537948"/>
      <w:bookmarkStart w:id="331" w:name="_Toc24103349"/>
      <w:r w:rsidRPr="00E3331A">
        <w:t xml:space="preserve">Table </w:t>
      </w:r>
      <w:r w:rsidR="006F35B9">
        <w:rPr>
          <w:noProof/>
        </w:rPr>
        <w:t>43</w:t>
      </w:r>
      <w:bookmarkEnd w:id="329"/>
      <w:r w:rsidR="0084483D" w:rsidRPr="00E3331A">
        <w:rPr>
          <w:noProof/>
        </w:rPr>
        <w:tab/>
      </w:r>
      <w:r w:rsidRPr="00E3331A">
        <w:t>Features of Immunoglobulin trial patient population</w:t>
      </w:r>
      <w:bookmarkEnd w:id="330"/>
      <w:r w:rsidRPr="00E3331A">
        <w:t>s</w:t>
      </w:r>
      <w:bookmarkEnd w:id="3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39"/>
        <w:gridCol w:w="1902"/>
        <w:gridCol w:w="1902"/>
        <w:gridCol w:w="1736"/>
      </w:tblGrid>
      <w:tr w:rsidR="00281EC2" w:rsidRPr="00E3331A" w:rsidTr="0007007F">
        <w:tc>
          <w:tcPr>
            <w:tcW w:w="963" w:type="pct"/>
            <w:vMerge w:val="restart"/>
            <w:shd w:val="clear" w:color="auto" w:fill="D9D9D9"/>
            <w:vAlign w:val="center"/>
          </w:tcPr>
          <w:p w:rsidR="001F5B33" w:rsidRPr="00E3331A" w:rsidRDefault="001F5B33" w:rsidP="0007007F">
            <w:pPr>
              <w:pStyle w:val="Tabletext1"/>
              <w:jc w:val="both"/>
              <w:rPr>
                <w:rFonts w:eastAsia="Calibri"/>
                <w:b/>
                <w:lang w:eastAsia="en-US"/>
              </w:rPr>
            </w:pPr>
            <w:r w:rsidRPr="00E3331A">
              <w:rPr>
                <w:rFonts w:eastAsia="Calibri"/>
                <w:b/>
                <w:lang w:eastAsia="en-US"/>
              </w:rPr>
              <w:t>Study</w:t>
            </w:r>
          </w:p>
        </w:tc>
        <w:tc>
          <w:tcPr>
            <w:tcW w:w="964" w:type="pct"/>
            <w:vMerge w:val="restart"/>
            <w:shd w:val="clear" w:color="auto" w:fill="D9D9D9"/>
            <w:vAlign w:val="center"/>
          </w:tcPr>
          <w:p w:rsidR="001F5B33" w:rsidRPr="00E3331A" w:rsidRDefault="001F5B33" w:rsidP="0007007F">
            <w:pPr>
              <w:pStyle w:val="Tabletext1"/>
              <w:jc w:val="both"/>
              <w:rPr>
                <w:rFonts w:eastAsia="Calibri"/>
                <w:b/>
                <w:lang w:eastAsia="en-US"/>
              </w:rPr>
            </w:pPr>
            <w:r w:rsidRPr="00E3331A">
              <w:rPr>
                <w:rFonts w:eastAsia="Calibri"/>
                <w:b/>
                <w:lang w:eastAsia="en-US"/>
              </w:rPr>
              <w:t>Inclusion</w:t>
            </w:r>
          </w:p>
        </w:tc>
        <w:tc>
          <w:tcPr>
            <w:tcW w:w="1055" w:type="pct"/>
            <w:vMerge w:val="restart"/>
            <w:shd w:val="clear" w:color="auto" w:fill="D9D9D9"/>
            <w:vAlign w:val="center"/>
          </w:tcPr>
          <w:p w:rsidR="001F5B33" w:rsidRPr="00E3331A" w:rsidRDefault="001F5B33" w:rsidP="0007007F">
            <w:pPr>
              <w:pStyle w:val="TableHeading"/>
              <w:jc w:val="center"/>
              <w:rPr>
                <w:rFonts w:eastAsia="Calibri"/>
                <w:lang w:eastAsia="en-US"/>
              </w:rPr>
            </w:pPr>
            <w:r w:rsidRPr="00E3331A">
              <w:rPr>
                <w:rFonts w:eastAsia="Calibri"/>
                <w:lang w:eastAsia="en-US"/>
              </w:rPr>
              <w:t>Intervention and Comparator</w:t>
            </w:r>
          </w:p>
        </w:tc>
        <w:tc>
          <w:tcPr>
            <w:tcW w:w="2018" w:type="pct"/>
            <w:gridSpan w:val="2"/>
            <w:shd w:val="clear" w:color="auto" w:fill="D9D9D9"/>
            <w:vAlign w:val="center"/>
          </w:tcPr>
          <w:p w:rsidR="001F5B33" w:rsidRPr="00E3331A" w:rsidRDefault="001F5B33" w:rsidP="0007007F">
            <w:pPr>
              <w:pStyle w:val="TableHeading"/>
              <w:jc w:val="center"/>
              <w:rPr>
                <w:rFonts w:eastAsia="Calibri"/>
                <w:lang w:eastAsia="en-US"/>
              </w:rPr>
            </w:pPr>
            <w:r w:rsidRPr="00E3331A">
              <w:rPr>
                <w:rFonts w:eastAsia="Calibri"/>
                <w:lang w:eastAsia="en-US"/>
              </w:rPr>
              <w:t>Baseline</w:t>
            </w:r>
          </w:p>
        </w:tc>
      </w:tr>
      <w:tr w:rsidR="00281EC2" w:rsidRPr="00E3331A" w:rsidTr="0007007F">
        <w:tc>
          <w:tcPr>
            <w:tcW w:w="963" w:type="pct"/>
            <w:vMerge/>
            <w:shd w:val="clear" w:color="auto" w:fill="D9D9D9"/>
            <w:vAlign w:val="center"/>
          </w:tcPr>
          <w:p w:rsidR="001F5B33" w:rsidRPr="00E3331A" w:rsidRDefault="001F5B33" w:rsidP="0007007F">
            <w:pPr>
              <w:pStyle w:val="Tabletext1"/>
              <w:jc w:val="both"/>
              <w:rPr>
                <w:rFonts w:eastAsia="Calibri"/>
                <w:b/>
                <w:lang w:eastAsia="en-US"/>
              </w:rPr>
            </w:pPr>
          </w:p>
        </w:tc>
        <w:tc>
          <w:tcPr>
            <w:tcW w:w="964" w:type="pct"/>
            <w:vMerge/>
            <w:shd w:val="clear" w:color="auto" w:fill="D9D9D9"/>
            <w:vAlign w:val="center"/>
          </w:tcPr>
          <w:p w:rsidR="001F5B33" w:rsidRPr="00E3331A" w:rsidRDefault="001F5B33" w:rsidP="0007007F">
            <w:pPr>
              <w:pStyle w:val="Tabletext1"/>
              <w:jc w:val="both"/>
              <w:rPr>
                <w:rFonts w:eastAsia="Calibri"/>
                <w:b/>
                <w:lang w:eastAsia="en-US"/>
              </w:rPr>
            </w:pPr>
          </w:p>
        </w:tc>
        <w:tc>
          <w:tcPr>
            <w:tcW w:w="1055" w:type="pct"/>
            <w:vMerge/>
            <w:shd w:val="clear" w:color="auto" w:fill="D9D9D9"/>
            <w:vAlign w:val="center"/>
          </w:tcPr>
          <w:p w:rsidR="001F5B33" w:rsidRPr="00E3331A" w:rsidRDefault="001F5B33" w:rsidP="0007007F">
            <w:pPr>
              <w:pStyle w:val="TableHeading"/>
              <w:jc w:val="center"/>
              <w:rPr>
                <w:rFonts w:eastAsia="Calibri"/>
                <w:lang w:eastAsia="en-US"/>
              </w:rPr>
            </w:pPr>
          </w:p>
        </w:tc>
        <w:tc>
          <w:tcPr>
            <w:tcW w:w="1055" w:type="pct"/>
            <w:shd w:val="clear" w:color="auto" w:fill="D9D9D9"/>
            <w:vAlign w:val="center"/>
          </w:tcPr>
          <w:p w:rsidR="001F5B33" w:rsidRPr="00E3331A" w:rsidRDefault="001F5B33" w:rsidP="0007007F">
            <w:pPr>
              <w:pStyle w:val="TableHeading"/>
              <w:jc w:val="center"/>
              <w:rPr>
                <w:rFonts w:eastAsia="Calibri"/>
                <w:lang w:eastAsia="en-US"/>
              </w:rPr>
            </w:pPr>
            <w:r w:rsidRPr="00E3331A">
              <w:rPr>
                <w:rFonts w:eastAsia="Calibri"/>
                <w:lang w:eastAsia="en-US"/>
              </w:rPr>
              <w:t>Patient Characteristic</w:t>
            </w:r>
          </w:p>
        </w:tc>
        <w:tc>
          <w:tcPr>
            <w:tcW w:w="963" w:type="pct"/>
            <w:shd w:val="clear" w:color="auto" w:fill="D9D9D9"/>
            <w:vAlign w:val="center"/>
          </w:tcPr>
          <w:p w:rsidR="001F5B33" w:rsidRPr="00E3331A" w:rsidRDefault="001F5B33" w:rsidP="0007007F">
            <w:pPr>
              <w:pStyle w:val="TableHeading"/>
              <w:jc w:val="center"/>
              <w:rPr>
                <w:rFonts w:eastAsia="Calibri"/>
                <w:lang w:eastAsia="en-US"/>
              </w:rPr>
            </w:pPr>
            <w:r w:rsidRPr="00E3331A">
              <w:rPr>
                <w:rFonts w:eastAsia="Calibri"/>
                <w:lang w:eastAsia="en-US"/>
              </w:rPr>
              <w:t xml:space="preserve">Disease </w:t>
            </w:r>
            <w:r w:rsidR="003D5FA7">
              <w:rPr>
                <w:rFonts w:eastAsia="Calibri"/>
                <w:lang w:eastAsia="en-US"/>
              </w:rPr>
              <w:t>C</w:t>
            </w:r>
            <w:r w:rsidRPr="00E3331A">
              <w:rPr>
                <w:rFonts w:eastAsia="Calibri"/>
                <w:lang w:eastAsia="en-US"/>
              </w:rPr>
              <w:t>haracteristic</w:t>
            </w:r>
          </w:p>
        </w:tc>
      </w:tr>
      <w:tr w:rsidR="00281EC2" w:rsidRPr="00E3331A" w:rsidTr="0007007F">
        <w:tc>
          <w:tcPr>
            <w:tcW w:w="963" w:type="pct"/>
            <w:shd w:val="clear" w:color="auto" w:fill="auto"/>
          </w:tcPr>
          <w:p w:rsidR="001F5B33" w:rsidRPr="00E3331A" w:rsidRDefault="001F5B33" w:rsidP="00493DDF">
            <w:pPr>
              <w:pStyle w:val="Tabletext1"/>
              <w:rPr>
                <w:rFonts w:eastAsia="Calibri"/>
                <w:u w:val="single"/>
                <w:lang w:eastAsia="en-US"/>
              </w:rPr>
            </w:pPr>
            <w:r w:rsidRPr="00E3331A">
              <w:rPr>
                <w:rFonts w:eastAsia="Calibri"/>
                <w:u w:val="single"/>
                <w:lang w:eastAsia="en-US"/>
              </w:rPr>
              <w:t>Ig (I) vs Pl</w:t>
            </w:r>
          </w:p>
          <w:p w:rsidR="001F5B33" w:rsidRPr="00E3331A" w:rsidRDefault="001F5B33" w:rsidP="00493DDF">
            <w:pPr>
              <w:pStyle w:val="Tabletext1"/>
              <w:rPr>
                <w:rFonts w:eastAsia="Calibri"/>
                <w:lang w:eastAsia="en-US"/>
              </w:rPr>
            </w:pPr>
            <w:r w:rsidRPr="00E3331A">
              <w:rPr>
                <w:rFonts w:eastAsia="Calibri"/>
                <w:lang w:eastAsia="en-US"/>
              </w:rPr>
              <w:t xml:space="preserve">ICE Study </w:t>
            </w:r>
          </w:p>
          <w:p w:rsidR="001F5B33" w:rsidRPr="00E3331A" w:rsidRDefault="001F5B33" w:rsidP="00493DDF">
            <w:pPr>
              <w:pStyle w:val="Tabletext1"/>
              <w:rPr>
                <w:rFonts w:eastAsia="Calibri"/>
                <w:lang w:eastAsia="en-US"/>
              </w:rPr>
            </w:pPr>
            <w:r w:rsidRPr="00E3331A">
              <w:rPr>
                <w:rFonts w:eastAsia="Calibri"/>
                <w:lang w:eastAsia="en-US"/>
              </w:rPr>
              <w:t>(Hughes et al. (2008)</w:t>
            </w:r>
            <w:r w:rsidR="001B576E">
              <w:rPr>
                <w:rFonts w:eastAsia="Calibri"/>
                <w:lang w:eastAsia="en-US"/>
              </w:rPr>
              <w:t>)</w:t>
            </w:r>
            <w:r w:rsidR="006C1442" w:rsidRPr="00E3331A" w:rsidDel="006C1442">
              <w:rPr>
                <w:rFonts w:eastAsia="Calibri"/>
                <w:lang w:eastAsia="en-US"/>
              </w:rPr>
              <w:t xml:space="preserve"> </w:t>
            </w:r>
          </w:p>
          <w:p w:rsidR="001F5B33" w:rsidRPr="00E3331A" w:rsidRDefault="001F5B33" w:rsidP="00493DDF">
            <w:pPr>
              <w:pStyle w:val="Tabletext1"/>
              <w:rPr>
                <w:rFonts w:eastAsia="Calibri"/>
                <w:lang w:eastAsia="en-US"/>
              </w:rPr>
            </w:pPr>
            <w:r w:rsidRPr="00E3331A">
              <w:rPr>
                <w:rFonts w:eastAsia="Calibri"/>
                <w:lang w:eastAsia="en-US"/>
              </w:rPr>
              <w:t>I: n = 59</w:t>
            </w:r>
          </w:p>
          <w:p w:rsidR="001F5B33" w:rsidRPr="00E3331A" w:rsidRDefault="001F5B33" w:rsidP="00493DDF">
            <w:pPr>
              <w:pStyle w:val="Tabletext1"/>
              <w:rPr>
                <w:rFonts w:eastAsia="Calibri"/>
                <w:lang w:eastAsia="en-US"/>
              </w:rPr>
            </w:pPr>
            <w:r w:rsidRPr="00E3331A">
              <w:rPr>
                <w:rFonts w:eastAsia="Calibri"/>
                <w:lang w:eastAsia="en-US"/>
              </w:rPr>
              <w:t>C: n = 58</w:t>
            </w:r>
          </w:p>
        </w:tc>
        <w:tc>
          <w:tcPr>
            <w:tcW w:w="964"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Adult patients with diagnosed CIDP (motor and sensory dysfunction) with significant disability (INCAT 2-9)</w:t>
            </w:r>
          </w:p>
          <w:p w:rsidR="001F5B33" w:rsidRPr="00E3331A" w:rsidRDefault="001F5B33" w:rsidP="00493DDF">
            <w:pPr>
              <w:pStyle w:val="Tabletext1"/>
              <w:rPr>
                <w:rFonts w:eastAsia="Calibri"/>
                <w:lang w:eastAsia="en-US"/>
              </w:rPr>
            </w:pPr>
            <w:r w:rsidRPr="00E3331A">
              <w:rPr>
                <w:rFonts w:eastAsia="Calibri"/>
                <w:lang w:eastAsia="en-US"/>
              </w:rPr>
              <w:t>Patients treated for CIDP in last 3 months excluded.</w:t>
            </w:r>
          </w:p>
        </w:tc>
        <w:tc>
          <w:tcPr>
            <w:tcW w:w="1055"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IVIg, Cutter Biological Product, Miles Inc. 5% human protein in 9-11% mannose, 0.4 g/kg daily for 5 days</w:t>
            </w:r>
          </w:p>
          <w:p w:rsidR="001F5B33" w:rsidRPr="00E3331A" w:rsidRDefault="001F5B33" w:rsidP="00493DDF">
            <w:pPr>
              <w:pStyle w:val="Tabletext1"/>
              <w:rPr>
                <w:rFonts w:eastAsia="Calibri"/>
                <w:lang w:eastAsia="en-US"/>
              </w:rPr>
            </w:pPr>
          </w:p>
          <w:p w:rsidR="001F5B33" w:rsidRPr="00E3331A" w:rsidRDefault="001F5B33" w:rsidP="00493DDF">
            <w:pPr>
              <w:pStyle w:val="Tabletext1"/>
              <w:rPr>
                <w:rFonts w:eastAsia="Calibri"/>
                <w:lang w:eastAsia="en-US"/>
              </w:rPr>
            </w:pPr>
            <w:r w:rsidRPr="00E3331A">
              <w:rPr>
                <w:rFonts w:eastAsia="Calibri"/>
                <w:lang w:eastAsia="en-US"/>
              </w:rPr>
              <w:t>Placebo, 10% dextrose daily for 5 days</w:t>
            </w:r>
          </w:p>
        </w:tc>
        <w:tc>
          <w:tcPr>
            <w:tcW w:w="1055"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Age: 52 (range 9-79), % male: 37</w:t>
            </w:r>
          </w:p>
          <w:p w:rsidR="001F5B33" w:rsidRPr="00E3331A" w:rsidRDefault="001F5B33" w:rsidP="00493DDF">
            <w:pPr>
              <w:pStyle w:val="Tabletext1"/>
              <w:rPr>
                <w:rFonts w:eastAsia="Calibri"/>
                <w:lang w:eastAsia="en-US"/>
              </w:rPr>
            </w:pPr>
            <w:r w:rsidRPr="00E3331A">
              <w:rPr>
                <w:rFonts w:eastAsia="Calibri"/>
                <w:lang w:eastAsia="en-US"/>
              </w:rPr>
              <w:t>NDS</w:t>
            </w:r>
          </w:p>
          <w:p w:rsidR="001F5B33" w:rsidRPr="00E3331A" w:rsidRDefault="001F5B33" w:rsidP="00493DDF">
            <w:pPr>
              <w:pStyle w:val="Tabletext1"/>
              <w:rPr>
                <w:rFonts w:eastAsia="Calibri"/>
                <w:lang w:eastAsia="en-US"/>
              </w:rPr>
            </w:pPr>
            <w:r w:rsidRPr="00E3331A">
              <w:rPr>
                <w:rFonts w:eastAsia="Calibri"/>
                <w:lang w:eastAsia="en-US"/>
              </w:rPr>
              <w:t xml:space="preserve">I: 78.3 ± 27.5, C: 76.6 </w:t>
            </w:r>
            <w:r w:rsidR="0080375D" w:rsidRPr="00E3331A">
              <w:rPr>
                <w:rFonts w:ascii="Calibri" w:eastAsia="Calibri" w:hAnsi="Calibri"/>
                <w:lang w:eastAsia="en-US"/>
              </w:rPr>
              <w:t>±</w:t>
            </w:r>
            <w:r w:rsidRPr="00E3331A">
              <w:rPr>
                <w:rFonts w:eastAsia="Calibri"/>
                <w:lang w:eastAsia="en-US"/>
              </w:rPr>
              <w:t xml:space="preserve"> 27.7</w:t>
            </w:r>
          </w:p>
          <w:p w:rsidR="001F5B33" w:rsidRPr="00E3331A" w:rsidRDefault="001F5B33" w:rsidP="00493DDF">
            <w:pPr>
              <w:pStyle w:val="Tabletext1"/>
              <w:rPr>
                <w:rFonts w:eastAsia="Calibri"/>
                <w:lang w:eastAsia="en-US"/>
              </w:rPr>
            </w:pPr>
            <w:r w:rsidRPr="00E3331A">
              <w:rPr>
                <w:rFonts w:eastAsia="Calibri"/>
                <w:lang w:eastAsia="en-US"/>
              </w:rPr>
              <w:t>Clinical grade</w:t>
            </w:r>
          </w:p>
          <w:p w:rsidR="001F5B33" w:rsidRPr="00E3331A" w:rsidRDefault="001F5B33" w:rsidP="00493DDF">
            <w:pPr>
              <w:pStyle w:val="Tabletext1"/>
              <w:rPr>
                <w:rFonts w:eastAsia="Calibri"/>
                <w:lang w:eastAsia="en-US"/>
              </w:rPr>
            </w:pPr>
            <w:r w:rsidRPr="00E3331A">
              <w:rPr>
                <w:rFonts w:eastAsia="Calibri"/>
                <w:lang w:eastAsia="en-US"/>
              </w:rPr>
              <w:t>I: 4.6 ± 1.9, C: 4.2 ± 1.9</w:t>
            </w:r>
          </w:p>
          <w:p w:rsidR="001F5B33" w:rsidRPr="00E3331A" w:rsidRDefault="001F5B33" w:rsidP="00493DDF">
            <w:pPr>
              <w:pStyle w:val="Tabletext1"/>
              <w:rPr>
                <w:rFonts w:eastAsia="Calibri"/>
                <w:lang w:eastAsia="en-US"/>
              </w:rPr>
            </w:pPr>
          </w:p>
        </w:tc>
        <w:tc>
          <w:tcPr>
            <w:tcW w:w="963"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Whole group</w:t>
            </w:r>
          </w:p>
          <w:p w:rsidR="001F5B33" w:rsidRPr="00E3331A" w:rsidRDefault="001F5B33" w:rsidP="00493DDF">
            <w:pPr>
              <w:pStyle w:val="Tabletext1"/>
              <w:rPr>
                <w:rFonts w:eastAsia="Calibri"/>
                <w:lang w:eastAsia="en-US"/>
              </w:rPr>
            </w:pPr>
            <w:r w:rsidRPr="00E3331A">
              <w:rPr>
                <w:rFonts w:eastAsia="Calibri"/>
                <w:lang w:eastAsia="en-US"/>
              </w:rPr>
              <w:t>Status: definite: 21, probable: 9</w:t>
            </w:r>
          </w:p>
          <w:p w:rsidR="001F5B33" w:rsidRPr="00E3331A" w:rsidRDefault="001F5B33" w:rsidP="00493DDF">
            <w:pPr>
              <w:pStyle w:val="Tabletext1"/>
              <w:rPr>
                <w:rFonts w:eastAsia="Calibri"/>
                <w:lang w:eastAsia="en-US"/>
              </w:rPr>
            </w:pPr>
            <w:r w:rsidRPr="00E3331A">
              <w:rPr>
                <w:rFonts w:eastAsia="Calibri"/>
                <w:lang w:eastAsia="en-US"/>
              </w:rPr>
              <w:t>Type: progressive: 16, relapsing: 14</w:t>
            </w:r>
          </w:p>
          <w:p w:rsidR="001F5B33" w:rsidRPr="00E3331A" w:rsidRDefault="001F5B33" w:rsidP="00493DDF">
            <w:pPr>
              <w:pStyle w:val="Tabletext1"/>
              <w:rPr>
                <w:rFonts w:eastAsia="Calibri"/>
                <w:lang w:eastAsia="en-US"/>
              </w:rPr>
            </w:pPr>
            <w:r w:rsidRPr="00E3331A">
              <w:rPr>
                <w:rFonts w:eastAsia="Calibri"/>
                <w:lang w:eastAsia="en-US"/>
              </w:rPr>
              <w:t>Time since diagnosis: NR</w:t>
            </w:r>
          </w:p>
        </w:tc>
      </w:tr>
      <w:tr w:rsidR="00281EC2" w:rsidRPr="00E3331A" w:rsidTr="0007007F">
        <w:tc>
          <w:tcPr>
            <w:tcW w:w="963" w:type="pct"/>
            <w:shd w:val="clear" w:color="auto" w:fill="auto"/>
          </w:tcPr>
          <w:p w:rsidR="001F5B33" w:rsidRPr="00E3331A" w:rsidRDefault="001F5B33" w:rsidP="00493DDF">
            <w:pPr>
              <w:pStyle w:val="Tabletext1"/>
              <w:rPr>
                <w:rFonts w:eastAsia="Calibri"/>
                <w:u w:val="single"/>
                <w:lang w:eastAsia="en-US"/>
              </w:rPr>
            </w:pPr>
            <w:r w:rsidRPr="00E3331A">
              <w:rPr>
                <w:rFonts w:eastAsia="Calibri"/>
                <w:u w:val="single"/>
                <w:lang w:eastAsia="en-US"/>
              </w:rPr>
              <w:t>Ig (I) vs St (C)</w:t>
            </w:r>
          </w:p>
          <w:p w:rsidR="001F5B33" w:rsidRPr="00E3331A" w:rsidRDefault="001F5B33" w:rsidP="00493DDF">
            <w:pPr>
              <w:pStyle w:val="Tabletext1"/>
              <w:rPr>
                <w:rFonts w:eastAsia="Calibri"/>
                <w:lang w:eastAsia="en-US"/>
              </w:rPr>
            </w:pPr>
            <w:r w:rsidRPr="00E3331A">
              <w:rPr>
                <w:rFonts w:eastAsia="Calibri"/>
                <w:lang w:eastAsia="en-US"/>
              </w:rPr>
              <w:t>Hughes et al. (2001</w:t>
            </w:r>
            <w:r w:rsidR="00913ED7" w:rsidRPr="00E3331A">
              <w:rPr>
                <w:rFonts w:eastAsia="Calibri"/>
                <w:lang w:eastAsia="en-US"/>
              </w:rPr>
              <w:t>)</w:t>
            </w:r>
            <w:r w:rsidR="00B85C75">
              <w:rPr>
                <w:rFonts w:eastAsia="Calibri"/>
                <w:noProof/>
                <w:lang w:eastAsia="en-US"/>
              </w:rPr>
              <w:t>(Hughes et al. 2001)</w:t>
            </w:r>
          </w:p>
          <w:p w:rsidR="001F5B33" w:rsidRPr="00E3331A" w:rsidRDefault="001F5B33" w:rsidP="00493DDF">
            <w:pPr>
              <w:pStyle w:val="Tabletext1"/>
              <w:rPr>
                <w:rFonts w:eastAsia="Calibri"/>
                <w:lang w:eastAsia="en-US"/>
              </w:rPr>
            </w:pPr>
            <w:r w:rsidRPr="00E3331A">
              <w:rPr>
                <w:rFonts w:eastAsia="Calibri"/>
                <w:lang w:eastAsia="en-US"/>
              </w:rPr>
              <w:t>I: 17</w:t>
            </w:r>
          </w:p>
          <w:p w:rsidR="001F5B33" w:rsidRPr="00E3331A" w:rsidRDefault="001F5B33" w:rsidP="00493DDF">
            <w:pPr>
              <w:pStyle w:val="Tabletext1"/>
              <w:rPr>
                <w:rFonts w:eastAsia="Calibri"/>
                <w:lang w:eastAsia="en-US"/>
              </w:rPr>
            </w:pPr>
            <w:r w:rsidRPr="00E3331A">
              <w:rPr>
                <w:rFonts w:eastAsia="Calibri"/>
                <w:lang w:eastAsia="en-US"/>
              </w:rPr>
              <w:t>C: 15</w:t>
            </w:r>
          </w:p>
        </w:tc>
        <w:tc>
          <w:tcPr>
            <w:tcW w:w="964"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Diagnosis of CIDP by neurologist, progressive or relapsing motor and sensory dysfunction of more than one limb, reduced or absent tendon reflexes, CSF less than 10 white cells, INCAT criteria</w:t>
            </w:r>
            <w:r w:rsidRPr="00E3331A">
              <w:rPr>
                <w:rStyle w:val="FootnoteReference"/>
                <w:rFonts w:eastAsia="Calibri"/>
                <w:lang w:eastAsia="en-US"/>
              </w:rPr>
              <w:footnoteReference w:id="23"/>
            </w:r>
            <w:r w:rsidRPr="00E3331A">
              <w:rPr>
                <w:rFonts w:eastAsia="Calibri"/>
                <w:lang w:eastAsia="en-US"/>
              </w:rPr>
              <w:t xml:space="preserve"> </w:t>
            </w:r>
          </w:p>
        </w:tc>
        <w:tc>
          <w:tcPr>
            <w:tcW w:w="1055"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IVIg (Sandoglobulin)</w:t>
            </w:r>
          </w:p>
          <w:p w:rsidR="001F5B33" w:rsidRPr="00E3331A" w:rsidRDefault="001F5B33" w:rsidP="00493DDF">
            <w:pPr>
              <w:pStyle w:val="Tabletext1"/>
              <w:rPr>
                <w:rFonts w:eastAsia="Calibri"/>
                <w:lang w:eastAsia="en-US"/>
              </w:rPr>
            </w:pPr>
            <w:r w:rsidRPr="00E3331A">
              <w:rPr>
                <w:rFonts w:eastAsia="Calibri"/>
                <w:lang w:eastAsia="en-US"/>
              </w:rPr>
              <w:t>1 g/kg/day for 2 days</w:t>
            </w:r>
          </w:p>
          <w:p w:rsidR="001F5B33" w:rsidRPr="00E3331A" w:rsidRDefault="001F5B33" w:rsidP="00493DDF">
            <w:pPr>
              <w:pStyle w:val="Tabletext1"/>
              <w:rPr>
                <w:rFonts w:eastAsia="Calibri"/>
                <w:lang w:eastAsia="en-US"/>
              </w:rPr>
            </w:pPr>
            <w:r w:rsidRPr="00E3331A">
              <w:rPr>
                <w:rFonts w:eastAsia="Calibri"/>
                <w:lang w:eastAsia="en-US"/>
              </w:rPr>
              <w:t>+ placebo St</w:t>
            </w:r>
          </w:p>
          <w:p w:rsidR="001F5B33" w:rsidRPr="00E3331A" w:rsidRDefault="001F5B33" w:rsidP="00493DDF">
            <w:pPr>
              <w:pStyle w:val="Tabletext1"/>
              <w:rPr>
                <w:rFonts w:eastAsia="Calibri"/>
                <w:lang w:eastAsia="en-US"/>
              </w:rPr>
            </w:pPr>
          </w:p>
          <w:p w:rsidR="001F5B33" w:rsidRPr="00E3331A" w:rsidRDefault="001F5B33" w:rsidP="00493DDF">
            <w:pPr>
              <w:pStyle w:val="Tabletext1"/>
              <w:rPr>
                <w:rFonts w:eastAsia="Calibri"/>
                <w:lang w:eastAsia="en-US"/>
              </w:rPr>
            </w:pPr>
            <w:r w:rsidRPr="00E3331A">
              <w:rPr>
                <w:rFonts w:eastAsia="Calibri"/>
                <w:lang w:eastAsia="en-US"/>
              </w:rPr>
              <w:t>Oral prednisolone</w:t>
            </w:r>
          </w:p>
          <w:p w:rsidR="001F5B33" w:rsidRPr="00E3331A" w:rsidRDefault="001F5B33" w:rsidP="00493DDF">
            <w:pPr>
              <w:pStyle w:val="Tabletext1"/>
              <w:rPr>
                <w:rFonts w:eastAsia="Calibri"/>
                <w:lang w:eastAsia="en-US"/>
              </w:rPr>
            </w:pPr>
            <w:r w:rsidRPr="00E3331A">
              <w:rPr>
                <w:rFonts w:eastAsia="Calibri"/>
                <w:lang w:eastAsia="en-US"/>
              </w:rPr>
              <w:t>60 mg daily tapering to 10 mg daily over 6 weeks + placebo Ig</w:t>
            </w:r>
          </w:p>
        </w:tc>
        <w:tc>
          <w:tcPr>
            <w:tcW w:w="1055"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 xml:space="preserve">Age. I: 55.8, C: 52.1 </w:t>
            </w:r>
          </w:p>
          <w:p w:rsidR="001F5B33" w:rsidRPr="00E3331A" w:rsidRDefault="001F5B33" w:rsidP="00493DDF">
            <w:pPr>
              <w:pStyle w:val="Tabletext1"/>
              <w:rPr>
                <w:rFonts w:eastAsia="Calibri"/>
                <w:lang w:eastAsia="en-US"/>
              </w:rPr>
            </w:pPr>
            <w:r w:rsidRPr="00E3331A">
              <w:rPr>
                <w:rFonts w:eastAsia="Calibri"/>
                <w:lang w:eastAsia="en-US"/>
              </w:rPr>
              <w:t>% male, I: 71, C: 60</w:t>
            </w:r>
          </w:p>
        </w:tc>
        <w:tc>
          <w:tcPr>
            <w:tcW w:w="963"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 xml:space="preserve">Type: progressive </w:t>
            </w:r>
          </w:p>
          <w:p w:rsidR="001F5B33" w:rsidRPr="00E3331A" w:rsidRDefault="001F5B33" w:rsidP="00493DDF">
            <w:pPr>
              <w:pStyle w:val="Tabletext1"/>
              <w:rPr>
                <w:rFonts w:eastAsia="Calibri"/>
                <w:lang w:eastAsia="en-US"/>
              </w:rPr>
            </w:pPr>
            <w:r w:rsidRPr="00E3331A">
              <w:rPr>
                <w:rFonts w:eastAsia="Calibri"/>
                <w:lang w:eastAsia="en-US"/>
              </w:rPr>
              <w:t xml:space="preserve">n = 12, </w:t>
            </w:r>
          </w:p>
          <w:p w:rsidR="001F5B33" w:rsidRPr="00E3331A" w:rsidRDefault="001F5B33" w:rsidP="00493DDF">
            <w:pPr>
              <w:pStyle w:val="Tabletext1"/>
              <w:rPr>
                <w:rFonts w:eastAsia="Calibri"/>
                <w:lang w:eastAsia="en-US"/>
              </w:rPr>
            </w:pPr>
            <w:r w:rsidRPr="00E3331A">
              <w:rPr>
                <w:rFonts w:eastAsia="Calibri"/>
                <w:lang w:eastAsia="en-US"/>
              </w:rPr>
              <w:t xml:space="preserve">relapsing </w:t>
            </w:r>
          </w:p>
          <w:p w:rsidR="001F5B33" w:rsidRPr="00E3331A" w:rsidRDefault="001F5B33" w:rsidP="00493DDF">
            <w:pPr>
              <w:pStyle w:val="Tabletext1"/>
              <w:rPr>
                <w:rFonts w:eastAsia="Calibri"/>
                <w:lang w:eastAsia="en-US"/>
              </w:rPr>
            </w:pPr>
            <w:r w:rsidRPr="00E3331A">
              <w:rPr>
                <w:rFonts w:eastAsia="Calibri"/>
                <w:lang w:eastAsia="en-US"/>
              </w:rPr>
              <w:t>n = 20</w:t>
            </w:r>
          </w:p>
          <w:p w:rsidR="001F5B33" w:rsidRPr="00E3331A" w:rsidRDefault="001F5B33" w:rsidP="00493DDF">
            <w:pPr>
              <w:pStyle w:val="Tabletext1"/>
              <w:rPr>
                <w:rFonts w:eastAsia="Calibri"/>
                <w:lang w:eastAsia="en-US"/>
              </w:rPr>
            </w:pPr>
          </w:p>
          <w:p w:rsidR="001F5B33" w:rsidRPr="00E3331A" w:rsidRDefault="001F5B33" w:rsidP="00493DDF">
            <w:pPr>
              <w:pStyle w:val="Tabletext1"/>
              <w:rPr>
                <w:rFonts w:eastAsia="Calibri"/>
                <w:lang w:eastAsia="en-US"/>
              </w:rPr>
            </w:pPr>
            <w:r w:rsidRPr="00E3331A">
              <w:rPr>
                <w:rFonts w:eastAsia="Calibri"/>
                <w:lang w:eastAsia="en-US"/>
              </w:rPr>
              <w:t>INCAT</w:t>
            </w:r>
          </w:p>
          <w:p w:rsidR="001F5B33" w:rsidRPr="00E3331A" w:rsidRDefault="001F5B33" w:rsidP="00493DDF">
            <w:pPr>
              <w:pStyle w:val="Tabletext1"/>
              <w:rPr>
                <w:rFonts w:eastAsia="Calibri"/>
                <w:lang w:eastAsia="en-US"/>
              </w:rPr>
            </w:pPr>
            <w:r w:rsidRPr="00E3331A">
              <w:rPr>
                <w:rFonts w:eastAsia="Calibri"/>
                <w:lang w:eastAsia="en-US"/>
              </w:rPr>
              <w:t>I: 4.11 ± 2</w:t>
            </w:r>
          </w:p>
          <w:p w:rsidR="001F5B33" w:rsidRPr="00E3331A" w:rsidRDefault="001F5B33" w:rsidP="00493DDF">
            <w:pPr>
              <w:pStyle w:val="Tabletext1"/>
              <w:rPr>
                <w:rFonts w:eastAsia="Calibri"/>
                <w:lang w:eastAsia="en-US"/>
              </w:rPr>
            </w:pPr>
            <w:r w:rsidRPr="00E3331A">
              <w:rPr>
                <w:rFonts w:eastAsia="Calibri"/>
                <w:lang w:eastAsia="en-US"/>
              </w:rPr>
              <w:t>C: 3.47 ± 1.3</w:t>
            </w:r>
          </w:p>
        </w:tc>
      </w:tr>
      <w:tr w:rsidR="00281EC2" w:rsidRPr="00E3331A" w:rsidTr="0007007F">
        <w:tc>
          <w:tcPr>
            <w:tcW w:w="963" w:type="pct"/>
            <w:shd w:val="clear" w:color="auto" w:fill="auto"/>
          </w:tcPr>
          <w:p w:rsidR="001F5B33" w:rsidRPr="00E3331A" w:rsidRDefault="001F5B33" w:rsidP="00493DDF">
            <w:pPr>
              <w:pStyle w:val="Tabletext1"/>
              <w:rPr>
                <w:rFonts w:eastAsia="Calibri"/>
                <w:u w:val="single"/>
                <w:lang w:eastAsia="en-US"/>
              </w:rPr>
            </w:pPr>
            <w:r w:rsidRPr="00E3331A">
              <w:rPr>
                <w:rFonts w:eastAsia="Calibri"/>
                <w:u w:val="single"/>
                <w:lang w:eastAsia="en-US"/>
              </w:rPr>
              <w:t>Ig vs St</w:t>
            </w:r>
          </w:p>
          <w:p w:rsidR="001F5B33" w:rsidRPr="00E3331A" w:rsidRDefault="001F5B33" w:rsidP="00493DDF">
            <w:pPr>
              <w:pStyle w:val="Tabletext1"/>
              <w:rPr>
                <w:rFonts w:eastAsia="Calibri"/>
                <w:lang w:eastAsia="en-US"/>
              </w:rPr>
            </w:pPr>
            <w:r w:rsidRPr="00E3331A">
              <w:rPr>
                <w:rFonts w:eastAsia="Calibri"/>
                <w:lang w:eastAsia="en-US"/>
              </w:rPr>
              <w:t>Nobile-Orazio et al. (2012)</w:t>
            </w:r>
            <w:r w:rsidR="00B85C75">
              <w:rPr>
                <w:rFonts w:eastAsia="Calibri"/>
                <w:noProof/>
                <w:lang w:eastAsia="en-US"/>
              </w:rPr>
              <w:t>(Nobile-Orazio et al. 2012a)</w:t>
            </w:r>
          </w:p>
          <w:p w:rsidR="001F5B33" w:rsidRPr="00E3331A" w:rsidRDefault="001F5B33" w:rsidP="00493DDF">
            <w:pPr>
              <w:pStyle w:val="Tabletext1"/>
              <w:rPr>
                <w:rFonts w:eastAsia="Calibri"/>
                <w:lang w:eastAsia="en-US"/>
              </w:rPr>
            </w:pPr>
            <w:r w:rsidRPr="00E3331A">
              <w:rPr>
                <w:rFonts w:eastAsia="Calibri"/>
                <w:lang w:eastAsia="en-US"/>
              </w:rPr>
              <w:t>I: n = 24</w:t>
            </w:r>
          </w:p>
          <w:p w:rsidR="001F5B33" w:rsidRPr="00E3331A" w:rsidRDefault="001F5B33" w:rsidP="00493DDF">
            <w:pPr>
              <w:pStyle w:val="Tabletext1"/>
              <w:rPr>
                <w:rFonts w:eastAsia="Calibri"/>
                <w:lang w:eastAsia="en-US"/>
              </w:rPr>
            </w:pPr>
            <w:r w:rsidRPr="00E3331A">
              <w:rPr>
                <w:rFonts w:eastAsia="Calibri"/>
                <w:lang w:eastAsia="en-US"/>
              </w:rPr>
              <w:t>C: n = 21</w:t>
            </w:r>
          </w:p>
        </w:tc>
        <w:tc>
          <w:tcPr>
            <w:tcW w:w="964"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 xml:space="preserve">Typical CIDP according to EFNS/PNS criteria. Active or stationary phase but not in remission </w:t>
            </w:r>
          </w:p>
        </w:tc>
        <w:tc>
          <w:tcPr>
            <w:tcW w:w="1055"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IVIg (IgVena, Kedrion, Italy). 0.5 g/kg/day for 4 consecutive days each month for 6 months</w:t>
            </w:r>
          </w:p>
          <w:p w:rsidR="001F5B33" w:rsidRPr="00E3331A" w:rsidRDefault="001F5B33" w:rsidP="00493DDF">
            <w:pPr>
              <w:pStyle w:val="Tabletext1"/>
              <w:rPr>
                <w:rFonts w:eastAsia="Calibri"/>
                <w:lang w:eastAsia="en-US"/>
              </w:rPr>
            </w:pPr>
            <w:r w:rsidRPr="00E3331A">
              <w:rPr>
                <w:rFonts w:eastAsia="Calibri"/>
                <w:lang w:eastAsia="en-US"/>
              </w:rPr>
              <w:t>IV methylprednisolone 0.5g for 4 consecutive days each month for 6 months</w:t>
            </w:r>
          </w:p>
        </w:tc>
        <w:tc>
          <w:tcPr>
            <w:tcW w:w="1055"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 xml:space="preserve">Age </w:t>
            </w:r>
          </w:p>
          <w:p w:rsidR="001F5B33" w:rsidRPr="00E3331A" w:rsidRDefault="001F5B33" w:rsidP="00493DDF">
            <w:pPr>
              <w:pStyle w:val="Tabletext1"/>
              <w:rPr>
                <w:rFonts w:eastAsia="Calibri"/>
                <w:lang w:eastAsia="en-US"/>
              </w:rPr>
            </w:pPr>
            <w:r w:rsidRPr="00E3331A">
              <w:rPr>
                <w:rFonts w:eastAsia="Calibri"/>
                <w:lang w:eastAsia="en-US"/>
              </w:rPr>
              <w:t xml:space="preserve">I: med 54, C: med 66 </w:t>
            </w:r>
          </w:p>
          <w:p w:rsidR="001F5B33" w:rsidRPr="00E3331A" w:rsidRDefault="001F5B33" w:rsidP="00493DDF">
            <w:pPr>
              <w:pStyle w:val="Tabletext1"/>
              <w:rPr>
                <w:rFonts w:eastAsia="Calibri"/>
                <w:lang w:eastAsia="en-US"/>
              </w:rPr>
            </w:pPr>
            <w:r w:rsidRPr="00E3331A">
              <w:rPr>
                <w:rFonts w:eastAsia="Calibri"/>
                <w:lang w:eastAsia="en-US"/>
              </w:rPr>
              <w:t>% male</w:t>
            </w:r>
          </w:p>
          <w:p w:rsidR="001F5B33" w:rsidRPr="00E3331A" w:rsidRDefault="001F5B33" w:rsidP="00493DDF">
            <w:pPr>
              <w:pStyle w:val="Tabletext1"/>
              <w:rPr>
                <w:rFonts w:eastAsia="Calibri"/>
                <w:lang w:eastAsia="en-US"/>
              </w:rPr>
            </w:pPr>
            <w:r w:rsidRPr="00E3331A">
              <w:rPr>
                <w:rFonts w:eastAsia="Calibri"/>
                <w:lang w:eastAsia="en-US"/>
              </w:rPr>
              <w:t>I: 63%, C: 71%</w:t>
            </w:r>
          </w:p>
        </w:tc>
        <w:tc>
          <w:tcPr>
            <w:tcW w:w="963"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Progressive 17/45</w:t>
            </w:r>
          </w:p>
          <w:p w:rsidR="001F5B33" w:rsidRPr="00E3331A" w:rsidRDefault="001F5B33" w:rsidP="00493DDF">
            <w:pPr>
              <w:pStyle w:val="Tabletext1"/>
              <w:rPr>
                <w:rFonts w:eastAsia="Calibri"/>
                <w:lang w:eastAsia="en-US"/>
              </w:rPr>
            </w:pPr>
            <w:r w:rsidRPr="00E3331A">
              <w:rPr>
                <w:rFonts w:eastAsia="Calibri"/>
                <w:lang w:eastAsia="en-US"/>
              </w:rPr>
              <w:t>Relapsing 18/45</w:t>
            </w:r>
          </w:p>
          <w:p w:rsidR="001F5B33" w:rsidRPr="00E3331A" w:rsidRDefault="001F5B33" w:rsidP="00493DDF">
            <w:pPr>
              <w:pStyle w:val="Tabletext1"/>
              <w:rPr>
                <w:rFonts w:eastAsia="Calibri"/>
                <w:lang w:eastAsia="en-US"/>
              </w:rPr>
            </w:pPr>
            <w:r w:rsidRPr="00E3331A">
              <w:rPr>
                <w:rFonts w:eastAsia="Calibri"/>
                <w:lang w:eastAsia="en-US"/>
              </w:rPr>
              <w:t xml:space="preserve">Rankin score. </w:t>
            </w:r>
          </w:p>
          <w:p w:rsidR="001F5B33" w:rsidRPr="00E3331A" w:rsidRDefault="001F5B33" w:rsidP="00493DDF">
            <w:pPr>
              <w:pStyle w:val="Tabletext1"/>
              <w:rPr>
                <w:rFonts w:eastAsia="Calibri"/>
                <w:lang w:eastAsia="en-US"/>
              </w:rPr>
            </w:pPr>
            <w:r w:rsidRPr="00E3331A">
              <w:rPr>
                <w:rFonts w:eastAsia="Calibri"/>
                <w:lang w:eastAsia="en-US"/>
              </w:rPr>
              <w:t>I</w:t>
            </w:r>
            <w:r w:rsidR="00AF1E42" w:rsidRPr="00E3331A">
              <w:rPr>
                <w:rFonts w:eastAsia="Calibri"/>
                <w:lang w:eastAsia="en-US"/>
              </w:rPr>
              <w:t>:</w:t>
            </w:r>
            <w:r w:rsidRPr="00E3331A">
              <w:rPr>
                <w:rFonts w:eastAsia="Calibri"/>
                <w:lang w:eastAsia="en-US"/>
              </w:rPr>
              <w:t xml:space="preserve"> median 2 </w:t>
            </w:r>
          </w:p>
          <w:p w:rsidR="001F5B33" w:rsidRPr="00E3331A" w:rsidRDefault="001F5B33" w:rsidP="00493DDF">
            <w:pPr>
              <w:pStyle w:val="Tabletext1"/>
              <w:rPr>
                <w:rFonts w:eastAsia="Calibri"/>
                <w:lang w:eastAsia="en-US"/>
              </w:rPr>
            </w:pPr>
            <w:r w:rsidRPr="00E3331A">
              <w:rPr>
                <w:rFonts w:eastAsia="Calibri"/>
                <w:lang w:eastAsia="en-US"/>
              </w:rPr>
              <w:t>C: median 3</w:t>
            </w:r>
          </w:p>
          <w:p w:rsidR="001F5B33" w:rsidRPr="00E3331A" w:rsidRDefault="001F5B33" w:rsidP="00493DDF">
            <w:pPr>
              <w:pStyle w:val="Tabletext1"/>
              <w:rPr>
                <w:rFonts w:eastAsia="Calibri"/>
                <w:lang w:eastAsia="en-US"/>
              </w:rPr>
            </w:pPr>
            <w:r w:rsidRPr="00E3331A">
              <w:rPr>
                <w:rFonts w:eastAsia="Calibri"/>
                <w:lang w:eastAsia="en-US"/>
              </w:rPr>
              <w:t>ONLS</w:t>
            </w:r>
          </w:p>
          <w:p w:rsidR="001F5B33" w:rsidRPr="00E3331A" w:rsidRDefault="001F5B33" w:rsidP="00493DDF">
            <w:pPr>
              <w:pStyle w:val="Tabletext1"/>
              <w:rPr>
                <w:rFonts w:eastAsia="Calibri"/>
                <w:lang w:eastAsia="en-US"/>
              </w:rPr>
            </w:pPr>
            <w:r w:rsidRPr="00E3331A">
              <w:rPr>
                <w:rFonts w:eastAsia="Calibri"/>
                <w:lang w:eastAsia="en-US"/>
              </w:rPr>
              <w:t xml:space="preserve">I: median 3 </w:t>
            </w:r>
          </w:p>
          <w:p w:rsidR="001F5B33" w:rsidRPr="00E3331A" w:rsidRDefault="001F5B33" w:rsidP="00493DDF">
            <w:pPr>
              <w:pStyle w:val="Tabletext1"/>
              <w:rPr>
                <w:rFonts w:eastAsia="Calibri"/>
                <w:lang w:eastAsia="en-US"/>
              </w:rPr>
            </w:pPr>
            <w:r w:rsidRPr="00E3331A">
              <w:rPr>
                <w:rFonts w:eastAsia="Calibri"/>
                <w:lang w:eastAsia="en-US"/>
              </w:rPr>
              <w:t xml:space="preserve">C: median 4 </w:t>
            </w:r>
          </w:p>
        </w:tc>
      </w:tr>
      <w:tr w:rsidR="00281EC2" w:rsidRPr="00E3331A" w:rsidTr="0007007F">
        <w:tc>
          <w:tcPr>
            <w:tcW w:w="963" w:type="pct"/>
            <w:shd w:val="clear" w:color="auto" w:fill="auto"/>
          </w:tcPr>
          <w:p w:rsidR="001F5B33" w:rsidRPr="00E3331A" w:rsidRDefault="001F5B33" w:rsidP="00493DDF">
            <w:pPr>
              <w:pStyle w:val="Tabletext1"/>
              <w:rPr>
                <w:rFonts w:eastAsia="Calibri"/>
                <w:lang w:eastAsia="en-US"/>
              </w:rPr>
            </w:pPr>
            <w:r w:rsidRPr="00E3331A">
              <w:rPr>
                <w:rFonts w:eastAsia="Calibri"/>
                <w:u w:val="single"/>
                <w:lang w:eastAsia="en-US"/>
              </w:rPr>
              <w:t>Ig (I) vs Pl (C</w:t>
            </w:r>
            <w:r w:rsidRPr="00E3331A">
              <w:rPr>
                <w:rFonts w:eastAsia="Calibri"/>
                <w:lang w:eastAsia="en-US"/>
              </w:rPr>
              <w:t>)</w:t>
            </w:r>
          </w:p>
          <w:p w:rsidR="001F5B33" w:rsidRPr="00E3331A" w:rsidRDefault="001F5B33" w:rsidP="00493DDF">
            <w:pPr>
              <w:pStyle w:val="Tabletext1"/>
              <w:rPr>
                <w:rFonts w:eastAsia="Calibri"/>
                <w:lang w:eastAsia="en-US"/>
              </w:rPr>
            </w:pPr>
            <w:r w:rsidRPr="00E3331A">
              <w:rPr>
                <w:rFonts w:eastAsia="Calibri"/>
                <w:lang w:eastAsia="en-US"/>
              </w:rPr>
              <w:t>Hahn et al. (1996b)</w:t>
            </w:r>
            <w:r w:rsidR="00B85C75">
              <w:rPr>
                <w:rFonts w:eastAsia="Calibri"/>
                <w:noProof/>
                <w:lang w:eastAsia="en-US"/>
              </w:rPr>
              <w:t>(Hahn et al. 1996b)</w:t>
            </w:r>
          </w:p>
          <w:p w:rsidR="001F5B33" w:rsidRPr="00E3331A" w:rsidRDefault="001F5B33" w:rsidP="00493DDF">
            <w:pPr>
              <w:pStyle w:val="Tabletext1"/>
              <w:rPr>
                <w:rFonts w:eastAsia="Calibri"/>
                <w:lang w:eastAsia="en-US"/>
              </w:rPr>
            </w:pPr>
            <w:r w:rsidRPr="00E3331A">
              <w:rPr>
                <w:rFonts w:eastAsia="Calibri"/>
                <w:lang w:eastAsia="en-US"/>
              </w:rPr>
              <w:t xml:space="preserve">I: n = 16 </w:t>
            </w:r>
          </w:p>
          <w:p w:rsidR="001F5B33" w:rsidRPr="00E3331A" w:rsidRDefault="001F5B33" w:rsidP="00493DDF">
            <w:pPr>
              <w:pStyle w:val="Tabletext1"/>
              <w:rPr>
                <w:rFonts w:eastAsia="Calibri"/>
                <w:lang w:eastAsia="en-US"/>
              </w:rPr>
            </w:pPr>
            <w:r w:rsidRPr="00E3331A">
              <w:rPr>
                <w:rFonts w:eastAsia="Calibri"/>
                <w:lang w:eastAsia="en-US"/>
              </w:rPr>
              <w:t>C: n = 14</w:t>
            </w:r>
          </w:p>
        </w:tc>
        <w:tc>
          <w:tcPr>
            <w:tcW w:w="964"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 xml:space="preserve">Definite or probable CIDP (1991 AAN criteria). Continually progressive disease (&gt;8 weeks) OR static or recently progressed disease. </w:t>
            </w:r>
            <w:r w:rsidRPr="00E3331A">
              <w:rPr>
                <w:rFonts w:eastAsia="Calibri"/>
                <w:lang w:eastAsia="en-US"/>
              </w:rPr>
              <w:lastRenderedPageBreak/>
              <w:t>Muscle weakness interferes with ambulation (NDS ≥ 40). Ig naïve patients.</w:t>
            </w:r>
          </w:p>
        </w:tc>
        <w:tc>
          <w:tcPr>
            <w:tcW w:w="1055"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lastRenderedPageBreak/>
              <w:t>IVIg</w:t>
            </w:r>
          </w:p>
          <w:p w:rsidR="001F5B33" w:rsidRPr="00E3331A" w:rsidRDefault="001F5B33" w:rsidP="00493DDF">
            <w:pPr>
              <w:pStyle w:val="Tabletext1"/>
              <w:rPr>
                <w:rFonts w:eastAsia="Calibri"/>
                <w:lang w:eastAsia="en-US"/>
              </w:rPr>
            </w:pPr>
            <w:r w:rsidRPr="00E3331A">
              <w:rPr>
                <w:rFonts w:eastAsia="Calibri"/>
                <w:lang w:eastAsia="en-US"/>
              </w:rPr>
              <w:t>Cutter Biological Product, Miles Inc. 5% human protein in 9-11% mannose</w:t>
            </w:r>
          </w:p>
          <w:p w:rsidR="001F5B33" w:rsidRPr="00E3331A" w:rsidRDefault="001F5B33" w:rsidP="00493DDF">
            <w:pPr>
              <w:pStyle w:val="Tabletext1"/>
              <w:rPr>
                <w:rFonts w:eastAsia="Calibri"/>
                <w:lang w:eastAsia="en-US"/>
              </w:rPr>
            </w:pPr>
            <w:r w:rsidRPr="00E3331A">
              <w:rPr>
                <w:rFonts w:eastAsia="Calibri"/>
                <w:lang w:eastAsia="en-US"/>
              </w:rPr>
              <w:lastRenderedPageBreak/>
              <w:t>0.4 g/kg daily for 5 days</w:t>
            </w:r>
          </w:p>
          <w:p w:rsidR="001F5B33" w:rsidRPr="00E3331A" w:rsidRDefault="001F5B33" w:rsidP="00493DDF">
            <w:pPr>
              <w:pStyle w:val="Tabletext1"/>
              <w:rPr>
                <w:rFonts w:eastAsia="Calibri"/>
                <w:lang w:eastAsia="en-US"/>
              </w:rPr>
            </w:pPr>
          </w:p>
          <w:p w:rsidR="001F5B33" w:rsidRPr="00E3331A" w:rsidRDefault="001F5B33" w:rsidP="00493DDF">
            <w:pPr>
              <w:pStyle w:val="Tabletext1"/>
              <w:rPr>
                <w:rFonts w:eastAsia="Calibri"/>
                <w:lang w:eastAsia="en-US"/>
              </w:rPr>
            </w:pPr>
            <w:r w:rsidRPr="00E3331A">
              <w:rPr>
                <w:rFonts w:eastAsia="Calibri"/>
                <w:lang w:eastAsia="en-US"/>
              </w:rPr>
              <w:t>Placebo</w:t>
            </w:r>
          </w:p>
          <w:p w:rsidR="001F5B33" w:rsidRPr="00E3331A" w:rsidRDefault="001F5B33" w:rsidP="00493DDF">
            <w:pPr>
              <w:pStyle w:val="Tabletext1"/>
              <w:rPr>
                <w:rFonts w:eastAsia="Calibri"/>
                <w:lang w:eastAsia="en-US"/>
              </w:rPr>
            </w:pPr>
            <w:r w:rsidRPr="00E3331A">
              <w:rPr>
                <w:rFonts w:eastAsia="Calibri"/>
                <w:lang w:eastAsia="en-US"/>
              </w:rPr>
              <w:t>10% dextrose daily for 5 days</w:t>
            </w:r>
          </w:p>
        </w:tc>
        <w:tc>
          <w:tcPr>
            <w:tcW w:w="1055"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lastRenderedPageBreak/>
              <w:t>Age: 52 (range 9-79)</w:t>
            </w:r>
          </w:p>
          <w:p w:rsidR="001F5B33" w:rsidRPr="00E3331A" w:rsidRDefault="001F5B33" w:rsidP="00493DDF">
            <w:pPr>
              <w:pStyle w:val="Tabletext1"/>
              <w:rPr>
                <w:rFonts w:eastAsia="Calibri"/>
                <w:lang w:eastAsia="en-US"/>
              </w:rPr>
            </w:pPr>
            <w:r w:rsidRPr="00E3331A">
              <w:rPr>
                <w:rFonts w:eastAsia="Calibri"/>
                <w:lang w:eastAsia="en-US"/>
              </w:rPr>
              <w:t>% male: 37</w:t>
            </w:r>
          </w:p>
        </w:tc>
        <w:tc>
          <w:tcPr>
            <w:tcW w:w="963" w:type="pct"/>
            <w:shd w:val="clear" w:color="auto" w:fill="auto"/>
          </w:tcPr>
          <w:p w:rsidR="001F5B33" w:rsidRPr="00E3331A" w:rsidRDefault="001F5B33" w:rsidP="0007007F">
            <w:pPr>
              <w:pStyle w:val="TableParagraph"/>
              <w:spacing w:line="226" w:lineRule="exact"/>
              <w:jc w:val="left"/>
              <w:rPr>
                <w:rFonts w:ascii="Arial Narrow" w:hAnsi="Arial Narrow"/>
                <w:sz w:val="20"/>
                <w:szCs w:val="20"/>
              </w:rPr>
            </w:pPr>
            <w:r w:rsidRPr="00E3331A">
              <w:rPr>
                <w:rFonts w:ascii="Arial Narrow" w:hAnsi="Arial Narrow"/>
                <w:sz w:val="20"/>
                <w:szCs w:val="20"/>
              </w:rPr>
              <w:t>Definite: 21, Probable: 9</w:t>
            </w:r>
          </w:p>
          <w:p w:rsidR="001F5B33" w:rsidRPr="00E3331A" w:rsidRDefault="001F5B33" w:rsidP="0007007F">
            <w:pPr>
              <w:pStyle w:val="TableParagraph"/>
              <w:spacing w:line="226" w:lineRule="exact"/>
              <w:jc w:val="left"/>
              <w:rPr>
                <w:rFonts w:ascii="Arial Narrow" w:hAnsi="Arial Narrow"/>
                <w:sz w:val="20"/>
                <w:szCs w:val="20"/>
              </w:rPr>
            </w:pPr>
            <w:r w:rsidRPr="00E3331A">
              <w:rPr>
                <w:rFonts w:ascii="Arial Narrow" w:hAnsi="Arial Narrow"/>
                <w:sz w:val="20"/>
                <w:szCs w:val="20"/>
              </w:rPr>
              <w:t>Type: progressive: 16, relapsing: 14</w:t>
            </w:r>
          </w:p>
          <w:p w:rsidR="001F5B33" w:rsidRPr="00E3331A" w:rsidRDefault="001F5B33" w:rsidP="0007007F">
            <w:pPr>
              <w:pStyle w:val="TableParagraph"/>
              <w:spacing w:line="226" w:lineRule="exact"/>
              <w:jc w:val="left"/>
              <w:rPr>
                <w:rFonts w:ascii="Arial Narrow" w:hAnsi="Arial Narrow"/>
                <w:sz w:val="20"/>
                <w:szCs w:val="20"/>
              </w:rPr>
            </w:pPr>
          </w:p>
          <w:p w:rsidR="001F5B33" w:rsidRPr="00E3331A" w:rsidRDefault="001F5B33" w:rsidP="0007007F">
            <w:pPr>
              <w:pStyle w:val="TableParagraph"/>
              <w:spacing w:line="226" w:lineRule="exact"/>
              <w:jc w:val="left"/>
              <w:rPr>
                <w:rFonts w:ascii="Arial Narrow" w:hAnsi="Arial Narrow"/>
                <w:sz w:val="20"/>
                <w:szCs w:val="20"/>
              </w:rPr>
            </w:pPr>
            <w:r w:rsidRPr="00E3331A">
              <w:rPr>
                <w:rFonts w:ascii="Arial Narrow" w:hAnsi="Arial Narrow"/>
                <w:sz w:val="20"/>
                <w:szCs w:val="20"/>
              </w:rPr>
              <w:t>NDS</w:t>
            </w:r>
          </w:p>
          <w:p w:rsidR="001F5B33" w:rsidRPr="00E3331A" w:rsidRDefault="001F5B33" w:rsidP="0007007F">
            <w:pPr>
              <w:pStyle w:val="TableParagraph"/>
              <w:spacing w:line="226" w:lineRule="exact"/>
              <w:jc w:val="left"/>
              <w:rPr>
                <w:rFonts w:ascii="Arial Narrow" w:hAnsi="Arial Narrow"/>
                <w:sz w:val="20"/>
                <w:szCs w:val="20"/>
              </w:rPr>
            </w:pPr>
            <w:r w:rsidRPr="00E3331A">
              <w:rPr>
                <w:rFonts w:ascii="Arial Narrow" w:hAnsi="Arial Narrow"/>
                <w:sz w:val="20"/>
                <w:szCs w:val="20"/>
              </w:rPr>
              <w:t>I: 78.3 ± 27.5</w:t>
            </w:r>
          </w:p>
          <w:p w:rsidR="001F5B33" w:rsidRPr="00E3331A" w:rsidRDefault="001F5B33" w:rsidP="0007007F">
            <w:pPr>
              <w:pStyle w:val="TableParagraph"/>
              <w:spacing w:line="226" w:lineRule="exact"/>
              <w:jc w:val="left"/>
              <w:rPr>
                <w:rFonts w:ascii="Arial Narrow" w:hAnsi="Arial Narrow"/>
                <w:sz w:val="20"/>
                <w:szCs w:val="20"/>
              </w:rPr>
            </w:pPr>
            <w:r w:rsidRPr="00E3331A">
              <w:rPr>
                <w:rFonts w:ascii="Arial Narrow" w:hAnsi="Arial Narrow"/>
                <w:sz w:val="20"/>
                <w:szCs w:val="20"/>
              </w:rPr>
              <w:lastRenderedPageBreak/>
              <w:t>C: 76.6 =- 27.7</w:t>
            </w:r>
          </w:p>
          <w:p w:rsidR="001F5B33" w:rsidRPr="00E3331A" w:rsidRDefault="001F5B33" w:rsidP="0007007F">
            <w:pPr>
              <w:pStyle w:val="TableParagraph"/>
              <w:spacing w:line="226" w:lineRule="exact"/>
              <w:jc w:val="left"/>
              <w:rPr>
                <w:rFonts w:ascii="Arial Narrow" w:hAnsi="Arial Narrow"/>
                <w:sz w:val="20"/>
                <w:szCs w:val="20"/>
              </w:rPr>
            </w:pPr>
            <w:r w:rsidRPr="00E3331A">
              <w:rPr>
                <w:rFonts w:ascii="Arial Narrow" w:hAnsi="Arial Narrow"/>
                <w:sz w:val="20"/>
                <w:szCs w:val="20"/>
              </w:rPr>
              <w:t>Clinical grade</w:t>
            </w:r>
          </w:p>
          <w:p w:rsidR="001F5B33" w:rsidRPr="00E3331A" w:rsidRDefault="001F5B33" w:rsidP="0007007F">
            <w:pPr>
              <w:pStyle w:val="TableParagraph"/>
              <w:spacing w:line="226" w:lineRule="exact"/>
              <w:jc w:val="left"/>
              <w:rPr>
                <w:rFonts w:ascii="Arial Narrow" w:hAnsi="Arial Narrow"/>
                <w:sz w:val="20"/>
                <w:szCs w:val="20"/>
              </w:rPr>
            </w:pPr>
            <w:r w:rsidRPr="00E3331A">
              <w:rPr>
                <w:rFonts w:ascii="Arial Narrow" w:hAnsi="Arial Narrow"/>
                <w:sz w:val="20"/>
                <w:szCs w:val="20"/>
              </w:rPr>
              <w:t>I: 4.6 ± 1.9</w:t>
            </w:r>
          </w:p>
          <w:p w:rsidR="001F5B33" w:rsidRPr="00E3331A" w:rsidRDefault="001F5B33" w:rsidP="0007007F">
            <w:pPr>
              <w:pStyle w:val="TableParagraph"/>
              <w:spacing w:line="226" w:lineRule="exact"/>
              <w:jc w:val="left"/>
              <w:rPr>
                <w:rFonts w:ascii="Arial Narrow" w:hAnsi="Arial Narrow"/>
                <w:sz w:val="20"/>
                <w:szCs w:val="20"/>
              </w:rPr>
            </w:pPr>
            <w:r w:rsidRPr="00E3331A">
              <w:rPr>
                <w:rFonts w:ascii="Arial Narrow" w:hAnsi="Arial Narrow"/>
                <w:sz w:val="20"/>
                <w:szCs w:val="20"/>
              </w:rPr>
              <w:t>C: 4.2 ± 1.9</w:t>
            </w:r>
          </w:p>
        </w:tc>
      </w:tr>
    </w:tbl>
    <w:p w:rsidR="001F5B33" w:rsidRPr="00E3331A" w:rsidRDefault="001F5B33" w:rsidP="0037150F">
      <w:pPr>
        <w:pStyle w:val="Tablenotes1"/>
      </w:pPr>
      <w:r w:rsidRPr="00E3331A">
        <w:rPr>
          <w:b/>
        </w:rPr>
        <w:lastRenderedPageBreak/>
        <w:t>Abbreviations</w:t>
      </w:r>
      <w:r w:rsidRPr="00E3331A">
        <w:t>: AAN = American Academy of Neurology, CIDP</w:t>
      </w:r>
      <w:r w:rsidR="00AF1E42" w:rsidRPr="00E3331A">
        <w:t xml:space="preserve"> </w:t>
      </w:r>
      <w:r w:rsidRPr="00E3331A">
        <w:t>= Chronic inflammatory demyelinating polyneuropathy, Ig</w:t>
      </w:r>
      <w:r w:rsidR="00AF1E42" w:rsidRPr="00E3331A">
        <w:t xml:space="preserve"> </w:t>
      </w:r>
      <w:r w:rsidRPr="00E3331A">
        <w:t>= Immunoglobulin, IV</w:t>
      </w:r>
      <w:r w:rsidR="00AF1E42" w:rsidRPr="00E3331A">
        <w:t xml:space="preserve"> </w:t>
      </w:r>
      <w:r w:rsidRPr="00E3331A">
        <w:t>= Intravenous, P = placebo, EFNS/PNS</w:t>
      </w:r>
      <w:r w:rsidR="00AF1E42" w:rsidRPr="00E3331A">
        <w:t xml:space="preserve"> </w:t>
      </w:r>
      <w:r w:rsidRPr="00E3331A">
        <w:t xml:space="preserve">= </w:t>
      </w:r>
      <w:r w:rsidR="00643445" w:rsidRPr="00E3331A">
        <w:t>European Federation of Neurological Societies/Peripheral Nerve Society</w:t>
      </w:r>
      <w:r w:rsidRPr="00E3331A">
        <w:t>, ONLS</w:t>
      </w:r>
      <w:r w:rsidR="00AF1E42" w:rsidRPr="00E3331A">
        <w:t xml:space="preserve"> </w:t>
      </w:r>
      <w:r w:rsidRPr="00E3331A">
        <w:t xml:space="preserve">= Overall Neuropathy Limitations Scale, NDS = neurologic disability score, INCAT = </w:t>
      </w:r>
      <w:r w:rsidR="00AF1E42" w:rsidRPr="00E3331A">
        <w:t>I</w:t>
      </w:r>
      <w:r w:rsidRPr="00E3331A">
        <w:t>nflammatory Neuropathy Cause and Treatment, St = steroid. I = intervention, C = comparator.</w:t>
      </w:r>
    </w:p>
    <w:p w:rsidR="001F5B33" w:rsidRPr="00E3331A" w:rsidRDefault="001F5B33" w:rsidP="00C84382">
      <w:pPr>
        <w:pStyle w:val="Heading4"/>
      </w:pPr>
      <w:r w:rsidRPr="00E3331A">
        <w:t>Patient characteristics in trials compared to listing</w:t>
      </w:r>
    </w:p>
    <w:p w:rsidR="001F5B33" w:rsidRPr="00E3331A" w:rsidRDefault="001F5B33" w:rsidP="00BB6E4C">
      <w:pPr>
        <w:pStyle w:val="BodyTextSTD"/>
      </w:pPr>
      <w:r w:rsidRPr="00E3331A">
        <w:t xml:space="preserve">The characteristics of the patient populations in major trials such as Hughes </w:t>
      </w:r>
      <w:r w:rsidR="00983BA7">
        <w:t xml:space="preserve">et al. </w:t>
      </w:r>
      <w:r w:rsidRPr="00E3331A">
        <w:t>(2001, 2008) appear to be aligned with</w:t>
      </w:r>
      <w:r w:rsidR="00FA25C6" w:rsidRPr="00E3331A">
        <w:t xml:space="preserve"> the patient population currently eligible for IVIg according to </w:t>
      </w:r>
      <w:r w:rsidR="00F64AD0" w:rsidRPr="00E3331A">
        <w:t xml:space="preserve">Version 3 of </w:t>
      </w:r>
      <w:r w:rsidR="00F64AD0" w:rsidRPr="00E3331A">
        <w:rPr>
          <w:i/>
        </w:rPr>
        <w:t>‘</w:t>
      </w:r>
      <w:r w:rsidR="00FA25C6" w:rsidRPr="00E3331A">
        <w:rPr>
          <w:i/>
        </w:rPr>
        <w:t>the Criteria</w:t>
      </w:r>
      <w:r w:rsidR="00F64AD0" w:rsidRPr="00E3331A">
        <w:rPr>
          <w:i/>
        </w:rPr>
        <w:t>’</w:t>
      </w:r>
      <w:r w:rsidRPr="00E3331A">
        <w:t xml:space="preserve">. Patients in the Hughes </w:t>
      </w:r>
      <w:r w:rsidR="00983BA7">
        <w:t xml:space="preserve">et al. </w:t>
      </w:r>
      <w:r w:rsidRPr="00E3331A">
        <w:t>(2001) trial were drawn from nine European centres (located in the UK, Belgium, Italy, Spain, the Netherlands, Greece and the Czech Republic) between July 1998 and November 1999.</w:t>
      </w:r>
      <w:r w:rsidR="00345C95" w:rsidRPr="00E3331A">
        <w:t xml:space="preserve"> </w:t>
      </w:r>
      <w:r w:rsidRPr="00E3331A">
        <w:t xml:space="preserve">Characteristics are outlined in </w:t>
      </w:r>
      <w:r w:rsidR="006F35B9" w:rsidRPr="00E3331A">
        <w:t xml:space="preserve">Table </w:t>
      </w:r>
      <w:r w:rsidR="006F35B9">
        <w:rPr>
          <w:noProof/>
        </w:rPr>
        <w:t>44</w:t>
      </w:r>
      <w:r w:rsidRPr="00E3331A">
        <w:t xml:space="preserve"> taken from McCrone </w:t>
      </w:r>
      <w:r w:rsidR="00983BA7">
        <w:t xml:space="preserve">et al. </w:t>
      </w:r>
      <w:r w:rsidRPr="00E3331A">
        <w:t xml:space="preserve">(2003) who used trial data </w:t>
      </w:r>
      <w:r w:rsidR="00EF7D52" w:rsidRPr="00E3331A">
        <w:t xml:space="preserve">from Hughes </w:t>
      </w:r>
      <w:r w:rsidR="00983BA7">
        <w:t xml:space="preserve">et al. </w:t>
      </w:r>
      <w:r w:rsidR="00EF7D52" w:rsidRPr="00E3331A">
        <w:t xml:space="preserve">(2001) </w:t>
      </w:r>
      <w:r w:rsidRPr="00E3331A">
        <w:t>for economic analysis</w:t>
      </w:r>
      <w:r w:rsidR="00AF1E42" w:rsidRPr="00E3331A">
        <w:t xml:space="preserve"> </w:t>
      </w:r>
      <w:r w:rsidR="00B85C75">
        <w:rPr>
          <w:noProof/>
        </w:rPr>
        <w:t>(McCrone et al. 2003)</w:t>
      </w:r>
      <w:r w:rsidR="00AF1E42" w:rsidRPr="00E3331A">
        <w:t>.</w:t>
      </w:r>
    </w:p>
    <w:p w:rsidR="001F5B33" w:rsidRPr="00E3331A" w:rsidRDefault="001F5B33" w:rsidP="001F5B33">
      <w:pPr>
        <w:pStyle w:val="Caption"/>
      </w:pPr>
      <w:bookmarkStart w:id="332" w:name="_Ref8135321"/>
      <w:bookmarkStart w:id="333" w:name="_Toc24103350"/>
      <w:r w:rsidRPr="00E3331A">
        <w:t xml:space="preserve">Table </w:t>
      </w:r>
      <w:r w:rsidR="006F35B9">
        <w:rPr>
          <w:noProof/>
        </w:rPr>
        <w:t>44</w:t>
      </w:r>
      <w:bookmarkEnd w:id="332"/>
      <w:r w:rsidR="00AF1E42" w:rsidRPr="00E3331A">
        <w:tab/>
      </w:r>
      <w:r w:rsidRPr="00E3331A">
        <w:t xml:space="preserve">McCrone </w:t>
      </w:r>
      <w:r w:rsidR="00983BA7">
        <w:t xml:space="preserve">et al. </w:t>
      </w:r>
      <w:r w:rsidRPr="00E3331A">
        <w:t>(2003) patient characteristics</w:t>
      </w:r>
      <w:bookmarkEnd w:id="3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0"/>
        <w:gridCol w:w="1262"/>
        <w:gridCol w:w="1263"/>
        <w:gridCol w:w="1369"/>
        <w:gridCol w:w="1352"/>
      </w:tblGrid>
      <w:tr w:rsidR="001F11D2" w:rsidRPr="00E3331A" w:rsidTr="001F11D2">
        <w:trPr>
          <w:trHeight w:val="634"/>
        </w:trPr>
        <w:tc>
          <w:tcPr>
            <w:tcW w:w="3817" w:type="dxa"/>
            <w:vMerge w:val="restart"/>
            <w:shd w:val="clear" w:color="auto" w:fill="auto"/>
            <w:vAlign w:val="center"/>
          </w:tcPr>
          <w:p w:rsidR="001F11D2" w:rsidRPr="00E3331A" w:rsidRDefault="001F11D2" w:rsidP="00DE37BC">
            <w:pPr>
              <w:pStyle w:val="Tableheading1"/>
            </w:pPr>
            <w:r w:rsidRPr="00E3331A">
              <w:t>Characteristics</w:t>
            </w:r>
          </w:p>
        </w:tc>
        <w:tc>
          <w:tcPr>
            <w:tcW w:w="2547" w:type="dxa"/>
            <w:gridSpan w:val="2"/>
            <w:shd w:val="clear" w:color="auto" w:fill="auto"/>
            <w:vAlign w:val="center"/>
          </w:tcPr>
          <w:p w:rsidR="001F11D2" w:rsidRPr="00E3331A" w:rsidRDefault="001F11D2" w:rsidP="00DE37BC">
            <w:pPr>
              <w:pStyle w:val="Tableheading1"/>
            </w:pPr>
            <w:r w:rsidRPr="00E3331A">
              <w:t>All patients in study</w:t>
            </w:r>
          </w:p>
        </w:tc>
        <w:tc>
          <w:tcPr>
            <w:tcW w:w="2652" w:type="dxa"/>
            <w:gridSpan w:val="2"/>
            <w:shd w:val="clear" w:color="auto" w:fill="auto"/>
            <w:vAlign w:val="center"/>
          </w:tcPr>
          <w:p w:rsidR="001F11D2" w:rsidRPr="00E3331A" w:rsidRDefault="001F11D2" w:rsidP="00DE37BC">
            <w:pPr>
              <w:pStyle w:val="Tableheading1"/>
            </w:pPr>
            <w:r w:rsidRPr="00E3331A">
              <w:t>Patients with cost data for first treatment period</w:t>
            </w:r>
          </w:p>
        </w:tc>
      </w:tr>
      <w:tr w:rsidR="001F11D2" w:rsidRPr="00E3331A" w:rsidTr="001F11D2">
        <w:trPr>
          <w:trHeight w:val="274"/>
        </w:trPr>
        <w:tc>
          <w:tcPr>
            <w:tcW w:w="3817" w:type="dxa"/>
            <w:vMerge/>
            <w:shd w:val="clear" w:color="auto" w:fill="auto"/>
            <w:vAlign w:val="center"/>
          </w:tcPr>
          <w:p w:rsidR="001F11D2" w:rsidRPr="00E3331A" w:rsidRDefault="001F11D2" w:rsidP="00DE37BC">
            <w:pPr>
              <w:pStyle w:val="Tablecontents"/>
            </w:pPr>
          </w:p>
        </w:tc>
        <w:tc>
          <w:tcPr>
            <w:tcW w:w="1273" w:type="dxa"/>
            <w:shd w:val="clear" w:color="auto" w:fill="auto"/>
            <w:vAlign w:val="center"/>
          </w:tcPr>
          <w:p w:rsidR="001F11D2" w:rsidRPr="001F11D2" w:rsidRDefault="001F11D2" w:rsidP="00DE37BC">
            <w:pPr>
              <w:pStyle w:val="Tablecontents"/>
              <w:rPr>
                <w:b/>
              </w:rPr>
            </w:pPr>
            <w:r w:rsidRPr="001F11D2">
              <w:rPr>
                <w:b/>
              </w:rPr>
              <w:t xml:space="preserve">P–I </w:t>
            </w:r>
          </w:p>
          <w:p w:rsidR="001F11D2" w:rsidRPr="001F11D2" w:rsidRDefault="001F11D2" w:rsidP="00DE37BC">
            <w:pPr>
              <w:pStyle w:val="Tablecontents"/>
              <w:rPr>
                <w:b/>
              </w:rPr>
            </w:pPr>
            <w:r w:rsidRPr="001F11D2">
              <w:rPr>
                <w:b/>
              </w:rPr>
              <w:t>(n = 15)</w:t>
            </w:r>
          </w:p>
        </w:tc>
        <w:tc>
          <w:tcPr>
            <w:tcW w:w="1274" w:type="dxa"/>
            <w:shd w:val="clear" w:color="auto" w:fill="auto"/>
            <w:vAlign w:val="center"/>
          </w:tcPr>
          <w:p w:rsidR="001F11D2" w:rsidRPr="001F11D2" w:rsidRDefault="001F11D2" w:rsidP="00DE37BC">
            <w:pPr>
              <w:pStyle w:val="Tablecontents"/>
              <w:rPr>
                <w:b/>
              </w:rPr>
            </w:pPr>
            <w:r w:rsidRPr="001F11D2">
              <w:rPr>
                <w:b/>
              </w:rPr>
              <w:t xml:space="preserve">I–P </w:t>
            </w:r>
          </w:p>
          <w:p w:rsidR="001F11D2" w:rsidRPr="001F11D2" w:rsidRDefault="001F11D2" w:rsidP="00DE37BC">
            <w:pPr>
              <w:pStyle w:val="Tablecontents"/>
              <w:rPr>
                <w:b/>
              </w:rPr>
            </w:pPr>
            <w:r w:rsidRPr="001F11D2">
              <w:rPr>
                <w:b/>
              </w:rPr>
              <w:t>(n = 17)</w:t>
            </w:r>
          </w:p>
        </w:tc>
        <w:tc>
          <w:tcPr>
            <w:tcW w:w="1288" w:type="dxa"/>
            <w:shd w:val="clear" w:color="auto" w:fill="auto"/>
            <w:vAlign w:val="center"/>
          </w:tcPr>
          <w:p w:rsidR="001F11D2" w:rsidRPr="001F11D2" w:rsidRDefault="001F11D2" w:rsidP="00DE37BC">
            <w:pPr>
              <w:pStyle w:val="Tablecontents"/>
              <w:rPr>
                <w:b/>
              </w:rPr>
            </w:pPr>
            <w:r w:rsidRPr="001F11D2">
              <w:rPr>
                <w:b/>
              </w:rPr>
              <w:t xml:space="preserve">Prednisolone </w:t>
            </w:r>
          </w:p>
          <w:p w:rsidR="001F11D2" w:rsidRPr="001F11D2" w:rsidRDefault="001F11D2" w:rsidP="00DE37BC">
            <w:pPr>
              <w:pStyle w:val="Tablecontents"/>
              <w:rPr>
                <w:b/>
              </w:rPr>
            </w:pPr>
            <w:r w:rsidRPr="001F11D2">
              <w:rPr>
                <w:b/>
              </w:rPr>
              <w:t>(n = 13)</w:t>
            </w:r>
          </w:p>
        </w:tc>
        <w:tc>
          <w:tcPr>
            <w:tcW w:w="1364" w:type="dxa"/>
            <w:shd w:val="clear" w:color="auto" w:fill="auto"/>
            <w:vAlign w:val="center"/>
          </w:tcPr>
          <w:p w:rsidR="001F11D2" w:rsidRPr="001F11D2" w:rsidRDefault="001F11D2" w:rsidP="00DE37BC">
            <w:pPr>
              <w:pStyle w:val="Tablecontents"/>
              <w:rPr>
                <w:b/>
              </w:rPr>
            </w:pPr>
            <w:r w:rsidRPr="001F11D2">
              <w:rPr>
                <w:b/>
              </w:rPr>
              <w:t xml:space="preserve">IVIg </w:t>
            </w:r>
          </w:p>
          <w:p w:rsidR="001F11D2" w:rsidRPr="001F11D2" w:rsidRDefault="001F11D2" w:rsidP="00DE37BC">
            <w:pPr>
              <w:pStyle w:val="Tablecontents"/>
              <w:rPr>
                <w:b/>
              </w:rPr>
            </w:pPr>
            <w:r w:rsidRPr="001F11D2">
              <w:rPr>
                <w:b/>
              </w:rPr>
              <w:t>(n = 12)</w:t>
            </w:r>
          </w:p>
        </w:tc>
      </w:tr>
      <w:tr w:rsidR="00281EC2" w:rsidRPr="00E3331A" w:rsidTr="001F11D2">
        <w:tc>
          <w:tcPr>
            <w:tcW w:w="3817" w:type="dxa"/>
            <w:shd w:val="clear" w:color="auto" w:fill="auto"/>
          </w:tcPr>
          <w:p w:rsidR="001F5B33" w:rsidRPr="00E3331A" w:rsidRDefault="001F5B33" w:rsidP="00DE37BC">
            <w:pPr>
              <w:pStyle w:val="Tablecontents"/>
            </w:pPr>
            <w:r w:rsidRPr="00E3331A">
              <w:t>Male, n (%)</w:t>
            </w:r>
          </w:p>
        </w:tc>
        <w:tc>
          <w:tcPr>
            <w:tcW w:w="1273" w:type="dxa"/>
            <w:shd w:val="clear" w:color="auto" w:fill="auto"/>
          </w:tcPr>
          <w:p w:rsidR="001F5B33" w:rsidRPr="00E3331A" w:rsidRDefault="001F5B33" w:rsidP="00DE37BC">
            <w:pPr>
              <w:pStyle w:val="Tablecontents"/>
            </w:pPr>
            <w:r w:rsidRPr="00E3331A">
              <w:t>9 (60)</w:t>
            </w:r>
          </w:p>
        </w:tc>
        <w:tc>
          <w:tcPr>
            <w:tcW w:w="1274" w:type="dxa"/>
            <w:shd w:val="clear" w:color="auto" w:fill="auto"/>
          </w:tcPr>
          <w:p w:rsidR="001F5B33" w:rsidRPr="00E3331A" w:rsidRDefault="001F5B33" w:rsidP="00DE37BC">
            <w:pPr>
              <w:pStyle w:val="Tablecontents"/>
            </w:pPr>
            <w:r w:rsidRPr="00E3331A">
              <w:t>12 (71)</w:t>
            </w:r>
          </w:p>
        </w:tc>
        <w:tc>
          <w:tcPr>
            <w:tcW w:w="1288" w:type="dxa"/>
            <w:shd w:val="clear" w:color="auto" w:fill="auto"/>
          </w:tcPr>
          <w:p w:rsidR="001F5B33" w:rsidRPr="00E3331A" w:rsidRDefault="001F5B33" w:rsidP="00DE37BC">
            <w:pPr>
              <w:pStyle w:val="Tablecontents"/>
            </w:pPr>
            <w:r w:rsidRPr="00E3331A">
              <w:t>9 (69)</w:t>
            </w:r>
          </w:p>
        </w:tc>
        <w:tc>
          <w:tcPr>
            <w:tcW w:w="1364" w:type="dxa"/>
            <w:shd w:val="clear" w:color="auto" w:fill="auto"/>
          </w:tcPr>
          <w:p w:rsidR="001F5B33" w:rsidRPr="00E3331A" w:rsidRDefault="001F5B33" w:rsidP="00DE37BC">
            <w:pPr>
              <w:pStyle w:val="Tablecontents"/>
            </w:pPr>
            <w:r w:rsidRPr="00E3331A">
              <w:t>7 (58)</w:t>
            </w:r>
          </w:p>
        </w:tc>
      </w:tr>
      <w:tr w:rsidR="00281EC2" w:rsidRPr="00E3331A" w:rsidTr="001F11D2">
        <w:tc>
          <w:tcPr>
            <w:tcW w:w="3817" w:type="dxa"/>
            <w:shd w:val="clear" w:color="auto" w:fill="auto"/>
          </w:tcPr>
          <w:p w:rsidR="001F5B33" w:rsidRPr="00E3331A" w:rsidRDefault="001F5B33" w:rsidP="00DE37BC">
            <w:pPr>
              <w:pStyle w:val="Tablecontents"/>
            </w:pPr>
            <w:r w:rsidRPr="00E3331A">
              <w:t>Female, n (%)</w:t>
            </w:r>
          </w:p>
        </w:tc>
        <w:tc>
          <w:tcPr>
            <w:tcW w:w="1273" w:type="dxa"/>
            <w:shd w:val="clear" w:color="auto" w:fill="auto"/>
          </w:tcPr>
          <w:p w:rsidR="001F5B33" w:rsidRPr="00E3331A" w:rsidRDefault="001F5B33" w:rsidP="00DE37BC">
            <w:pPr>
              <w:pStyle w:val="Tablecontents"/>
            </w:pPr>
            <w:r w:rsidRPr="00E3331A">
              <w:t>6 (40)</w:t>
            </w:r>
          </w:p>
        </w:tc>
        <w:tc>
          <w:tcPr>
            <w:tcW w:w="1274" w:type="dxa"/>
            <w:shd w:val="clear" w:color="auto" w:fill="auto"/>
          </w:tcPr>
          <w:p w:rsidR="001F5B33" w:rsidRPr="00E3331A" w:rsidRDefault="001F5B33" w:rsidP="00DE37BC">
            <w:pPr>
              <w:pStyle w:val="Tablecontents"/>
            </w:pPr>
            <w:r w:rsidRPr="00E3331A">
              <w:t>5 (29)</w:t>
            </w:r>
          </w:p>
        </w:tc>
        <w:tc>
          <w:tcPr>
            <w:tcW w:w="1288" w:type="dxa"/>
            <w:shd w:val="clear" w:color="auto" w:fill="auto"/>
          </w:tcPr>
          <w:p w:rsidR="001F5B33" w:rsidRPr="00E3331A" w:rsidRDefault="001F5B33" w:rsidP="00DE37BC">
            <w:pPr>
              <w:pStyle w:val="Tablecontents"/>
            </w:pPr>
            <w:r w:rsidRPr="00E3331A">
              <w:t>4 (31)</w:t>
            </w:r>
          </w:p>
        </w:tc>
        <w:tc>
          <w:tcPr>
            <w:tcW w:w="1364" w:type="dxa"/>
            <w:shd w:val="clear" w:color="auto" w:fill="auto"/>
          </w:tcPr>
          <w:p w:rsidR="001F5B33" w:rsidRPr="00E3331A" w:rsidRDefault="001F5B33" w:rsidP="00DE37BC">
            <w:pPr>
              <w:pStyle w:val="Tablecontents"/>
            </w:pPr>
            <w:r w:rsidRPr="00E3331A">
              <w:t>5 (42)</w:t>
            </w:r>
          </w:p>
        </w:tc>
      </w:tr>
      <w:tr w:rsidR="00281EC2" w:rsidRPr="00E3331A" w:rsidTr="001F11D2">
        <w:tc>
          <w:tcPr>
            <w:tcW w:w="3817" w:type="dxa"/>
            <w:shd w:val="clear" w:color="auto" w:fill="auto"/>
          </w:tcPr>
          <w:p w:rsidR="001F5B33" w:rsidRPr="00E3331A" w:rsidRDefault="001F5B33" w:rsidP="00DE37BC">
            <w:pPr>
              <w:pStyle w:val="Tablecontents"/>
            </w:pPr>
            <w:r w:rsidRPr="00E3331A">
              <w:t>Age</w:t>
            </w:r>
          </w:p>
        </w:tc>
        <w:tc>
          <w:tcPr>
            <w:tcW w:w="1273" w:type="dxa"/>
            <w:shd w:val="clear" w:color="auto" w:fill="auto"/>
          </w:tcPr>
          <w:p w:rsidR="001F5B33" w:rsidRPr="00E3331A" w:rsidRDefault="001F5B33" w:rsidP="00DE37BC">
            <w:pPr>
              <w:pStyle w:val="Tablecontents"/>
            </w:pPr>
            <w:r w:rsidRPr="00E3331A">
              <w:t>52.1 (18.3)</w:t>
            </w:r>
          </w:p>
        </w:tc>
        <w:tc>
          <w:tcPr>
            <w:tcW w:w="1274" w:type="dxa"/>
            <w:shd w:val="clear" w:color="auto" w:fill="auto"/>
          </w:tcPr>
          <w:p w:rsidR="001F5B33" w:rsidRPr="00E3331A" w:rsidRDefault="001F5B33" w:rsidP="00DE37BC">
            <w:pPr>
              <w:pStyle w:val="Tablecontents"/>
            </w:pPr>
            <w:r w:rsidRPr="00E3331A">
              <w:t>55.8 (16.2)</w:t>
            </w:r>
          </w:p>
        </w:tc>
        <w:tc>
          <w:tcPr>
            <w:tcW w:w="1288" w:type="dxa"/>
            <w:shd w:val="clear" w:color="auto" w:fill="auto"/>
          </w:tcPr>
          <w:p w:rsidR="001F5B33" w:rsidRPr="00E3331A" w:rsidRDefault="001F5B33" w:rsidP="00DE37BC">
            <w:pPr>
              <w:pStyle w:val="Tablecontents"/>
            </w:pPr>
            <w:r w:rsidRPr="00E3331A">
              <w:t>53.9 (17.3)</w:t>
            </w:r>
          </w:p>
        </w:tc>
        <w:tc>
          <w:tcPr>
            <w:tcW w:w="1364" w:type="dxa"/>
            <w:shd w:val="clear" w:color="auto" w:fill="auto"/>
          </w:tcPr>
          <w:p w:rsidR="001F5B33" w:rsidRPr="00E3331A" w:rsidRDefault="001F5B33" w:rsidP="00DE37BC">
            <w:pPr>
              <w:pStyle w:val="Tablecontents"/>
            </w:pPr>
            <w:r w:rsidRPr="00E3331A">
              <w:t>52.0 (13.6)</w:t>
            </w:r>
          </w:p>
        </w:tc>
      </w:tr>
      <w:tr w:rsidR="00281EC2" w:rsidRPr="00E3331A" w:rsidTr="001F11D2">
        <w:tc>
          <w:tcPr>
            <w:tcW w:w="3817" w:type="dxa"/>
            <w:shd w:val="clear" w:color="auto" w:fill="auto"/>
          </w:tcPr>
          <w:p w:rsidR="001F5B33" w:rsidRPr="00E3331A" w:rsidRDefault="001F5B33" w:rsidP="00DE37BC">
            <w:pPr>
              <w:pStyle w:val="Tablecontents"/>
            </w:pPr>
            <w:r w:rsidRPr="00E3331A">
              <w:t>Illness duration</w:t>
            </w:r>
          </w:p>
        </w:tc>
        <w:tc>
          <w:tcPr>
            <w:tcW w:w="1273" w:type="dxa"/>
            <w:shd w:val="clear" w:color="auto" w:fill="auto"/>
          </w:tcPr>
          <w:p w:rsidR="001F5B33" w:rsidRPr="00E3331A" w:rsidRDefault="001F5B33" w:rsidP="00DE37BC">
            <w:pPr>
              <w:pStyle w:val="Tablecontents"/>
            </w:pPr>
            <w:r w:rsidRPr="00E3331A">
              <w:t>5.2 (6.5)</w:t>
            </w:r>
          </w:p>
        </w:tc>
        <w:tc>
          <w:tcPr>
            <w:tcW w:w="1274" w:type="dxa"/>
            <w:shd w:val="clear" w:color="auto" w:fill="auto"/>
          </w:tcPr>
          <w:p w:rsidR="001F5B33" w:rsidRPr="00E3331A" w:rsidRDefault="001F5B33" w:rsidP="00DE37BC">
            <w:pPr>
              <w:pStyle w:val="Tablecontents"/>
            </w:pPr>
            <w:r w:rsidRPr="00E3331A">
              <w:t>5.3 (7.8)</w:t>
            </w:r>
          </w:p>
        </w:tc>
        <w:tc>
          <w:tcPr>
            <w:tcW w:w="1288" w:type="dxa"/>
            <w:shd w:val="clear" w:color="auto" w:fill="auto"/>
          </w:tcPr>
          <w:p w:rsidR="001F5B33" w:rsidRPr="00E3331A" w:rsidRDefault="001F5B33" w:rsidP="00DE37BC">
            <w:pPr>
              <w:pStyle w:val="Tablecontents"/>
            </w:pPr>
            <w:r w:rsidRPr="00E3331A">
              <w:t>5.6 (6.9)</w:t>
            </w:r>
          </w:p>
        </w:tc>
        <w:tc>
          <w:tcPr>
            <w:tcW w:w="1364" w:type="dxa"/>
            <w:shd w:val="clear" w:color="auto" w:fill="auto"/>
          </w:tcPr>
          <w:p w:rsidR="001F5B33" w:rsidRPr="00E3331A" w:rsidRDefault="001F5B33" w:rsidP="00DE37BC">
            <w:pPr>
              <w:pStyle w:val="Tablecontents"/>
            </w:pPr>
            <w:r w:rsidRPr="00E3331A">
              <w:t>5.5 (8.3)</w:t>
            </w:r>
          </w:p>
        </w:tc>
      </w:tr>
      <w:tr w:rsidR="00281EC2" w:rsidRPr="00E3331A" w:rsidTr="001F11D2">
        <w:tc>
          <w:tcPr>
            <w:tcW w:w="3817" w:type="dxa"/>
            <w:shd w:val="clear" w:color="auto" w:fill="auto"/>
          </w:tcPr>
          <w:p w:rsidR="001F5B33" w:rsidRPr="00E3331A" w:rsidRDefault="001F5B33" w:rsidP="00DE37BC">
            <w:pPr>
              <w:pStyle w:val="Tablecontents"/>
            </w:pPr>
            <w:r w:rsidRPr="00E3331A">
              <w:t>Worst arm disability grade in any attack</w:t>
            </w:r>
          </w:p>
        </w:tc>
        <w:tc>
          <w:tcPr>
            <w:tcW w:w="1273" w:type="dxa"/>
            <w:shd w:val="clear" w:color="auto" w:fill="auto"/>
          </w:tcPr>
          <w:p w:rsidR="001F5B33" w:rsidRPr="00E3331A" w:rsidRDefault="001F5B33" w:rsidP="00DE37BC">
            <w:pPr>
              <w:pStyle w:val="Tablecontents"/>
            </w:pPr>
            <w:r w:rsidRPr="00E3331A">
              <w:t>2.2 (1.1)</w:t>
            </w:r>
          </w:p>
        </w:tc>
        <w:tc>
          <w:tcPr>
            <w:tcW w:w="1274" w:type="dxa"/>
            <w:shd w:val="clear" w:color="auto" w:fill="auto"/>
          </w:tcPr>
          <w:p w:rsidR="001F5B33" w:rsidRPr="00E3331A" w:rsidRDefault="001F5B33" w:rsidP="00DE37BC">
            <w:pPr>
              <w:pStyle w:val="Tablecontents"/>
            </w:pPr>
            <w:r w:rsidRPr="00E3331A">
              <w:t>2.6 (1.4)</w:t>
            </w:r>
          </w:p>
        </w:tc>
        <w:tc>
          <w:tcPr>
            <w:tcW w:w="1288" w:type="dxa"/>
            <w:shd w:val="clear" w:color="auto" w:fill="auto"/>
          </w:tcPr>
          <w:p w:rsidR="001F5B33" w:rsidRPr="00E3331A" w:rsidRDefault="001F5B33" w:rsidP="00DE37BC">
            <w:pPr>
              <w:pStyle w:val="Tablecontents"/>
            </w:pPr>
            <w:r w:rsidRPr="00E3331A">
              <w:t>2.0 (1.1)</w:t>
            </w:r>
          </w:p>
        </w:tc>
        <w:tc>
          <w:tcPr>
            <w:tcW w:w="1364" w:type="dxa"/>
            <w:shd w:val="clear" w:color="auto" w:fill="auto"/>
          </w:tcPr>
          <w:p w:rsidR="001F5B33" w:rsidRPr="00E3331A" w:rsidRDefault="001F5B33" w:rsidP="00DE37BC">
            <w:pPr>
              <w:pStyle w:val="Tablecontents"/>
            </w:pPr>
            <w:r w:rsidRPr="00E3331A">
              <w:t>2.3 (1.3)</w:t>
            </w:r>
          </w:p>
        </w:tc>
      </w:tr>
      <w:tr w:rsidR="00281EC2" w:rsidRPr="00E3331A" w:rsidTr="001F11D2">
        <w:tc>
          <w:tcPr>
            <w:tcW w:w="3817" w:type="dxa"/>
            <w:shd w:val="clear" w:color="auto" w:fill="auto"/>
          </w:tcPr>
          <w:p w:rsidR="001F5B33" w:rsidRPr="00E3331A" w:rsidRDefault="001F5B33" w:rsidP="00DE37BC">
            <w:pPr>
              <w:pStyle w:val="Tablecontents"/>
            </w:pPr>
            <w:r w:rsidRPr="00E3331A">
              <w:t>Worst leg disability grade in any attack</w:t>
            </w:r>
          </w:p>
        </w:tc>
        <w:tc>
          <w:tcPr>
            <w:tcW w:w="1273" w:type="dxa"/>
            <w:shd w:val="clear" w:color="auto" w:fill="auto"/>
          </w:tcPr>
          <w:p w:rsidR="001F5B33" w:rsidRPr="00E3331A" w:rsidRDefault="001F5B33" w:rsidP="00DE37BC">
            <w:pPr>
              <w:pStyle w:val="Tablecontents"/>
            </w:pPr>
            <w:r w:rsidRPr="00E3331A">
              <w:t>1.6 (0.8)</w:t>
            </w:r>
          </w:p>
        </w:tc>
        <w:tc>
          <w:tcPr>
            <w:tcW w:w="1274" w:type="dxa"/>
            <w:shd w:val="clear" w:color="auto" w:fill="auto"/>
          </w:tcPr>
          <w:p w:rsidR="001F5B33" w:rsidRPr="00E3331A" w:rsidRDefault="001F5B33" w:rsidP="00DE37BC">
            <w:pPr>
              <w:pStyle w:val="Tablecontents"/>
            </w:pPr>
            <w:r w:rsidRPr="00E3331A">
              <w:t>2.5 (1.8)</w:t>
            </w:r>
          </w:p>
        </w:tc>
        <w:tc>
          <w:tcPr>
            <w:tcW w:w="1288" w:type="dxa"/>
            <w:shd w:val="clear" w:color="auto" w:fill="auto"/>
          </w:tcPr>
          <w:p w:rsidR="001F5B33" w:rsidRPr="00E3331A" w:rsidRDefault="001F5B33" w:rsidP="00DE37BC">
            <w:pPr>
              <w:pStyle w:val="Tablecontents"/>
            </w:pPr>
            <w:r w:rsidRPr="00E3331A">
              <w:t>1.5 (0.5)</w:t>
            </w:r>
          </w:p>
        </w:tc>
        <w:tc>
          <w:tcPr>
            <w:tcW w:w="1364" w:type="dxa"/>
            <w:shd w:val="clear" w:color="auto" w:fill="auto"/>
          </w:tcPr>
          <w:p w:rsidR="001F5B33" w:rsidRPr="00E3331A" w:rsidRDefault="001F5B33" w:rsidP="00DE37BC">
            <w:pPr>
              <w:pStyle w:val="Tablecontents"/>
            </w:pPr>
            <w:r w:rsidRPr="00E3331A">
              <w:t>2.1 (1.7)</w:t>
            </w:r>
          </w:p>
        </w:tc>
      </w:tr>
      <w:tr w:rsidR="00281EC2" w:rsidRPr="00E3331A" w:rsidTr="001F11D2">
        <w:tc>
          <w:tcPr>
            <w:tcW w:w="3817" w:type="dxa"/>
            <w:shd w:val="clear" w:color="auto" w:fill="auto"/>
          </w:tcPr>
          <w:p w:rsidR="001F5B33" w:rsidRPr="00E3331A" w:rsidRDefault="001F5B33" w:rsidP="00DE37BC">
            <w:pPr>
              <w:pStyle w:val="Tablecontents"/>
            </w:pPr>
            <w:r w:rsidRPr="00E3331A">
              <w:t>Physical disability grade at randomi</w:t>
            </w:r>
            <w:r w:rsidR="00591599" w:rsidRPr="00E3331A">
              <w:t>s</w:t>
            </w:r>
            <w:r w:rsidRPr="00E3331A">
              <w:t>ation</w:t>
            </w:r>
          </w:p>
        </w:tc>
        <w:tc>
          <w:tcPr>
            <w:tcW w:w="1273" w:type="dxa"/>
            <w:shd w:val="clear" w:color="auto" w:fill="auto"/>
          </w:tcPr>
          <w:p w:rsidR="001F5B33" w:rsidRPr="00E3331A" w:rsidRDefault="001F5B33" w:rsidP="00DE37BC">
            <w:pPr>
              <w:pStyle w:val="Tablecontents"/>
            </w:pPr>
            <w:r w:rsidRPr="00E3331A">
              <w:t>3.5 (1.3)</w:t>
            </w:r>
          </w:p>
        </w:tc>
        <w:tc>
          <w:tcPr>
            <w:tcW w:w="1274" w:type="dxa"/>
            <w:shd w:val="clear" w:color="auto" w:fill="auto"/>
          </w:tcPr>
          <w:p w:rsidR="001F5B33" w:rsidRPr="00E3331A" w:rsidRDefault="001F5B33" w:rsidP="00DE37BC">
            <w:pPr>
              <w:pStyle w:val="Tablecontents"/>
            </w:pPr>
            <w:r w:rsidRPr="00E3331A">
              <w:t>4.1 (2.0)</w:t>
            </w:r>
          </w:p>
        </w:tc>
        <w:tc>
          <w:tcPr>
            <w:tcW w:w="1288" w:type="dxa"/>
            <w:shd w:val="clear" w:color="auto" w:fill="auto"/>
          </w:tcPr>
          <w:p w:rsidR="001F5B33" w:rsidRPr="00E3331A" w:rsidRDefault="001F5B33" w:rsidP="00DE37BC">
            <w:pPr>
              <w:pStyle w:val="Tablecontents"/>
            </w:pPr>
            <w:r w:rsidRPr="00E3331A">
              <w:t>3.5 (1.4)</w:t>
            </w:r>
          </w:p>
        </w:tc>
        <w:tc>
          <w:tcPr>
            <w:tcW w:w="1364" w:type="dxa"/>
            <w:shd w:val="clear" w:color="auto" w:fill="auto"/>
          </w:tcPr>
          <w:p w:rsidR="001F5B33" w:rsidRPr="00E3331A" w:rsidRDefault="001F5B33" w:rsidP="00DE37BC">
            <w:pPr>
              <w:pStyle w:val="Tablecontents"/>
            </w:pPr>
            <w:r w:rsidRPr="00E3331A">
              <w:t>3.3 (1.5)</w:t>
            </w:r>
          </w:p>
        </w:tc>
      </w:tr>
    </w:tbl>
    <w:p w:rsidR="001F5B33" w:rsidRPr="00E3331A" w:rsidRDefault="001F5B33" w:rsidP="0037150F">
      <w:pPr>
        <w:pStyle w:val="Tablenotes1"/>
      </w:pPr>
      <w:r w:rsidRPr="00E3331A">
        <w:rPr>
          <w:b/>
        </w:rPr>
        <w:t>Abbreviations</w:t>
      </w:r>
      <w:r w:rsidRPr="00E3331A">
        <w:t>: P–I</w:t>
      </w:r>
      <w:r w:rsidR="00AF1E42" w:rsidRPr="00E3331A">
        <w:t xml:space="preserve"> =</w:t>
      </w:r>
      <w:r w:rsidRPr="00E3331A">
        <w:t xml:space="preserve"> prednisolone followed by IVIg; I–P</w:t>
      </w:r>
      <w:r w:rsidR="00AF1E42" w:rsidRPr="00E3331A">
        <w:t xml:space="preserve"> =</w:t>
      </w:r>
      <w:r w:rsidRPr="00E3331A">
        <w:t xml:space="preserve"> IVIg followed by prednisolone</w:t>
      </w:r>
    </w:p>
    <w:p w:rsidR="001F5B33" w:rsidRPr="00E3331A" w:rsidRDefault="001F5B33" w:rsidP="0037150F">
      <w:pPr>
        <w:pStyle w:val="Tablenotes1"/>
      </w:pPr>
      <w:r w:rsidRPr="00E3331A">
        <w:rPr>
          <w:b/>
        </w:rPr>
        <w:t>Source</w:t>
      </w:r>
      <w:r w:rsidRPr="00E3331A">
        <w:t xml:space="preserve">: McCrone </w:t>
      </w:r>
      <w:r w:rsidR="00983BA7">
        <w:t xml:space="preserve">et al. </w:t>
      </w:r>
      <w:r w:rsidRPr="00E3331A">
        <w:t>(2003)</w:t>
      </w:r>
    </w:p>
    <w:p w:rsidR="001F5B33" w:rsidRPr="00E3331A" w:rsidRDefault="001F5B33" w:rsidP="00BB6E4C">
      <w:pPr>
        <w:pStyle w:val="BodyTextSTD"/>
      </w:pPr>
      <w:r w:rsidRPr="00E3331A">
        <w:t xml:space="preserve">Hughes </w:t>
      </w:r>
      <w:r w:rsidR="00983BA7">
        <w:t xml:space="preserve">et al. </w:t>
      </w:r>
      <w:r w:rsidRPr="00E3331A">
        <w:t xml:space="preserve">(2001, p. 196) noted that patients had neurological examination along </w:t>
      </w:r>
      <w:r w:rsidR="00AF1E42" w:rsidRPr="00E3331A">
        <w:t xml:space="preserve">with </w:t>
      </w:r>
      <w:r w:rsidRPr="00E3331A">
        <w:t>biochemical testing including serum protein electrophoresi</w:t>
      </w:r>
      <w:r w:rsidR="008B455C" w:rsidRPr="00E3331A">
        <w:t xml:space="preserve">s </w:t>
      </w:r>
      <w:r w:rsidR="00B85C75">
        <w:rPr>
          <w:noProof/>
        </w:rPr>
        <w:t>(Hughes et al. 2001)</w:t>
      </w:r>
      <w:r w:rsidR="00AF1E42" w:rsidRPr="00E3331A">
        <w:t>.</w:t>
      </w:r>
      <w:r w:rsidRPr="00E3331A">
        <w:t xml:space="preserve"> Clinical diagnosis of CIDP included progressive or relapsing motor and sensory dysfunction of more than one limb over more than </w:t>
      </w:r>
      <w:r w:rsidR="00AF1E42" w:rsidRPr="00E3331A">
        <w:t>two</w:t>
      </w:r>
      <w:r w:rsidRPr="00E3331A">
        <w:t xml:space="preserve"> months caused by neuropathy, reduced or absent tendon reflexes, less than 10 white cells/ll in the cerebrospinal fluid, </w:t>
      </w:r>
      <w:r w:rsidR="00AF1E42" w:rsidRPr="00E3331A">
        <w:t>and</w:t>
      </w:r>
      <w:r w:rsidRPr="00E3331A">
        <w:t xml:space="preserve"> neurophysiological criteria. The criteria incorporated significant physical disability in upper or lower limb function, and stable or worsening clinical condition. </w:t>
      </w:r>
    </w:p>
    <w:p w:rsidR="00AC2BDF" w:rsidRPr="00E3331A" w:rsidRDefault="00EF7D52" w:rsidP="00BB6E4C">
      <w:pPr>
        <w:pStyle w:val="BodyTextSTD"/>
      </w:pPr>
      <w:r w:rsidRPr="00E3331A">
        <w:lastRenderedPageBreak/>
        <w:t xml:space="preserve">Hughes </w:t>
      </w:r>
      <w:r w:rsidR="00983BA7">
        <w:t xml:space="preserve">et al. </w:t>
      </w:r>
      <w:r w:rsidRPr="00E3331A">
        <w:t xml:space="preserve">(2001) included 32 randomised patients from nine European centres. Average patient age was 54.1 years, with a ratio of 21 males to 11 females and average disability grade at randomisation of 3.81. </w:t>
      </w:r>
      <w:r w:rsidR="00AC2BDF" w:rsidRPr="00E3331A">
        <w:t xml:space="preserve">The Hughes </w:t>
      </w:r>
      <w:r w:rsidR="00983BA7">
        <w:t xml:space="preserve">et al. </w:t>
      </w:r>
      <w:r w:rsidR="00AC2BDF" w:rsidRPr="00E3331A">
        <w:t xml:space="preserve">(2001, p. 196) study excluded those with systemic diseases that could be associated with neuropathy; those pregnant or planning to be; those with concurrent medical conditions that could affect treatment; those with significant respiratory impairment; those who had received IVIg, corticosteroids or plasma exchange in the six weeks before treatment; those under the age of 18; and those who met the criteria for multifocal motor neuropathy and had previously failed to respond to IVIg or corticosteroids </w:t>
      </w:r>
      <w:r w:rsidR="00B85C75">
        <w:rPr>
          <w:noProof/>
        </w:rPr>
        <w:t>(Hughes et al. 2001)</w:t>
      </w:r>
      <w:r w:rsidR="00AC2BDF" w:rsidRPr="00E3331A">
        <w:t xml:space="preserve">. Most of the trials in Section B exclude children, therefore applicability is limited when age is considered. Children only comprise a small proportion of CIDP patients in Australia. The McLeod </w:t>
      </w:r>
      <w:r w:rsidR="00983BA7">
        <w:t xml:space="preserve">et al. </w:t>
      </w:r>
      <w:r w:rsidR="00AC2BDF" w:rsidRPr="00E3331A">
        <w:t xml:space="preserve">(1999) CIDP prevalence study using AAN criteria in Newcastle, NSW, found the average patient age to be 47.6 years, with 51% of patients having relapsing‐remitting CIDP over 7.1 years </w:t>
      </w:r>
      <w:r w:rsidR="00B85C75">
        <w:rPr>
          <w:noProof/>
        </w:rPr>
        <w:t>(McLeod et al. 1999a)</w:t>
      </w:r>
      <w:r w:rsidR="00AC2BDF" w:rsidRPr="00E3331A">
        <w:t>.</w:t>
      </w:r>
    </w:p>
    <w:p w:rsidR="001F5B33" w:rsidRPr="00E3331A" w:rsidRDefault="00AC2BDF" w:rsidP="00BB6E4C">
      <w:pPr>
        <w:pStyle w:val="BodyTextSTD"/>
      </w:pPr>
      <w:r w:rsidRPr="00E3331A">
        <w:t xml:space="preserve">The Hughes </w:t>
      </w:r>
      <w:r w:rsidR="00983BA7">
        <w:t xml:space="preserve">et al. </w:t>
      </w:r>
      <w:r w:rsidRPr="00E3331A">
        <w:t xml:space="preserve">(2008, p. 137) study included patients 18 years of age or older from 33 centres in Europe, North America, South America and Israel. Eligible patients had a diagnosis of CIDP, progressive or relapsing motor and sensory dysfunction of at least one limb resulting from neuropathy over the two months before study entry, and significant disability as defined by an overall INCAT disability score of 2–9. Mean ages on each arm of the study were 50 and 53 years. Males accounted for 53% and 79%, and the periods since first CIDP symptoms were 5·8 and 4·8 years. Baseline INCAT disability scores of 4·2 and 4·1 were reported. </w:t>
      </w:r>
    </w:p>
    <w:p w:rsidR="00EF7D52" w:rsidRPr="00E3331A" w:rsidRDefault="001F5B33" w:rsidP="00BB6E4C">
      <w:pPr>
        <w:pStyle w:val="BodyTextSTD"/>
      </w:pPr>
      <w:r w:rsidRPr="00E3331A">
        <w:t xml:space="preserve">Hughes </w:t>
      </w:r>
      <w:r w:rsidR="00983BA7">
        <w:t xml:space="preserve">et al. </w:t>
      </w:r>
      <w:r w:rsidRPr="00E3331A">
        <w:t xml:space="preserve">(2008) </w:t>
      </w:r>
      <w:r w:rsidR="00A540D0" w:rsidRPr="00E3331A">
        <w:t xml:space="preserve">used </w:t>
      </w:r>
      <w:r w:rsidRPr="00E3331A">
        <w:t>exclusion criteria</w:t>
      </w:r>
      <w:r w:rsidR="00A540D0" w:rsidRPr="00E3331A">
        <w:t>,</w:t>
      </w:r>
      <w:r w:rsidRPr="00E3331A">
        <w:t xml:space="preserve"> such as patients who had been treated with steroids (&gt;10 mg/day prednisolone or equivalent), IVIg, or plasma exchange in the </w:t>
      </w:r>
      <w:r w:rsidR="002243D3" w:rsidRPr="00E3331A">
        <w:t xml:space="preserve">three </w:t>
      </w:r>
      <w:r w:rsidRPr="00E3331A">
        <w:t xml:space="preserve">months </w:t>
      </w:r>
      <w:r w:rsidR="002243D3" w:rsidRPr="00E3331A">
        <w:t xml:space="preserve">prior </w:t>
      </w:r>
      <w:r w:rsidR="00B85C75">
        <w:rPr>
          <w:noProof/>
        </w:rPr>
        <w:t>(Hughes et al. 2008)</w:t>
      </w:r>
      <w:r w:rsidR="002243D3" w:rsidRPr="00E3331A">
        <w:t>.</w:t>
      </w:r>
      <w:r w:rsidRPr="00E3331A">
        <w:t xml:space="preserve"> Patients who had been treat</w:t>
      </w:r>
      <w:r w:rsidR="00604EED" w:rsidRPr="00E3331A">
        <w:t>ed</w:t>
      </w:r>
      <w:r w:rsidRPr="00E3331A">
        <w:t xml:space="preserve"> with other immunomodulatory or immunosuppressive agents such as interferon or azathioprine in the previous </w:t>
      </w:r>
      <w:r w:rsidR="00604EED" w:rsidRPr="00E3331A">
        <w:t>six</w:t>
      </w:r>
      <w:r w:rsidRPr="00E3331A">
        <w:t xml:space="preserve"> months</w:t>
      </w:r>
      <w:r w:rsidR="00604EED" w:rsidRPr="00E3331A">
        <w:t xml:space="preserve"> were also excluded, along with those who</w:t>
      </w:r>
      <w:r w:rsidRPr="00E3331A">
        <w:t xml:space="preserve"> had evidence of central demyelination; </w:t>
      </w:r>
      <w:r w:rsidR="00604EED" w:rsidRPr="00E3331A">
        <w:t xml:space="preserve">those with </w:t>
      </w:r>
      <w:r w:rsidRPr="00E3331A">
        <w:t xml:space="preserve">persistent neurological deficits from stroke, CNS trauma or peripheral neuropathy from other causes (eg, diabetes mellitus, IgM </w:t>
      </w:r>
      <w:r w:rsidR="00E810A5" w:rsidRPr="00E3331A">
        <w:t>paraproteinemia</w:t>
      </w:r>
      <w:r w:rsidRPr="00E3331A">
        <w:t xml:space="preserve">, or uraemic, toxic or familial neuropathy); </w:t>
      </w:r>
      <w:r w:rsidR="00604EED" w:rsidRPr="00E3331A">
        <w:t xml:space="preserve">and those with </w:t>
      </w:r>
      <w:r w:rsidRPr="00E3331A">
        <w:t xml:space="preserve">a motor syndrome that fulfilled criteria for multifocal motor neuropathy with conduction block and evidence of systemic disease that might cause neuropathy. </w:t>
      </w:r>
    </w:p>
    <w:p w:rsidR="001F5B33" w:rsidRPr="00E3331A" w:rsidRDefault="001F5B33" w:rsidP="00BB6E4C">
      <w:pPr>
        <w:pStyle w:val="BodyTextSTD"/>
      </w:pPr>
      <w:r w:rsidRPr="00E3331A">
        <w:t xml:space="preserve">Some of these exclusions would apply in Australia. </w:t>
      </w:r>
      <w:r w:rsidR="00604EED" w:rsidRPr="00E3331A">
        <w:t>However</w:t>
      </w:r>
      <w:r w:rsidRPr="00E3331A">
        <w:t>, those who had received IVIg, corticosteroids or plasma</w:t>
      </w:r>
      <w:r w:rsidR="00D45BCF" w:rsidRPr="00E3331A">
        <w:t xml:space="preserve"> </w:t>
      </w:r>
      <w:r w:rsidRPr="00E3331A">
        <w:t xml:space="preserve">exchange in the </w:t>
      </w:r>
      <w:r w:rsidR="00604EED" w:rsidRPr="00E3331A">
        <w:t xml:space="preserve">six </w:t>
      </w:r>
      <w:r w:rsidRPr="00E3331A">
        <w:t>weeks before treatment and had previously failed to respond to corticosteroids</w:t>
      </w:r>
      <w:r w:rsidR="00604EED" w:rsidRPr="00E3331A">
        <w:t>,</w:t>
      </w:r>
      <w:r w:rsidRPr="00E3331A">
        <w:t xml:space="preserve"> would not be excluded from treatment in Australia. It is likely </w:t>
      </w:r>
      <w:r w:rsidR="00604EED" w:rsidRPr="00E3331A">
        <w:t xml:space="preserve">that </w:t>
      </w:r>
      <w:r w:rsidRPr="00E3331A">
        <w:t xml:space="preserve">the </w:t>
      </w:r>
      <w:r w:rsidR="00604EED" w:rsidRPr="00E3331A">
        <w:t>Ig-usi</w:t>
      </w:r>
      <w:r w:rsidR="00054958" w:rsidRPr="00E3331A">
        <w:t>n</w:t>
      </w:r>
      <w:r w:rsidR="00604EED" w:rsidRPr="00E3331A">
        <w:t xml:space="preserve">g </w:t>
      </w:r>
      <w:r w:rsidRPr="00E3331A">
        <w:t xml:space="preserve">CIDP patient population in Australia would have a high proportion of patients who had previously failed to respond to corticosteroids. </w:t>
      </w:r>
      <w:r w:rsidR="00604EED" w:rsidRPr="00E3331A">
        <w:t>In the Australian scenario, where a high proportion of steroid-resistant patients is possible, p</w:t>
      </w:r>
      <w:r w:rsidRPr="00E3331A">
        <w:t>atient response to steroids vers</w:t>
      </w:r>
      <w:r w:rsidR="00604EED" w:rsidRPr="00E3331A">
        <w:t>us</w:t>
      </w:r>
      <w:r w:rsidRPr="00E3331A">
        <w:t xml:space="preserve"> Ig in the trial patient population would favour the comparator</w:t>
      </w:r>
      <w:r w:rsidR="00604EED" w:rsidRPr="00E3331A">
        <w:t>.</w:t>
      </w:r>
      <w:r w:rsidRPr="00E3331A">
        <w:t xml:space="preserve"> </w:t>
      </w:r>
      <w:r w:rsidR="00E72104" w:rsidRPr="00E3331A">
        <w:t>Steroid resistance is defined as patients contraindicated to steroids</w:t>
      </w:r>
      <w:r w:rsidR="00604EED" w:rsidRPr="00E3331A">
        <w:t>,</w:t>
      </w:r>
      <w:r w:rsidR="00E72104" w:rsidRPr="00E3331A">
        <w:t xml:space="preserve"> and patients for whom steroids did not elicit a therapeutic response.</w:t>
      </w:r>
    </w:p>
    <w:p w:rsidR="00AC2BDF" w:rsidRPr="00E3331A" w:rsidRDefault="00AC2BDF" w:rsidP="00AC2BDF">
      <w:pPr>
        <w:pStyle w:val="BodyTextSTD"/>
      </w:pPr>
      <w:r w:rsidRPr="00E3331A">
        <w:lastRenderedPageBreak/>
        <w:t xml:space="preserve">Another major RCT from which data is sourced in the economic model is that by Nobile-Orazio </w:t>
      </w:r>
      <w:r w:rsidR="00983BA7">
        <w:t xml:space="preserve">et al. </w:t>
      </w:r>
      <w:r w:rsidRPr="00E3331A">
        <w:t>(2012). The study included 45 patients (24 IVIg, 21 IV methylprednisolone) from 14 Italian neurological centres. Patients were eligible if they were at least 18 years of age, had definite typical CIDP according to the EFNS/</w:t>
      </w:r>
      <w:r w:rsidRPr="00E3331A" w:rsidDel="00226179">
        <w:t xml:space="preserve"> </w:t>
      </w:r>
      <w:r w:rsidRPr="00E3331A">
        <w:t xml:space="preserve">PNS criteria, had some disability (scoring 2 or more on either the ONLS or the modified Rankin scale), were in an active or stationary phase but not in remission compared with the last available assessment, and were without improvement in the ONLS and modified Rankin scale scores between the screening and inclusion visits.” (ibid, p. 494). Average patient age was 66 and 54 years, and 15 of 21 and 15 of 24 patients were men on each arm. </w:t>
      </w:r>
    </w:p>
    <w:p w:rsidR="00EF7D52" w:rsidRPr="00E3331A" w:rsidRDefault="00EF7D52" w:rsidP="00AC2BDF">
      <w:pPr>
        <w:pStyle w:val="BodyTextSTD"/>
      </w:pPr>
      <w:r w:rsidRPr="00E3331A">
        <w:t>The PICO noted that t</w:t>
      </w:r>
      <w:r w:rsidRPr="00E3331A">
        <w:rPr>
          <w:noProof/>
        </w:rPr>
        <w:t xml:space="preserve">here is no specific diagnostic test for CIDP. Clinical signs and symptoms, evidence of demyelination on electrophysiological or pathological studies, and the exclusion of other causes are typically employed for diagnosis. </w:t>
      </w:r>
      <w:r w:rsidRPr="00E3331A">
        <w:t>The EFNS/PNS diagnosis guidelines suggest nerve conduction studies, cerebrospinal fluid cells and protein, MRI spinal roots, brachial plexus and lumbosacral plexus, nerve biopsy studies, clinical improvement following immunomodulatory treatment (such as IVIg), and tests to detect concomitant disease and/or hereditary neuropathy be used in diagnosis. Patients are then classified as definite, probable or possible CIDP. In Australia, to be eligible for Ig, patients must be diagnosed as having CIDP plus suffering significant disability or compromised walking as objectively measured by an ONLS score of at least two points, and the MRC sum score. This diagnosis is similar to that for entry into key trials.</w:t>
      </w:r>
    </w:p>
    <w:p w:rsidR="00AC2BDF" w:rsidRPr="00E3331A" w:rsidRDefault="00AC2BDF" w:rsidP="00AC2BDF">
      <w:pPr>
        <w:pStyle w:val="BodyTextSTD"/>
      </w:pPr>
      <w:r w:rsidRPr="00E3331A">
        <w:t>While the average age and diagnosis of CIDP is reasonably well aligned between trials and Australian Ig</w:t>
      </w:r>
      <w:r w:rsidR="000C0E99">
        <w:t xml:space="preserve"> </w:t>
      </w:r>
      <w:r w:rsidRPr="00E3331A">
        <w:t xml:space="preserve">use criteria, the types of CIDP evident in trial participants varied (see </w:t>
      </w:r>
      <w:r w:rsidR="006F35B9" w:rsidRPr="00E3331A">
        <w:t xml:space="preserve">Table </w:t>
      </w:r>
      <w:r w:rsidR="006F35B9">
        <w:rPr>
          <w:noProof/>
        </w:rPr>
        <w:t>43</w:t>
      </w:r>
      <w:r w:rsidRPr="00E3331A">
        <w:t>) and there is limited data about the characteristics of CIDP patients in Australia. The NBA records the age and weight of CIDP patients using Ig. In 2017-18 the average patient was 64 years, weighing 8</w:t>
      </w:r>
      <w:r w:rsidR="00EF7D52" w:rsidRPr="00E3331A">
        <w:t>2.5</w:t>
      </w:r>
      <w:r w:rsidRPr="00E3331A">
        <w:t xml:space="preserve">kg. McLeod </w:t>
      </w:r>
      <w:r w:rsidR="00983BA7">
        <w:t xml:space="preserve">et al. </w:t>
      </w:r>
      <w:r w:rsidRPr="00E3331A">
        <w:t xml:space="preserve">(1999) studied the prevalence of CIDP in NSW in 1996 </w:t>
      </w:r>
      <w:r w:rsidR="00B85C75">
        <w:rPr>
          <w:noProof/>
        </w:rPr>
        <w:t>(McLeod et al. 1999a)</w:t>
      </w:r>
      <w:r w:rsidRPr="00E3331A">
        <w:t xml:space="preserve">. A crude prevalence of CIDP was 1.9 per 100,000 population using AAN criteria and 51% of patients had a relapsing-remitting course. Clinical feedback provided during the evaluation indicated that 60% of patients have the chronic progressive form and require lifelong treatment, 30% have the relapsing-remitting form and require recurrent treatment for relapses (often treated lifelong after the second relapse), and 10% are monophasic and can be phased off treatment. </w:t>
      </w:r>
    </w:p>
    <w:p w:rsidR="00AC2BDF" w:rsidRPr="00E3331A" w:rsidRDefault="00AC2BDF" w:rsidP="00BB6E4C">
      <w:pPr>
        <w:pStyle w:val="BodyTextSTD"/>
      </w:pPr>
      <w:r w:rsidRPr="00E3331A">
        <w:t xml:space="preserve">Expert opinion sought during the PICO confirmed that treatment for CIDP would not differ, whether it be for relapsing and remitting or progressive CIDP. Further, it was suggested that improvements in the recognition of CIDP may fend off the relapsing and remitting course of this disease. Whether CIDP is progressive, relapsing or monophasic has an impact on the type of economic model used to undertake the evaluation. Ig treatment needs to be costed in the longer-term for chronic forms of the disease, whereas treatment is short-term for the monophasic form. Given that 60% of patients have the chronic progressive form of CIDP, a 10-year economic model is presented in Section D. As patients in key trials had chronic and relapsing-remitting forms of the disease, there is some uncertainty about the magnitude of relapse assumptions and average dosing for a typical patient. </w:t>
      </w:r>
      <w:r w:rsidRPr="00E3331A">
        <w:lastRenderedPageBreak/>
        <w:t xml:space="preserve">Sensitivity analysis is presented at the end of Section D to examine the impact on economic results of changing these assumptions. </w:t>
      </w:r>
    </w:p>
    <w:p w:rsidR="001F5B33" w:rsidRPr="00E3331A" w:rsidRDefault="001F5B33" w:rsidP="00C84382">
      <w:pPr>
        <w:pStyle w:val="Heading4"/>
      </w:pPr>
      <w:r w:rsidRPr="00E3331A">
        <w:t>Circumstances of use</w:t>
      </w:r>
    </w:p>
    <w:p w:rsidR="001F5B33" w:rsidRPr="00E3331A" w:rsidRDefault="001F5B33" w:rsidP="00BB6E4C">
      <w:pPr>
        <w:pStyle w:val="BodyTextSTD"/>
      </w:pPr>
      <w:r w:rsidRPr="00E3331A">
        <w:t xml:space="preserve">Steroids </w:t>
      </w:r>
      <w:r w:rsidRPr="00E3331A">
        <w:rPr>
          <w:noProof/>
        </w:rPr>
        <w:t>or</w:t>
      </w:r>
      <w:r w:rsidRPr="00E3331A">
        <w:t xml:space="preserve"> IVIg </w:t>
      </w:r>
      <w:r w:rsidRPr="00E3331A">
        <w:rPr>
          <w:noProof/>
        </w:rPr>
        <w:t>are</w:t>
      </w:r>
      <w:r w:rsidRPr="00E3331A">
        <w:t xml:space="preserve"> recommended in Australia as </w:t>
      </w:r>
      <w:r w:rsidRPr="00E3331A">
        <w:rPr>
          <w:noProof/>
        </w:rPr>
        <w:t>first-line</w:t>
      </w:r>
      <w:r w:rsidRPr="00E3331A">
        <w:t xml:space="preserve"> treatment options for patients with moderate to severe disability (except for pure motor CIDP</w:t>
      </w:r>
      <w:r w:rsidR="00735893" w:rsidRPr="00E3331A">
        <w:t>,</w:t>
      </w:r>
      <w:r w:rsidRPr="00E3331A">
        <w:t xml:space="preserve"> where only IVIg </w:t>
      </w:r>
      <w:r w:rsidRPr="00E3331A">
        <w:rPr>
          <w:noProof/>
        </w:rPr>
        <w:t>is recommended</w:t>
      </w:r>
      <w:r w:rsidRPr="00E3331A">
        <w:t>)</w:t>
      </w:r>
      <w:r w:rsidR="00735893" w:rsidRPr="00E3331A">
        <w:t>.</w:t>
      </w:r>
      <w:r w:rsidRPr="00E3331A">
        <w:t xml:space="preserve"> Participating patients in key trials had varying degrees of steroid resistance. Optimal treatment varies for resistant and non-resistant sub-groups, whereas trial results have been typically presented for comparator groups as a whole.</w:t>
      </w:r>
      <w:r w:rsidR="00345C95" w:rsidRPr="00E3331A">
        <w:t xml:space="preserve"> </w:t>
      </w:r>
      <w:r w:rsidRPr="00E3331A">
        <w:t>This issue, and its impact on economic model results, is discussed in Section D sensitivity analyses</w:t>
      </w:r>
      <w:r w:rsidR="00735893" w:rsidRPr="00E3331A">
        <w:t>.</w:t>
      </w:r>
    </w:p>
    <w:p w:rsidR="001F5B33" w:rsidRPr="00E3331A" w:rsidRDefault="001F5B33" w:rsidP="00BB6E4C">
      <w:pPr>
        <w:pStyle w:val="BodyTextSTD"/>
      </w:pPr>
      <w:r w:rsidRPr="00E3331A">
        <w:t xml:space="preserve">The allowable IVIg dose ranges are outlined in </w:t>
      </w:r>
      <w:r w:rsidR="00F64AD0" w:rsidRPr="00E3331A">
        <w:t xml:space="preserve">Version 3 of </w:t>
      </w:r>
      <w:r w:rsidR="00F64AD0" w:rsidRPr="00E3331A">
        <w:rPr>
          <w:i/>
        </w:rPr>
        <w:t>‘the Criteria’</w:t>
      </w:r>
      <w:r w:rsidR="00735893" w:rsidRPr="00E3331A">
        <w:t xml:space="preserve"> </w:t>
      </w:r>
      <w:r w:rsidRPr="00E3331A">
        <w:t xml:space="preserve">Ig use </w:t>
      </w:r>
      <w:r w:rsidR="00735893" w:rsidRPr="00E3331A">
        <w:t xml:space="preserve">in Australia </w:t>
      </w:r>
      <w:r w:rsidRPr="00E3331A">
        <w:t xml:space="preserve">for both patients commencing initial Ig treatment and </w:t>
      </w:r>
      <w:r w:rsidR="00735893" w:rsidRPr="00E3331A">
        <w:t xml:space="preserve">those </w:t>
      </w:r>
      <w:r w:rsidRPr="00E3331A">
        <w:t xml:space="preserve">who have relapsed within six months of a trial </w:t>
      </w:r>
      <w:r w:rsidRPr="00E3331A">
        <w:rPr>
          <w:noProof/>
        </w:rPr>
        <w:t>off</w:t>
      </w:r>
      <w:r w:rsidRPr="00E3331A">
        <w:t xml:space="preserve"> therapy. This includes an induction dose</w:t>
      </w:r>
      <w:r w:rsidR="00735893" w:rsidRPr="00E3331A">
        <w:t xml:space="preserve"> of</w:t>
      </w:r>
      <w:r w:rsidRPr="00E3331A">
        <w:t xml:space="preserve"> 2g/kg in 2 to 5 divided doses and </w:t>
      </w:r>
      <w:r w:rsidR="00735893" w:rsidRPr="00E3331A">
        <w:t xml:space="preserve">a </w:t>
      </w:r>
      <w:r w:rsidRPr="00E3331A">
        <w:t>maintenance dose of up to 0.4</w:t>
      </w:r>
      <w:r w:rsidR="00735893" w:rsidRPr="00E3331A">
        <w:t>-</w:t>
      </w:r>
      <w:r w:rsidRPr="00E3331A">
        <w:t xml:space="preserve">1g/kg once every 2 to 6 weeks. A maximum dose of 2g/kg may be given in any 4-week period. The </w:t>
      </w:r>
      <w:r w:rsidR="00EE2429" w:rsidRPr="00E3331A">
        <w:t>NBA</w:t>
      </w:r>
      <w:r w:rsidRPr="00E3331A">
        <w:t xml:space="preserve"> report on the </w:t>
      </w:r>
      <w:r w:rsidR="00735893" w:rsidRPr="00E3331A">
        <w:t>i</w:t>
      </w:r>
      <w:r w:rsidRPr="00E3331A">
        <w:t xml:space="preserve">ssue </w:t>
      </w:r>
      <w:r w:rsidRPr="00E3331A">
        <w:rPr>
          <w:noProof/>
        </w:rPr>
        <w:t>and</w:t>
      </w:r>
      <w:r w:rsidRPr="00E3331A">
        <w:t xml:space="preserve"> </w:t>
      </w:r>
      <w:r w:rsidR="00735893" w:rsidRPr="00E3331A">
        <w:t>u</w:t>
      </w:r>
      <w:r w:rsidRPr="00E3331A">
        <w:t xml:space="preserve">se of Ig </w:t>
      </w:r>
      <w:r w:rsidR="00735893" w:rsidRPr="00E3331A">
        <w:t>(</w:t>
      </w:r>
      <w:r w:rsidRPr="00E3331A">
        <w:t>Annual Report 2015-16</w:t>
      </w:r>
      <w:r w:rsidR="00735893" w:rsidRPr="00E3331A">
        <w:t>)</w:t>
      </w:r>
      <w:r w:rsidRPr="00E3331A">
        <w:t xml:space="preserve"> outlines the number of CIDP patients receiving IVIg therapy in Australia. The total number of patients has increased from 1,551 in 2011-12</w:t>
      </w:r>
      <w:r w:rsidR="00735893" w:rsidRPr="00E3331A">
        <w:t xml:space="preserve"> to</w:t>
      </w:r>
      <w:r w:rsidR="00180C91" w:rsidRPr="00E3331A">
        <w:t xml:space="preserve"> </w:t>
      </w:r>
      <w:r w:rsidRPr="00E3331A">
        <w:t>2,250 in 2015-16</w:t>
      </w:r>
      <w:r w:rsidR="00180C91" w:rsidRPr="00E3331A">
        <w:t xml:space="preserve"> and 2,595 in 2017-18.</w:t>
      </w:r>
    </w:p>
    <w:p w:rsidR="00D87266" w:rsidRPr="00E3331A" w:rsidRDefault="001F5B33">
      <w:pPr>
        <w:pStyle w:val="BodyTextSTD"/>
      </w:pPr>
      <w:r w:rsidRPr="00E3331A">
        <w:t xml:space="preserve">Average Ig use per Australian CIDP patient has increased from 437g to </w:t>
      </w:r>
      <w:r w:rsidR="00180C91" w:rsidRPr="00E3331A">
        <w:t xml:space="preserve">497g </w:t>
      </w:r>
      <w:r w:rsidRPr="00E3331A">
        <w:t xml:space="preserve">over this period. This dose is lower than that </w:t>
      </w:r>
      <w:r w:rsidR="00735893" w:rsidRPr="00E3331A">
        <w:t>of</w:t>
      </w:r>
      <w:r w:rsidRPr="00E3331A">
        <w:t xml:space="preserve"> the economic study of Blackhouse </w:t>
      </w:r>
      <w:r w:rsidR="00983BA7">
        <w:t xml:space="preserve">et al. </w:t>
      </w:r>
      <w:r w:rsidRPr="00E3331A">
        <w:t>2010 in Canada (around 1,447 g</w:t>
      </w:r>
      <w:r w:rsidRPr="00E3331A">
        <w:rPr>
          <w:rStyle w:val="FootnoteReference"/>
        </w:rPr>
        <w:footnoteReference w:id="24"/>
      </w:r>
      <w:r w:rsidRPr="00E3331A">
        <w:t xml:space="preserve"> in </w:t>
      </w:r>
      <w:r w:rsidR="00735893" w:rsidRPr="00E3331A">
        <w:t xml:space="preserve">the </w:t>
      </w:r>
      <w:r w:rsidRPr="00E3331A">
        <w:t xml:space="preserve">first year) and </w:t>
      </w:r>
      <w:r w:rsidR="00735893" w:rsidRPr="00E3331A">
        <w:t xml:space="preserve">those of the </w:t>
      </w:r>
      <w:r w:rsidRPr="00E3331A">
        <w:t>Italian SCIg ver</w:t>
      </w:r>
      <w:r w:rsidR="00735893" w:rsidRPr="00E3331A">
        <w:t>sus</w:t>
      </w:r>
      <w:r w:rsidRPr="00E3331A">
        <w:t xml:space="preserve"> IVIg comparisons of Cocito (2012) </w:t>
      </w:r>
      <w:r w:rsidR="00735893" w:rsidRPr="00E3331A">
        <w:t>(</w:t>
      </w:r>
      <w:r w:rsidRPr="00E3331A">
        <w:t>annual Ig dose of 840g per year</w:t>
      </w:r>
      <w:r w:rsidR="00735893" w:rsidRPr="00E3331A">
        <w:t>)</w:t>
      </w:r>
      <w:r w:rsidRPr="00E3331A">
        <w:t xml:space="preserve">, and Lazzaro </w:t>
      </w:r>
      <w:r w:rsidR="00983BA7">
        <w:t xml:space="preserve">et al. </w:t>
      </w:r>
      <w:r w:rsidRPr="00E3331A">
        <w:t xml:space="preserve">(2014) </w:t>
      </w:r>
      <w:r w:rsidR="00735893" w:rsidRPr="00E3331A">
        <w:t>(</w:t>
      </w:r>
      <w:r w:rsidRPr="00E3331A">
        <w:t>960g per year</w:t>
      </w:r>
      <w:r w:rsidR="00735893" w:rsidRPr="00E3331A">
        <w:t>).</w:t>
      </w:r>
      <w:r w:rsidRPr="00E3331A">
        <w:t xml:space="preserve"> </w:t>
      </w:r>
      <w:r w:rsidR="00B94A53" w:rsidRPr="00E3331A">
        <w:t>The</w:t>
      </w:r>
      <w:r w:rsidR="005F6F8B" w:rsidRPr="00E3331A">
        <w:t>se</w:t>
      </w:r>
      <w:r w:rsidR="00B94A53" w:rsidRPr="00E3331A">
        <w:t xml:space="preserve"> economic models were developed for ch</w:t>
      </w:r>
      <w:r w:rsidR="005F6F8B" w:rsidRPr="00E3331A">
        <w:t>ro</w:t>
      </w:r>
      <w:r w:rsidR="00B94A53" w:rsidRPr="00E3331A">
        <w:t>nic CIDP patients assumed to rec</w:t>
      </w:r>
      <w:r w:rsidR="00180C91" w:rsidRPr="00E3331A">
        <w:t>e</w:t>
      </w:r>
      <w:r w:rsidR="00B94A53" w:rsidRPr="00E3331A">
        <w:t xml:space="preserve">ive Ig over the entire year. </w:t>
      </w:r>
      <w:r w:rsidRPr="00E3331A">
        <w:t xml:space="preserve">The lower average Ig </w:t>
      </w:r>
      <w:r w:rsidR="00180C91" w:rsidRPr="00E3331A">
        <w:t xml:space="preserve">use per patient </w:t>
      </w:r>
      <w:r w:rsidR="00B94A53" w:rsidRPr="00E3331A">
        <w:t xml:space="preserve">in Australia is partly a result of total Ig use being averaged across chronic, </w:t>
      </w:r>
      <w:r w:rsidRPr="00E3331A">
        <w:t>monophasic and relapse-remission patients</w:t>
      </w:r>
      <w:r w:rsidR="005F6F8B" w:rsidRPr="00E3331A">
        <w:t xml:space="preserve"> that </w:t>
      </w:r>
      <w:r w:rsidR="00180C91" w:rsidRPr="00E3331A">
        <w:t xml:space="preserve">would not </w:t>
      </w:r>
      <w:r w:rsidR="005F6F8B" w:rsidRPr="00E3331A">
        <w:t xml:space="preserve">all </w:t>
      </w:r>
      <w:r w:rsidR="00180C91" w:rsidRPr="00E3331A">
        <w:t xml:space="preserve">utilise Ig for the entire year. </w:t>
      </w:r>
      <w:r w:rsidR="004442B0" w:rsidRPr="00E3331A">
        <w:t xml:space="preserve">Other factors such as more appropriate care as a consequence of the national Ig </w:t>
      </w:r>
      <w:r w:rsidR="008F7F79" w:rsidRPr="00E3331A">
        <w:t>c</w:t>
      </w:r>
      <w:r w:rsidR="004442B0" w:rsidRPr="00E3331A">
        <w:t xml:space="preserve">riteria could also contribute to lower use per CIDP patient per year. </w:t>
      </w:r>
      <w:r w:rsidR="0081243F" w:rsidRPr="00E3331A">
        <w:t>Using</w:t>
      </w:r>
      <w:r w:rsidR="00EE1AFD" w:rsidRPr="00E3331A">
        <w:t xml:space="preserve"> a trial mainten</w:t>
      </w:r>
      <w:r w:rsidR="00E810A5">
        <w:t>an</w:t>
      </w:r>
      <w:r w:rsidR="00EE1AFD" w:rsidRPr="00E3331A">
        <w:t xml:space="preserve">ce dose (based on Hughes </w:t>
      </w:r>
      <w:r w:rsidR="00983BA7">
        <w:t xml:space="preserve">et al. </w:t>
      </w:r>
      <w:r w:rsidR="00EE1AFD" w:rsidRPr="00E3331A">
        <w:t>2008) of 17.33g/kg per year (1g/kg every 3 weeks)</w:t>
      </w:r>
      <w:r w:rsidR="007907E2" w:rsidRPr="00E3331A">
        <w:t xml:space="preserve"> </w:t>
      </w:r>
      <w:r w:rsidR="008F7F79" w:rsidRPr="00E3331A">
        <w:t xml:space="preserve">equates </w:t>
      </w:r>
      <w:r w:rsidR="00EE1AFD" w:rsidRPr="00E3331A">
        <w:t>to 1,430</w:t>
      </w:r>
      <w:r w:rsidR="008F7F79" w:rsidRPr="00E3331A">
        <w:t>g</w:t>
      </w:r>
      <w:r w:rsidR="00EE1AFD" w:rsidRPr="00E3331A">
        <w:t xml:space="preserve"> </w:t>
      </w:r>
      <w:r w:rsidR="0081243F" w:rsidRPr="00E3331A">
        <w:t xml:space="preserve">Ig usage per patient per year based on the average patient weight of </w:t>
      </w:r>
      <w:r w:rsidR="00EE1AFD" w:rsidRPr="00E3331A">
        <w:t xml:space="preserve">82.5kg reported for Australian </w:t>
      </w:r>
      <w:r w:rsidR="00AB7B11">
        <w:t>CIDP</w:t>
      </w:r>
      <w:r w:rsidR="00EE1AFD" w:rsidRPr="00E3331A">
        <w:t xml:space="preserve"> patients by the NBA</w:t>
      </w:r>
      <w:r w:rsidR="0081243F" w:rsidRPr="00E3331A">
        <w:t>. This usage estimate was</w:t>
      </w:r>
      <w:r w:rsidR="002A2247" w:rsidRPr="00E3331A">
        <w:t xml:space="preserve"> included in the trial and extrapolated analyses to examine the sensitivity o</w:t>
      </w:r>
      <w:r w:rsidR="00EF16C0" w:rsidRPr="00E3331A">
        <w:t>f</w:t>
      </w:r>
      <w:r w:rsidR="002A2247" w:rsidRPr="00E3331A">
        <w:t xml:space="preserve"> estimated ICER to </w:t>
      </w:r>
      <w:r w:rsidR="00180C91" w:rsidRPr="00E3331A">
        <w:t>the dosing</w:t>
      </w:r>
      <w:r w:rsidR="002A2247" w:rsidRPr="00E3331A">
        <w:t xml:space="preserve"> assumption.</w:t>
      </w:r>
      <w:r w:rsidR="00EF16C0" w:rsidRPr="00E3331A">
        <w:t xml:space="preserve"> The higher volume of Ig per year is in line with the trial of Hughes </w:t>
      </w:r>
      <w:r w:rsidR="00983BA7">
        <w:t xml:space="preserve">et al. </w:t>
      </w:r>
      <w:r w:rsidR="00EF16C0" w:rsidRPr="00E3331A">
        <w:t>2008, where patients received 18.33g/kg/year in the first year (loading 2g/kg over 2-4 days, 1 g/kg over 1-2 days every 3 weeks) and 17.33g/year in following years.</w:t>
      </w:r>
    </w:p>
    <w:p w:rsidR="001F5B33" w:rsidRPr="00E3331A" w:rsidRDefault="001F5B33">
      <w:pPr>
        <w:pStyle w:val="BodyTextSTD"/>
      </w:pPr>
      <w:r w:rsidRPr="00E3331A">
        <w:lastRenderedPageBreak/>
        <w:t xml:space="preserve">The Hughes </w:t>
      </w:r>
      <w:r w:rsidR="00983BA7">
        <w:t xml:space="preserve">et al. </w:t>
      </w:r>
      <w:r w:rsidRPr="00E3331A">
        <w:t xml:space="preserve">(2008) ICE study was a response-conditional crossover trial </w:t>
      </w:r>
      <w:r w:rsidR="008F7F79" w:rsidRPr="00E3331A">
        <w:t xml:space="preserve">that </w:t>
      </w:r>
      <w:r w:rsidRPr="00E3331A">
        <w:t xml:space="preserve">used IV Ig or placebo every </w:t>
      </w:r>
      <w:r w:rsidR="008F7F79" w:rsidRPr="00E3331A">
        <w:t>three</w:t>
      </w:r>
      <w:r w:rsidRPr="00E3331A">
        <w:t xml:space="preserve"> weeks for up to 24 weeks in an initial treatment period. Patients received a baseline loading dose of 2g/kg over 2–4 days </w:t>
      </w:r>
      <w:r w:rsidR="008F7F79" w:rsidRPr="00E3331A">
        <w:t>followed by</w:t>
      </w:r>
      <w:r w:rsidRPr="00E3331A">
        <w:t xml:space="preserve"> a maintenance infusion of 1g/kg over 1–2 days every 3 weeks for up to 24 weeks. Patients who show</w:t>
      </w:r>
      <w:r w:rsidR="008F7F79" w:rsidRPr="00E3331A">
        <w:t>ed</w:t>
      </w:r>
      <w:r w:rsidRPr="00E3331A">
        <w:t xml:space="preserve"> </w:t>
      </w:r>
      <w:r w:rsidR="008F7F79" w:rsidRPr="00E3331A">
        <w:t xml:space="preserve">no </w:t>
      </w:r>
      <w:r w:rsidRPr="00E3331A">
        <w:t>improvement in INCAT disability score of 1 point or more received the alternate treatment in a crossover period. (ibid, p. 137)</w:t>
      </w:r>
      <w:r w:rsidR="00983BA7">
        <w:t xml:space="preserve"> </w:t>
      </w:r>
      <w:r w:rsidR="00B85C75">
        <w:rPr>
          <w:noProof/>
        </w:rPr>
        <w:t>(Hughes et al. 2008)</w:t>
      </w:r>
      <w:r w:rsidR="00983BA7">
        <w:t>.</w:t>
      </w:r>
      <w:r w:rsidRPr="00E3331A">
        <w:t xml:space="preserve"> Nobile-Orazio </w:t>
      </w:r>
      <w:r w:rsidR="00983BA7">
        <w:t xml:space="preserve">et al. </w:t>
      </w:r>
      <w:r w:rsidRPr="00E3331A">
        <w:t xml:space="preserve">(2012) provided IVIg at a daily dose of 0·5g/kg for </w:t>
      </w:r>
      <w:r w:rsidR="00591599" w:rsidRPr="00E3331A">
        <w:t>four</w:t>
      </w:r>
      <w:r w:rsidRPr="00E3331A">
        <w:t xml:space="preserve"> consecutive days and </w:t>
      </w:r>
      <w:r w:rsidR="008F7F79" w:rsidRPr="00E3331A">
        <w:t xml:space="preserve">IV </w:t>
      </w:r>
      <w:r w:rsidRPr="00E3331A">
        <w:t xml:space="preserve">steroid placebo or daily </w:t>
      </w:r>
      <w:r w:rsidR="008F7F79" w:rsidRPr="00E3331A">
        <w:t xml:space="preserve">IV </w:t>
      </w:r>
      <w:r w:rsidRPr="00E3331A">
        <w:t xml:space="preserve">methylprednisolone </w:t>
      </w:r>
      <w:r w:rsidR="008F7F79" w:rsidRPr="00E3331A">
        <w:t>(</w:t>
      </w:r>
      <w:r w:rsidRPr="00E3331A">
        <w:t>0·5g in 250 mL of sodium chloride solution</w:t>
      </w:r>
      <w:r w:rsidR="008F7F79" w:rsidRPr="00E3331A">
        <w:t>)</w:t>
      </w:r>
      <w:r w:rsidRPr="00E3331A">
        <w:t xml:space="preserve"> for </w:t>
      </w:r>
      <w:r w:rsidR="00591599" w:rsidRPr="00E3331A">
        <w:t>four</w:t>
      </w:r>
      <w:r w:rsidRPr="00E3331A">
        <w:t xml:space="preserve"> consecutive days</w:t>
      </w:r>
      <w:r w:rsidR="008F7F79" w:rsidRPr="00E3331A">
        <w:t xml:space="preserve"> </w:t>
      </w:r>
      <w:r w:rsidR="00B85C75">
        <w:rPr>
          <w:noProof/>
        </w:rPr>
        <w:t>(Nobile-Orazio et al. 2012a)</w:t>
      </w:r>
      <w:r w:rsidR="008F7F79" w:rsidRPr="00E3331A">
        <w:t>.</w:t>
      </w:r>
      <w:r w:rsidRPr="00E3331A">
        <w:t xml:space="preserve"> Each patient was treated every 28 days (within 3 days) for </w:t>
      </w:r>
      <w:r w:rsidR="008F7F79" w:rsidRPr="00E3331A">
        <w:t xml:space="preserve">six </w:t>
      </w:r>
      <w:r w:rsidRPr="00E3331A">
        <w:t>months</w:t>
      </w:r>
      <w:r w:rsidR="008F7F79" w:rsidRPr="00E3331A">
        <w:t>,</w:t>
      </w:r>
      <w:r w:rsidRPr="00E3331A">
        <w:t xml:space="preserve"> </w:t>
      </w:r>
      <w:r w:rsidR="008F7F79" w:rsidRPr="00E3331A">
        <w:t>a</w:t>
      </w:r>
      <w:r w:rsidRPr="00E3331A">
        <w:t xml:space="preserve">fter </w:t>
      </w:r>
      <w:r w:rsidR="008F7F79" w:rsidRPr="00E3331A">
        <w:t>which</w:t>
      </w:r>
      <w:r w:rsidRPr="00E3331A">
        <w:t xml:space="preserve">, therapy was </w:t>
      </w:r>
      <w:r w:rsidR="00D77378" w:rsidRPr="00E3331A">
        <w:t>discontinued</w:t>
      </w:r>
      <w:r w:rsidRPr="00E3331A">
        <w:t xml:space="preserve"> and patients followed</w:t>
      </w:r>
      <w:r w:rsidR="000C0E99">
        <w:t>-</w:t>
      </w:r>
      <w:r w:rsidRPr="00E3331A">
        <w:t xml:space="preserve">up for a further </w:t>
      </w:r>
      <w:r w:rsidR="008F7F79" w:rsidRPr="00E3331A">
        <w:t xml:space="preserve">six </w:t>
      </w:r>
      <w:r w:rsidRPr="00E3331A">
        <w:t xml:space="preserve">months for deterioration (ibid, p. 494). </w:t>
      </w:r>
    </w:p>
    <w:p w:rsidR="001F5B33" w:rsidRPr="00E3331A" w:rsidRDefault="001F5B33" w:rsidP="00BB6E4C">
      <w:pPr>
        <w:pStyle w:val="BodyTextSTD"/>
      </w:pPr>
      <w:r w:rsidRPr="00E3331A">
        <w:t xml:space="preserve">Australian Ig guidelines provide recommendations for usage, and trials fall within these dosage allowances. Average use in Australia varies by CIDP type, and it is difficult to ascertain dosage per year for chronic, relapse and monophasic patients. Trials have included these patient </w:t>
      </w:r>
      <w:r w:rsidR="00E810A5" w:rsidRPr="00E3331A">
        <w:t>sub</w:t>
      </w:r>
      <w:r w:rsidR="00E810A5">
        <w:t>types</w:t>
      </w:r>
      <w:r w:rsidR="00E810A5" w:rsidRPr="00E3331A">
        <w:t>;</w:t>
      </w:r>
      <w:r w:rsidRPr="00E3331A">
        <w:t xml:space="preserve"> however, longer</w:t>
      </w:r>
      <w:r w:rsidR="008F7F79" w:rsidRPr="00E3331A">
        <w:t>-</w:t>
      </w:r>
      <w:r w:rsidRPr="00E3331A">
        <w:t xml:space="preserve">term dosage is not specified as most trials cease before </w:t>
      </w:r>
      <w:r w:rsidR="008F7F79" w:rsidRPr="00E3331A">
        <w:t>one</w:t>
      </w:r>
      <w:r w:rsidRPr="00E3331A">
        <w:t xml:space="preserve"> year of follow-up.</w:t>
      </w:r>
    </w:p>
    <w:p w:rsidR="001F5B33" w:rsidRPr="00E3331A" w:rsidRDefault="001F5B33" w:rsidP="00C84382">
      <w:pPr>
        <w:pStyle w:val="Heading4"/>
      </w:pPr>
      <w:r w:rsidRPr="00E3331A">
        <w:t xml:space="preserve">Setting and </w:t>
      </w:r>
      <w:r w:rsidR="005767C6" w:rsidRPr="00E3331A">
        <w:t>c</w:t>
      </w:r>
      <w:r w:rsidRPr="00E3331A">
        <w:t>omparator</w:t>
      </w:r>
    </w:p>
    <w:p w:rsidR="001F5B33" w:rsidRPr="00E3331A" w:rsidRDefault="001F5B33" w:rsidP="00BB6E4C">
      <w:pPr>
        <w:pStyle w:val="BodyTextSTD"/>
      </w:pPr>
      <w:r w:rsidRPr="00E3331A">
        <w:rPr>
          <w:noProof/>
        </w:rPr>
        <w:t xml:space="preserve">Hughes </w:t>
      </w:r>
      <w:r w:rsidR="00983BA7">
        <w:rPr>
          <w:noProof/>
        </w:rPr>
        <w:t xml:space="preserve">et al. </w:t>
      </w:r>
      <w:r w:rsidRPr="00E3331A">
        <w:rPr>
          <w:noProof/>
        </w:rPr>
        <w:t>(2001, 2008) sourced patients from European treatment cent</w:t>
      </w:r>
      <w:r w:rsidR="00591599" w:rsidRPr="00E3331A">
        <w:rPr>
          <w:noProof/>
        </w:rPr>
        <w:t>re</w:t>
      </w:r>
      <w:r w:rsidRPr="00E3331A">
        <w:rPr>
          <w:noProof/>
        </w:rPr>
        <w:t>s (UK, Belgium, Italy, Spain, the Netherlands, Greece and Czech Republic) between July 1998 and November 1999</w:t>
      </w:r>
      <w:r w:rsidR="008F7F79" w:rsidRPr="00E3331A">
        <w:rPr>
          <w:noProof/>
        </w:rPr>
        <w:t xml:space="preserve"> </w:t>
      </w:r>
      <w:r w:rsidR="00B85C75">
        <w:rPr>
          <w:noProof/>
        </w:rPr>
        <w:t>(Hughes et al. 2001; Hughes et al. 2008)</w:t>
      </w:r>
      <w:r w:rsidR="00130F53">
        <w:rPr>
          <w:noProof/>
        </w:rPr>
        <w:t>.</w:t>
      </w:r>
      <w:r w:rsidR="008F7F79" w:rsidRPr="00E3331A">
        <w:rPr>
          <w:noProof/>
        </w:rPr>
        <w:t xml:space="preserve"> In Australia</w:t>
      </w:r>
      <w:r w:rsidR="00675ACF" w:rsidRPr="00E3331A">
        <w:rPr>
          <w:noProof/>
        </w:rPr>
        <w:t>,</w:t>
      </w:r>
      <w:r w:rsidR="008F7F79" w:rsidRPr="00E3331A">
        <w:rPr>
          <w:noProof/>
        </w:rPr>
        <w:t xml:space="preserve"> </w:t>
      </w:r>
      <w:r w:rsidR="00675ACF" w:rsidRPr="00E3331A">
        <w:rPr>
          <w:noProof/>
        </w:rPr>
        <w:t>t</w:t>
      </w:r>
      <w:r w:rsidRPr="00E3331A">
        <w:rPr>
          <w:noProof/>
        </w:rPr>
        <w:t xml:space="preserve">he infusion of IVIg is undertaken </w:t>
      </w:r>
      <w:r w:rsidR="00675ACF" w:rsidRPr="00E3331A">
        <w:rPr>
          <w:noProof/>
        </w:rPr>
        <w:t>at</w:t>
      </w:r>
      <w:r w:rsidRPr="00E3331A">
        <w:rPr>
          <w:noProof/>
        </w:rPr>
        <w:t xml:space="preserve"> hospitals </w:t>
      </w:r>
      <w:r w:rsidR="00675ACF" w:rsidRPr="00E3331A">
        <w:rPr>
          <w:noProof/>
        </w:rPr>
        <w:t>for</w:t>
      </w:r>
      <w:r w:rsidRPr="00E3331A">
        <w:rPr>
          <w:noProof/>
        </w:rPr>
        <w:t xml:space="preserve"> inpatients, </w:t>
      </w:r>
      <w:r w:rsidR="00675ACF" w:rsidRPr="00E3331A">
        <w:rPr>
          <w:noProof/>
        </w:rPr>
        <w:t xml:space="preserve">at </w:t>
      </w:r>
      <w:r w:rsidRPr="00E3331A">
        <w:rPr>
          <w:noProof/>
        </w:rPr>
        <w:t xml:space="preserve">outpatient clinics and </w:t>
      </w:r>
      <w:r w:rsidR="00675ACF" w:rsidRPr="00E3331A">
        <w:rPr>
          <w:noProof/>
        </w:rPr>
        <w:t xml:space="preserve">at </w:t>
      </w:r>
      <w:r w:rsidRPr="00E3331A">
        <w:rPr>
          <w:noProof/>
        </w:rPr>
        <w:t xml:space="preserve">private same-day infusion facilities. </w:t>
      </w:r>
      <w:r w:rsidRPr="00E3331A">
        <w:t xml:space="preserve">Expert opinion in the PICO indicated </w:t>
      </w:r>
      <w:r w:rsidR="00675ACF" w:rsidRPr="00E3331A">
        <w:t xml:space="preserve">that </w:t>
      </w:r>
      <w:r w:rsidRPr="00E3331A">
        <w:t>the most common setting for IVIg delivery is the public outpatient setting</w:t>
      </w:r>
      <w:r w:rsidR="00675ACF" w:rsidRPr="00E3331A">
        <w:t>, although</w:t>
      </w:r>
      <w:r w:rsidRPr="00E3331A">
        <w:t xml:space="preserve"> it was noted that patients are commonly admitted as a ‘same-day’ patient (i.e. inpatient). Care of a CIDP patient is primarily managed by a neurologist. </w:t>
      </w:r>
    </w:p>
    <w:p w:rsidR="001F5B33" w:rsidRPr="00E3331A" w:rsidRDefault="001F5B33" w:rsidP="00BB6E4C">
      <w:pPr>
        <w:pStyle w:val="BodyTextSTD"/>
        <w:rPr>
          <w:noProof/>
        </w:rPr>
      </w:pPr>
      <w:r w:rsidRPr="00E3331A">
        <w:t xml:space="preserve">Corticosteroids are </w:t>
      </w:r>
      <w:r w:rsidRPr="00E3331A">
        <w:rPr>
          <w:noProof/>
        </w:rPr>
        <w:t>a first-line</w:t>
      </w:r>
      <w:r w:rsidRPr="00E3331A">
        <w:t xml:space="preserve"> treatment for CIDP and the PICO noted that 50</w:t>
      </w:r>
      <w:r w:rsidR="00675ACF" w:rsidRPr="00E3331A">
        <w:t>%</w:t>
      </w:r>
      <w:r w:rsidRPr="00E3331A">
        <w:t xml:space="preserve"> of Australian patients not receiving Ig therapy will receive corticosteroids. Four </w:t>
      </w:r>
      <w:r w:rsidR="00675ACF" w:rsidRPr="00E3331A">
        <w:t xml:space="preserve">PBS-listed </w:t>
      </w:r>
      <w:r w:rsidRPr="00E3331A">
        <w:t>glucocorticoids</w:t>
      </w:r>
      <w:r w:rsidR="00675ACF" w:rsidRPr="00E3331A">
        <w:t xml:space="preserve"> </w:t>
      </w:r>
      <w:r w:rsidRPr="00E3331A">
        <w:rPr>
          <w:noProof/>
        </w:rPr>
        <w:t xml:space="preserve">are used </w:t>
      </w:r>
      <w:r w:rsidRPr="00E3331A">
        <w:t>in Australia</w:t>
      </w:r>
      <w:r w:rsidR="00675ACF" w:rsidRPr="00E3331A">
        <w:t xml:space="preserve"> (prednisone, prednisolone, dexamethasone </w:t>
      </w:r>
      <w:r w:rsidR="00675ACF" w:rsidRPr="00E3331A">
        <w:rPr>
          <w:noProof/>
        </w:rPr>
        <w:t>and</w:t>
      </w:r>
      <w:r w:rsidR="00675ACF" w:rsidRPr="00E3331A">
        <w:t xml:space="preserve"> methylprednisolone) but t</w:t>
      </w:r>
      <w:r w:rsidRPr="00E3331A">
        <w:t xml:space="preserve">here is </w:t>
      </w:r>
      <w:r w:rsidR="00675ACF" w:rsidRPr="00E3331A">
        <w:t>no</w:t>
      </w:r>
      <w:r w:rsidRPr="00E3331A">
        <w:t xml:space="preserve"> consensus </w:t>
      </w:r>
      <w:r w:rsidR="00675ACF" w:rsidRPr="00E3331A">
        <w:t xml:space="preserve">on </w:t>
      </w:r>
      <w:r w:rsidRPr="00E3331A">
        <w:t>the optimum dosing regimen.</w:t>
      </w:r>
      <w:r w:rsidR="00345C95" w:rsidRPr="00E3331A">
        <w:t xml:space="preserve"> </w:t>
      </w:r>
      <w:r w:rsidRPr="00E3331A">
        <w:t xml:space="preserve">Key trials </w:t>
      </w:r>
      <w:r w:rsidR="004528A8" w:rsidRPr="00E3331A">
        <w:t xml:space="preserve">use </w:t>
      </w:r>
      <w:r w:rsidRPr="00E3331A">
        <w:t xml:space="preserve">higher initial </w:t>
      </w:r>
      <w:r w:rsidR="00E810A5" w:rsidRPr="00E3331A">
        <w:t>dosing</w:t>
      </w:r>
      <w:r w:rsidRPr="00E3331A">
        <w:t xml:space="preserve"> </w:t>
      </w:r>
      <w:r w:rsidR="004528A8" w:rsidRPr="00E3331A">
        <w:t xml:space="preserve">that </w:t>
      </w:r>
      <w:r w:rsidRPr="00E3331A">
        <w:t>taper</w:t>
      </w:r>
      <w:r w:rsidR="00E810A5">
        <w:t>s</w:t>
      </w:r>
      <w:r w:rsidRPr="00E3331A">
        <w:t xml:space="preserve"> (</w:t>
      </w:r>
      <w:r w:rsidR="004528A8" w:rsidRPr="00E3331A">
        <w:t>s</w:t>
      </w:r>
      <w:r w:rsidRPr="00E3331A">
        <w:t xml:space="preserve">ee </w:t>
      </w:r>
      <w:r w:rsidR="006F35B9" w:rsidRPr="00E3331A">
        <w:t xml:space="preserve">Table </w:t>
      </w:r>
      <w:r w:rsidR="006F35B9">
        <w:rPr>
          <w:noProof/>
        </w:rPr>
        <w:t>45</w:t>
      </w:r>
      <w:r w:rsidRPr="00E3331A">
        <w:t>). This pattern is included in the economic model</w:t>
      </w:r>
      <w:r w:rsidR="004528A8" w:rsidRPr="00E3331A">
        <w:t>,</w:t>
      </w:r>
      <w:r w:rsidRPr="00E3331A">
        <w:t xml:space="preserve"> following the Canadian economic modelling study of Blackhouse </w:t>
      </w:r>
      <w:r w:rsidR="00983BA7">
        <w:t xml:space="preserve">et al. </w:t>
      </w:r>
      <w:r w:rsidRPr="00E3331A">
        <w:t>(2010)</w:t>
      </w:r>
      <w:r w:rsidRPr="00E3331A">
        <w:rPr>
          <w:noProof/>
        </w:rPr>
        <w:t>.</w:t>
      </w:r>
      <w:r w:rsidR="0081243F" w:rsidRPr="00E3331A">
        <w:rPr>
          <w:noProof/>
        </w:rPr>
        <w:t xml:space="preserve"> </w:t>
      </w:r>
    </w:p>
    <w:p w:rsidR="001F5B33" w:rsidRPr="00E3331A" w:rsidRDefault="001F5B33" w:rsidP="003E4E1F">
      <w:pPr>
        <w:pStyle w:val="Caption"/>
      </w:pPr>
      <w:bookmarkStart w:id="334" w:name="_Ref8730541"/>
      <w:bookmarkStart w:id="335" w:name="_Toc24103351"/>
      <w:r w:rsidRPr="00E3331A">
        <w:t xml:space="preserve">Table </w:t>
      </w:r>
      <w:r w:rsidR="006F35B9">
        <w:rPr>
          <w:noProof/>
        </w:rPr>
        <w:t>45</w:t>
      </w:r>
      <w:bookmarkEnd w:id="334"/>
      <w:r w:rsidR="004528A8" w:rsidRPr="00E3331A">
        <w:tab/>
      </w:r>
      <w:r w:rsidRPr="00E3331A">
        <w:t>Features of Corticosteroid trial or observational study patient populations</w:t>
      </w:r>
      <w:bookmarkEnd w:id="3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39"/>
        <w:gridCol w:w="1902"/>
        <w:gridCol w:w="1902"/>
        <w:gridCol w:w="1736"/>
      </w:tblGrid>
      <w:tr w:rsidR="00281EC2" w:rsidRPr="00E3331A" w:rsidTr="0007007F">
        <w:trPr>
          <w:tblHeader/>
        </w:trPr>
        <w:tc>
          <w:tcPr>
            <w:tcW w:w="963" w:type="pct"/>
            <w:vMerge w:val="restart"/>
            <w:shd w:val="clear" w:color="auto" w:fill="D9D9D9"/>
            <w:vAlign w:val="center"/>
          </w:tcPr>
          <w:p w:rsidR="001F5B33" w:rsidRPr="00E3331A" w:rsidRDefault="001F5B33" w:rsidP="0007007F">
            <w:pPr>
              <w:pStyle w:val="Tabletext1"/>
              <w:keepNext/>
              <w:jc w:val="both"/>
              <w:rPr>
                <w:rFonts w:eastAsia="Calibri"/>
                <w:b/>
                <w:lang w:eastAsia="en-US"/>
              </w:rPr>
            </w:pPr>
            <w:r w:rsidRPr="00E3331A">
              <w:rPr>
                <w:rFonts w:eastAsia="Calibri"/>
                <w:b/>
                <w:lang w:eastAsia="en-US"/>
              </w:rPr>
              <w:t>Study</w:t>
            </w:r>
          </w:p>
        </w:tc>
        <w:tc>
          <w:tcPr>
            <w:tcW w:w="964" w:type="pct"/>
            <w:vMerge w:val="restart"/>
            <w:shd w:val="clear" w:color="auto" w:fill="D9D9D9"/>
            <w:vAlign w:val="center"/>
          </w:tcPr>
          <w:p w:rsidR="001F5B33" w:rsidRPr="00E3331A" w:rsidRDefault="001F5B33" w:rsidP="0007007F">
            <w:pPr>
              <w:pStyle w:val="Tabletext1"/>
              <w:keepNext/>
              <w:jc w:val="both"/>
              <w:rPr>
                <w:rFonts w:eastAsia="Calibri"/>
                <w:b/>
                <w:lang w:eastAsia="en-US"/>
              </w:rPr>
            </w:pPr>
            <w:r w:rsidRPr="00E3331A">
              <w:rPr>
                <w:rFonts w:eastAsia="Calibri"/>
                <w:b/>
                <w:lang w:eastAsia="en-US"/>
              </w:rPr>
              <w:t>Inclusion</w:t>
            </w:r>
          </w:p>
        </w:tc>
        <w:tc>
          <w:tcPr>
            <w:tcW w:w="1055" w:type="pct"/>
            <w:vMerge w:val="restart"/>
            <w:shd w:val="clear" w:color="auto" w:fill="D9D9D9"/>
          </w:tcPr>
          <w:p w:rsidR="001F5B33" w:rsidRPr="00E3331A" w:rsidRDefault="001F5B33" w:rsidP="0007007F">
            <w:pPr>
              <w:pStyle w:val="TableHeading"/>
              <w:jc w:val="center"/>
              <w:rPr>
                <w:rFonts w:eastAsia="Calibri"/>
                <w:lang w:eastAsia="en-US"/>
              </w:rPr>
            </w:pPr>
            <w:r w:rsidRPr="00E3331A">
              <w:rPr>
                <w:rFonts w:eastAsia="Calibri"/>
                <w:lang w:eastAsia="en-US"/>
              </w:rPr>
              <w:t>Intervention and Comparator</w:t>
            </w:r>
          </w:p>
        </w:tc>
        <w:tc>
          <w:tcPr>
            <w:tcW w:w="2018" w:type="pct"/>
            <w:gridSpan w:val="2"/>
            <w:shd w:val="clear" w:color="auto" w:fill="D9D9D9"/>
            <w:vAlign w:val="center"/>
          </w:tcPr>
          <w:p w:rsidR="001F5B33" w:rsidRPr="00E3331A" w:rsidRDefault="001F5B33" w:rsidP="0007007F">
            <w:pPr>
              <w:pStyle w:val="TableHeading"/>
              <w:jc w:val="center"/>
              <w:rPr>
                <w:rFonts w:eastAsia="Calibri"/>
                <w:lang w:eastAsia="en-US"/>
              </w:rPr>
            </w:pPr>
            <w:r w:rsidRPr="00E3331A">
              <w:rPr>
                <w:rFonts w:eastAsia="Calibri"/>
                <w:lang w:eastAsia="en-US"/>
              </w:rPr>
              <w:t>Baseline</w:t>
            </w:r>
          </w:p>
        </w:tc>
      </w:tr>
      <w:tr w:rsidR="00281EC2" w:rsidRPr="00E3331A" w:rsidTr="0007007F">
        <w:trPr>
          <w:tblHeader/>
        </w:trPr>
        <w:tc>
          <w:tcPr>
            <w:tcW w:w="963" w:type="pct"/>
            <w:vMerge/>
            <w:shd w:val="clear" w:color="auto" w:fill="D9D9D9"/>
            <w:vAlign w:val="center"/>
          </w:tcPr>
          <w:p w:rsidR="001F5B33" w:rsidRPr="00E3331A" w:rsidRDefault="001F5B33" w:rsidP="0007007F">
            <w:pPr>
              <w:pStyle w:val="Tabletext1"/>
              <w:keepNext/>
              <w:jc w:val="both"/>
              <w:rPr>
                <w:rFonts w:eastAsia="Calibri"/>
                <w:b/>
                <w:lang w:eastAsia="en-US"/>
              </w:rPr>
            </w:pPr>
          </w:p>
        </w:tc>
        <w:tc>
          <w:tcPr>
            <w:tcW w:w="964" w:type="pct"/>
            <w:vMerge/>
            <w:shd w:val="clear" w:color="auto" w:fill="D9D9D9"/>
            <w:vAlign w:val="center"/>
          </w:tcPr>
          <w:p w:rsidR="001F5B33" w:rsidRPr="00E3331A" w:rsidRDefault="001F5B33" w:rsidP="0007007F">
            <w:pPr>
              <w:pStyle w:val="Tabletext1"/>
              <w:keepNext/>
              <w:jc w:val="both"/>
              <w:rPr>
                <w:rFonts w:eastAsia="Calibri"/>
                <w:b/>
                <w:lang w:eastAsia="en-US"/>
              </w:rPr>
            </w:pPr>
          </w:p>
        </w:tc>
        <w:tc>
          <w:tcPr>
            <w:tcW w:w="1055" w:type="pct"/>
            <w:vMerge/>
            <w:shd w:val="clear" w:color="auto" w:fill="D9D9D9"/>
          </w:tcPr>
          <w:p w:rsidR="001F5B33" w:rsidRPr="00E3331A" w:rsidRDefault="001F5B33" w:rsidP="0007007F">
            <w:pPr>
              <w:pStyle w:val="TableHeading"/>
              <w:jc w:val="center"/>
              <w:rPr>
                <w:rFonts w:eastAsia="Calibri"/>
                <w:lang w:eastAsia="en-US"/>
              </w:rPr>
            </w:pPr>
          </w:p>
        </w:tc>
        <w:tc>
          <w:tcPr>
            <w:tcW w:w="1055" w:type="pct"/>
            <w:shd w:val="clear" w:color="auto" w:fill="D9D9D9"/>
            <w:vAlign w:val="center"/>
          </w:tcPr>
          <w:p w:rsidR="001F5B33" w:rsidRPr="00E3331A" w:rsidRDefault="001F5B33" w:rsidP="0007007F">
            <w:pPr>
              <w:pStyle w:val="TableHeading"/>
              <w:jc w:val="center"/>
              <w:rPr>
                <w:rFonts w:eastAsia="Calibri"/>
                <w:lang w:eastAsia="en-US"/>
              </w:rPr>
            </w:pPr>
            <w:r w:rsidRPr="00E3331A">
              <w:rPr>
                <w:rFonts w:eastAsia="Calibri"/>
                <w:lang w:eastAsia="en-US"/>
              </w:rPr>
              <w:t>Patient Characteristic</w:t>
            </w:r>
          </w:p>
        </w:tc>
        <w:tc>
          <w:tcPr>
            <w:tcW w:w="963" w:type="pct"/>
            <w:shd w:val="clear" w:color="auto" w:fill="D9D9D9"/>
            <w:vAlign w:val="center"/>
          </w:tcPr>
          <w:p w:rsidR="001F5B33" w:rsidRPr="00E3331A" w:rsidRDefault="001F5B33" w:rsidP="0007007F">
            <w:pPr>
              <w:pStyle w:val="TableHeading"/>
              <w:jc w:val="center"/>
              <w:rPr>
                <w:rFonts w:eastAsia="Calibri"/>
                <w:lang w:eastAsia="en-US"/>
              </w:rPr>
            </w:pPr>
            <w:r w:rsidRPr="00E3331A">
              <w:rPr>
                <w:rFonts w:eastAsia="Calibri"/>
                <w:lang w:eastAsia="en-US"/>
              </w:rPr>
              <w:t xml:space="preserve">Disease </w:t>
            </w:r>
            <w:r w:rsidR="003D5FA7">
              <w:rPr>
                <w:rFonts w:eastAsia="Calibri"/>
                <w:lang w:eastAsia="en-US"/>
              </w:rPr>
              <w:t>C</w:t>
            </w:r>
            <w:r w:rsidRPr="00E3331A">
              <w:rPr>
                <w:rFonts w:eastAsia="Calibri"/>
                <w:lang w:eastAsia="en-US"/>
              </w:rPr>
              <w:t>haracteristic</w:t>
            </w:r>
          </w:p>
        </w:tc>
      </w:tr>
      <w:tr w:rsidR="00281EC2" w:rsidRPr="00E3331A" w:rsidTr="0007007F">
        <w:tc>
          <w:tcPr>
            <w:tcW w:w="963" w:type="pct"/>
            <w:shd w:val="clear" w:color="auto" w:fill="auto"/>
          </w:tcPr>
          <w:p w:rsidR="001F5B33" w:rsidRPr="00E3331A" w:rsidRDefault="001F5B33" w:rsidP="00493DDF">
            <w:pPr>
              <w:pStyle w:val="Tabletext1"/>
              <w:rPr>
                <w:rFonts w:eastAsia="Calibri"/>
                <w:u w:val="single"/>
                <w:lang w:eastAsia="en-US"/>
              </w:rPr>
            </w:pPr>
            <w:r w:rsidRPr="00E3331A">
              <w:rPr>
                <w:rFonts w:eastAsia="Calibri"/>
                <w:u w:val="single"/>
                <w:lang w:eastAsia="en-US"/>
              </w:rPr>
              <w:t>St (I) vs St (C)</w:t>
            </w:r>
          </w:p>
          <w:p w:rsidR="001F5B33" w:rsidRPr="00E3331A" w:rsidRDefault="001F5B33" w:rsidP="00493DDF">
            <w:pPr>
              <w:pStyle w:val="Tabletext1"/>
              <w:rPr>
                <w:rFonts w:eastAsia="Calibri"/>
                <w:lang w:eastAsia="en-US"/>
              </w:rPr>
            </w:pPr>
            <w:r w:rsidRPr="00E3331A">
              <w:rPr>
                <w:rFonts w:eastAsia="Calibri"/>
                <w:lang w:eastAsia="en-US"/>
              </w:rPr>
              <w:t>van Schaik et al. (2010</w:t>
            </w:r>
            <w:r w:rsidR="00913ED7" w:rsidRPr="00E3331A">
              <w:rPr>
                <w:rFonts w:eastAsia="Calibri"/>
                <w:lang w:eastAsia="en-US"/>
              </w:rPr>
              <w:t>)</w:t>
            </w:r>
            <w:r w:rsidR="00B85C75">
              <w:rPr>
                <w:rFonts w:eastAsia="Calibri"/>
                <w:noProof/>
                <w:lang w:eastAsia="en-US"/>
              </w:rPr>
              <w:t>(van Schaik et al. 2010)</w:t>
            </w:r>
          </w:p>
          <w:p w:rsidR="001F5B33" w:rsidRPr="00E3331A" w:rsidRDefault="001F5B33" w:rsidP="00493DDF">
            <w:pPr>
              <w:pStyle w:val="Tabletext1"/>
              <w:rPr>
                <w:rFonts w:eastAsia="Calibri"/>
                <w:lang w:eastAsia="en-US"/>
              </w:rPr>
            </w:pPr>
          </w:p>
          <w:p w:rsidR="001F5B33" w:rsidRPr="00E3331A" w:rsidRDefault="001F5B33" w:rsidP="00493DDF">
            <w:pPr>
              <w:pStyle w:val="Tabletext1"/>
              <w:rPr>
                <w:rFonts w:eastAsia="Calibri"/>
                <w:lang w:eastAsia="en-US"/>
              </w:rPr>
            </w:pPr>
            <w:r w:rsidRPr="00E3331A">
              <w:rPr>
                <w:rFonts w:eastAsia="Calibri"/>
                <w:lang w:eastAsia="en-US"/>
              </w:rPr>
              <w:t>I: 24</w:t>
            </w:r>
          </w:p>
          <w:p w:rsidR="001F5B33" w:rsidRPr="00E3331A" w:rsidRDefault="001F5B33" w:rsidP="00493DDF">
            <w:pPr>
              <w:pStyle w:val="Tabletext1"/>
              <w:rPr>
                <w:rFonts w:eastAsia="Calibri"/>
                <w:lang w:eastAsia="en-US"/>
              </w:rPr>
            </w:pPr>
            <w:r w:rsidRPr="00E3331A">
              <w:rPr>
                <w:rFonts w:eastAsia="Calibri"/>
                <w:lang w:eastAsia="en-US"/>
              </w:rPr>
              <w:t>C: 17</w:t>
            </w:r>
          </w:p>
        </w:tc>
        <w:tc>
          <w:tcPr>
            <w:tcW w:w="964"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 xml:space="preserve">Patients aged 18 years and over with newly diagnosed definite or probable CIDP (ENC diagnostic criteria). Required to have </w:t>
            </w:r>
            <w:r w:rsidRPr="00E3331A">
              <w:rPr>
                <w:rFonts w:eastAsia="Calibri"/>
                <w:lang w:eastAsia="en-US"/>
              </w:rPr>
              <w:lastRenderedPageBreak/>
              <w:t>signs and symptoms severe enough to warrant treatment. Treatment naïve.</w:t>
            </w:r>
          </w:p>
        </w:tc>
        <w:tc>
          <w:tcPr>
            <w:tcW w:w="1055"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lastRenderedPageBreak/>
              <w:t>Oral dexamethasone 40mg/day for four days then placebo for 24 days. 6 cycles</w:t>
            </w:r>
          </w:p>
          <w:p w:rsidR="001F5B33" w:rsidRPr="00E3331A" w:rsidRDefault="001F5B33" w:rsidP="00493DDF">
            <w:pPr>
              <w:pStyle w:val="Tabletext1"/>
              <w:rPr>
                <w:rFonts w:eastAsia="Calibri"/>
                <w:lang w:eastAsia="en-US"/>
              </w:rPr>
            </w:pPr>
          </w:p>
          <w:p w:rsidR="001F5B33" w:rsidRPr="00E3331A" w:rsidRDefault="001F5B33" w:rsidP="00493DDF">
            <w:pPr>
              <w:pStyle w:val="Tabletext1"/>
              <w:rPr>
                <w:rFonts w:eastAsia="Calibri"/>
                <w:lang w:eastAsia="en-US"/>
              </w:rPr>
            </w:pPr>
            <w:r w:rsidRPr="00E3331A">
              <w:rPr>
                <w:rFonts w:eastAsia="Calibri"/>
                <w:lang w:eastAsia="en-US"/>
              </w:rPr>
              <w:t>Oral prednisolone</w:t>
            </w:r>
          </w:p>
          <w:p w:rsidR="001F5B33" w:rsidRPr="00E3331A" w:rsidRDefault="001F5B33" w:rsidP="00493DDF">
            <w:pPr>
              <w:pStyle w:val="Tabletext1"/>
              <w:rPr>
                <w:rFonts w:eastAsia="Calibri"/>
                <w:lang w:eastAsia="en-US"/>
              </w:rPr>
            </w:pPr>
            <w:r w:rsidRPr="00E3331A">
              <w:rPr>
                <w:rFonts w:eastAsia="Calibri"/>
                <w:lang w:eastAsia="en-US"/>
              </w:rPr>
              <w:lastRenderedPageBreak/>
              <w:t>60mg per day for 5 weeks then tapering to 0mg over 27 weeks</w:t>
            </w:r>
          </w:p>
        </w:tc>
        <w:tc>
          <w:tcPr>
            <w:tcW w:w="1055"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lastRenderedPageBreak/>
              <w:t xml:space="preserve">Age, I: med 59.9, C: med 60.8 </w:t>
            </w:r>
          </w:p>
        </w:tc>
        <w:tc>
          <w:tcPr>
            <w:tcW w:w="963"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INCAT</w:t>
            </w:r>
          </w:p>
          <w:p w:rsidR="001F5B33" w:rsidRPr="00E3331A" w:rsidRDefault="001F5B33" w:rsidP="00493DDF">
            <w:pPr>
              <w:pStyle w:val="Tabletext1"/>
              <w:rPr>
                <w:rFonts w:eastAsia="Calibri"/>
                <w:lang w:eastAsia="en-US"/>
              </w:rPr>
            </w:pPr>
            <w:r w:rsidRPr="00E3331A">
              <w:rPr>
                <w:rFonts w:eastAsia="Calibri"/>
                <w:lang w:eastAsia="en-US"/>
              </w:rPr>
              <w:t>I: med 8.5 IQR 1-15</w:t>
            </w:r>
          </w:p>
          <w:p w:rsidR="001F5B33" w:rsidRPr="00E3331A" w:rsidRDefault="001F5B33" w:rsidP="00493DDF">
            <w:pPr>
              <w:pStyle w:val="Tabletext1"/>
              <w:rPr>
                <w:rFonts w:eastAsia="Calibri"/>
                <w:lang w:eastAsia="en-US"/>
              </w:rPr>
            </w:pPr>
            <w:r w:rsidRPr="00E3331A">
              <w:rPr>
                <w:rFonts w:eastAsia="Calibri"/>
                <w:lang w:eastAsia="en-US"/>
              </w:rPr>
              <w:t>C :med 9 IQR 0-17</w:t>
            </w:r>
          </w:p>
          <w:p w:rsidR="001F5B33" w:rsidRPr="00E3331A" w:rsidRDefault="001F5B33" w:rsidP="00493DDF">
            <w:pPr>
              <w:pStyle w:val="Tabletext1"/>
              <w:rPr>
                <w:rFonts w:eastAsia="Calibri"/>
                <w:lang w:eastAsia="en-US"/>
              </w:rPr>
            </w:pPr>
            <w:r w:rsidRPr="00E3331A">
              <w:rPr>
                <w:rFonts w:eastAsia="Calibri"/>
                <w:lang w:eastAsia="en-US"/>
              </w:rPr>
              <w:t>ALDS</w:t>
            </w:r>
          </w:p>
          <w:p w:rsidR="001F5B33" w:rsidRPr="00E3331A" w:rsidRDefault="001F5B33" w:rsidP="00493DDF">
            <w:pPr>
              <w:pStyle w:val="Tabletext1"/>
              <w:rPr>
                <w:rFonts w:eastAsia="Calibri"/>
                <w:lang w:eastAsia="en-US"/>
              </w:rPr>
            </w:pPr>
            <w:r w:rsidRPr="00E3331A">
              <w:rPr>
                <w:rFonts w:eastAsia="Calibri"/>
                <w:lang w:eastAsia="en-US"/>
              </w:rPr>
              <w:t>I: 69.9 ± 16.1</w:t>
            </w:r>
          </w:p>
          <w:p w:rsidR="001F5B33" w:rsidRPr="00E3331A" w:rsidRDefault="001F5B33" w:rsidP="00493DDF">
            <w:pPr>
              <w:pStyle w:val="Tabletext1"/>
              <w:rPr>
                <w:rFonts w:eastAsia="Calibri"/>
                <w:lang w:eastAsia="en-US"/>
              </w:rPr>
            </w:pPr>
            <w:r w:rsidRPr="00E3331A">
              <w:rPr>
                <w:rFonts w:eastAsia="Calibri"/>
                <w:lang w:eastAsia="en-US"/>
              </w:rPr>
              <w:t>C: 63.2 ± 21.2</w:t>
            </w:r>
          </w:p>
          <w:p w:rsidR="001F5B33" w:rsidRPr="00E3331A" w:rsidRDefault="001F5B33" w:rsidP="00493DDF">
            <w:pPr>
              <w:pStyle w:val="Tabletext1"/>
              <w:rPr>
                <w:rFonts w:eastAsia="Calibri"/>
                <w:lang w:eastAsia="en-US"/>
              </w:rPr>
            </w:pPr>
            <w:r w:rsidRPr="00E3331A">
              <w:rPr>
                <w:rFonts w:eastAsia="Calibri"/>
                <w:lang w:eastAsia="en-US"/>
              </w:rPr>
              <w:lastRenderedPageBreak/>
              <w:t>MRC</w:t>
            </w:r>
          </w:p>
          <w:p w:rsidR="001F5B33" w:rsidRPr="00E3331A" w:rsidRDefault="001F5B33" w:rsidP="00493DDF">
            <w:pPr>
              <w:pStyle w:val="Tabletext1"/>
              <w:rPr>
                <w:rFonts w:eastAsia="Calibri"/>
                <w:lang w:eastAsia="en-US"/>
              </w:rPr>
            </w:pPr>
            <w:r w:rsidRPr="00E3331A">
              <w:rPr>
                <w:rFonts w:eastAsia="Calibri"/>
                <w:lang w:eastAsia="en-US"/>
              </w:rPr>
              <w:t>I: med 50 IQR 24-57</w:t>
            </w:r>
          </w:p>
        </w:tc>
      </w:tr>
      <w:tr w:rsidR="00281EC2" w:rsidRPr="00E3331A" w:rsidTr="0007007F">
        <w:tc>
          <w:tcPr>
            <w:tcW w:w="963" w:type="pct"/>
            <w:shd w:val="clear" w:color="auto" w:fill="auto"/>
          </w:tcPr>
          <w:p w:rsidR="001F5B33" w:rsidRPr="00E3331A" w:rsidRDefault="001F5B33" w:rsidP="00493DDF">
            <w:pPr>
              <w:pStyle w:val="Tabletext1"/>
              <w:rPr>
                <w:rFonts w:eastAsia="Calibri"/>
                <w:u w:val="single"/>
                <w:lang w:eastAsia="en-US"/>
              </w:rPr>
            </w:pPr>
            <w:r w:rsidRPr="00E3331A">
              <w:rPr>
                <w:rFonts w:eastAsia="Calibri"/>
                <w:u w:val="single"/>
                <w:lang w:eastAsia="en-US"/>
              </w:rPr>
              <w:lastRenderedPageBreak/>
              <w:t>St + Is vs St</w:t>
            </w:r>
          </w:p>
          <w:p w:rsidR="001F5B33" w:rsidRPr="00E3331A" w:rsidRDefault="001F5B33" w:rsidP="00493DDF">
            <w:pPr>
              <w:pStyle w:val="Tabletext1"/>
              <w:rPr>
                <w:rFonts w:eastAsia="Calibri"/>
                <w:lang w:eastAsia="en-US"/>
              </w:rPr>
            </w:pPr>
            <w:r w:rsidRPr="00E3331A">
              <w:rPr>
                <w:rFonts w:eastAsia="Calibri"/>
                <w:lang w:eastAsia="en-US"/>
              </w:rPr>
              <w:t>Dyck et al. (1985)</w:t>
            </w:r>
            <w:r w:rsidR="00B85C75">
              <w:rPr>
                <w:rFonts w:eastAsia="Calibri"/>
                <w:noProof/>
                <w:lang w:eastAsia="en-US"/>
              </w:rPr>
              <w:t>(Dyck et al. 1985)</w:t>
            </w:r>
          </w:p>
          <w:p w:rsidR="001F5B33" w:rsidRPr="00E3331A" w:rsidRDefault="001F5B33" w:rsidP="00493DDF">
            <w:pPr>
              <w:pStyle w:val="Tabletext1"/>
              <w:rPr>
                <w:rFonts w:eastAsia="Calibri"/>
                <w:lang w:eastAsia="en-US"/>
              </w:rPr>
            </w:pPr>
          </w:p>
          <w:p w:rsidR="001F5B33" w:rsidRPr="00E3331A" w:rsidRDefault="001F5B33" w:rsidP="00493DDF">
            <w:pPr>
              <w:pStyle w:val="Tabletext1"/>
              <w:rPr>
                <w:rFonts w:eastAsia="Calibri"/>
                <w:lang w:eastAsia="en-US"/>
              </w:rPr>
            </w:pPr>
            <w:r w:rsidRPr="00E3331A">
              <w:rPr>
                <w:rFonts w:eastAsia="Calibri"/>
                <w:lang w:eastAsia="en-US"/>
              </w:rPr>
              <w:t>I: n = 15</w:t>
            </w:r>
          </w:p>
          <w:p w:rsidR="001F5B33" w:rsidRPr="00E3331A" w:rsidRDefault="001F5B33" w:rsidP="00493DDF">
            <w:pPr>
              <w:pStyle w:val="Tabletext1"/>
              <w:rPr>
                <w:rFonts w:eastAsia="Calibri"/>
                <w:lang w:eastAsia="en-US"/>
              </w:rPr>
            </w:pPr>
            <w:r w:rsidRPr="00E3331A">
              <w:rPr>
                <w:rFonts w:eastAsia="Calibri"/>
                <w:lang w:eastAsia="en-US"/>
              </w:rPr>
              <w:t>C: n = 14</w:t>
            </w:r>
          </w:p>
        </w:tc>
        <w:tc>
          <w:tcPr>
            <w:tcW w:w="964"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Symptoms for at least 6 months, all static or worsening, no associated disease that would cause neuropathy, a neurologic disability score greater than 50 points, no treatment with prednisone or immunotherapy for at least 3 months</w:t>
            </w:r>
          </w:p>
        </w:tc>
        <w:tc>
          <w:tcPr>
            <w:tcW w:w="1055"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Prednisone 120mg alternate days tapering over 13 weeks + azathioprine 2mg/kg/day</w:t>
            </w:r>
          </w:p>
          <w:p w:rsidR="001F5B33" w:rsidRPr="00E3331A" w:rsidRDefault="001F5B33" w:rsidP="00493DDF">
            <w:pPr>
              <w:pStyle w:val="Tabletext1"/>
              <w:rPr>
                <w:rFonts w:eastAsia="Calibri"/>
                <w:lang w:eastAsia="en-US"/>
              </w:rPr>
            </w:pPr>
          </w:p>
          <w:p w:rsidR="001F5B33" w:rsidRPr="00E3331A" w:rsidRDefault="001F5B33" w:rsidP="00493DDF">
            <w:pPr>
              <w:pStyle w:val="Tabletext1"/>
              <w:rPr>
                <w:rFonts w:eastAsia="Calibri"/>
                <w:lang w:eastAsia="en-US"/>
              </w:rPr>
            </w:pPr>
            <w:r w:rsidRPr="00E3331A">
              <w:rPr>
                <w:rFonts w:eastAsia="Calibri"/>
                <w:lang w:eastAsia="en-US"/>
              </w:rPr>
              <w:t>Prednisone 120mg alternate days tapering over 13 weeks</w:t>
            </w:r>
          </w:p>
        </w:tc>
        <w:tc>
          <w:tcPr>
            <w:tcW w:w="1055"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Age</w:t>
            </w:r>
          </w:p>
          <w:p w:rsidR="001F5B33" w:rsidRPr="00E3331A" w:rsidRDefault="001F5B33" w:rsidP="00493DDF">
            <w:pPr>
              <w:pStyle w:val="Tabletext1"/>
              <w:rPr>
                <w:rFonts w:eastAsia="Calibri"/>
                <w:lang w:eastAsia="en-US"/>
              </w:rPr>
            </w:pPr>
            <w:r w:rsidRPr="00E3331A">
              <w:rPr>
                <w:rFonts w:eastAsia="Calibri"/>
                <w:lang w:eastAsia="en-US"/>
              </w:rPr>
              <w:t xml:space="preserve">I: median 41 </w:t>
            </w:r>
          </w:p>
          <w:p w:rsidR="001F5B33" w:rsidRPr="00E3331A" w:rsidRDefault="001F5B33" w:rsidP="00493DDF">
            <w:pPr>
              <w:pStyle w:val="Tabletext1"/>
              <w:rPr>
                <w:rFonts w:eastAsia="Calibri"/>
                <w:lang w:eastAsia="en-US"/>
              </w:rPr>
            </w:pPr>
            <w:r w:rsidRPr="00E3331A">
              <w:rPr>
                <w:rFonts w:eastAsia="Calibri"/>
                <w:lang w:eastAsia="en-US"/>
              </w:rPr>
              <w:t>(range 18-63)</w:t>
            </w:r>
          </w:p>
          <w:p w:rsidR="001F5B33" w:rsidRPr="00E3331A" w:rsidRDefault="001F5B33" w:rsidP="00493DDF">
            <w:pPr>
              <w:pStyle w:val="Tabletext1"/>
              <w:rPr>
                <w:rFonts w:eastAsia="Calibri"/>
                <w:lang w:eastAsia="en-US"/>
              </w:rPr>
            </w:pPr>
            <w:r w:rsidRPr="00E3331A">
              <w:rPr>
                <w:rFonts w:eastAsia="Calibri"/>
                <w:lang w:eastAsia="en-US"/>
              </w:rPr>
              <w:t xml:space="preserve">C: median 46 </w:t>
            </w:r>
          </w:p>
          <w:p w:rsidR="001F5B33" w:rsidRPr="00E3331A" w:rsidRDefault="001F5B33" w:rsidP="00493DDF">
            <w:pPr>
              <w:pStyle w:val="Tabletext1"/>
              <w:rPr>
                <w:rFonts w:eastAsia="Calibri"/>
                <w:lang w:eastAsia="en-US"/>
              </w:rPr>
            </w:pPr>
            <w:r w:rsidRPr="00E3331A">
              <w:rPr>
                <w:rFonts w:eastAsia="Calibri"/>
                <w:lang w:eastAsia="en-US"/>
              </w:rPr>
              <w:t>(range 19-70)</w:t>
            </w:r>
          </w:p>
          <w:p w:rsidR="001F5B33" w:rsidRPr="00E3331A" w:rsidRDefault="001F5B33" w:rsidP="00493DDF">
            <w:pPr>
              <w:pStyle w:val="Tabletext1"/>
              <w:rPr>
                <w:rFonts w:eastAsia="Calibri"/>
                <w:lang w:eastAsia="en-US"/>
              </w:rPr>
            </w:pPr>
            <w:r w:rsidRPr="00E3331A">
              <w:rPr>
                <w:rFonts w:eastAsia="Calibri"/>
                <w:lang w:eastAsia="en-US"/>
              </w:rPr>
              <w:t>% male</w:t>
            </w:r>
          </w:p>
          <w:p w:rsidR="001F5B33" w:rsidRPr="00E3331A" w:rsidRDefault="001F5B33" w:rsidP="00493DDF">
            <w:pPr>
              <w:pStyle w:val="Tabletext1"/>
              <w:rPr>
                <w:rFonts w:eastAsia="Calibri"/>
                <w:lang w:eastAsia="en-US"/>
              </w:rPr>
            </w:pPr>
            <w:r w:rsidRPr="00E3331A">
              <w:rPr>
                <w:rFonts w:eastAsia="Calibri"/>
                <w:lang w:eastAsia="en-US"/>
              </w:rPr>
              <w:t>I: 46%</w:t>
            </w:r>
          </w:p>
          <w:p w:rsidR="001F5B33" w:rsidRPr="00E3331A" w:rsidRDefault="001F5B33" w:rsidP="00493DDF">
            <w:pPr>
              <w:pStyle w:val="Tabletext1"/>
              <w:rPr>
                <w:rFonts w:eastAsia="Calibri"/>
                <w:lang w:eastAsia="en-US"/>
              </w:rPr>
            </w:pPr>
            <w:r w:rsidRPr="00E3331A">
              <w:rPr>
                <w:rFonts w:eastAsia="Calibri"/>
                <w:lang w:eastAsia="en-US"/>
              </w:rPr>
              <w:t>C: 70%</w:t>
            </w:r>
          </w:p>
        </w:tc>
        <w:tc>
          <w:tcPr>
            <w:tcW w:w="963"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NDS</w:t>
            </w:r>
          </w:p>
          <w:p w:rsidR="001F5B33" w:rsidRPr="00E3331A" w:rsidRDefault="001F5B33" w:rsidP="00493DDF">
            <w:pPr>
              <w:pStyle w:val="Tabletext1"/>
              <w:rPr>
                <w:rFonts w:eastAsia="Calibri"/>
                <w:lang w:eastAsia="en-US"/>
              </w:rPr>
            </w:pPr>
            <w:r w:rsidRPr="00E3331A">
              <w:rPr>
                <w:rFonts w:eastAsia="Calibri"/>
                <w:lang w:eastAsia="en-US"/>
              </w:rPr>
              <w:t>I median 119 range 70-203</w:t>
            </w:r>
          </w:p>
          <w:p w:rsidR="001F5B33" w:rsidRPr="00E3331A" w:rsidRDefault="001F5B33" w:rsidP="00493DDF">
            <w:pPr>
              <w:pStyle w:val="Tabletext1"/>
              <w:rPr>
                <w:rFonts w:eastAsia="Calibri"/>
                <w:lang w:eastAsia="en-US"/>
              </w:rPr>
            </w:pPr>
            <w:r w:rsidRPr="00E3331A">
              <w:rPr>
                <w:rFonts w:eastAsia="Calibri"/>
                <w:lang w:eastAsia="en-US"/>
              </w:rPr>
              <w:t>C: median 110 (range 53-164)</w:t>
            </w:r>
          </w:p>
        </w:tc>
      </w:tr>
      <w:tr w:rsidR="00281EC2" w:rsidRPr="00E3331A" w:rsidTr="0007007F">
        <w:tc>
          <w:tcPr>
            <w:tcW w:w="963"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Dyck et al. (1982)</w:t>
            </w:r>
            <w:r w:rsidR="00B85C75">
              <w:rPr>
                <w:rFonts w:eastAsia="Calibri"/>
                <w:noProof/>
                <w:lang w:eastAsia="en-US"/>
              </w:rPr>
              <w:t>(Dyck et al. 1982)</w:t>
            </w:r>
          </w:p>
          <w:p w:rsidR="001F5B33" w:rsidRPr="00E3331A" w:rsidRDefault="001F5B33" w:rsidP="00493DDF">
            <w:pPr>
              <w:pStyle w:val="Tabletext1"/>
              <w:rPr>
                <w:rFonts w:eastAsia="Calibri"/>
                <w:lang w:eastAsia="en-US"/>
              </w:rPr>
            </w:pPr>
            <w:r w:rsidRPr="00E3331A">
              <w:rPr>
                <w:rFonts w:eastAsia="Calibri"/>
                <w:lang w:eastAsia="en-US"/>
              </w:rPr>
              <w:t>USA</w:t>
            </w:r>
          </w:p>
          <w:p w:rsidR="001F5B33" w:rsidRPr="00E3331A" w:rsidRDefault="001F5B33" w:rsidP="00493DDF">
            <w:pPr>
              <w:pStyle w:val="Tabletext1"/>
              <w:rPr>
                <w:rFonts w:eastAsia="Calibri"/>
                <w:lang w:eastAsia="en-US"/>
              </w:rPr>
            </w:pPr>
          </w:p>
          <w:p w:rsidR="001F5B33" w:rsidRPr="00E3331A" w:rsidRDefault="001F5B33" w:rsidP="00493DDF">
            <w:pPr>
              <w:pStyle w:val="Tabletext1"/>
              <w:rPr>
                <w:rFonts w:eastAsia="Calibri"/>
                <w:lang w:eastAsia="en-US"/>
              </w:rPr>
            </w:pPr>
            <w:r w:rsidRPr="00E3331A">
              <w:rPr>
                <w:rFonts w:eastAsia="Calibri"/>
                <w:lang w:eastAsia="en-US"/>
              </w:rPr>
              <w:t>I: n = 14</w:t>
            </w:r>
          </w:p>
          <w:p w:rsidR="001F5B33" w:rsidRPr="00E3331A" w:rsidRDefault="001F5B33" w:rsidP="00493DDF">
            <w:pPr>
              <w:pStyle w:val="Tabletext1"/>
              <w:rPr>
                <w:rFonts w:eastAsia="Calibri"/>
                <w:lang w:eastAsia="en-US"/>
              </w:rPr>
            </w:pPr>
            <w:r w:rsidRPr="00E3331A">
              <w:rPr>
                <w:rFonts w:eastAsia="Calibri"/>
                <w:lang w:eastAsia="en-US"/>
              </w:rPr>
              <w:t>C: n = 14</w:t>
            </w:r>
          </w:p>
          <w:p w:rsidR="001F5B33" w:rsidRPr="00E3331A" w:rsidRDefault="001F5B33" w:rsidP="00493DDF">
            <w:pPr>
              <w:pStyle w:val="Tabletext1"/>
              <w:rPr>
                <w:rFonts w:eastAsia="Calibri"/>
                <w:lang w:eastAsia="en-US"/>
              </w:rPr>
            </w:pPr>
          </w:p>
        </w:tc>
        <w:tc>
          <w:tcPr>
            <w:tcW w:w="964"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Patients with CIDP for &gt;6 months and previously untreated with immunosuppressive therapy</w:t>
            </w:r>
          </w:p>
        </w:tc>
        <w:tc>
          <w:tcPr>
            <w:tcW w:w="1055"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Prednisone 120mg alternate days; 5mg alternate days tapering to 0mg over 13 we</w:t>
            </w:r>
            <w:r w:rsidR="0032618C" w:rsidRPr="00E3331A">
              <w:rPr>
                <w:rFonts w:eastAsia="Calibri"/>
                <w:lang w:eastAsia="en-US"/>
              </w:rPr>
              <w:t>e</w:t>
            </w:r>
            <w:r w:rsidRPr="00E3331A">
              <w:rPr>
                <w:rFonts w:eastAsia="Calibri"/>
                <w:lang w:eastAsia="en-US"/>
              </w:rPr>
              <w:t>ks</w:t>
            </w:r>
          </w:p>
        </w:tc>
        <w:tc>
          <w:tcPr>
            <w:tcW w:w="1055"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Age</w:t>
            </w:r>
          </w:p>
          <w:p w:rsidR="001F5B33" w:rsidRPr="00E3331A" w:rsidRDefault="001F5B33" w:rsidP="00493DDF">
            <w:pPr>
              <w:pStyle w:val="Tabletext1"/>
              <w:rPr>
                <w:rFonts w:eastAsia="Calibri"/>
                <w:lang w:eastAsia="en-US"/>
              </w:rPr>
            </w:pPr>
            <w:r w:rsidRPr="00E3331A">
              <w:rPr>
                <w:rFonts w:eastAsia="Calibri"/>
                <w:lang w:eastAsia="en-US"/>
              </w:rPr>
              <w:t>I: med 46.5 range 22-76</w:t>
            </w:r>
          </w:p>
          <w:p w:rsidR="001F5B33" w:rsidRPr="00E3331A" w:rsidRDefault="001F5B33" w:rsidP="00493DDF">
            <w:pPr>
              <w:pStyle w:val="Tabletext1"/>
              <w:rPr>
                <w:rFonts w:eastAsia="Calibri"/>
                <w:lang w:eastAsia="en-US"/>
              </w:rPr>
            </w:pPr>
            <w:r w:rsidRPr="00E3331A">
              <w:rPr>
                <w:rFonts w:eastAsia="Calibri"/>
                <w:lang w:eastAsia="en-US"/>
              </w:rPr>
              <w:t>C: med 50 (range 9-83)</w:t>
            </w:r>
          </w:p>
          <w:p w:rsidR="001F5B33" w:rsidRPr="00E3331A" w:rsidRDefault="001F5B33" w:rsidP="00493DDF">
            <w:pPr>
              <w:pStyle w:val="Tabletext1"/>
              <w:rPr>
                <w:rFonts w:eastAsia="Calibri"/>
                <w:lang w:eastAsia="en-US"/>
              </w:rPr>
            </w:pPr>
            <w:r w:rsidRPr="00E3331A">
              <w:rPr>
                <w:rFonts w:eastAsia="Calibri"/>
                <w:lang w:eastAsia="en-US"/>
              </w:rPr>
              <w:t>% male</w:t>
            </w:r>
          </w:p>
          <w:p w:rsidR="001F5B33" w:rsidRPr="00E3331A" w:rsidRDefault="001F5B33" w:rsidP="00493DDF">
            <w:pPr>
              <w:pStyle w:val="Tabletext1"/>
              <w:rPr>
                <w:rFonts w:eastAsia="Calibri"/>
                <w:lang w:eastAsia="en-US"/>
              </w:rPr>
            </w:pPr>
            <w:r w:rsidRPr="00E3331A">
              <w:rPr>
                <w:rFonts w:eastAsia="Calibri"/>
                <w:lang w:eastAsia="en-US"/>
              </w:rPr>
              <w:t>I: 71%</w:t>
            </w:r>
          </w:p>
          <w:p w:rsidR="001F5B33" w:rsidRPr="00E3331A" w:rsidRDefault="001F5B33" w:rsidP="00493DDF">
            <w:pPr>
              <w:pStyle w:val="Tabletext1"/>
              <w:rPr>
                <w:rFonts w:eastAsia="Calibri"/>
                <w:lang w:eastAsia="en-US"/>
              </w:rPr>
            </w:pPr>
            <w:r w:rsidRPr="00E3331A">
              <w:rPr>
                <w:rFonts w:eastAsia="Calibri"/>
                <w:lang w:eastAsia="en-US"/>
              </w:rPr>
              <w:t>C: 64%</w:t>
            </w:r>
          </w:p>
        </w:tc>
        <w:tc>
          <w:tcPr>
            <w:tcW w:w="963"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Status: NR</w:t>
            </w:r>
          </w:p>
          <w:p w:rsidR="001F5B33" w:rsidRPr="00E3331A" w:rsidRDefault="001F5B33" w:rsidP="00493DDF">
            <w:pPr>
              <w:pStyle w:val="Tabletext1"/>
              <w:rPr>
                <w:rFonts w:eastAsia="Calibri"/>
                <w:lang w:eastAsia="en-US"/>
              </w:rPr>
            </w:pPr>
            <w:r w:rsidRPr="00E3331A">
              <w:rPr>
                <w:rFonts w:eastAsia="Calibri"/>
                <w:lang w:eastAsia="en-US"/>
              </w:rPr>
              <w:t>Type: chronic progressive: 14, recurrent: 14</w:t>
            </w:r>
          </w:p>
          <w:p w:rsidR="001F5B33" w:rsidRPr="00E3331A" w:rsidRDefault="001F5B33" w:rsidP="00493DDF">
            <w:pPr>
              <w:pStyle w:val="Tabletext1"/>
              <w:rPr>
                <w:rFonts w:eastAsia="Calibri"/>
                <w:lang w:eastAsia="en-US"/>
              </w:rPr>
            </w:pPr>
            <w:r w:rsidRPr="00E3331A">
              <w:rPr>
                <w:rFonts w:eastAsia="Calibri"/>
                <w:lang w:eastAsia="en-US"/>
              </w:rPr>
              <w:t>Time since diagnosis</w:t>
            </w:r>
          </w:p>
          <w:p w:rsidR="001F5B33" w:rsidRPr="00E3331A" w:rsidRDefault="001F5B33" w:rsidP="00493DDF">
            <w:pPr>
              <w:pStyle w:val="Tabletext1"/>
              <w:rPr>
                <w:rFonts w:eastAsia="Calibri"/>
                <w:lang w:eastAsia="en-US"/>
              </w:rPr>
            </w:pPr>
            <w:r w:rsidRPr="00E3331A">
              <w:rPr>
                <w:rFonts w:eastAsia="Calibri"/>
                <w:lang w:eastAsia="en-US"/>
              </w:rPr>
              <w:t>I</w:t>
            </w:r>
            <w:r w:rsidR="0032618C" w:rsidRPr="00E3331A">
              <w:rPr>
                <w:rFonts w:eastAsia="Calibri"/>
                <w:lang w:eastAsia="en-US"/>
              </w:rPr>
              <w:t>:</w:t>
            </w:r>
            <w:r w:rsidRPr="00E3331A">
              <w:rPr>
                <w:rFonts w:eastAsia="Calibri"/>
                <w:lang w:eastAsia="en-US"/>
              </w:rPr>
              <w:t xml:space="preserve"> median 25 mo (range 6-84)</w:t>
            </w:r>
          </w:p>
          <w:p w:rsidR="001F5B33" w:rsidRPr="00E3331A" w:rsidRDefault="001F5B33" w:rsidP="00493DDF">
            <w:pPr>
              <w:pStyle w:val="Tabletext1"/>
              <w:rPr>
                <w:rFonts w:eastAsia="Calibri"/>
                <w:lang w:eastAsia="en-US"/>
              </w:rPr>
            </w:pPr>
            <w:r w:rsidRPr="00E3331A">
              <w:rPr>
                <w:rFonts w:eastAsia="Calibri"/>
                <w:lang w:eastAsia="en-US"/>
              </w:rPr>
              <w:t>C</w:t>
            </w:r>
            <w:r w:rsidR="0032618C" w:rsidRPr="00E3331A">
              <w:rPr>
                <w:rFonts w:eastAsia="Calibri"/>
                <w:lang w:eastAsia="en-US"/>
              </w:rPr>
              <w:t>:</w:t>
            </w:r>
            <w:r w:rsidRPr="00E3331A">
              <w:rPr>
                <w:rFonts w:eastAsia="Calibri"/>
                <w:lang w:eastAsia="en-US"/>
              </w:rPr>
              <w:t xml:space="preserve"> median 32 mo (range 8-168)</w:t>
            </w:r>
          </w:p>
        </w:tc>
      </w:tr>
      <w:tr w:rsidR="00281EC2" w:rsidRPr="00E3331A" w:rsidTr="0007007F">
        <w:tc>
          <w:tcPr>
            <w:tcW w:w="963"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 xml:space="preserve">Boru </w:t>
            </w:r>
            <w:r w:rsidR="00983BA7">
              <w:rPr>
                <w:rFonts w:eastAsia="Calibri"/>
                <w:lang w:eastAsia="en-US"/>
              </w:rPr>
              <w:t xml:space="preserve">et al. </w:t>
            </w:r>
            <w:r w:rsidRPr="00E3331A">
              <w:rPr>
                <w:rFonts w:eastAsia="Calibri"/>
                <w:lang w:eastAsia="en-US"/>
              </w:rPr>
              <w:t>(2014)</w:t>
            </w:r>
            <w:r w:rsidR="00B85C75">
              <w:rPr>
                <w:rFonts w:eastAsia="Calibri"/>
                <w:noProof/>
                <w:lang w:eastAsia="en-US"/>
              </w:rPr>
              <w:t>(Boru et al. 2014)</w:t>
            </w:r>
          </w:p>
          <w:p w:rsidR="001F5B33" w:rsidRPr="00E3331A" w:rsidRDefault="001F5B33" w:rsidP="00493DDF">
            <w:pPr>
              <w:pStyle w:val="Tabletext1"/>
              <w:rPr>
                <w:rFonts w:eastAsia="Calibri"/>
                <w:lang w:eastAsia="en-US"/>
              </w:rPr>
            </w:pPr>
            <w:r w:rsidRPr="00E3331A">
              <w:rPr>
                <w:rFonts w:eastAsia="Calibri"/>
                <w:lang w:eastAsia="en-US"/>
              </w:rPr>
              <w:t>20 CIDP patients (14 male, 6 female).</w:t>
            </w:r>
          </w:p>
        </w:tc>
        <w:tc>
          <w:tcPr>
            <w:tcW w:w="964" w:type="pct"/>
            <w:shd w:val="clear" w:color="auto" w:fill="auto"/>
          </w:tcPr>
          <w:p w:rsidR="001F5B33" w:rsidRPr="00E3331A" w:rsidRDefault="001B791D" w:rsidP="00493DDF">
            <w:pPr>
              <w:pStyle w:val="Tabletext1"/>
              <w:rPr>
                <w:rFonts w:eastAsia="Calibri"/>
                <w:lang w:eastAsia="en-US"/>
              </w:rPr>
            </w:pPr>
            <w:r>
              <w:rPr>
                <w:rFonts w:eastAsia="Calibri"/>
                <w:lang w:eastAsia="en-US"/>
              </w:rPr>
              <w:t>D</w:t>
            </w:r>
            <w:r w:rsidR="001F5B33" w:rsidRPr="00E3331A">
              <w:rPr>
                <w:rFonts w:eastAsia="Calibri"/>
                <w:lang w:eastAsia="en-US"/>
              </w:rPr>
              <w:t>iagnosed as CIDP according to clinical, electrophysiologic and nerve biopsy findings</w:t>
            </w:r>
          </w:p>
          <w:p w:rsidR="001F5B33" w:rsidRPr="00E3331A" w:rsidRDefault="001F5B33" w:rsidP="00493DDF">
            <w:pPr>
              <w:pStyle w:val="Tabletext1"/>
              <w:rPr>
                <w:rFonts w:eastAsia="Calibri"/>
                <w:lang w:eastAsia="en-US"/>
              </w:rPr>
            </w:pPr>
          </w:p>
        </w:tc>
        <w:tc>
          <w:tcPr>
            <w:tcW w:w="1055"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1</w:t>
            </w:r>
            <w:r w:rsidR="0032618C" w:rsidRPr="00E3331A">
              <w:rPr>
                <w:rFonts w:eastAsia="Calibri"/>
                <w:lang w:eastAsia="en-US"/>
              </w:rPr>
              <w:t>,</w:t>
            </w:r>
            <w:r w:rsidRPr="00E3331A">
              <w:rPr>
                <w:rFonts w:eastAsia="Calibri"/>
                <w:lang w:eastAsia="en-US"/>
              </w:rPr>
              <w:t xml:space="preserve">000mg/day methylprednisolone for 10 days. Then 1000mg/day </w:t>
            </w:r>
            <w:r w:rsidR="0032618C" w:rsidRPr="00E3331A">
              <w:rPr>
                <w:rFonts w:eastAsia="Calibri"/>
                <w:lang w:eastAsia="en-US"/>
              </w:rPr>
              <w:t xml:space="preserve">IV </w:t>
            </w:r>
            <w:r w:rsidRPr="00E3331A">
              <w:rPr>
                <w:rFonts w:eastAsia="Calibri"/>
                <w:lang w:eastAsia="en-US"/>
              </w:rPr>
              <w:t>pulse prednisolone once every 4 weeks.</w:t>
            </w:r>
          </w:p>
          <w:p w:rsidR="001F5B33" w:rsidRPr="00E3331A" w:rsidRDefault="001F5B33" w:rsidP="0032618C">
            <w:pPr>
              <w:pStyle w:val="Tabletext1"/>
              <w:rPr>
                <w:rFonts w:eastAsia="Calibri"/>
                <w:lang w:eastAsia="en-US"/>
              </w:rPr>
            </w:pPr>
            <w:r w:rsidRPr="00E3331A">
              <w:rPr>
                <w:rFonts w:eastAsia="Calibri"/>
                <w:lang w:eastAsia="en-US"/>
              </w:rPr>
              <w:t>Patients treated for 5 years and followed</w:t>
            </w:r>
            <w:r w:rsidR="000C0E99">
              <w:rPr>
                <w:rFonts w:eastAsia="Calibri"/>
                <w:lang w:eastAsia="en-US"/>
              </w:rPr>
              <w:t>-</w:t>
            </w:r>
            <w:r w:rsidRPr="00E3331A">
              <w:rPr>
                <w:rFonts w:eastAsia="Calibri"/>
                <w:lang w:eastAsia="en-US"/>
              </w:rPr>
              <w:t>up for 10 years.</w:t>
            </w:r>
          </w:p>
        </w:tc>
        <w:tc>
          <w:tcPr>
            <w:tcW w:w="1055" w:type="pct"/>
            <w:shd w:val="clear" w:color="auto" w:fill="auto"/>
          </w:tcPr>
          <w:p w:rsidR="001F5B33" w:rsidRPr="00E3331A" w:rsidRDefault="0032618C" w:rsidP="00493DDF">
            <w:pPr>
              <w:pStyle w:val="Tabletext1"/>
              <w:rPr>
                <w:rFonts w:eastAsia="Calibri"/>
                <w:lang w:eastAsia="en-US"/>
              </w:rPr>
            </w:pPr>
            <w:r w:rsidRPr="00E3331A">
              <w:rPr>
                <w:rFonts w:eastAsia="Calibri"/>
                <w:lang w:eastAsia="en-US"/>
              </w:rPr>
              <w:t>M</w:t>
            </w:r>
            <w:r w:rsidR="001F5B33" w:rsidRPr="00E3331A">
              <w:rPr>
                <w:rFonts w:eastAsia="Calibri"/>
                <w:lang w:eastAsia="en-US"/>
              </w:rPr>
              <w:t>ean age of patients 48.1</w:t>
            </w:r>
            <w:r w:rsidRPr="00E3331A">
              <w:rPr>
                <w:rFonts w:eastAsia="Calibri"/>
                <w:lang w:eastAsia="en-US"/>
              </w:rPr>
              <w:t xml:space="preserve"> </w:t>
            </w:r>
            <w:r w:rsidR="001F5B33" w:rsidRPr="00E3331A">
              <w:rPr>
                <w:rFonts w:eastAsia="Calibri"/>
                <w:lang w:eastAsia="en-US"/>
              </w:rPr>
              <w:t xml:space="preserve">± 14.6 years. </w:t>
            </w:r>
            <w:r w:rsidRPr="00E3331A">
              <w:rPr>
                <w:rFonts w:eastAsia="Calibri"/>
                <w:lang w:eastAsia="en-US"/>
              </w:rPr>
              <w:t>M</w:t>
            </w:r>
            <w:r w:rsidR="001F5B33" w:rsidRPr="00E3331A">
              <w:rPr>
                <w:rFonts w:eastAsia="Calibri"/>
                <w:lang w:eastAsia="en-US"/>
              </w:rPr>
              <w:t>ean duration of disease 6.8 ±</w:t>
            </w:r>
            <w:r w:rsidRPr="00E3331A">
              <w:rPr>
                <w:rFonts w:eastAsia="Calibri"/>
                <w:lang w:eastAsia="en-US"/>
              </w:rPr>
              <w:t xml:space="preserve"> </w:t>
            </w:r>
            <w:r w:rsidR="001F5B33" w:rsidRPr="00E3331A">
              <w:rPr>
                <w:rFonts w:eastAsia="Calibri"/>
                <w:lang w:eastAsia="en-US"/>
              </w:rPr>
              <w:t>3.1 years.</w:t>
            </w:r>
          </w:p>
        </w:tc>
        <w:tc>
          <w:tcPr>
            <w:tcW w:w="963" w:type="pct"/>
            <w:shd w:val="clear" w:color="auto" w:fill="auto"/>
          </w:tcPr>
          <w:p w:rsidR="001F5B33" w:rsidRPr="00E3331A" w:rsidRDefault="001F5B33" w:rsidP="0032618C">
            <w:pPr>
              <w:pStyle w:val="Tabletext1"/>
              <w:rPr>
                <w:rFonts w:eastAsia="Calibri"/>
                <w:lang w:eastAsia="en-US"/>
              </w:rPr>
            </w:pPr>
            <w:r w:rsidRPr="00E3331A">
              <w:rPr>
                <w:rFonts w:eastAsia="Calibri"/>
                <w:lang w:eastAsia="en-US"/>
              </w:rPr>
              <w:t xml:space="preserve">Patients </w:t>
            </w:r>
            <w:r w:rsidR="0032618C" w:rsidRPr="00E3331A">
              <w:rPr>
                <w:rFonts w:eastAsia="Calibri"/>
                <w:lang w:eastAsia="en-US"/>
              </w:rPr>
              <w:t>with</w:t>
            </w:r>
            <w:r w:rsidRPr="00E3331A">
              <w:rPr>
                <w:rFonts w:eastAsia="Calibri"/>
                <w:lang w:eastAsia="en-US"/>
              </w:rPr>
              <w:t xml:space="preserve"> Modified Rankin score </w:t>
            </w:r>
            <w:r w:rsidR="0032618C" w:rsidRPr="00E3331A">
              <w:rPr>
                <w:rFonts w:eastAsia="Calibri"/>
                <w:lang w:eastAsia="en-US"/>
              </w:rPr>
              <w:t xml:space="preserve">of </w:t>
            </w:r>
            <w:r w:rsidRPr="00E3331A">
              <w:rPr>
                <w:rFonts w:eastAsia="Calibri"/>
                <w:lang w:eastAsia="en-US"/>
              </w:rPr>
              <w:t>2.7 ± 0.5 at the start of treatment</w:t>
            </w:r>
          </w:p>
        </w:tc>
      </w:tr>
      <w:tr w:rsidR="00281EC2" w:rsidRPr="00E3331A" w:rsidTr="0007007F">
        <w:tc>
          <w:tcPr>
            <w:tcW w:w="963"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 xml:space="preserve">van Lieverloo </w:t>
            </w:r>
            <w:r w:rsidR="00983BA7">
              <w:rPr>
                <w:rFonts w:eastAsia="Calibri"/>
                <w:lang w:eastAsia="en-US"/>
              </w:rPr>
              <w:t xml:space="preserve">et al. </w:t>
            </w:r>
            <w:r w:rsidRPr="00E3331A">
              <w:rPr>
                <w:rFonts w:eastAsia="Calibri"/>
                <w:lang w:eastAsia="en-US"/>
              </w:rPr>
              <w:t>2018</w:t>
            </w:r>
            <w:r w:rsidR="00B85C75">
              <w:rPr>
                <w:rFonts w:eastAsia="Calibri"/>
                <w:noProof/>
                <w:lang w:eastAsia="en-US"/>
              </w:rPr>
              <w:t>(van Lieverloo et al. 2018)</w:t>
            </w:r>
          </w:p>
          <w:p w:rsidR="001F5B33" w:rsidRPr="00E3331A" w:rsidRDefault="001F5B33" w:rsidP="00493DDF">
            <w:pPr>
              <w:pStyle w:val="Tabletext1"/>
              <w:rPr>
                <w:rFonts w:eastAsia="Calibri"/>
                <w:lang w:eastAsia="en-US"/>
              </w:rPr>
            </w:pPr>
            <w:r w:rsidRPr="00E3331A">
              <w:rPr>
                <w:rFonts w:eastAsia="Calibri"/>
                <w:lang w:eastAsia="en-US"/>
              </w:rPr>
              <w:t xml:space="preserve">67 daily prednisone or prednisolone, </w:t>
            </w:r>
          </w:p>
          <w:p w:rsidR="001F5B33" w:rsidRPr="00E3331A" w:rsidRDefault="001F5B33" w:rsidP="00493DDF">
            <w:pPr>
              <w:pStyle w:val="Tabletext1"/>
              <w:rPr>
                <w:rFonts w:eastAsia="Calibri"/>
                <w:lang w:eastAsia="en-US"/>
              </w:rPr>
            </w:pPr>
            <w:r w:rsidRPr="00E3331A">
              <w:rPr>
                <w:rFonts w:eastAsia="Calibri"/>
                <w:lang w:eastAsia="en-US"/>
              </w:rPr>
              <w:t xml:space="preserve">37 pulsed dexamethasone, </w:t>
            </w:r>
          </w:p>
          <w:p w:rsidR="001F5B33" w:rsidRPr="00E3331A" w:rsidRDefault="001F5B33" w:rsidP="00493DDF">
            <w:pPr>
              <w:pStyle w:val="Tabletext1"/>
              <w:rPr>
                <w:rFonts w:eastAsia="Calibri"/>
                <w:lang w:eastAsia="en-US"/>
              </w:rPr>
            </w:pPr>
            <w:r w:rsidRPr="00E3331A">
              <w:rPr>
                <w:rFonts w:eastAsia="Calibri"/>
                <w:lang w:eastAsia="en-US"/>
              </w:rPr>
              <w:t>21 pulsed intravenous methylprednisolone</w:t>
            </w:r>
          </w:p>
          <w:p w:rsidR="001F5B33" w:rsidRPr="00E3331A" w:rsidRDefault="001F5B33" w:rsidP="00493DDF">
            <w:pPr>
              <w:pStyle w:val="Tabletext1"/>
              <w:rPr>
                <w:rFonts w:eastAsia="Calibri"/>
                <w:lang w:eastAsia="en-US"/>
              </w:rPr>
            </w:pPr>
            <w:r w:rsidRPr="00E3331A">
              <w:rPr>
                <w:rFonts w:eastAsia="Calibri"/>
                <w:lang w:eastAsia="en-US"/>
              </w:rPr>
              <w:t>Serbia, Italy and Netherlands</w:t>
            </w:r>
          </w:p>
        </w:tc>
        <w:tc>
          <w:tcPr>
            <w:tcW w:w="964"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EFNS/PNS criteria for CIDP</w:t>
            </w:r>
          </w:p>
        </w:tc>
        <w:tc>
          <w:tcPr>
            <w:tcW w:w="1055"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Daily prednisone or prednisolone, 1–1.5mg/kg body weight during the first 6 weeks, tapering to zero during a period of at least 8 months</w:t>
            </w:r>
            <w:r w:rsidR="0032618C" w:rsidRPr="00E3331A">
              <w:rPr>
                <w:rFonts w:eastAsia="Calibri"/>
                <w:lang w:eastAsia="en-US"/>
              </w:rPr>
              <w:t>.</w:t>
            </w:r>
          </w:p>
          <w:p w:rsidR="001F5B33" w:rsidRPr="00E3331A" w:rsidRDefault="001F5B33" w:rsidP="00493DDF">
            <w:pPr>
              <w:pStyle w:val="Tabletext1"/>
              <w:rPr>
                <w:rFonts w:eastAsia="Calibri"/>
                <w:lang w:eastAsia="en-US"/>
              </w:rPr>
            </w:pPr>
            <w:r w:rsidRPr="00E3331A">
              <w:rPr>
                <w:rFonts w:eastAsia="Calibri"/>
                <w:lang w:eastAsia="en-US"/>
              </w:rPr>
              <w:t xml:space="preserve">Oral pulsed dexamethasone 40mg per day for 4 days consecutively each month, </w:t>
            </w:r>
            <w:r w:rsidR="00E810A5" w:rsidRPr="00E3331A">
              <w:rPr>
                <w:rFonts w:eastAsia="Calibri"/>
                <w:lang w:eastAsia="en-US"/>
              </w:rPr>
              <w:t>for</w:t>
            </w:r>
            <w:r w:rsidRPr="00E3331A">
              <w:rPr>
                <w:rFonts w:eastAsia="Calibri"/>
                <w:lang w:eastAsia="en-US"/>
              </w:rPr>
              <w:t xml:space="preserve"> 6 months</w:t>
            </w:r>
          </w:p>
          <w:p w:rsidR="001F5B33" w:rsidRPr="00E3331A" w:rsidRDefault="0032618C" w:rsidP="00493DDF">
            <w:pPr>
              <w:pStyle w:val="Tabletext1"/>
              <w:rPr>
                <w:rFonts w:eastAsia="Calibri"/>
                <w:lang w:eastAsia="en-US"/>
              </w:rPr>
            </w:pPr>
            <w:r w:rsidRPr="00E3331A">
              <w:rPr>
                <w:rFonts w:eastAsia="Calibri"/>
                <w:lang w:eastAsia="en-US"/>
              </w:rPr>
              <w:t xml:space="preserve">IV </w:t>
            </w:r>
            <w:r w:rsidR="001F5B33" w:rsidRPr="00E3331A">
              <w:rPr>
                <w:rFonts w:eastAsia="Calibri"/>
                <w:lang w:eastAsia="en-US"/>
              </w:rPr>
              <w:t>pulsed methylprednisolone, starting with 500mg daily for 4 days</w:t>
            </w:r>
          </w:p>
        </w:tc>
        <w:tc>
          <w:tcPr>
            <w:tcW w:w="1055"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Average age = 53.4</w:t>
            </w:r>
          </w:p>
          <w:p w:rsidR="001F5B33" w:rsidRPr="00E3331A" w:rsidRDefault="001F5B33" w:rsidP="00493DDF">
            <w:pPr>
              <w:pStyle w:val="Tabletext1"/>
              <w:rPr>
                <w:rFonts w:eastAsia="Calibri"/>
                <w:lang w:eastAsia="en-US"/>
              </w:rPr>
            </w:pPr>
            <w:r w:rsidRPr="00E3331A">
              <w:rPr>
                <w:rFonts w:eastAsia="Calibri"/>
                <w:lang w:eastAsia="en-US"/>
              </w:rPr>
              <w:t>Walking unassisted, 80%</w:t>
            </w:r>
          </w:p>
          <w:p w:rsidR="001F5B33" w:rsidRPr="00E3331A" w:rsidRDefault="001F5B33" w:rsidP="00493DDF">
            <w:pPr>
              <w:pStyle w:val="Tabletext1"/>
              <w:rPr>
                <w:rFonts w:eastAsia="Calibri"/>
                <w:lang w:eastAsia="en-US"/>
              </w:rPr>
            </w:pPr>
            <w:r w:rsidRPr="00E3331A">
              <w:rPr>
                <w:rFonts w:eastAsia="Calibri"/>
                <w:lang w:eastAsia="en-US"/>
              </w:rPr>
              <w:t>CIDP type</w:t>
            </w:r>
          </w:p>
          <w:p w:rsidR="001F5B33" w:rsidRPr="00E3331A" w:rsidRDefault="001F5B33" w:rsidP="00493DDF">
            <w:pPr>
              <w:pStyle w:val="Tabletext1"/>
              <w:rPr>
                <w:rFonts w:eastAsia="Calibri"/>
                <w:lang w:eastAsia="en-US"/>
              </w:rPr>
            </w:pPr>
            <w:r w:rsidRPr="00E3331A">
              <w:rPr>
                <w:rFonts w:eastAsia="Calibri"/>
                <w:lang w:eastAsia="en-US"/>
              </w:rPr>
              <w:t>Typical: 98 (78%)</w:t>
            </w:r>
          </w:p>
          <w:p w:rsidR="001F5B33" w:rsidRPr="00E3331A" w:rsidRDefault="001F5B33" w:rsidP="00493DDF">
            <w:pPr>
              <w:pStyle w:val="Tabletext1"/>
              <w:rPr>
                <w:rFonts w:eastAsia="Calibri"/>
                <w:lang w:eastAsia="en-US"/>
              </w:rPr>
            </w:pPr>
            <w:r w:rsidRPr="00E3331A">
              <w:rPr>
                <w:rFonts w:eastAsia="Calibri"/>
                <w:lang w:eastAsia="en-US"/>
              </w:rPr>
              <w:t>Atypical: 27 (22%)</w:t>
            </w:r>
          </w:p>
          <w:p w:rsidR="001F5B33" w:rsidRPr="00E3331A" w:rsidRDefault="001F5B33" w:rsidP="00493DDF">
            <w:pPr>
              <w:pStyle w:val="Tabletext1"/>
              <w:rPr>
                <w:rFonts w:eastAsia="Calibri"/>
                <w:lang w:eastAsia="en-US"/>
              </w:rPr>
            </w:pPr>
            <w:r w:rsidRPr="00E3331A">
              <w:rPr>
                <w:rFonts w:eastAsia="Calibri"/>
                <w:lang w:eastAsia="en-US"/>
              </w:rPr>
              <w:t>Median MRC sum score (range)</w:t>
            </w:r>
          </w:p>
          <w:p w:rsidR="001F5B33" w:rsidRPr="00E3331A" w:rsidRDefault="001F5B33" w:rsidP="00493DDF">
            <w:pPr>
              <w:pStyle w:val="Tabletext1"/>
              <w:rPr>
                <w:rFonts w:eastAsia="Calibri"/>
                <w:lang w:eastAsia="en-US"/>
              </w:rPr>
            </w:pPr>
            <w:r w:rsidRPr="00E3331A">
              <w:rPr>
                <w:rFonts w:eastAsia="Calibri"/>
                <w:lang w:eastAsia="en-US"/>
              </w:rPr>
              <w:t>53 (34–60)</w:t>
            </w:r>
          </w:p>
        </w:tc>
        <w:tc>
          <w:tcPr>
            <w:tcW w:w="963" w:type="pct"/>
            <w:shd w:val="clear" w:color="auto" w:fill="auto"/>
          </w:tcPr>
          <w:p w:rsidR="001F5B33" w:rsidRPr="00E3331A" w:rsidRDefault="001F5B33" w:rsidP="00493DDF">
            <w:pPr>
              <w:pStyle w:val="Tabletext1"/>
              <w:rPr>
                <w:rFonts w:eastAsia="Calibri"/>
                <w:lang w:eastAsia="en-US"/>
              </w:rPr>
            </w:pPr>
            <w:r w:rsidRPr="00E3331A">
              <w:rPr>
                <w:rFonts w:eastAsia="Calibri"/>
                <w:lang w:eastAsia="en-US"/>
              </w:rPr>
              <w:t>Primary outcome was assessed 6 months after start of treatment. The secondary outcome was the remission rate in treatment responders</w:t>
            </w:r>
            <w:r w:rsidR="0032618C" w:rsidRPr="00E3331A">
              <w:rPr>
                <w:rFonts w:eastAsia="Calibri"/>
                <w:lang w:eastAsia="en-US"/>
              </w:rPr>
              <w:t>.</w:t>
            </w:r>
          </w:p>
          <w:p w:rsidR="001F5B33" w:rsidRPr="00E3331A" w:rsidRDefault="001F5B33" w:rsidP="00493DDF">
            <w:pPr>
              <w:pStyle w:val="Tabletext1"/>
              <w:rPr>
                <w:rFonts w:eastAsia="Calibri"/>
                <w:lang w:eastAsia="en-US"/>
              </w:rPr>
            </w:pPr>
          </w:p>
          <w:p w:rsidR="001F5B33" w:rsidRPr="00E3331A" w:rsidRDefault="001F5B33" w:rsidP="00493DDF">
            <w:pPr>
              <w:pStyle w:val="Tabletext1"/>
              <w:rPr>
                <w:rFonts w:eastAsia="Calibri"/>
                <w:lang w:eastAsia="en-US"/>
              </w:rPr>
            </w:pPr>
            <w:r w:rsidRPr="00E3331A">
              <w:rPr>
                <w:rFonts w:eastAsia="Calibri"/>
                <w:lang w:eastAsia="en-US"/>
              </w:rPr>
              <w:t>60% responded to corticosteroids, Of the 75 responders, 61% remained in remission, during a median follow-up of 55 months</w:t>
            </w:r>
            <w:r w:rsidR="003D5FA7">
              <w:rPr>
                <w:rFonts w:eastAsia="Calibri"/>
                <w:lang w:eastAsia="en-US"/>
              </w:rPr>
              <w:t>.</w:t>
            </w:r>
          </w:p>
        </w:tc>
      </w:tr>
    </w:tbl>
    <w:p w:rsidR="001F5B33" w:rsidRPr="00E3331A" w:rsidRDefault="001F5B33" w:rsidP="0037150F">
      <w:pPr>
        <w:pStyle w:val="Tablenotes1"/>
        <w:rPr>
          <w:noProof/>
        </w:rPr>
      </w:pPr>
      <w:r w:rsidRPr="00E3331A">
        <w:rPr>
          <w:b/>
        </w:rPr>
        <w:lastRenderedPageBreak/>
        <w:t>Abbreviations</w:t>
      </w:r>
      <w:r w:rsidRPr="00E3331A">
        <w:t>: AAN = American Academy of Neurology, CIDP= Chronic inflammatory demyelinating polyneuropathy, Ig= Immunoglobulin, IV= Intravenous, P = placebo, EFNS/PNS= Neurological Societies/Peripheral Nerve Society, ONLS= Overall Neuropathy Limitations Scale, NDS = neurologic disability score, INCAT = inflammatory Neuropathy Cause and Treatment.</w:t>
      </w:r>
    </w:p>
    <w:p w:rsidR="001F5B33" w:rsidRPr="00E3331A" w:rsidRDefault="001F5B33" w:rsidP="003E4E1F">
      <w:pPr>
        <w:pStyle w:val="BodyTextSTD"/>
      </w:pPr>
      <w:r w:rsidRPr="00E3331A">
        <w:t xml:space="preserve">To estimate comparator patient costs on the steroid arm, Blackhouse </w:t>
      </w:r>
      <w:r w:rsidR="00983BA7">
        <w:t xml:space="preserve">et al. </w:t>
      </w:r>
      <w:r w:rsidRPr="00E3331A">
        <w:t xml:space="preserve">(2010) assumed average patient weight and dosing </w:t>
      </w:r>
      <w:r w:rsidR="00DA6C72" w:rsidRPr="00E3331A">
        <w:t>from</w:t>
      </w:r>
      <w:r w:rsidRPr="00E3331A">
        <w:t xml:space="preserve"> the Hughes </w:t>
      </w:r>
      <w:r w:rsidR="00983BA7">
        <w:t xml:space="preserve">et al. </w:t>
      </w:r>
      <w:r w:rsidRPr="00E3331A">
        <w:t xml:space="preserve">(2001) study. Long-term use of corticosteroids is associated with </w:t>
      </w:r>
      <w:r w:rsidRPr="00E3331A">
        <w:rPr>
          <w:noProof/>
        </w:rPr>
        <w:t>a number of</w:t>
      </w:r>
      <w:r w:rsidRPr="00E3331A">
        <w:t xml:space="preserve"> potentially serious side effects including diabetes, increased risk of fracture, glaucoma, cataracts and increased susceptibility to infection. </w:t>
      </w:r>
      <w:r w:rsidR="00DA6C72" w:rsidRPr="00E3331A">
        <w:t>Treatment costs and p</w:t>
      </w:r>
      <w:r w:rsidRPr="00E3331A">
        <w:t xml:space="preserve">robabilities of these events </w:t>
      </w:r>
      <w:r w:rsidR="00D77378" w:rsidRPr="00E3331A">
        <w:t>occurring</w:t>
      </w:r>
      <w:r w:rsidRPr="00E3331A">
        <w:t xml:space="preserve"> are included in the model</w:t>
      </w:r>
      <w:r w:rsidR="00096949" w:rsidRPr="00E3331A">
        <w:t xml:space="preserve"> based on Wilson et al. (2017)</w:t>
      </w:r>
      <w:r w:rsidRPr="00E3331A">
        <w:t xml:space="preserve">. Corticosteroids </w:t>
      </w:r>
      <w:r w:rsidRPr="00E3331A">
        <w:rPr>
          <w:noProof/>
        </w:rPr>
        <w:t>are used</w:t>
      </w:r>
      <w:r w:rsidRPr="00E3331A">
        <w:t xml:space="preserve"> in conjunction with </w:t>
      </w:r>
      <w:r w:rsidRPr="00E3331A">
        <w:rPr>
          <w:noProof/>
        </w:rPr>
        <w:t>steroid-sparing</w:t>
      </w:r>
      <w:r w:rsidRPr="00E3331A">
        <w:t xml:space="preserve"> therapy in the form of immunosuppressants for steroid non-responders and those suffering adverse events. The cost of a typical immunosuppressant regimen is included </w:t>
      </w:r>
      <w:r w:rsidR="00DA6C72" w:rsidRPr="00E3331A">
        <w:t xml:space="preserve">in the economic model </w:t>
      </w:r>
      <w:r w:rsidRPr="00E3331A">
        <w:t>for patients in these health states.</w:t>
      </w:r>
    </w:p>
    <w:p w:rsidR="001F5B33" w:rsidRPr="00E3331A" w:rsidRDefault="001F5B33" w:rsidP="001F5B33">
      <w:pPr>
        <w:pStyle w:val="Heading3"/>
      </w:pPr>
      <w:bookmarkStart w:id="336" w:name="_Toc474245344"/>
      <w:bookmarkStart w:id="337" w:name="_Toc24103491"/>
      <w:r w:rsidRPr="00E3331A">
        <w:t>C.2.1.4</w:t>
      </w:r>
      <w:r w:rsidRPr="00E3331A">
        <w:tab/>
        <w:t>Relationship of pre-modelling study to the economic evaluation</w:t>
      </w:r>
      <w:bookmarkEnd w:id="336"/>
      <w:bookmarkEnd w:id="337"/>
    </w:p>
    <w:p w:rsidR="001F5B33" w:rsidRPr="00E3331A" w:rsidRDefault="001F5B33" w:rsidP="00BB6E4C">
      <w:pPr>
        <w:pStyle w:val="BodyTextSTD"/>
      </w:pPr>
      <w:r w:rsidRPr="00E3331A">
        <w:t>The key trials presented in Section B</w:t>
      </w:r>
      <w:r w:rsidR="00DA6C72" w:rsidRPr="00E3331A">
        <w:t xml:space="preserve"> </w:t>
      </w:r>
      <w:r w:rsidR="00C072EE" w:rsidRPr="00E3331A">
        <w:t xml:space="preserve">have </w:t>
      </w:r>
      <w:r w:rsidR="00E810A5" w:rsidRPr="00E3331A">
        <w:t>similarities</w:t>
      </w:r>
      <w:r w:rsidR="00C072EE" w:rsidRPr="00E3331A">
        <w:t xml:space="preserve"> </w:t>
      </w:r>
      <w:r w:rsidR="00DA6C72" w:rsidRPr="00E3331A">
        <w:t>with</w:t>
      </w:r>
      <w:r w:rsidRPr="00E3331A">
        <w:t xml:space="preserve"> Australian Ig use and NSW data</w:t>
      </w:r>
      <w:r w:rsidR="00DA6C72" w:rsidRPr="00E3331A">
        <w:t>.</w:t>
      </w:r>
      <w:r w:rsidRPr="00E3331A">
        <w:t xml:space="preserve"> </w:t>
      </w:r>
      <w:r w:rsidR="00DA6C72" w:rsidRPr="00E3331A">
        <w:t>P</w:t>
      </w:r>
      <w:r w:rsidRPr="00E3331A">
        <w:t>atient age of around 50</w:t>
      </w:r>
      <w:r w:rsidR="00030E53" w:rsidRPr="00E3331A">
        <w:t>-60</w:t>
      </w:r>
      <w:r w:rsidRPr="00E3331A">
        <w:t xml:space="preserve"> years, gender, setting for Ig delivery and disability eligibility criteria</w:t>
      </w:r>
      <w:r w:rsidR="00DA6C72" w:rsidRPr="00E3331A">
        <w:t xml:space="preserve"> are similar</w:t>
      </w:r>
      <w:r w:rsidRPr="00E3331A">
        <w:t xml:space="preserve">. Average ages and weights from the trials are used for costing Ig and steroids. All Ig responders are assumed to be compliant. Ig product costs account for more than </w:t>
      </w:r>
      <w:r w:rsidR="00C072EE" w:rsidRPr="00E3331A">
        <w:t>8</w:t>
      </w:r>
      <w:r w:rsidRPr="00E3331A">
        <w:t xml:space="preserve">0% of the estimated resource use in the </w:t>
      </w:r>
      <w:r w:rsidR="009F042E" w:rsidRPr="00E3331A">
        <w:t>10</w:t>
      </w:r>
      <w:r w:rsidRPr="00E3331A">
        <w:t xml:space="preserve">-year model and </w:t>
      </w:r>
      <w:r w:rsidR="004A3350" w:rsidRPr="00E3331A">
        <w:t>are</w:t>
      </w:r>
      <w:r w:rsidRPr="00E3331A">
        <w:t xml:space="preserve"> the key driver of the calculated ICER. Differences in costs between Ig and steroid use are captured in the incremental cost per QALY calculation </w:t>
      </w:r>
      <w:r w:rsidR="004A3350" w:rsidRPr="00E3331A">
        <w:t xml:space="preserve">that </w:t>
      </w:r>
      <w:r w:rsidRPr="00E3331A">
        <w:t>summarised cost-effectiveness results</w:t>
      </w:r>
    </w:p>
    <w:p w:rsidR="001F5B33" w:rsidRPr="00E3331A" w:rsidRDefault="001F5B33" w:rsidP="00BB6E4C">
      <w:pPr>
        <w:pStyle w:val="BodyTextSTD"/>
      </w:pPr>
      <w:r w:rsidRPr="00E3331A">
        <w:t>Participating patients in key trials had varying degrees of steroid resistance. Optimal treatment varies for steroid</w:t>
      </w:r>
      <w:r w:rsidR="00417823">
        <w:t>-</w:t>
      </w:r>
      <w:r w:rsidRPr="00E3331A">
        <w:t>resistant and non-resistant sub-groups, whereas trial results have been typically presented for comparator groups as a whole.</w:t>
      </w:r>
      <w:r w:rsidR="00345C95" w:rsidRPr="00E3331A">
        <w:t xml:space="preserve"> </w:t>
      </w:r>
      <w:r w:rsidRPr="00E3331A">
        <w:t xml:space="preserve">It is likely </w:t>
      </w:r>
      <w:r w:rsidR="004A3350" w:rsidRPr="00E3331A">
        <w:t xml:space="preserve">that, in Australia, </w:t>
      </w:r>
      <w:r w:rsidRPr="00E3331A">
        <w:t xml:space="preserve">the CIDP patient population </w:t>
      </w:r>
      <w:r w:rsidR="004A3350" w:rsidRPr="00E3331A">
        <w:t>using</w:t>
      </w:r>
      <w:r w:rsidRPr="00E3331A">
        <w:t xml:space="preserve"> Ig would have a high proportion of patients who had previously failed to respond to corticosteroids. </w:t>
      </w:r>
      <w:r w:rsidR="00272265" w:rsidRPr="00E3331A">
        <w:t>R</w:t>
      </w:r>
      <w:r w:rsidRPr="00E3331A">
        <w:t>esponse to steroids vers</w:t>
      </w:r>
      <w:r w:rsidR="00272265" w:rsidRPr="00E3331A">
        <w:t>us</w:t>
      </w:r>
      <w:r w:rsidRPr="00E3331A">
        <w:t xml:space="preserve"> Ig in the trial patient population would favour the comparator, </w:t>
      </w:r>
      <w:r w:rsidR="00272265" w:rsidRPr="00E3331A">
        <w:t>in</w:t>
      </w:r>
      <w:r w:rsidRPr="00E3331A">
        <w:t xml:space="preserve"> the Australian </w:t>
      </w:r>
      <w:r w:rsidR="00272265" w:rsidRPr="00E3331A">
        <w:t>scenario of</w:t>
      </w:r>
      <w:r w:rsidRPr="00E3331A">
        <w:t xml:space="preserve"> a high proportion of steroid</w:t>
      </w:r>
      <w:r w:rsidR="00272265" w:rsidRPr="00E3331A">
        <w:t>-</w:t>
      </w:r>
      <w:r w:rsidRPr="00E3331A">
        <w:t xml:space="preserve">resistant patients. </w:t>
      </w:r>
    </w:p>
    <w:p w:rsidR="001F5B33" w:rsidRPr="00E3331A" w:rsidRDefault="001F5B33" w:rsidP="00BB6E4C">
      <w:pPr>
        <w:pStyle w:val="BodyTextSTD"/>
      </w:pPr>
      <w:r w:rsidRPr="00E3331A">
        <w:t>The types of CIDP evident in trial participants is varied and there is limited data about the characteristics of CIDP</w:t>
      </w:r>
      <w:r w:rsidR="00272265" w:rsidRPr="00E3331A">
        <w:t>-</w:t>
      </w:r>
      <w:r w:rsidRPr="00E3331A">
        <w:t xml:space="preserve">eligible patients in Australia. Clinical feedback provided during the evaluation indicated that 60% of patients have </w:t>
      </w:r>
      <w:r w:rsidR="00272265" w:rsidRPr="00E3331A">
        <w:t xml:space="preserve">the </w:t>
      </w:r>
      <w:r w:rsidRPr="00E3331A">
        <w:t>chronic progressive form requir</w:t>
      </w:r>
      <w:r w:rsidR="00272265" w:rsidRPr="00E3331A">
        <w:t>ing</w:t>
      </w:r>
      <w:r w:rsidRPr="00E3331A">
        <w:t xml:space="preserve"> lifelong treatment. The base case of the economic model assumes longer</w:t>
      </w:r>
      <w:r w:rsidR="00272265" w:rsidRPr="00E3331A">
        <w:t>-</w:t>
      </w:r>
      <w:r w:rsidRPr="00E3331A">
        <w:t xml:space="preserve">term administration of Ig for CIDP. Average Australian dosing is included in the base calculation as trial populations include progressive and relapse patients. This assumption favours the intervention and is subject to sensitivity analysis. </w:t>
      </w:r>
    </w:p>
    <w:p w:rsidR="001F5B33" w:rsidRPr="00E3331A" w:rsidRDefault="003E4E1F" w:rsidP="003E4E1F">
      <w:pPr>
        <w:pStyle w:val="Heading2"/>
      </w:pPr>
      <w:bookmarkStart w:id="338" w:name="_Toc24103492"/>
      <w:r w:rsidRPr="00E3331A">
        <w:t>C.3.</w:t>
      </w:r>
      <w:r w:rsidRPr="00E3331A">
        <w:tab/>
      </w:r>
      <w:r w:rsidR="001F5B33" w:rsidRPr="00E3331A">
        <w:t>Selection of Utility Value issues</w:t>
      </w:r>
      <w:bookmarkEnd w:id="338"/>
    </w:p>
    <w:p w:rsidR="001F5B33" w:rsidRPr="00E3331A" w:rsidRDefault="001F5B33" w:rsidP="001F5B33">
      <w:pPr>
        <w:pStyle w:val="Heading3"/>
      </w:pPr>
      <w:bookmarkStart w:id="339" w:name="_Toc474245346"/>
      <w:bookmarkStart w:id="340" w:name="_Toc24103493"/>
      <w:r w:rsidRPr="00E3331A">
        <w:t>C.3.1</w:t>
      </w:r>
      <w:r w:rsidRPr="00E3331A">
        <w:tab/>
        <w:t>Identification of issue that needs to be addressed</w:t>
      </w:r>
      <w:bookmarkEnd w:id="339"/>
      <w:bookmarkEnd w:id="340"/>
    </w:p>
    <w:p w:rsidR="001F5B33" w:rsidRPr="00E3331A" w:rsidRDefault="001F5B33" w:rsidP="00BB6E4C">
      <w:pPr>
        <w:pStyle w:val="BodyTextSTD"/>
      </w:pPr>
      <w:r w:rsidRPr="00E3331A">
        <w:t>CIDP impacts patient quality of life (QoL). QoL is typically measured for cost</w:t>
      </w:r>
      <w:r w:rsidR="00D45BCF" w:rsidRPr="00E3331A">
        <w:t>-</w:t>
      </w:r>
      <w:r w:rsidRPr="00E3331A">
        <w:t>utility models using instruments such as EQ-5D surveys and converted to a Quality</w:t>
      </w:r>
      <w:r w:rsidR="00D45BCF" w:rsidRPr="00E3331A">
        <w:t>-</w:t>
      </w:r>
      <w:r w:rsidRPr="00E3331A">
        <w:t xml:space="preserve">Adjusted Life Year (QALY) utility index </w:t>
      </w:r>
      <w:r w:rsidRPr="00E3331A">
        <w:lastRenderedPageBreak/>
        <w:t xml:space="preserve">of between 0 and 1, with 1 being the highest quality of life. Many of the trials and observational studies reported in Section B outline patient disability (INCAT, ONLS score, Six-Minute Walk Test </w:t>
      </w:r>
      <w:r w:rsidR="00272265" w:rsidRPr="00E3331A">
        <w:t>[</w:t>
      </w:r>
      <w:r w:rsidRPr="00E3331A">
        <w:t>6MWT</w:t>
      </w:r>
      <w:r w:rsidR="00272265" w:rsidRPr="00E3331A">
        <w:t>]</w:t>
      </w:r>
      <w:r w:rsidRPr="00E3331A">
        <w:t xml:space="preserve"> and muscle strength e.g. MRC Sum, MRS) along with </w:t>
      </w:r>
      <w:r w:rsidRPr="00E3331A">
        <w:rPr>
          <w:rFonts w:cs="Calibri"/>
        </w:rPr>
        <w:t xml:space="preserve">adverse events. EQ-5D has not been reported across many studies, as many are not powered </w:t>
      </w:r>
      <w:r w:rsidRPr="00E3331A">
        <w:t>to measure treatment effect on quality of life parameters. Cost-utility analysis requires the derivation of quality of life outcomes, as measured by instruments such as EQ-5D, or other generic questionnaires.</w:t>
      </w:r>
    </w:p>
    <w:p w:rsidR="001F5B33" w:rsidRPr="00E3331A" w:rsidRDefault="001F5B33" w:rsidP="001F5B33">
      <w:pPr>
        <w:pStyle w:val="Heading3"/>
        <w:keepLines/>
      </w:pPr>
      <w:bookmarkStart w:id="341" w:name="_Toc474245347"/>
      <w:bookmarkStart w:id="342" w:name="_Toc24103494"/>
      <w:r w:rsidRPr="00E3331A">
        <w:t>C.3.2</w:t>
      </w:r>
      <w:r w:rsidRPr="00E3331A">
        <w:tab/>
        <w:t>Focused analytical plan</w:t>
      </w:r>
      <w:bookmarkEnd w:id="341"/>
      <w:bookmarkEnd w:id="342"/>
    </w:p>
    <w:p w:rsidR="001F5B33" w:rsidRPr="00E3331A" w:rsidRDefault="001F5B33" w:rsidP="00BB6E4C">
      <w:pPr>
        <w:pStyle w:val="BodyTextSTD"/>
      </w:pPr>
      <w:r w:rsidRPr="00E3331A">
        <w:t xml:space="preserve">The literature was reviewed to determine EQ-5D values for CIDP patients. </w:t>
      </w:r>
      <w:r w:rsidR="00B4735F" w:rsidRPr="00E3331A">
        <w:t>QoL</w:t>
      </w:r>
      <w:r w:rsidRPr="00E3331A">
        <w:t xml:space="preserve"> data is derived from these sources for inclusion as utility values in the economic model.</w:t>
      </w:r>
    </w:p>
    <w:p w:rsidR="001F5B33" w:rsidRPr="00E3331A" w:rsidRDefault="001F5B33" w:rsidP="001F5B33">
      <w:pPr>
        <w:pStyle w:val="Heading3"/>
      </w:pPr>
      <w:bookmarkStart w:id="343" w:name="_Toc474245348"/>
      <w:bookmarkStart w:id="344" w:name="_Toc24103495"/>
      <w:r w:rsidRPr="00E3331A">
        <w:t>C.3.3</w:t>
      </w:r>
      <w:r w:rsidRPr="00E3331A">
        <w:tab/>
        <w:t>Results of pre-modelling study</w:t>
      </w:r>
      <w:bookmarkEnd w:id="343"/>
      <w:bookmarkEnd w:id="344"/>
    </w:p>
    <w:p w:rsidR="001F5B33" w:rsidRPr="00E3331A" w:rsidRDefault="001F5B33" w:rsidP="00EC4A59">
      <w:pPr>
        <w:pStyle w:val="Heading4"/>
      </w:pPr>
      <w:r w:rsidRPr="00E3331A">
        <w:t>Literature search for CIDP State Utilities</w:t>
      </w:r>
    </w:p>
    <w:p w:rsidR="001F5B33" w:rsidRPr="00E3331A" w:rsidRDefault="009E40A3" w:rsidP="00BB6E4C">
      <w:pPr>
        <w:pStyle w:val="BodyTextSTD"/>
      </w:pPr>
      <w:r w:rsidRPr="00E3331A">
        <w:t>P</w:t>
      </w:r>
      <w:r w:rsidR="001F5B33" w:rsidRPr="00E3331A">
        <w:t xml:space="preserve">ublished data on CIDP survival and </w:t>
      </w:r>
      <w:r w:rsidRPr="00E3331A">
        <w:t>QoL is</w:t>
      </w:r>
      <w:r w:rsidR="001F5B33" w:rsidRPr="00E3331A">
        <w:t xml:space="preserve"> </w:t>
      </w:r>
      <w:r w:rsidRPr="00E3331A">
        <w:t xml:space="preserve">limited </w:t>
      </w:r>
      <w:r w:rsidR="001F5B33" w:rsidRPr="00E3331A">
        <w:t xml:space="preserve">given the rare nature of the disease. </w:t>
      </w:r>
      <w:r w:rsidR="003B42A6" w:rsidRPr="00E3331A">
        <w:t>T</w:t>
      </w:r>
      <w:r w:rsidR="001F5B33" w:rsidRPr="00E3331A">
        <w:t xml:space="preserve">o identify published </w:t>
      </w:r>
      <w:r w:rsidR="003B42A6" w:rsidRPr="00E3331A">
        <w:t>QoL</w:t>
      </w:r>
      <w:r w:rsidR="001F5B33" w:rsidRPr="00E3331A">
        <w:t xml:space="preserve"> analyses for CIDP patients</w:t>
      </w:r>
      <w:r w:rsidR="003B42A6" w:rsidRPr="00E3331A">
        <w:t xml:space="preserve"> a literature search was conducted in 20 April 2019</w:t>
      </w:r>
      <w:r w:rsidR="001F5B33" w:rsidRPr="00E3331A">
        <w:t xml:space="preserve"> in E</w:t>
      </w:r>
      <w:r w:rsidR="00591599" w:rsidRPr="00E3331A">
        <w:t>mbase</w:t>
      </w:r>
      <w:r w:rsidR="001F5B33" w:rsidRPr="00E3331A">
        <w:t>, Cochrane Library and HTA agency websites including C</w:t>
      </w:r>
      <w:r w:rsidR="00B73E3D">
        <w:t>anadian Agency for Drugs and Technologies in Health (CADTH)</w:t>
      </w:r>
      <w:r w:rsidR="001F5B33" w:rsidRPr="00E3331A">
        <w:t xml:space="preserve"> and </w:t>
      </w:r>
      <w:r w:rsidR="00BE54F2">
        <w:t>National Institute for Health and Care Excellence (</w:t>
      </w:r>
      <w:r w:rsidR="001F5B33" w:rsidRPr="00E3331A">
        <w:t>NICE</w:t>
      </w:r>
      <w:r w:rsidR="00BE54F2">
        <w:t>)</w:t>
      </w:r>
      <w:r w:rsidR="001F5B33" w:rsidRPr="00E3331A">
        <w:t xml:space="preserve">. </w:t>
      </w:r>
      <w:r w:rsidR="003B42A6" w:rsidRPr="00E3331A">
        <w:t>A</w:t>
      </w:r>
      <w:r w:rsidR="001F5B33" w:rsidRPr="00E3331A">
        <w:t xml:space="preserve"> limited number of publications assessing the impact of CIDP on patient’s QoL</w:t>
      </w:r>
      <w:r w:rsidR="003B42A6" w:rsidRPr="00E3331A">
        <w:t xml:space="preserve"> were found, with</w:t>
      </w:r>
      <w:r w:rsidR="001F5B33" w:rsidRPr="00E3331A">
        <w:t xml:space="preserve"> </w:t>
      </w:r>
      <w:r w:rsidR="003B42A6" w:rsidRPr="00E3331A">
        <w:t>m</w:t>
      </w:r>
      <w:r w:rsidR="001F5B33" w:rsidRPr="00E3331A">
        <w:t>ost relevant studies covered</w:t>
      </w:r>
      <w:r w:rsidR="003B42A6" w:rsidRPr="00E3331A">
        <w:t xml:space="preserve"> already</w:t>
      </w:r>
      <w:r w:rsidR="001F5B33" w:rsidRPr="00E3331A">
        <w:t xml:space="preserve"> in the recent review by Rajabally and Cavanna (2015). The review is </w:t>
      </w:r>
      <w:r w:rsidR="00E810A5" w:rsidRPr="00E3331A">
        <w:t>summarised,</w:t>
      </w:r>
      <w:r w:rsidR="001F5B33" w:rsidRPr="00E3331A">
        <w:t xml:space="preserve"> and cited studies used for CIDP utility.</w:t>
      </w:r>
    </w:p>
    <w:p w:rsidR="001F5B33" w:rsidRPr="00E3331A" w:rsidRDefault="001F5B33" w:rsidP="003E4E1F">
      <w:pPr>
        <w:pStyle w:val="Heading5"/>
      </w:pPr>
      <w:r w:rsidRPr="00E3331A">
        <w:t>Utilities for CIDP</w:t>
      </w:r>
    </w:p>
    <w:p w:rsidR="001F5B33" w:rsidRPr="00E3331A" w:rsidRDefault="001F5B33" w:rsidP="003E4E1F">
      <w:pPr>
        <w:pStyle w:val="Heading6"/>
      </w:pPr>
      <w:r w:rsidRPr="00E3331A">
        <w:t>Rajabally and Cavanna (2015)</w:t>
      </w:r>
      <w:r w:rsidR="0081243F" w:rsidRPr="00E3331A">
        <w:t xml:space="preserve"> </w:t>
      </w:r>
    </w:p>
    <w:p w:rsidR="001F5B33" w:rsidRPr="00E3331A" w:rsidRDefault="001F5B33" w:rsidP="00BB6E4C">
      <w:pPr>
        <w:pStyle w:val="BodyTextSTD"/>
      </w:pPr>
      <w:r w:rsidRPr="00E3331A">
        <w:t xml:space="preserve">The authors undertook a systematic review of the scientific literature on the effects of health-related </w:t>
      </w:r>
      <w:r w:rsidR="003B42A6" w:rsidRPr="00E3331A">
        <w:t>QoL</w:t>
      </w:r>
      <w:r w:rsidRPr="00E3331A">
        <w:t xml:space="preserve"> (HRQoL) in CIDP patients. </w:t>
      </w:r>
      <w:r w:rsidR="003B42A6" w:rsidRPr="00E3331A">
        <w:t>The review comprised</w:t>
      </w:r>
      <w:r w:rsidRPr="00E3331A">
        <w:t xml:space="preserve"> a Medline search of all English language articles published between 1966–October 2014 on HRQoL in all forms of chronic inflammatory neuropathies. The</w:t>
      </w:r>
      <w:r w:rsidR="003B42A6" w:rsidRPr="00E3331A">
        <w:t xml:space="preserve"> search yielded</w:t>
      </w:r>
      <w:r w:rsidRPr="00E3331A">
        <w:t xml:space="preserve"> 23 articles, with the key studies summarised in </w:t>
      </w:r>
      <w:r w:rsidR="006F35B9" w:rsidRPr="00E3331A">
        <w:t xml:space="preserve">Table </w:t>
      </w:r>
      <w:r w:rsidR="006F35B9">
        <w:rPr>
          <w:noProof/>
        </w:rPr>
        <w:t>47</w:t>
      </w:r>
      <w:r w:rsidRPr="00E3331A">
        <w:t xml:space="preserve">. The authors concluded </w:t>
      </w:r>
      <w:r w:rsidR="003B42A6" w:rsidRPr="00E3331A">
        <w:t xml:space="preserve">that </w:t>
      </w:r>
      <w:r w:rsidRPr="00E3331A">
        <w:t xml:space="preserve">available data </w:t>
      </w:r>
      <w:r w:rsidR="003B42A6" w:rsidRPr="00E3331A">
        <w:t xml:space="preserve">is </w:t>
      </w:r>
      <w:r w:rsidRPr="00E3331A">
        <w:t xml:space="preserve">limited </w:t>
      </w:r>
      <w:r w:rsidR="003B42A6" w:rsidRPr="00E3331A">
        <w:t>because</w:t>
      </w:r>
      <w:r w:rsidRPr="00E3331A">
        <w:t xml:space="preserve"> few studies have systematically considered HRQoL in patients with inflammatory neuropathies. Moreover, in treatment trials HRQoL measures have exclusively been used as secondary outcome measures.</w:t>
      </w:r>
    </w:p>
    <w:p w:rsidR="001F5B33" w:rsidRPr="00E3331A" w:rsidRDefault="001F5B33" w:rsidP="001F5B33">
      <w:pPr>
        <w:pStyle w:val="Caption"/>
      </w:pPr>
      <w:bookmarkStart w:id="345" w:name="_Ref7200242"/>
      <w:bookmarkStart w:id="346" w:name="_Toc24103352"/>
      <w:r w:rsidRPr="00E3331A">
        <w:lastRenderedPageBreak/>
        <w:t xml:space="preserve">Table </w:t>
      </w:r>
      <w:r w:rsidR="006F35B9">
        <w:rPr>
          <w:noProof/>
        </w:rPr>
        <w:t>46</w:t>
      </w:r>
      <w:bookmarkEnd w:id="345"/>
      <w:r w:rsidR="0084483D" w:rsidRPr="00E3331A">
        <w:tab/>
      </w:r>
      <w:r w:rsidRPr="00E3331A">
        <w:t>Studies on health-related quality of life in CIDP</w:t>
      </w:r>
      <w:bookmarkEnd w:id="346"/>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209"/>
        <w:gridCol w:w="1476"/>
        <w:gridCol w:w="4111"/>
      </w:tblGrid>
      <w:tr w:rsidR="00281EC2" w:rsidRPr="00E3331A" w:rsidTr="0007007F">
        <w:trPr>
          <w:trHeight w:val="796"/>
          <w:tblHeader/>
        </w:trPr>
        <w:tc>
          <w:tcPr>
            <w:tcW w:w="1413" w:type="dxa"/>
            <w:shd w:val="clear" w:color="auto" w:fill="D9D9D9"/>
            <w:vAlign w:val="center"/>
          </w:tcPr>
          <w:p w:rsidR="001F5B33" w:rsidRPr="00E3331A" w:rsidRDefault="001F5B33" w:rsidP="0007007F">
            <w:pPr>
              <w:spacing w:after="0"/>
              <w:jc w:val="center"/>
              <w:rPr>
                <w:rFonts w:ascii="Arial Narrow" w:hAnsi="Arial Narrow"/>
                <w:b/>
                <w:sz w:val="20"/>
                <w:szCs w:val="20"/>
              </w:rPr>
            </w:pPr>
            <w:r w:rsidRPr="00E3331A">
              <w:rPr>
                <w:rFonts w:ascii="Arial Narrow" w:hAnsi="Arial Narrow"/>
                <w:b/>
                <w:sz w:val="20"/>
                <w:szCs w:val="20"/>
              </w:rPr>
              <w:t>Publication &amp; study type</w:t>
            </w:r>
          </w:p>
        </w:tc>
        <w:tc>
          <w:tcPr>
            <w:tcW w:w="2209" w:type="dxa"/>
            <w:shd w:val="clear" w:color="auto" w:fill="D9D9D9"/>
            <w:vAlign w:val="center"/>
          </w:tcPr>
          <w:p w:rsidR="001F5B33" w:rsidRPr="00E3331A" w:rsidRDefault="001F5B33" w:rsidP="0007007F">
            <w:pPr>
              <w:spacing w:after="0"/>
              <w:jc w:val="center"/>
              <w:rPr>
                <w:rFonts w:ascii="Arial Narrow" w:hAnsi="Arial Narrow"/>
                <w:b/>
                <w:sz w:val="20"/>
                <w:szCs w:val="20"/>
              </w:rPr>
            </w:pPr>
            <w:r w:rsidRPr="00E3331A">
              <w:rPr>
                <w:rFonts w:ascii="Arial Narrow" w:hAnsi="Arial Narrow"/>
                <w:b/>
                <w:sz w:val="20"/>
                <w:szCs w:val="20"/>
              </w:rPr>
              <w:t>HRQoL scale or index (SD)</w:t>
            </w:r>
          </w:p>
        </w:tc>
        <w:tc>
          <w:tcPr>
            <w:tcW w:w="1476" w:type="dxa"/>
            <w:shd w:val="clear" w:color="auto" w:fill="D9D9D9"/>
            <w:vAlign w:val="center"/>
          </w:tcPr>
          <w:p w:rsidR="001F5B33" w:rsidRPr="00E3331A" w:rsidRDefault="001F5B33" w:rsidP="0007007F">
            <w:pPr>
              <w:spacing w:after="0"/>
              <w:jc w:val="center"/>
              <w:rPr>
                <w:rFonts w:ascii="Arial Narrow" w:hAnsi="Arial Narrow"/>
                <w:b/>
                <w:sz w:val="20"/>
                <w:szCs w:val="20"/>
              </w:rPr>
            </w:pPr>
            <w:r w:rsidRPr="00E3331A">
              <w:rPr>
                <w:rFonts w:ascii="Arial Narrow" w:hAnsi="Arial Narrow"/>
                <w:b/>
                <w:sz w:val="20"/>
                <w:szCs w:val="20"/>
              </w:rPr>
              <w:t>Participants and setting</w:t>
            </w:r>
          </w:p>
        </w:tc>
        <w:tc>
          <w:tcPr>
            <w:tcW w:w="4111" w:type="dxa"/>
            <w:shd w:val="clear" w:color="auto" w:fill="D9D9D9"/>
            <w:vAlign w:val="center"/>
          </w:tcPr>
          <w:p w:rsidR="001F5B33" w:rsidRPr="00E3331A" w:rsidRDefault="001F5B33" w:rsidP="0007007F">
            <w:pPr>
              <w:spacing w:after="0"/>
              <w:jc w:val="center"/>
              <w:rPr>
                <w:rFonts w:ascii="Arial Narrow" w:hAnsi="Arial Narrow"/>
                <w:b/>
                <w:sz w:val="20"/>
                <w:szCs w:val="20"/>
              </w:rPr>
            </w:pPr>
            <w:r w:rsidRPr="00E3331A">
              <w:rPr>
                <w:rFonts w:ascii="Arial Narrow" w:hAnsi="Arial Narrow"/>
                <w:b/>
                <w:sz w:val="20"/>
                <w:szCs w:val="20"/>
              </w:rPr>
              <w:t>Comments</w:t>
            </w:r>
          </w:p>
        </w:tc>
      </w:tr>
      <w:tr w:rsidR="001F5B33" w:rsidRPr="00E3331A" w:rsidTr="0007007F">
        <w:trPr>
          <w:trHeight w:val="1609"/>
        </w:trPr>
        <w:tc>
          <w:tcPr>
            <w:tcW w:w="1413" w:type="dxa"/>
            <w:shd w:val="clear" w:color="auto" w:fill="auto"/>
            <w:vAlign w:val="center"/>
          </w:tcPr>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 xml:space="preserve">Hughes </w:t>
            </w:r>
            <w:r w:rsidR="00983BA7">
              <w:rPr>
                <w:rFonts w:ascii="Arial Narrow" w:hAnsi="Arial Narrow"/>
                <w:sz w:val="20"/>
                <w:szCs w:val="20"/>
              </w:rPr>
              <w:t xml:space="preserve">et al. </w:t>
            </w:r>
            <w:r w:rsidRPr="00E3331A">
              <w:rPr>
                <w:rFonts w:ascii="Arial Narrow" w:hAnsi="Arial Narrow"/>
                <w:sz w:val="20"/>
                <w:szCs w:val="20"/>
              </w:rPr>
              <w:t>2001</w:t>
            </w:r>
            <w:r w:rsidR="00B85C75">
              <w:rPr>
                <w:rFonts w:ascii="Arial Narrow" w:hAnsi="Arial Narrow"/>
                <w:noProof/>
                <w:sz w:val="20"/>
                <w:szCs w:val="20"/>
              </w:rPr>
              <w:t>(Hughes et al. 2001)</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Therapeutic</w:t>
            </w:r>
          </w:p>
        </w:tc>
        <w:tc>
          <w:tcPr>
            <w:tcW w:w="2209" w:type="dxa"/>
            <w:shd w:val="clear" w:color="auto" w:fill="auto"/>
            <w:vAlign w:val="center"/>
          </w:tcPr>
          <w:p w:rsidR="001F5B33" w:rsidRPr="00E3331A" w:rsidRDefault="001F5B33" w:rsidP="0007007F">
            <w:pPr>
              <w:spacing w:after="0"/>
              <w:rPr>
                <w:rFonts w:ascii="Arial Narrow" w:hAnsi="Arial Narrow"/>
                <w:b/>
                <w:sz w:val="20"/>
                <w:szCs w:val="20"/>
              </w:rPr>
            </w:pPr>
            <w:r w:rsidRPr="00E3331A">
              <w:rPr>
                <w:rFonts w:ascii="Arial Narrow" w:hAnsi="Arial Narrow"/>
                <w:b/>
                <w:sz w:val="20"/>
                <w:szCs w:val="20"/>
              </w:rPr>
              <w:t>Speed of walking over 10 m after 2 weeks (m/second)</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Steroid 0.01 (0.02)</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Ig 0.01 (0.01)</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Difference 0.00 (0)</w:t>
            </w:r>
          </w:p>
          <w:p w:rsidR="001F5B33" w:rsidRPr="00E3331A" w:rsidRDefault="001F5B33" w:rsidP="0007007F">
            <w:pPr>
              <w:spacing w:after="0"/>
              <w:rPr>
                <w:rFonts w:ascii="Arial Narrow" w:hAnsi="Arial Narrow"/>
                <w:b/>
                <w:sz w:val="20"/>
                <w:szCs w:val="20"/>
              </w:rPr>
            </w:pPr>
            <w:r w:rsidRPr="00E3331A">
              <w:rPr>
                <w:rFonts w:ascii="Arial Narrow" w:hAnsi="Arial Narrow"/>
                <w:b/>
                <w:sz w:val="20"/>
                <w:szCs w:val="20"/>
              </w:rPr>
              <w:t>Disability grade after 6 weeks</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Steroid -0.62 (1.52)</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Ig -0.71 (1.19)</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Difference 0.22 (0.4)</w:t>
            </w:r>
          </w:p>
        </w:tc>
        <w:tc>
          <w:tcPr>
            <w:tcW w:w="1476" w:type="dxa"/>
            <w:shd w:val="clear" w:color="auto" w:fill="auto"/>
            <w:vAlign w:val="center"/>
          </w:tcPr>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25</w:t>
            </w:r>
          </w:p>
          <w:p w:rsidR="001F5B33" w:rsidRPr="00E3331A" w:rsidRDefault="001F5B33" w:rsidP="0007007F">
            <w:pPr>
              <w:spacing w:after="0"/>
              <w:jc w:val="center"/>
              <w:rPr>
                <w:rFonts w:ascii="Arial Narrow" w:hAnsi="Arial Narrow"/>
                <w:sz w:val="20"/>
                <w:szCs w:val="20"/>
              </w:rPr>
            </w:pP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Nine European centres</w:t>
            </w:r>
          </w:p>
        </w:tc>
        <w:tc>
          <w:tcPr>
            <w:tcW w:w="4111" w:type="dxa"/>
            <w:shd w:val="clear" w:color="auto" w:fill="auto"/>
            <w:vAlign w:val="center"/>
          </w:tcPr>
          <w:p w:rsidR="001F5B33" w:rsidRPr="00E3331A" w:rsidRDefault="003B42A6" w:rsidP="003B42A6">
            <w:pPr>
              <w:spacing w:after="0"/>
              <w:rPr>
                <w:rFonts w:ascii="Arial Narrow" w:hAnsi="Arial Narrow"/>
                <w:sz w:val="20"/>
                <w:szCs w:val="20"/>
              </w:rPr>
            </w:pPr>
            <w:r w:rsidRPr="00E3331A">
              <w:rPr>
                <w:rFonts w:ascii="Arial Narrow" w:hAnsi="Arial Narrow"/>
                <w:sz w:val="20"/>
                <w:szCs w:val="20"/>
              </w:rPr>
              <w:t>A</w:t>
            </w:r>
            <w:r w:rsidR="001F5B33" w:rsidRPr="00E3331A">
              <w:rPr>
                <w:rFonts w:ascii="Arial Narrow" w:hAnsi="Arial Narrow"/>
                <w:sz w:val="20"/>
                <w:szCs w:val="20"/>
              </w:rPr>
              <w:t xml:space="preserve">uthors reported the results of a multicentre </w:t>
            </w:r>
            <w:r w:rsidR="00E810A5" w:rsidRPr="00E3331A">
              <w:rPr>
                <w:rFonts w:ascii="Arial Narrow" w:hAnsi="Arial Narrow"/>
                <w:sz w:val="20"/>
                <w:szCs w:val="20"/>
              </w:rPr>
              <w:t>double-blind</w:t>
            </w:r>
            <w:r w:rsidR="001F5B33" w:rsidRPr="00E3331A">
              <w:rPr>
                <w:rFonts w:ascii="Arial Narrow" w:hAnsi="Arial Narrow"/>
                <w:sz w:val="20"/>
                <w:szCs w:val="20"/>
              </w:rPr>
              <w:t xml:space="preserve"> cross</w:t>
            </w:r>
            <w:r w:rsidR="00D45BCF" w:rsidRPr="00E3331A">
              <w:rPr>
                <w:rFonts w:ascii="Arial Narrow" w:hAnsi="Arial Narrow"/>
                <w:sz w:val="20"/>
                <w:szCs w:val="20"/>
              </w:rPr>
              <w:t>over</w:t>
            </w:r>
            <w:r w:rsidR="001F5B33" w:rsidRPr="00E3331A">
              <w:rPr>
                <w:rFonts w:ascii="Arial Narrow" w:hAnsi="Arial Narrow"/>
                <w:sz w:val="20"/>
                <w:szCs w:val="20"/>
              </w:rPr>
              <w:t xml:space="preserve"> </w:t>
            </w:r>
            <w:r w:rsidRPr="00E3331A">
              <w:rPr>
                <w:rFonts w:ascii="Arial Narrow" w:hAnsi="Arial Narrow"/>
                <w:sz w:val="20"/>
                <w:szCs w:val="20"/>
              </w:rPr>
              <w:t>RCT</w:t>
            </w:r>
            <w:r w:rsidR="001F5B33" w:rsidRPr="00E3331A">
              <w:rPr>
                <w:rFonts w:ascii="Arial Narrow" w:hAnsi="Arial Narrow"/>
                <w:sz w:val="20"/>
                <w:szCs w:val="20"/>
              </w:rPr>
              <w:t xml:space="preserve"> comparing IVIg against oral corticosteroids over 6 weeks in 25 CIDP patients. Both arms resulted in non-significant improvements at 2 weeks in the 11-point INCAT scale. Participants were also provided with the SF-36 questionnaire</w:t>
            </w:r>
            <w:r w:rsidR="003D5FA7">
              <w:rPr>
                <w:rFonts w:ascii="Arial Narrow" w:hAnsi="Arial Narrow"/>
                <w:sz w:val="20"/>
                <w:szCs w:val="20"/>
              </w:rPr>
              <w:t>.</w:t>
            </w:r>
          </w:p>
        </w:tc>
      </w:tr>
      <w:tr w:rsidR="001F5B33" w:rsidRPr="00E3331A" w:rsidTr="0007007F">
        <w:tc>
          <w:tcPr>
            <w:tcW w:w="1413" w:type="dxa"/>
            <w:shd w:val="clear" w:color="auto" w:fill="auto"/>
            <w:vAlign w:val="center"/>
          </w:tcPr>
          <w:p w:rsidR="001925B9" w:rsidRPr="00E3331A" w:rsidRDefault="001F5B33" w:rsidP="0007007F">
            <w:pPr>
              <w:spacing w:after="0"/>
              <w:rPr>
                <w:rFonts w:ascii="Arial Narrow" w:hAnsi="Arial Narrow"/>
                <w:sz w:val="20"/>
                <w:szCs w:val="20"/>
              </w:rPr>
            </w:pPr>
            <w:r w:rsidRPr="00E3331A">
              <w:rPr>
                <w:rFonts w:ascii="Arial Narrow" w:hAnsi="Arial Narrow"/>
                <w:sz w:val="20"/>
                <w:szCs w:val="20"/>
              </w:rPr>
              <w:t xml:space="preserve">McCrone </w:t>
            </w:r>
            <w:r w:rsidR="00983BA7">
              <w:rPr>
                <w:rFonts w:ascii="Arial Narrow" w:hAnsi="Arial Narrow"/>
                <w:sz w:val="20"/>
                <w:szCs w:val="20"/>
              </w:rPr>
              <w:t xml:space="preserve">et al. </w:t>
            </w:r>
            <w:r w:rsidRPr="00E3331A">
              <w:rPr>
                <w:rFonts w:ascii="Arial Narrow" w:hAnsi="Arial Narrow"/>
                <w:sz w:val="20"/>
                <w:szCs w:val="20"/>
              </w:rPr>
              <w:t>2003</w:t>
            </w:r>
            <w:r w:rsidR="00B85C75">
              <w:rPr>
                <w:rFonts w:ascii="Arial Narrow" w:hAnsi="Arial Narrow"/>
                <w:noProof/>
                <w:sz w:val="20"/>
                <w:szCs w:val="20"/>
              </w:rPr>
              <w:t>(McCrone et al. 2003)</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Therapeutic</w:t>
            </w:r>
          </w:p>
        </w:tc>
        <w:tc>
          <w:tcPr>
            <w:tcW w:w="2209" w:type="dxa"/>
            <w:shd w:val="clear" w:color="auto" w:fill="auto"/>
            <w:vAlign w:val="center"/>
          </w:tcPr>
          <w:p w:rsidR="001F5B33" w:rsidRPr="00E3331A" w:rsidRDefault="001F5B33" w:rsidP="0007007F">
            <w:pPr>
              <w:spacing w:after="0"/>
              <w:rPr>
                <w:rFonts w:ascii="Arial Narrow" w:hAnsi="Arial Narrow"/>
                <w:b/>
                <w:sz w:val="20"/>
                <w:szCs w:val="20"/>
              </w:rPr>
            </w:pPr>
            <w:r w:rsidRPr="00E3331A">
              <w:rPr>
                <w:rFonts w:ascii="Arial Narrow" w:hAnsi="Arial Narrow"/>
                <w:b/>
                <w:sz w:val="20"/>
                <w:szCs w:val="20"/>
              </w:rPr>
              <w:t>EQ-5D</w:t>
            </w:r>
          </w:p>
          <w:p w:rsidR="001F5B33" w:rsidRPr="00E3331A" w:rsidRDefault="001F5B33" w:rsidP="0007007F">
            <w:pPr>
              <w:spacing w:after="0"/>
              <w:rPr>
                <w:rFonts w:ascii="Arial Narrow" w:hAnsi="Arial Narrow"/>
                <w:b/>
                <w:sz w:val="20"/>
                <w:szCs w:val="20"/>
              </w:rPr>
            </w:pPr>
            <w:r w:rsidRPr="00E3331A">
              <w:rPr>
                <w:rFonts w:ascii="Arial Narrow" w:hAnsi="Arial Narrow"/>
                <w:b/>
                <w:sz w:val="20"/>
                <w:szCs w:val="20"/>
              </w:rPr>
              <w:t>Baseline</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Steroid 0.64</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Ig 0.57</w:t>
            </w:r>
          </w:p>
          <w:p w:rsidR="001F5B33" w:rsidRPr="00E3331A" w:rsidRDefault="001F5B33" w:rsidP="0007007F">
            <w:pPr>
              <w:spacing w:after="0"/>
              <w:rPr>
                <w:rFonts w:ascii="Arial Narrow" w:hAnsi="Arial Narrow"/>
                <w:b/>
                <w:sz w:val="20"/>
                <w:szCs w:val="20"/>
              </w:rPr>
            </w:pPr>
            <w:r w:rsidRPr="00E3331A">
              <w:rPr>
                <w:rFonts w:ascii="Arial Narrow" w:hAnsi="Arial Narrow"/>
                <w:b/>
                <w:sz w:val="20"/>
                <w:szCs w:val="20"/>
              </w:rPr>
              <w:t>6-weeks</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Steroid 0.63</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Ig 0.69</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 xml:space="preserve">Difference 0.12. </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(P = 0.164)</w:t>
            </w:r>
          </w:p>
        </w:tc>
        <w:tc>
          <w:tcPr>
            <w:tcW w:w="1476" w:type="dxa"/>
            <w:shd w:val="clear" w:color="auto" w:fill="auto"/>
            <w:vAlign w:val="center"/>
          </w:tcPr>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25</w:t>
            </w:r>
          </w:p>
          <w:p w:rsidR="001F5B33" w:rsidRPr="00E3331A" w:rsidRDefault="001F5B33" w:rsidP="0007007F">
            <w:pPr>
              <w:spacing w:after="0"/>
              <w:jc w:val="center"/>
              <w:rPr>
                <w:rFonts w:ascii="Arial Narrow" w:hAnsi="Arial Narrow"/>
                <w:sz w:val="20"/>
                <w:szCs w:val="20"/>
              </w:rPr>
            </w:pP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 xml:space="preserve">Nine European centres (from Hughes </w:t>
            </w:r>
            <w:r w:rsidR="00983BA7">
              <w:rPr>
                <w:rFonts w:ascii="Arial Narrow" w:hAnsi="Arial Narrow"/>
                <w:sz w:val="20"/>
                <w:szCs w:val="20"/>
              </w:rPr>
              <w:t xml:space="preserve">et al. </w:t>
            </w:r>
            <w:r w:rsidRPr="00E3331A">
              <w:rPr>
                <w:rFonts w:ascii="Arial Narrow" w:hAnsi="Arial Narrow"/>
                <w:sz w:val="20"/>
                <w:szCs w:val="20"/>
              </w:rPr>
              <w:t>2001)</w:t>
            </w:r>
          </w:p>
        </w:tc>
        <w:tc>
          <w:tcPr>
            <w:tcW w:w="4111" w:type="dxa"/>
            <w:shd w:val="clear" w:color="auto" w:fill="auto"/>
            <w:vAlign w:val="center"/>
          </w:tcPr>
          <w:p w:rsidR="001F5B33" w:rsidRPr="00E3331A" w:rsidRDefault="003B42A6" w:rsidP="008D4635">
            <w:pPr>
              <w:spacing w:after="0"/>
              <w:rPr>
                <w:rFonts w:ascii="Arial Narrow" w:hAnsi="Arial Narrow"/>
                <w:sz w:val="20"/>
                <w:szCs w:val="20"/>
              </w:rPr>
            </w:pPr>
            <w:r w:rsidRPr="00E3331A">
              <w:rPr>
                <w:rFonts w:ascii="Arial Narrow" w:hAnsi="Arial Narrow"/>
                <w:sz w:val="20"/>
                <w:szCs w:val="20"/>
              </w:rPr>
              <w:t>S</w:t>
            </w:r>
            <w:r w:rsidR="001F5B33" w:rsidRPr="00E3331A">
              <w:rPr>
                <w:rFonts w:ascii="Arial Narrow" w:hAnsi="Arial Narrow"/>
                <w:sz w:val="20"/>
                <w:szCs w:val="20"/>
              </w:rPr>
              <w:t>tudy detailed EuroQo</w:t>
            </w:r>
            <w:r w:rsidR="00BE54F2">
              <w:rPr>
                <w:rFonts w:ascii="Arial Narrow" w:hAnsi="Arial Narrow"/>
                <w:sz w:val="20"/>
                <w:szCs w:val="20"/>
              </w:rPr>
              <w:t>L</w:t>
            </w:r>
            <w:r w:rsidR="001F5B33" w:rsidRPr="00E3331A">
              <w:rPr>
                <w:rFonts w:ascii="Arial Narrow" w:hAnsi="Arial Narrow"/>
                <w:sz w:val="20"/>
                <w:szCs w:val="20"/>
              </w:rPr>
              <w:t xml:space="preserve"> (EQ)-5D </w:t>
            </w:r>
            <w:r w:rsidR="00643445" w:rsidRPr="00E3331A">
              <w:rPr>
                <w:rFonts w:ascii="Arial Narrow" w:hAnsi="Arial Narrow"/>
                <w:sz w:val="20"/>
                <w:szCs w:val="20"/>
              </w:rPr>
              <w:t>for patient included in Hughes et al. (2001)</w:t>
            </w:r>
            <w:r w:rsidR="001F5B33" w:rsidRPr="00E3331A">
              <w:rPr>
                <w:rFonts w:ascii="Arial Narrow" w:hAnsi="Arial Narrow"/>
                <w:sz w:val="20"/>
                <w:szCs w:val="20"/>
              </w:rPr>
              <w:t xml:space="preserve">. EQ-5D remained stable for the prednisolone group, however, 0.12 non-significant improvement in </w:t>
            </w:r>
            <w:r w:rsidR="008D4635" w:rsidRPr="00E3331A">
              <w:rPr>
                <w:rFonts w:ascii="Arial Narrow" w:hAnsi="Arial Narrow"/>
                <w:sz w:val="20"/>
                <w:szCs w:val="20"/>
              </w:rPr>
              <w:t>QoL</w:t>
            </w:r>
            <w:r w:rsidR="001F5B33" w:rsidRPr="00E3331A">
              <w:rPr>
                <w:rFonts w:ascii="Arial Narrow" w:hAnsi="Arial Narrow"/>
                <w:sz w:val="20"/>
                <w:szCs w:val="20"/>
              </w:rPr>
              <w:t xml:space="preserve"> was reported for IVIg patients. This improvement was used in the Blackhouse </w:t>
            </w:r>
            <w:r w:rsidR="00983BA7">
              <w:rPr>
                <w:rFonts w:ascii="Arial Narrow" w:hAnsi="Arial Narrow"/>
                <w:sz w:val="20"/>
                <w:szCs w:val="20"/>
              </w:rPr>
              <w:t xml:space="preserve">et al. </w:t>
            </w:r>
            <w:r w:rsidR="001F5B33" w:rsidRPr="00E3331A">
              <w:rPr>
                <w:rFonts w:ascii="Arial Narrow" w:hAnsi="Arial Narrow"/>
                <w:sz w:val="20"/>
                <w:szCs w:val="20"/>
              </w:rPr>
              <w:t>(2010) comparison of Ig v</w:t>
            </w:r>
            <w:r w:rsidR="008D4635" w:rsidRPr="00E3331A">
              <w:rPr>
                <w:rFonts w:ascii="Arial Narrow" w:hAnsi="Arial Narrow"/>
                <w:sz w:val="20"/>
                <w:szCs w:val="20"/>
              </w:rPr>
              <w:t>s</w:t>
            </w:r>
            <w:r w:rsidR="001F5B33" w:rsidRPr="00E3331A">
              <w:rPr>
                <w:rFonts w:ascii="Arial Narrow" w:hAnsi="Arial Narrow"/>
                <w:sz w:val="20"/>
                <w:szCs w:val="20"/>
              </w:rPr>
              <w:t xml:space="preserve"> steroids economic model in Canada.</w:t>
            </w:r>
          </w:p>
        </w:tc>
      </w:tr>
      <w:tr w:rsidR="001F5B33" w:rsidRPr="00E3331A" w:rsidTr="0007007F">
        <w:tc>
          <w:tcPr>
            <w:tcW w:w="1413" w:type="dxa"/>
            <w:shd w:val="clear" w:color="auto" w:fill="auto"/>
            <w:vAlign w:val="center"/>
          </w:tcPr>
          <w:p w:rsidR="001925B9" w:rsidRPr="00E3331A" w:rsidRDefault="001F5B33" w:rsidP="0007007F">
            <w:pPr>
              <w:spacing w:after="0"/>
              <w:rPr>
                <w:rFonts w:ascii="Arial Narrow" w:hAnsi="Arial Narrow"/>
                <w:sz w:val="20"/>
                <w:szCs w:val="20"/>
              </w:rPr>
            </w:pPr>
            <w:r w:rsidRPr="00E3331A">
              <w:rPr>
                <w:rFonts w:ascii="Arial Narrow" w:hAnsi="Arial Narrow"/>
                <w:sz w:val="20"/>
                <w:szCs w:val="20"/>
              </w:rPr>
              <w:t xml:space="preserve">Merkies </w:t>
            </w:r>
            <w:r w:rsidR="00983BA7">
              <w:rPr>
                <w:rFonts w:ascii="Arial Narrow" w:hAnsi="Arial Narrow"/>
                <w:sz w:val="20"/>
                <w:szCs w:val="20"/>
              </w:rPr>
              <w:t xml:space="preserve">et al. </w:t>
            </w:r>
            <w:r w:rsidRPr="00E3331A">
              <w:rPr>
                <w:rFonts w:ascii="Arial Narrow" w:hAnsi="Arial Narrow"/>
                <w:sz w:val="20"/>
                <w:szCs w:val="20"/>
              </w:rPr>
              <w:t xml:space="preserve">2002 </w:t>
            </w:r>
            <w:r w:rsidR="00B85C75">
              <w:rPr>
                <w:rFonts w:ascii="Arial Narrow" w:hAnsi="Arial Narrow"/>
                <w:noProof/>
                <w:sz w:val="20"/>
                <w:szCs w:val="20"/>
              </w:rPr>
              <w:t>(Merkies et al. 2002)</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Cross-sectional</w:t>
            </w:r>
          </w:p>
        </w:tc>
        <w:tc>
          <w:tcPr>
            <w:tcW w:w="2209" w:type="dxa"/>
            <w:shd w:val="clear" w:color="auto" w:fill="auto"/>
            <w:vAlign w:val="center"/>
          </w:tcPr>
          <w:p w:rsidR="001F5B33" w:rsidRPr="00E3331A" w:rsidRDefault="001F5B33" w:rsidP="0007007F">
            <w:pPr>
              <w:spacing w:after="0"/>
              <w:rPr>
                <w:rFonts w:ascii="Arial Narrow" w:hAnsi="Arial Narrow"/>
                <w:b/>
                <w:sz w:val="20"/>
                <w:szCs w:val="20"/>
              </w:rPr>
            </w:pPr>
            <w:r w:rsidRPr="00E3331A">
              <w:rPr>
                <w:rFonts w:ascii="Arial Narrow" w:hAnsi="Arial Narrow"/>
                <w:b/>
                <w:sz w:val="20"/>
                <w:szCs w:val="20"/>
              </w:rPr>
              <w:t>MRC sensory sum</w:t>
            </w:r>
            <w:r w:rsidR="00D45BCF" w:rsidRPr="00E3331A">
              <w:rPr>
                <w:rFonts w:ascii="Arial Narrow" w:hAnsi="Arial Narrow"/>
                <w:b/>
                <w:sz w:val="20"/>
                <w:szCs w:val="20"/>
              </w:rPr>
              <w:t xml:space="preserve"> </w:t>
            </w:r>
            <w:r w:rsidRPr="00E3331A">
              <w:rPr>
                <w:rFonts w:ascii="Arial Narrow" w:hAnsi="Arial Narrow"/>
                <w:b/>
                <w:sz w:val="20"/>
                <w:szCs w:val="20"/>
              </w:rPr>
              <w:t>score</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Entry 47.6</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12 weeks 53.9</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26 weeks 56.4</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52 weeks 57.4</w:t>
            </w:r>
          </w:p>
          <w:p w:rsidR="001F5B33" w:rsidRPr="00E3331A" w:rsidRDefault="001F5B33" w:rsidP="0007007F">
            <w:pPr>
              <w:spacing w:after="0"/>
              <w:rPr>
                <w:rFonts w:ascii="Arial Narrow" w:hAnsi="Arial Narrow"/>
                <w:b/>
                <w:sz w:val="20"/>
                <w:szCs w:val="20"/>
              </w:rPr>
            </w:pPr>
            <w:r w:rsidRPr="00E3331A">
              <w:rPr>
                <w:rFonts w:ascii="Arial Narrow" w:hAnsi="Arial Narrow"/>
                <w:b/>
                <w:sz w:val="20"/>
                <w:szCs w:val="20"/>
              </w:rPr>
              <w:t>INCAT</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Entry 8.8</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12 weeks 5.4</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26 weeks 3.7</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52 weeks 4.0</w:t>
            </w:r>
          </w:p>
        </w:tc>
        <w:tc>
          <w:tcPr>
            <w:tcW w:w="1476" w:type="dxa"/>
            <w:shd w:val="clear" w:color="auto" w:fill="auto"/>
            <w:vAlign w:val="center"/>
          </w:tcPr>
          <w:p w:rsidR="001F5B33" w:rsidRPr="00E3331A" w:rsidRDefault="001F5B33" w:rsidP="0007007F">
            <w:pPr>
              <w:jc w:val="center"/>
              <w:rPr>
                <w:rFonts w:ascii="Arial Narrow" w:hAnsi="Arial Narrow"/>
                <w:sz w:val="20"/>
                <w:szCs w:val="20"/>
              </w:rPr>
            </w:pPr>
            <w:r w:rsidRPr="00E3331A">
              <w:rPr>
                <w:rFonts w:ascii="Arial Narrow" w:hAnsi="Arial Narrow"/>
                <w:sz w:val="20"/>
                <w:szCs w:val="20"/>
              </w:rPr>
              <w:t xml:space="preserve">114 Dutch patients </w:t>
            </w:r>
          </w:p>
          <w:p w:rsidR="001F5B33" w:rsidRPr="00E3331A" w:rsidRDefault="001F5B33" w:rsidP="0007007F">
            <w:pPr>
              <w:jc w:val="center"/>
              <w:rPr>
                <w:rFonts w:ascii="Arial Narrow" w:hAnsi="Arial Narrow"/>
                <w:sz w:val="20"/>
                <w:szCs w:val="20"/>
              </w:rPr>
            </w:pPr>
            <w:r w:rsidRPr="00E3331A">
              <w:rPr>
                <w:rFonts w:ascii="Arial Narrow" w:hAnsi="Arial Narrow"/>
                <w:sz w:val="20"/>
                <w:szCs w:val="20"/>
              </w:rPr>
              <w:t>(83 with GBS, 23 with CIDP, 8 with MGUSP)</w:t>
            </w:r>
          </w:p>
        </w:tc>
        <w:tc>
          <w:tcPr>
            <w:tcW w:w="4111" w:type="dxa"/>
            <w:shd w:val="clear" w:color="auto" w:fill="auto"/>
            <w:vAlign w:val="center"/>
          </w:tcPr>
          <w:p w:rsidR="001F5B33" w:rsidRPr="00E3331A" w:rsidRDefault="008D4635" w:rsidP="008D4635">
            <w:pPr>
              <w:spacing w:after="0"/>
              <w:rPr>
                <w:rFonts w:ascii="Arial Narrow" w:hAnsi="Arial Narrow"/>
                <w:sz w:val="20"/>
                <w:szCs w:val="20"/>
              </w:rPr>
            </w:pPr>
            <w:r w:rsidRPr="00E3331A">
              <w:rPr>
                <w:rFonts w:ascii="Arial Narrow" w:hAnsi="Arial Narrow"/>
                <w:sz w:val="20"/>
                <w:szCs w:val="20"/>
              </w:rPr>
              <w:t>S</w:t>
            </w:r>
            <w:r w:rsidR="001F5B33" w:rsidRPr="00E3331A">
              <w:rPr>
                <w:rFonts w:ascii="Arial Narrow" w:hAnsi="Arial Narrow"/>
                <w:sz w:val="20"/>
                <w:szCs w:val="20"/>
              </w:rPr>
              <w:t xml:space="preserve">tudy measured SF-36, </w:t>
            </w:r>
            <w:r w:rsidRPr="00E3331A">
              <w:rPr>
                <w:rFonts w:ascii="Arial Narrow" w:hAnsi="Arial Narrow"/>
                <w:sz w:val="20"/>
                <w:szCs w:val="20"/>
              </w:rPr>
              <w:t>MRC</w:t>
            </w:r>
            <w:r w:rsidR="001F5B33" w:rsidRPr="00E3331A">
              <w:rPr>
                <w:rFonts w:ascii="Arial Narrow" w:hAnsi="Arial Narrow"/>
                <w:sz w:val="20"/>
                <w:szCs w:val="20"/>
              </w:rPr>
              <w:t xml:space="preserve"> sum score, sensory sum score, INCAT score and Hughes functional scale in 23 stable CIDP patients, 83 GBS and 8 PDN against a nationwide sample of 1742 healthy individuals in the Netherlands The authors concluded except for the domains “physical functioning” and “role functioning–physical,” and PCS score, reached within normal values at 6 and 12 months of follow-up (p.87).</w:t>
            </w:r>
            <w:r w:rsidR="00345C95" w:rsidRPr="00E3331A">
              <w:rPr>
                <w:rFonts w:ascii="Arial Narrow" w:hAnsi="Arial Narrow"/>
                <w:sz w:val="20"/>
                <w:szCs w:val="20"/>
              </w:rPr>
              <w:t xml:space="preserve"> </w:t>
            </w:r>
          </w:p>
        </w:tc>
      </w:tr>
      <w:tr w:rsidR="001F5B33" w:rsidRPr="00E3331A" w:rsidTr="0007007F">
        <w:tc>
          <w:tcPr>
            <w:tcW w:w="1413" w:type="dxa"/>
            <w:shd w:val="clear" w:color="auto" w:fill="auto"/>
            <w:vAlign w:val="center"/>
          </w:tcPr>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 xml:space="preserve">Padua </w:t>
            </w:r>
            <w:r w:rsidR="00983BA7">
              <w:rPr>
                <w:rFonts w:ascii="Arial Narrow" w:hAnsi="Arial Narrow"/>
                <w:sz w:val="20"/>
                <w:szCs w:val="20"/>
              </w:rPr>
              <w:t xml:space="preserve">et al. </w:t>
            </w:r>
            <w:r w:rsidRPr="00E3331A">
              <w:rPr>
                <w:rFonts w:ascii="Arial Narrow" w:hAnsi="Arial Narrow"/>
                <w:sz w:val="20"/>
                <w:szCs w:val="20"/>
              </w:rPr>
              <w:t xml:space="preserve">2004 and 2005 </w:t>
            </w:r>
            <w:r w:rsidR="00B85C75">
              <w:rPr>
                <w:rFonts w:ascii="Arial Narrow" w:hAnsi="Arial Narrow"/>
                <w:noProof/>
                <w:sz w:val="20"/>
                <w:szCs w:val="20"/>
              </w:rPr>
              <w:t>(Padua et al. 2004; Padua et al. 2005)</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Prospective cohort treated with (IVIg), Italy</w:t>
            </w:r>
          </w:p>
        </w:tc>
        <w:tc>
          <w:tcPr>
            <w:tcW w:w="2209" w:type="dxa"/>
            <w:shd w:val="clear" w:color="auto" w:fill="auto"/>
            <w:vAlign w:val="center"/>
          </w:tcPr>
          <w:p w:rsidR="001F5B33" w:rsidRPr="00E3331A" w:rsidRDefault="001F5B33" w:rsidP="0007007F">
            <w:pPr>
              <w:spacing w:after="0"/>
              <w:rPr>
                <w:rFonts w:ascii="Arial Narrow" w:hAnsi="Arial Narrow"/>
                <w:b/>
                <w:sz w:val="20"/>
                <w:szCs w:val="20"/>
              </w:rPr>
            </w:pPr>
            <w:r w:rsidRPr="00E3331A">
              <w:rPr>
                <w:rFonts w:ascii="Arial Narrow" w:hAnsi="Arial Narrow"/>
                <w:b/>
                <w:sz w:val="20"/>
                <w:szCs w:val="20"/>
              </w:rPr>
              <w:t>PCS SF-36</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 xml:space="preserve">Base 32.5 </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8-day follow-up 37</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Wilcoxon (0.0014)</w:t>
            </w:r>
          </w:p>
          <w:p w:rsidR="001F5B33" w:rsidRPr="00E3331A" w:rsidRDefault="001F5B33" w:rsidP="0007007F">
            <w:pPr>
              <w:spacing w:after="0"/>
              <w:rPr>
                <w:rFonts w:ascii="Arial Narrow" w:hAnsi="Arial Narrow"/>
                <w:b/>
                <w:sz w:val="20"/>
                <w:szCs w:val="20"/>
              </w:rPr>
            </w:pPr>
            <w:r w:rsidRPr="00E3331A">
              <w:rPr>
                <w:rFonts w:ascii="Arial Narrow" w:hAnsi="Arial Narrow"/>
                <w:b/>
                <w:sz w:val="20"/>
                <w:szCs w:val="20"/>
              </w:rPr>
              <w:t>MCS SF-36</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 xml:space="preserve">Base 43.6 </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8-day follow-up 44</w:t>
            </w:r>
          </w:p>
        </w:tc>
        <w:tc>
          <w:tcPr>
            <w:tcW w:w="1476" w:type="dxa"/>
            <w:shd w:val="clear" w:color="auto" w:fill="auto"/>
            <w:vAlign w:val="center"/>
          </w:tcPr>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25</w:t>
            </w:r>
          </w:p>
          <w:p w:rsidR="001F5B33" w:rsidRPr="00E3331A" w:rsidRDefault="001F5B33" w:rsidP="0007007F">
            <w:pPr>
              <w:spacing w:after="0"/>
              <w:jc w:val="center"/>
              <w:rPr>
                <w:rFonts w:ascii="Arial Narrow" w:hAnsi="Arial Narrow"/>
                <w:sz w:val="20"/>
                <w:szCs w:val="20"/>
              </w:rPr>
            </w:pPr>
          </w:p>
          <w:p w:rsidR="001F5B33" w:rsidRPr="00E3331A" w:rsidRDefault="001F5B33" w:rsidP="0007007F">
            <w:pPr>
              <w:jc w:val="center"/>
              <w:rPr>
                <w:rFonts w:ascii="Arial Narrow" w:hAnsi="Arial Narrow"/>
                <w:sz w:val="20"/>
                <w:szCs w:val="20"/>
              </w:rPr>
            </w:pPr>
            <w:r w:rsidRPr="00E3331A">
              <w:rPr>
                <w:rFonts w:ascii="Arial Narrow" w:hAnsi="Arial Narrow"/>
                <w:sz w:val="20"/>
                <w:szCs w:val="20"/>
              </w:rPr>
              <w:t>(8 CIDP)</w:t>
            </w:r>
          </w:p>
        </w:tc>
        <w:tc>
          <w:tcPr>
            <w:tcW w:w="4111" w:type="dxa"/>
            <w:shd w:val="clear" w:color="auto" w:fill="auto"/>
            <w:vAlign w:val="center"/>
          </w:tcPr>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SF-36 improved with IVIg in a heterogeneous population consisting of 8 CIDP patients, 3 MMN, 3 GBS and 10 myasthenia gravis</w:t>
            </w:r>
            <w:r w:rsidR="008D4635" w:rsidRPr="00E3331A">
              <w:rPr>
                <w:rFonts w:ascii="Arial Narrow" w:hAnsi="Arial Narrow"/>
                <w:sz w:val="20"/>
                <w:szCs w:val="20"/>
              </w:rPr>
              <w:t>.</w:t>
            </w:r>
            <w:r w:rsidRPr="00E3331A">
              <w:rPr>
                <w:rFonts w:ascii="Arial Narrow" w:hAnsi="Arial Narrow"/>
                <w:sz w:val="20"/>
                <w:szCs w:val="20"/>
              </w:rPr>
              <w:t xml:space="preserve"> Signiﬁcant improvements in vitality, physical role, and physical function sub-scores were associated with IVIg therapy. Mental scores did not improve. </w:t>
            </w:r>
          </w:p>
        </w:tc>
      </w:tr>
      <w:tr w:rsidR="001F5B33" w:rsidRPr="00E3331A" w:rsidTr="0007007F">
        <w:tc>
          <w:tcPr>
            <w:tcW w:w="1413" w:type="dxa"/>
            <w:shd w:val="clear" w:color="auto" w:fill="auto"/>
            <w:vAlign w:val="center"/>
          </w:tcPr>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 xml:space="preserve">Garssen et al. 2004 </w:t>
            </w:r>
            <w:r w:rsidR="00B85C75">
              <w:rPr>
                <w:rFonts w:ascii="Arial Narrow" w:hAnsi="Arial Narrow"/>
                <w:noProof/>
                <w:sz w:val="20"/>
                <w:szCs w:val="20"/>
              </w:rPr>
              <w:t>(Garssen et al. 2004)</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lastRenderedPageBreak/>
              <w:t>Interventional: Physical Training</w:t>
            </w:r>
          </w:p>
        </w:tc>
        <w:tc>
          <w:tcPr>
            <w:tcW w:w="2209" w:type="dxa"/>
            <w:shd w:val="clear" w:color="auto" w:fill="auto"/>
            <w:vAlign w:val="center"/>
          </w:tcPr>
          <w:p w:rsidR="001F5B33" w:rsidRPr="00E3331A" w:rsidRDefault="001F5B33" w:rsidP="0007007F">
            <w:pPr>
              <w:spacing w:after="0"/>
              <w:rPr>
                <w:rFonts w:ascii="Arial Narrow" w:hAnsi="Arial Narrow"/>
                <w:b/>
                <w:sz w:val="20"/>
                <w:szCs w:val="20"/>
              </w:rPr>
            </w:pPr>
            <w:r w:rsidRPr="00E3331A">
              <w:rPr>
                <w:rFonts w:ascii="Arial Narrow" w:hAnsi="Arial Narrow"/>
                <w:b/>
                <w:sz w:val="20"/>
                <w:szCs w:val="20"/>
              </w:rPr>
              <w:lastRenderedPageBreak/>
              <w:t>SF-36 (PCS)</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Entry 44.0</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6 weeks 45.6</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12 weeks 50.1</w:t>
            </w:r>
          </w:p>
          <w:p w:rsidR="001F5B33" w:rsidRPr="00E3331A" w:rsidRDefault="001F5B33" w:rsidP="0007007F">
            <w:pPr>
              <w:spacing w:after="0"/>
              <w:rPr>
                <w:rFonts w:ascii="Arial Narrow" w:hAnsi="Arial Narrow"/>
                <w:b/>
                <w:sz w:val="20"/>
                <w:szCs w:val="20"/>
              </w:rPr>
            </w:pPr>
            <w:r w:rsidRPr="00E3331A">
              <w:rPr>
                <w:rFonts w:ascii="Arial Narrow" w:hAnsi="Arial Narrow"/>
                <w:b/>
                <w:sz w:val="20"/>
                <w:szCs w:val="20"/>
              </w:rPr>
              <w:lastRenderedPageBreak/>
              <w:t>SF-36 (MCS)</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Entry 51.6</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6 weeks 52.7</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12 weeks 55.9</w:t>
            </w:r>
          </w:p>
        </w:tc>
        <w:tc>
          <w:tcPr>
            <w:tcW w:w="1476" w:type="dxa"/>
            <w:shd w:val="clear" w:color="auto" w:fill="auto"/>
            <w:vAlign w:val="center"/>
          </w:tcPr>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lastRenderedPageBreak/>
              <w:t>18</w:t>
            </w:r>
          </w:p>
          <w:p w:rsidR="001F5B33" w:rsidRPr="00E3331A" w:rsidRDefault="001F5B33" w:rsidP="0007007F">
            <w:pPr>
              <w:spacing w:after="0"/>
              <w:jc w:val="center"/>
              <w:rPr>
                <w:rFonts w:ascii="Arial Narrow" w:hAnsi="Arial Narrow"/>
                <w:sz w:val="20"/>
                <w:szCs w:val="20"/>
              </w:rPr>
            </w:pP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(4 CIDP)</w:t>
            </w:r>
          </w:p>
        </w:tc>
        <w:tc>
          <w:tcPr>
            <w:tcW w:w="4111" w:type="dxa"/>
            <w:shd w:val="clear" w:color="auto" w:fill="auto"/>
            <w:vAlign w:val="center"/>
          </w:tcPr>
          <w:p w:rsidR="001F5B33" w:rsidRPr="00E3331A" w:rsidRDefault="008D4635" w:rsidP="008D4635">
            <w:pPr>
              <w:spacing w:after="0"/>
              <w:rPr>
                <w:rFonts w:ascii="Arial Narrow" w:hAnsi="Arial Narrow"/>
                <w:sz w:val="20"/>
                <w:szCs w:val="20"/>
              </w:rPr>
            </w:pPr>
            <w:r w:rsidRPr="00E3331A">
              <w:rPr>
                <w:rFonts w:ascii="Arial Narrow" w:hAnsi="Arial Narrow"/>
                <w:sz w:val="20"/>
                <w:szCs w:val="20"/>
              </w:rPr>
              <w:t>A</w:t>
            </w:r>
            <w:r w:rsidR="001F5B33" w:rsidRPr="00E3331A">
              <w:rPr>
                <w:rFonts w:ascii="Arial Narrow" w:hAnsi="Arial Narrow"/>
                <w:sz w:val="20"/>
                <w:szCs w:val="20"/>
              </w:rPr>
              <w:t xml:space="preserve">uthors examined improvement in CIDP with a 12-week bicycle exercise program which included 16 GBS and 4 CIDP patients. Reported outcomes included Fatigue Severity Score (FSS), Fatigue </w:t>
            </w:r>
            <w:r w:rsidR="001F5B33" w:rsidRPr="00E3331A">
              <w:rPr>
                <w:rFonts w:ascii="Arial Narrow" w:hAnsi="Arial Narrow"/>
                <w:sz w:val="20"/>
                <w:szCs w:val="20"/>
              </w:rPr>
              <w:lastRenderedPageBreak/>
              <w:t xml:space="preserve">Impact Scale (FIS), GBS disability score, Hospital Anxiety and Depression Scale (HAD), Rotterdam Handicap Scale (RHS) and SF-36. Signiﬁcant improvements from baseline were obtained for FSS, FIS, HAD and RHS. </w:t>
            </w:r>
          </w:p>
        </w:tc>
      </w:tr>
      <w:tr w:rsidR="001F5B33" w:rsidRPr="00E3331A" w:rsidTr="0007007F">
        <w:tc>
          <w:tcPr>
            <w:tcW w:w="1413" w:type="dxa"/>
            <w:shd w:val="clear" w:color="auto" w:fill="auto"/>
            <w:vAlign w:val="center"/>
          </w:tcPr>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lastRenderedPageBreak/>
              <w:t xml:space="preserve">Hughes </w:t>
            </w:r>
            <w:r w:rsidR="00983BA7">
              <w:rPr>
                <w:rFonts w:ascii="Arial Narrow" w:hAnsi="Arial Narrow"/>
                <w:sz w:val="20"/>
                <w:szCs w:val="20"/>
              </w:rPr>
              <w:t xml:space="preserve">et al. </w:t>
            </w:r>
            <w:r w:rsidRPr="00E3331A">
              <w:rPr>
                <w:rFonts w:ascii="Arial Narrow" w:hAnsi="Arial Narrow"/>
                <w:sz w:val="20"/>
                <w:szCs w:val="20"/>
              </w:rPr>
              <w:t xml:space="preserve">2008 </w:t>
            </w:r>
            <w:r w:rsidR="00B85C75">
              <w:rPr>
                <w:rFonts w:ascii="Arial Narrow" w:hAnsi="Arial Narrow"/>
                <w:noProof/>
                <w:sz w:val="20"/>
                <w:szCs w:val="20"/>
              </w:rPr>
              <w:t>(Hughes et al. 2008)</w:t>
            </w:r>
            <w:r w:rsidR="008D4635" w:rsidRPr="00E3331A">
              <w:rPr>
                <w:rFonts w:ascii="Arial Narrow" w:hAnsi="Arial Narrow"/>
                <w:sz w:val="20"/>
                <w:szCs w:val="20"/>
              </w:rPr>
              <w:t xml:space="preserve"> </w:t>
            </w:r>
            <w:r w:rsidRPr="00E3331A">
              <w:rPr>
                <w:rFonts w:ascii="Arial Narrow" w:hAnsi="Arial Narrow"/>
                <w:sz w:val="20"/>
                <w:szCs w:val="20"/>
              </w:rPr>
              <w:t>Therapeutic</w:t>
            </w:r>
          </w:p>
        </w:tc>
        <w:tc>
          <w:tcPr>
            <w:tcW w:w="2209" w:type="dxa"/>
            <w:shd w:val="clear" w:color="auto" w:fill="auto"/>
            <w:vAlign w:val="center"/>
          </w:tcPr>
          <w:p w:rsidR="001F5B33" w:rsidRPr="00E3331A" w:rsidRDefault="001F5B33" w:rsidP="0007007F">
            <w:pPr>
              <w:spacing w:after="0"/>
              <w:rPr>
                <w:rFonts w:ascii="Arial Narrow" w:hAnsi="Arial Narrow"/>
                <w:b/>
                <w:sz w:val="20"/>
                <w:szCs w:val="20"/>
              </w:rPr>
            </w:pPr>
            <w:r w:rsidRPr="00E3331A">
              <w:rPr>
                <w:rFonts w:ascii="Arial Narrow" w:hAnsi="Arial Narrow"/>
                <w:b/>
                <w:sz w:val="20"/>
                <w:szCs w:val="20"/>
              </w:rPr>
              <w:t>INCAT score</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IGIV-C</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 xml:space="preserve">Base 4·2 (1·4) </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Extension 0.1 (0.7)</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Placebo</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Base 4·1 (1·5)</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Extension 0.4 (1.7)</w:t>
            </w:r>
          </w:p>
          <w:p w:rsidR="001F5B33" w:rsidRPr="00E3331A" w:rsidRDefault="001F5B33" w:rsidP="0007007F">
            <w:pPr>
              <w:spacing w:after="0"/>
              <w:rPr>
                <w:rFonts w:ascii="Arial Narrow" w:hAnsi="Arial Narrow"/>
                <w:b/>
                <w:sz w:val="20"/>
                <w:szCs w:val="20"/>
              </w:rPr>
            </w:pPr>
            <w:r w:rsidRPr="00E3331A">
              <w:rPr>
                <w:rFonts w:ascii="Arial Narrow" w:hAnsi="Arial Narrow"/>
                <w:b/>
                <w:sz w:val="20"/>
                <w:szCs w:val="20"/>
              </w:rPr>
              <w:t>MRC sum score</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IGIV-C</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Base 49·3 (6·9)</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Extension 0·8 (4·1)</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Placebo</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Base 50·0 (7·2)</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Extension –1·0 (4·4)</w:t>
            </w:r>
          </w:p>
        </w:tc>
        <w:tc>
          <w:tcPr>
            <w:tcW w:w="1476" w:type="dxa"/>
            <w:shd w:val="clear" w:color="auto" w:fill="auto"/>
            <w:vAlign w:val="center"/>
          </w:tcPr>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117</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IGIV-C (</w:t>
            </w:r>
            <w:r w:rsidR="00A07838">
              <w:rPr>
                <w:rFonts w:ascii="Arial Narrow" w:hAnsi="Arial Narrow"/>
                <w:sz w:val="20"/>
                <w:szCs w:val="20"/>
              </w:rPr>
              <w:t xml:space="preserve">n = </w:t>
            </w:r>
            <w:r w:rsidRPr="00E3331A">
              <w:rPr>
                <w:rFonts w:ascii="Arial Narrow" w:hAnsi="Arial Narrow"/>
                <w:sz w:val="20"/>
                <w:szCs w:val="20"/>
              </w:rPr>
              <w:t>59) Placebo (</w:t>
            </w:r>
            <w:r w:rsidR="00A07838">
              <w:rPr>
                <w:rFonts w:ascii="Arial Narrow" w:hAnsi="Arial Narrow"/>
                <w:sz w:val="20"/>
                <w:szCs w:val="20"/>
              </w:rPr>
              <w:t xml:space="preserve">n = </w:t>
            </w:r>
            <w:r w:rsidRPr="00E3331A">
              <w:rPr>
                <w:rFonts w:ascii="Arial Narrow" w:hAnsi="Arial Narrow"/>
                <w:sz w:val="20"/>
                <w:szCs w:val="20"/>
              </w:rPr>
              <w:t>58)</w:t>
            </w:r>
          </w:p>
        </w:tc>
        <w:tc>
          <w:tcPr>
            <w:tcW w:w="4111" w:type="dxa"/>
            <w:shd w:val="clear" w:color="auto" w:fill="auto"/>
            <w:vAlign w:val="center"/>
          </w:tcPr>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The ICE trial was a randomi</w:t>
            </w:r>
            <w:r w:rsidR="00591599" w:rsidRPr="00E3331A">
              <w:rPr>
                <w:rFonts w:ascii="Arial Narrow" w:hAnsi="Arial Narrow"/>
                <w:sz w:val="20"/>
                <w:szCs w:val="20"/>
              </w:rPr>
              <w:t>s</w:t>
            </w:r>
            <w:r w:rsidRPr="00E3331A">
              <w:rPr>
                <w:rFonts w:ascii="Arial Narrow" w:hAnsi="Arial Narrow"/>
                <w:sz w:val="20"/>
                <w:szCs w:val="20"/>
              </w:rPr>
              <w:t>ed, double</w:t>
            </w:r>
            <w:r w:rsidR="00D45BCF" w:rsidRPr="00E3331A">
              <w:rPr>
                <w:rFonts w:ascii="Arial Narrow" w:hAnsi="Arial Narrow"/>
                <w:sz w:val="20"/>
                <w:szCs w:val="20"/>
              </w:rPr>
              <w:t xml:space="preserve"> </w:t>
            </w:r>
            <w:r w:rsidRPr="00E3331A">
              <w:rPr>
                <w:rFonts w:ascii="Arial Narrow" w:hAnsi="Arial Narrow"/>
                <w:sz w:val="20"/>
                <w:szCs w:val="20"/>
              </w:rPr>
              <w:t>blind, response-conditional cross</w:t>
            </w:r>
            <w:r w:rsidR="00D45BCF" w:rsidRPr="00E3331A">
              <w:rPr>
                <w:rFonts w:ascii="Arial Narrow" w:hAnsi="Arial Narrow"/>
                <w:sz w:val="20"/>
                <w:szCs w:val="20"/>
              </w:rPr>
              <w:t>over</w:t>
            </w:r>
            <w:r w:rsidRPr="00E3331A">
              <w:rPr>
                <w:rFonts w:ascii="Arial Narrow" w:hAnsi="Arial Narrow"/>
                <w:sz w:val="20"/>
                <w:szCs w:val="20"/>
              </w:rPr>
              <w:t xml:space="preserve"> study which examined IVIg v</w:t>
            </w:r>
            <w:r w:rsidR="008D4635" w:rsidRPr="00E3331A">
              <w:rPr>
                <w:rFonts w:ascii="Arial Narrow" w:hAnsi="Arial Narrow"/>
                <w:sz w:val="20"/>
                <w:szCs w:val="20"/>
              </w:rPr>
              <w:t>s</w:t>
            </w:r>
            <w:r w:rsidRPr="00E3331A">
              <w:rPr>
                <w:rFonts w:ascii="Arial Narrow" w:hAnsi="Arial Narrow"/>
                <w:sz w:val="20"/>
                <w:szCs w:val="20"/>
              </w:rPr>
              <w:t xml:space="preserve"> placebo. It included 117 patients recruited across 33 centres. In the first treatment phase, 32/59 (54%) IGIV-C and 12/58 (21%) placebo patients had an improvement in adjusted INCAT disability score through to week 24 (p = 0.0002). Improvements from base</w:t>
            </w:r>
            <w:r w:rsidR="00D45BCF" w:rsidRPr="00E3331A">
              <w:rPr>
                <w:rFonts w:ascii="Arial Narrow" w:hAnsi="Arial Narrow"/>
                <w:sz w:val="20"/>
                <w:szCs w:val="20"/>
              </w:rPr>
              <w:t>line</w:t>
            </w:r>
            <w:r w:rsidRPr="00E3331A">
              <w:rPr>
                <w:rFonts w:ascii="Arial Narrow" w:hAnsi="Arial Narrow"/>
                <w:sz w:val="20"/>
                <w:szCs w:val="20"/>
              </w:rPr>
              <w:t xml:space="preserve"> to endpoint were also reported for grip strength in both dominant and non-dominant hands</w:t>
            </w:r>
            <w:r w:rsidR="008D4635" w:rsidRPr="00E3331A">
              <w:rPr>
                <w:rFonts w:ascii="Arial Narrow" w:hAnsi="Arial Narrow"/>
                <w:sz w:val="20"/>
                <w:szCs w:val="20"/>
              </w:rPr>
              <w:t>.</w:t>
            </w:r>
          </w:p>
        </w:tc>
      </w:tr>
      <w:tr w:rsidR="001F5B33" w:rsidRPr="00E3331A" w:rsidTr="0007007F">
        <w:tc>
          <w:tcPr>
            <w:tcW w:w="1413" w:type="dxa"/>
            <w:shd w:val="clear" w:color="auto" w:fill="auto"/>
            <w:vAlign w:val="center"/>
          </w:tcPr>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 xml:space="preserve">Merkies </w:t>
            </w:r>
            <w:r w:rsidR="00983BA7">
              <w:rPr>
                <w:rFonts w:ascii="Arial Narrow" w:hAnsi="Arial Narrow"/>
                <w:sz w:val="20"/>
                <w:szCs w:val="20"/>
              </w:rPr>
              <w:t xml:space="preserve">et al. </w:t>
            </w:r>
            <w:r w:rsidRPr="00E3331A">
              <w:rPr>
                <w:rFonts w:ascii="Arial Narrow" w:hAnsi="Arial Narrow"/>
                <w:sz w:val="20"/>
                <w:szCs w:val="20"/>
              </w:rPr>
              <w:t>2009</w:t>
            </w:r>
            <w:r w:rsidR="00B85C75">
              <w:rPr>
                <w:rFonts w:ascii="Arial Narrow" w:hAnsi="Arial Narrow"/>
                <w:noProof/>
                <w:sz w:val="20"/>
                <w:szCs w:val="20"/>
              </w:rPr>
              <w:t>(Merkies et al. 2009b)</w:t>
            </w:r>
            <w:r w:rsidRPr="00E3331A">
              <w:rPr>
                <w:rFonts w:ascii="Arial Narrow" w:hAnsi="Arial Narrow"/>
                <w:sz w:val="20"/>
                <w:szCs w:val="20"/>
              </w:rPr>
              <w:t xml:space="preserve"> Therapeutic</w:t>
            </w:r>
          </w:p>
        </w:tc>
        <w:tc>
          <w:tcPr>
            <w:tcW w:w="2209" w:type="dxa"/>
            <w:shd w:val="clear" w:color="auto" w:fill="auto"/>
            <w:vAlign w:val="center"/>
          </w:tcPr>
          <w:p w:rsidR="001F5B33" w:rsidRPr="00E3331A" w:rsidRDefault="001F5B33" w:rsidP="0007007F">
            <w:pPr>
              <w:spacing w:after="0"/>
              <w:rPr>
                <w:rFonts w:ascii="Arial Narrow" w:hAnsi="Arial Narrow"/>
                <w:sz w:val="20"/>
                <w:szCs w:val="20"/>
              </w:rPr>
            </w:pPr>
            <w:r w:rsidRPr="00E3331A">
              <w:rPr>
                <w:rFonts w:ascii="Arial Narrow" w:hAnsi="Arial Narrow"/>
                <w:b/>
                <w:sz w:val="20"/>
                <w:szCs w:val="20"/>
              </w:rPr>
              <w:t>LSM difference</w:t>
            </w:r>
            <w:r w:rsidRPr="00E3331A">
              <w:rPr>
                <w:rFonts w:ascii="Arial Narrow" w:hAnsi="Arial Narrow"/>
                <w:sz w:val="20"/>
                <w:szCs w:val="20"/>
              </w:rPr>
              <w:t xml:space="preserve">, </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(p-value)</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Physical 12.7 (0.06)</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Role 10.5 (0.3)</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Bodily pain 11.1 (0.6)</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General 6.8 (0.16)</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Vitality 6.5 (0.16)</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Social 7.7 (0.25)</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Emotional 23.1 (0.03)</w:t>
            </w:r>
          </w:p>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Mental health 2.5 (0.54)</w:t>
            </w:r>
          </w:p>
        </w:tc>
        <w:tc>
          <w:tcPr>
            <w:tcW w:w="1476" w:type="dxa"/>
            <w:shd w:val="clear" w:color="auto" w:fill="auto"/>
            <w:vAlign w:val="center"/>
          </w:tcPr>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117</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IGIV-C (</w:t>
            </w:r>
            <w:r w:rsidR="00A07838">
              <w:rPr>
                <w:rFonts w:ascii="Arial Narrow" w:hAnsi="Arial Narrow"/>
                <w:sz w:val="20"/>
                <w:szCs w:val="20"/>
              </w:rPr>
              <w:t xml:space="preserve">n = </w:t>
            </w:r>
            <w:r w:rsidRPr="00E3331A">
              <w:rPr>
                <w:rFonts w:ascii="Arial Narrow" w:hAnsi="Arial Narrow"/>
                <w:sz w:val="20"/>
                <w:szCs w:val="20"/>
              </w:rPr>
              <w:t>59) Placebo (</w:t>
            </w:r>
            <w:r w:rsidR="00A07838">
              <w:rPr>
                <w:rFonts w:ascii="Arial Narrow" w:hAnsi="Arial Narrow"/>
                <w:sz w:val="20"/>
                <w:szCs w:val="20"/>
              </w:rPr>
              <w:t xml:space="preserve">n = </w:t>
            </w:r>
            <w:r w:rsidRPr="00E3331A">
              <w:rPr>
                <w:rFonts w:ascii="Arial Narrow" w:hAnsi="Arial Narrow"/>
                <w:sz w:val="20"/>
                <w:szCs w:val="20"/>
              </w:rPr>
              <w:t>58)</w:t>
            </w:r>
          </w:p>
        </w:tc>
        <w:tc>
          <w:tcPr>
            <w:tcW w:w="4111" w:type="dxa"/>
            <w:shd w:val="clear" w:color="auto" w:fill="auto"/>
            <w:vAlign w:val="center"/>
          </w:tcPr>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SF-36 was administered at screening/baseline and at endpoints of each phase. During the first period, the endpoint was defined as week 24. The authors reported</w:t>
            </w:r>
            <w:r w:rsidR="008D4635" w:rsidRPr="00E3331A">
              <w:rPr>
                <w:rFonts w:ascii="Arial Narrow" w:hAnsi="Arial Narrow"/>
                <w:sz w:val="20"/>
                <w:szCs w:val="20"/>
              </w:rPr>
              <w:t>:</w:t>
            </w:r>
            <w:r w:rsidRPr="00E3331A">
              <w:rPr>
                <w:rFonts w:ascii="Arial Narrow" w:hAnsi="Arial Narrow"/>
                <w:sz w:val="20"/>
                <w:szCs w:val="20"/>
              </w:rPr>
              <w:t xml:space="preserve"> “greater improvements in both SF-36 physical and mental component scores were observed with IGIV-C vs placebo” (ibid, </w:t>
            </w:r>
            <w:r w:rsidR="003D5FA7">
              <w:rPr>
                <w:rFonts w:ascii="Arial Narrow" w:hAnsi="Arial Narrow"/>
                <w:sz w:val="20"/>
                <w:szCs w:val="20"/>
              </w:rPr>
              <w:t>1337).</w:t>
            </w:r>
          </w:p>
        </w:tc>
      </w:tr>
      <w:tr w:rsidR="001F5B33" w:rsidRPr="00E3331A" w:rsidTr="0007007F">
        <w:tc>
          <w:tcPr>
            <w:tcW w:w="1413" w:type="dxa"/>
            <w:shd w:val="clear" w:color="auto" w:fill="auto"/>
            <w:vAlign w:val="center"/>
          </w:tcPr>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 xml:space="preserve">Merkies </w:t>
            </w:r>
            <w:r w:rsidR="00983BA7">
              <w:rPr>
                <w:rFonts w:ascii="Arial Narrow" w:hAnsi="Arial Narrow"/>
                <w:sz w:val="20"/>
                <w:szCs w:val="20"/>
              </w:rPr>
              <w:t xml:space="preserve">et al. </w:t>
            </w:r>
            <w:r w:rsidRPr="00E3331A">
              <w:rPr>
                <w:rFonts w:ascii="Arial Narrow" w:hAnsi="Arial Narrow"/>
                <w:sz w:val="20"/>
                <w:szCs w:val="20"/>
              </w:rPr>
              <w:t>2010</w:t>
            </w:r>
            <w:r w:rsidR="00B85C75">
              <w:rPr>
                <w:rFonts w:ascii="Arial Narrow" w:hAnsi="Arial Narrow"/>
                <w:noProof/>
                <w:sz w:val="20"/>
                <w:szCs w:val="20"/>
              </w:rPr>
              <w:t>(Merkies et al. 2010)</w:t>
            </w:r>
          </w:p>
        </w:tc>
        <w:tc>
          <w:tcPr>
            <w:tcW w:w="2209" w:type="dxa"/>
            <w:shd w:val="clear" w:color="auto" w:fill="auto"/>
            <w:vAlign w:val="center"/>
          </w:tcPr>
          <w:p w:rsidR="001F5B33" w:rsidRPr="00E3331A" w:rsidRDefault="001F5B33" w:rsidP="008D4635">
            <w:pPr>
              <w:spacing w:after="0"/>
              <w:rPr>
                <w:rFonts w:ascii="Arial Narrow" w:hAnsi="Arial Narrow"/>
                <w:sz w:val="20"/>
                <w:szCs w:val="20"/>
              </w:rPr>
            </w:pPr>
            <w:r w:rsidRPr="00E3331A">
              <w:rPr>
                <w:rFonts w:ascii="Arial Narrow" w:hAnsi="Arial Narrow"/>
                <w:sz w:val="20"/>
                <w:szCs w:val="20"/>
              </w:rPr>
              <w:t xml:space="preserve">“Grip strength, </w:t>
            </w:r>
            <w:r w:rsidR="001B576E">
              <w:rPr>
                <w:rFonts w:ascii="Arial Narrow" w:hAnsi="Arial Narrow"/>
                <w:sz w:val="20"/>
                <w:szCs w:val="20"/>
              </w:rPr>
              <w:t>M</w:t>
            </w:r>
            <w:r w:rsidRPr="00E3331A">
              <w:rPr>
                <w:rFonts w:ascii="Arial Narrow" w:hAnsi="Arial Narrow"/>
                <w:sz w:val="20"/>
                <w:szCs w:val="20"/>
              </w:rPr>
              <w:t xml:space="preserve">edical </w:t>
            </w:r>
            <w:r w:rsidR="001B576E">
              <w:rPr>
                <w:rFonts w:ascii="Arial Narrow" w:hAnsi="Arial Narrow"/>
                <w:sz w:val="20"/>
                <w:szCs w:val="20"/>
              </w:rPr>
              <w:t>R</w:t>
            </w:r>
            <w:r w:rsidRPr="00E3331A">
              <w:rPr>
                <w:rFonts w:ascii="Arial Narrow" w:hAnsi="Arial Narrow"/>
                <w:sz w:val="20"/>
                <w:szCs w:val="20"/>
              </w:rPr>
              <w:t xml:space="preserve">esearch </w:t>
            </w:r>
            <w:r w:rsidR="001B576E">
              <w:rPr>
                <w:rFonts w:ascii="Arial Narrow" w:hAnsi="Arial Narrow"/>
                <w:sz w:val="20"/>
                <w:szCs w:val="20"/>
              </w:rPr>
              <w:t>C</w:t>
            </w:r>
            <w:r w:rsidRPr="00E3331A">
              <w:rPr>
                <w:rFonts w:ascii="Arial Narrow" w:hAnsi="Arial Narrow"/>
                <w:sz w:val="20"/>
                <w:szCs w:val="20"/>
              </w:rPr>
              <w:t>ouncil (MRC) sum score, and INCAT sensory sum score were the [and changes from baseline] was explained by impairment and activity and participation measures” (p. 208)</w:t>
            </w:r>
          </w:p>
        </w:tc>
        <w:tc>
          <w:tcPr>
            <w:tcW w:w="1476" w:type="dxa"/>
            <w:shd w:val="clear" w:color="auto" w:fill="auto"/>
            <w:vAlign w:val="center"/>
          </w:tcPr>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117</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IGIV-C (</w:t>
            </w:r>
            <w:r w:rsidR="00A07838">
              <w:rPr>
                <w:rFonts w:ascii="Arial Narrow" w:hAnsi="Arial Narrow"/>
                <w:sz w:val="20"/>
                <w:szCs w:val="20"/>
              </w:rPr>
              <w:t xml:space="preserve">n = </w:t>
            </w:r>
            <w:r w:rsidRPr="00E3331A">
              <w:rPr>
                <w:rFonts w:ascii="Arial Narrow" w:hAnsi="Arial Narrow"/>
                <w:sz w:val="20"/>
                <w:szCs w:val="20"/>
              </w:rPr>
              <w:t>59) Placebo (</w:t>
            </w:r>
            <w:r w:rsidR="00A07838">
              <w:rPr>
                <w:rFonts w:ascii="Arial Narrow" w:hAnsi="Arial Narrow"/>
                <w:sz w:val="20"/>
                <w:szCs w:val="20"/>
              </w:rPr>
              <w:t xml:space="preserve">n = </w:t>
            </w:r>
            <w:r w:rsidRPr="00E3331A">
              <w:rPr>
                <w:rFonts w:ascii="Arial Narrow" w:hAnsi="Arial Narrow"/>
                <w:sz w:val="20"/>
                <w:szCs w:val="20"/>
              </w:rPr>
              <w:t>58)</w:t>
            </w:r>
          </w:p>
        </w:tc>
        <w:tc>
          <w:tcPr>
            <w:tcW w:w="4111" w:type="dxa"/>
            <w:shd w:val="clear" w:color="auto" w:fill="auto"/>
            <w:vAlign w:val="center"/>
          </w:tcPr>
          <w:p w:rsidR="001F5B33" w:rsidRPr="00E3331A" w:rsidRDefault="008D4635" w:rsidP="0007007F">
            <w:pPr>
              <w:spacing w:after="0"/>
              <w:rPr>
                <w:rFonts w:ascii="Arial Narrow" w:hAnsi="Arial Narrow"/>
                <w:sz w:val="20"/>
                <w:szCs w:val="20"/>
              </w:rPr>
            </w:pPr>
            <w:r w:rsidRPr="00E3331A">
              <w:rPr>
                <w:rFonts w:ascii="Arial Narrow" w:hAnsi="Arial Narrow"/>
                <w:sz w:val="20"/>
                <w:szCs w:val="20"/>
              </w:rPr>
              <w:t>S</w:t>
            </w:r>
            <w:r w:rsidR="001F5B33" w:rsidRPr="00E3331A">
              <w:rPr>
                <w:rFonts w:ascii="Arial Narrow" w:hAnsi="Arial Narrow"/>
                <w:sz w:val="20"/>
                <w:szCs w:val="20"/>
              </w:rPr>
              <w:t>tudy examined correlations between strength, grip and disability in the ICE study. The</w:t>
            </w:r>
            <w:r w:rsidRPr="00E3331A">
              <w:rPr>
                <w:rFonts w:ascii="Arial Narrow" w:hAnsi="Arial Narrow"/>
                <w:sz w:val="20"/>
                <w:szCs w:val="20"/>
              </w:rPr>
              <w:t xml:space="preserve"> authors</w:t>
            </w:r>
            <w:r w:rsidR="001F5B33" w:rsidRPr="00E3331A">
              <w:rPr>
                <w:rFonts w:ascii="Arial Narrow" w:hAnsi="Arial Narrow"/>
                <w:sz w:val="20"/>
                <w:szCs w:val="20"/>
              </w:rPr>
              <w:t xml:space="preserve"> concluded that baseline PCS was correlated with MRC sum score, grip strength, INCAT disability score and Rotterdam handicap scale. Baseline MCS did not correlate with strength or functional parameter</w:t>
            </w:r>
            <w:r w:rsidRPr="00E3331A">
              <w:rPr>
                <w:rFonts w:ascii="Arial Narrow" w:hAnsi="Arial Narrow"/>
                <w:sz w:val="20"/>
                <w:szCs w:val="20"/>
              </w:rPr>
              <w:t>.</w:t>
            </w:r>
            <w:r w:rsidR="001F5B33" w:rsidRPr="00E3331A">
              <w:rPr>
                <w:rFonts w:ascii="Arial Narrow" w:hAnsi="Arial Narrow"/>
                <w:sz w:val="20"/>
                <w:szCs w:val="20"/>
              </w:rPr>
              <w:t xml:space="preserve"> Changes in MCS and PCS were associated with INCAT sensory and disability scores, along with MRC sum score</w:t>
            </w:r>
            <w:r w:rsidRPr="00E3331A">
              <w:rPr>
                <w:rFonts w:ascii="Arial Narrow" w:hAnsi="Arial Narrow"/>
                <w:sz w:val="20"/>
                <w:szCs w:val="20"/>
              </w:rPr>
              <w:t>.</w:t>
            </w:r>
          </w:p>
        </w:tc>
      </w:tr>
      <w:tr w:rsidR="00281EC2" w:rsidRPr="00E3331A" w:rsidTr="0007007F">
        <w:tc>
          <w:tcPr>
            <w:tcW w:w="1413" w:type="dxa"/>
            <w:shd w:val="clear" w:color="auto" w:fill="auto"/>
          </w:tcPr>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 xml:space="preserve">Harbo </w:t>
            </w:r>
            <w:r w:rsidR="00983BA7">
              <w:rPr>
                <w:rFonts w:ascii="Arial Narrow" w:hAnsi="Arial Narrow"/>
                <w:sz w:val="20"/>
                <w:szCs w:val="20"/>
              </w:rPr>
              <w:t xml:space="preserve">et al. </w:t>
            </w:r>
            <w:r w:rsidRPr="00E3331A">
              <w:rPr>
                <w:rFonts w:ascii="Arial Narrow" w:hAnsi="Arial Narrow"/>
                <w:sz w:val="20"/>
                <w:szCs w:val="20"/>
              </w:rPr>
              <w:t>2008</w:t>
            </w:r>
            <w:r w:rsidR="00B85C75">
              <w:rPr>
                <w:rFonts w:ascii="Arial Narrow" w:hAnsi="Arial Narrow"/>
                <w:noProof/>
                <w:sz w:val="20"/>
                <w:szCs w:val="20"/>
              </w:rPr>
              <w:t>(Harbo et al. 2008)</w:t>
            </w:r>
            <w:r w:rsidRPr="00E3331A">
              <w:rPr>
                <w:rFonts w:ascii="Arial Narrow" w:hAnsi="Arial Narrow"/>
                <w:sz w:val="20"/>
                <w:szCs w:val="20"/>
              </w:rPr>
              <w:t xml:space="preserve"> Cross-sectional, Denmark</w:t>
            </w:r>
          </w:p>
        </w:tc>
        <w:tc>
          <w:tcPr>
            <w:tcW w:w="2209" w:type="dxa"/>
            <w:shd w:val="clear" w:color="auto" w:fill="auto"/>
            <w:vAlign w:val="center"/>
          </w:tcPr>
          <w:p w:rsidR="001F5B33" w:rsidRPr="00E3331A" w:rsidRDefault="001F5B33" w:rsidP="0007007F">
            <w:pPr>
              <w:spacing w:after="0"/>
              <w:rPr>
                <w:rFonts w:ascii="Arial Narrow" w:hAnsi="Arial Narrow"/>
                <w:sz w:val="20"/>
                <w:szCs w:val="20"/>
              </w:rPr>
            </w:pPr>
            <w:r w:rsidRPr="00E3331A">
              <w:rPr>
                <w:rFonts w:ascii="Arial Narrow" w:hAnsi="Arial Narrow"/>
                <w:b/>
                <w:sz w:val="20"/>
                <w:szCs w:val="20"/>
              </w:rPr>
              <w:t>Isokinetic strength</w:t>
            </w:r>
            <w:r w:rsidRPr="00E3331A">
              <w:rPr>
                <w:rFonts w:ascii="Arial Narrow" w:hAnsi="Arial Narrow"/>
                <w:sz w:val="20"/>
                <w:szCs w:val="20"/>
              </w:rPr>
              <w:t xml:space="preserve"> of all measured muscles was reduced by 19.4% (p 0.01) in CIDP patients. It was closely related to manual </w:t>
            </w:r>
            <w:r w:rsidRPr="00E3331A">
              <w:rPr>
                <w:rFonts w:ascii="Arial Narrow" w:hAnsi="Arial Narrow"/>
                <w:sz w:val="20"/>
                <w:szCs w:val="20"/>
              </w:rPr>
              <w:lastRenderedPageBreak/>
              <w:t xml:space="preserve">muscle strength, ODSS, NIS, walking performance, and physical SF-36. </w:t>
            </w:r>
          </w:p>
        </w:tc>
        <w:tc>
          <w:tcPr>
            <w:tcW w:w="1476" w:type="dxa"/>
            <w:shd w:val="clear" w:color="auto" w:fill="auto"/>
            <w:vAlign w:val="center"/>
          </w:tcPr>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lastRenderedPageBreak/>
              <w:t>14</w:t>
            </w:r>
          </w:p>
          <w:p w:rsidR="001F5B33" w:rsidRPr="00E3331A" w:rsidRDefault="001F5B33" w:rsidP="0007007F">
            <w:pPr>
              <w:spacing w:after="0"/>
              <w:jc w:val="center"/>
              <w:rPr>
                <w:rFonts w:ascii="Arial Narrow" w:hAnsi="Arial Narrow"/>
                <w:sz w:val="20"/>
                <w:szCs w:val="20"/>
              </w:rPr>
            </w:pP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 xml:space="preserve">8.7 years (3.3–11.5) of CIDP Aarhus </w:t>
            </w:r>
            <w:r w:rsidRPr="00E3331A">
              <w:rPr>
                <w:rFonts w:ascii="Arial Narrow" w:hAnsi="Arial Narrow"/>
                <w:sz w:val="20"/>
                <w:szCs w:val="20"/>
              </w:rPr>
              <w:lastRenderedPageBreak/>
              <w:t>University Hospital</w:t>
            </w:r>
          </w:p>
        </w:tc>
        <w:tc>
          <w:tcPr>
            <w:tcW w:w="4111" w:type="dxa"/>
            <w:shd w:val="clear" w:color="auto" w:fill="auto"/>
            <w:vAlign w:val="center"/>
          </w:tcPr>
          <w:p w:rsidR="001F5B33" w:rsidRPr="00E3331A" w:rsidRDefault="00172756" w:rsidP="0007007F">
            <w:pPr>
              <w:spacing w:after="0"/>
              <w:rPr>
                <w:rFonts w:ascii="Arial Narrow" w:hAnsi="Arial Narrow"/>
                <w:sz w:val="20"/>
                <w:szCs w:val="20"/>
              </w:rPr>
            </w:pPr>
            <w:r w:rsidRPr="00E3331A">
              <w:rPr>
                <w:rFonts w:ascii="Arial Narrow" w:hAnsi="Arial Narrow"/>
                <w:sz w:val="20"/>
                <w:szCs w:val="20"/>
              </w:rPr>
              <w:lastRenderedPageBreak/>
              <w:t>C</w:t>
            </w:r>
            <w:r w:rsidR="001F5B33" w:rsidRPr="00E3331A">
              <w:rPr>
                <w:rFonts w:ascii="Arial Narrow" w:hAnsi="Arial Narrow"/>
                <w:sz w:val="20"/>
                <w:szCs w:val="20"/>
              </w:rPr>
              <w:t>ross</w:t>
            </w:r>
            <w:r w:rsidR="00D45BCF" w:rsidRPr="00E3331A">
              <w:rPr>
                <w:rFonts w:ascii="Arial Narrow" w:hAnsi="Arial Narrow"/>
                <w:sz w:val="20"/>
                <w:szCs w:val="20"/>
              </w:rPr>
              <w:t>-</w:t>
            </w:r>
            <w:r w:rsidR="001F5B33" w:rsidRPr="00E3331A">
              <w:rPr>
                <w:rFonts w:ascii="Arial Narrow" w:hAnsi="Arial Narrow"/>
                <w:sz w:val="20"/>
                <w:szCs w:val="20"/>
              </w:rPr>
              <w:t xml:space="preserve">sectional study investigated isokinetic strength in 14 CIDP patients using isokinetic strength, muscle strength, neurological symptom score, Overall Disability Sum Score, 10-metre walk and 40-metre </w:t>
            </w:r>
            <w:r w:rsidR="001F5B33" w:rsidRPr="00E3331A">
              <w:rPr>
                <w:rFonts w:ascii="Arial Narrow" w:hAnsi="Arial Narrow"/>
                <w:sz w:val="20"/>
                <w:szCs w:val="20"/>
              </w:rPr>
              <w:lastRenderedPageBreak/>
              <w:t xml:space="preserve">walk, as well as the physical components of the validated Danish version of the SF-36. </w:t>
            </w:r>
          </w:p>
        </w:tc>
      </w:tr>
      <w:tr w:rsidR="001F5B33" w:rsidRPr="00E3331A" w:rsidTr="0007007F">
        <w:tc>
          <w:tcPr>
            <w:tcW w:w="1413" w:type="dxa"/>
            <w:shd w:val="clear" w:color="auto" w:fill="auto"/>
          </w:tcPr>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lastRenderedPageBreak/>
              <w:t xml:space="preserve">Harbo </w:t>
            </w:r>
            <w:r w:rsidR="00983BA7">
              <w:rPr>
                <w:rFonts w:ascii="Arial Narrow" w:hAnsi="Arial Narrow"/>
                <w:sz w:val="20"/>
                <w:szCs w:val="20"/>
              </w:rPr>
              <w:t xml:space="preserve">et al. </w:t>
            </w:r>
            <w:r w:rsidRPr="00E3331A">
              <w:rPr>
                <w:rFonts w:ascii="Arial Narrow" w:hAnsi="Arial Narrow"/>
                <w:sz w:val="20"/>
                <w:szCs w:val="20"/>
              </w:rPr>
              <w:t>2009</w:t>
            </w:r>
            <w:r w:rsidR="00B85C75">
              <w:rPr>
                <w:rFonts w:ascii="Arial Narrow" w:hAnsi="Arial Narrow"/>
                <w:noProof/>
                <w:sz w:val="20"/>
                <w:szCs w:val="20"/>
              </w:rPr>
              <w:t>(Harbo et al. 2009b)</w:t>
            </w:r>
          </w:p>
        </w:tc>
        <w:tc>
          <w:tcPr>
            <w:tcW w:w="2209" w:type="dxa"/>
            <w:shd w:val="clear" w:color="auto" w:fill="auto"/>
          </w:tcPr>
          <w:p w:rsidR="001F5B33" w:rsidRPr="00E3331A" w:rsidRDefault="001F5B33" w:rsidP="00643445">
            <w:pPr>
              <w:pStyle w:val="Tabletext1"/>
            </w:pPr>
            <w:r w:rsidRPr="00E3331A">
              <w:t>SF-36 Responders</w:t>
            </w:r>
          </w:p>
          <w:p w:rsidR="001F5B33" w:rsidRPr="00E3331A" w:rsidRDefault="001F5B33" w:rsidP="00643445">
            <w:pPr>
              <w:pStyle w:val="Tabletext1"/>
            </w:pPr>
            <w:r w:rsidRPr="00E3331A">
              <w:t>Day 1 and Day 15</w:t>
            </w:r>
          </w:p>
          <w:p w:rsidR="001F5B33" w:rsidRPr="00E3331A" w:rsidRDefault="001F5B33" w:rsidP="00643445">
            <w:pPr>
              <w:pStyle w:val="Tabletext1"/>
            </w:pPr>
            <w:r w:rsidRPr="00E3331A">
              <w:t xml:space="preserve">Physical function </w:t>
            </w:r>
          </w:p>
          <w:p w:rsidR="001F5B33" w:rsidRPr="00E3331A" w:rsidRDefault="001F5B33" w:rsidP="00643445">
            <w:pPr>
              <w:pStyle w:val="Tabletext1"/>
            </w:pPr>
            <w:r w:rsidRPr="00E3331A">
              <w:t>70.</w:t>
            </w:r>
            <w:r w:rsidR="00172756" w:rsidRPr="00E3331A">
              <w:t xml:space="preserve"> </w:t>
            </w:r>
            <w:r w:rsidRPr="00E3331A">
              <w:t>and 80.0</w:t>
            </w:r>
          </w:p>
          <w:p w:rsidR="001F5B33" w:rsidRPr="00E3331A" w:rsidRDefault="001F5B33" w:rsidP="00643445">
            <w:pPr>
              <w:pStyle w:val="Tabletext1"/>
            </w:pPr>
            <w:r w:rsidRPr="00E3331A">
              <w:t xml:space="preserve">Physical function </w:t>
            </w:r>
          </w:p>
          <w:p w:rsidR="001F5B33" w:rsidRPr="00E3331A" w:rsidRDefault="001F5B33" w:rsidP="00643445">
            <w:pPr>
              <w:pStyle w:val="Tabletext1"/>
            </w:pPr>
            <w:r w:rsidRPr="00E3331A">
              <w:t xml:space="preserve">46.7 and 75.0 </w:t>
            </w:r>
          </w:p>
          <w:p w:rsidR="001F5B33" w:rsidRPr="00E3331A" w:rsidRDefault="001F5B33" w:rsidP="00643445">
            <w:pPr>
              <w:pStyle w:val="Tabletext1"/>
            </w:pPr>
            <w:r w:rsidRPr="00E3331A">
              <w:t xml:space="preserve">Bodily pain </w:t>
            </w:r>
          </w:p>
          <w:p w:rsidR="001F5B33" w:rsidRPr="00E3331A" w:rsidRDefault="001F5B33" w:rsidP="00643445">
            <w:pPr>
              <w:pStyle w:val="Tabletext1"/>
            </w:pPr>
            <w:r w:rsidRPr="00E3331A">
              <w:t>90.3 and 94.7</w:t>
            </w:r>
          </w:p>
          <w:p w:rsidR="001F5B33" w:rsidRPr="00E3331A" w:rsidRDefault="001F5B33" w:rsidP="00643445">
            <w:pPr>
              <w:pStyle w:val="Tabletext1"/>
            </w:pPr>
            <w:r w:rsidRPr="00E3331A">
              <w:t xml:space="preserve">General health </w:t>
            </w:r>
          </w:p>
          <w:p w:rsidR="001F5B33" w:rsidRPr="00E3331A" w:rsidRDefault="001F5B33" w:rsidP="00643445">
            <w:pPr>
              <w:pStyle w:val="Tabletext1"/>
            </w:pPr>
            <w:r w:rsidRPr="00E3331A">
              <w:t xml:space="preserve">80.7 and 80.2 </w:t>
            </w:r>
          </w:p>
          <w:p w:rsidR="001F5B33" w:rsidRPr="00E3331A" w:rsidRDefault="001F5B33" w:rsidP="00643445">
            <w:pPr>
              <w:pStyle w:val="Tabletext1"/>
            </w:pPr>
            <w:r w:rsidRPr="00E3331A">
              <w:t xml:space="preserve">Vitality </w:t>
            </w:r>
          </w:p>
          <w:p w:rsidR="001F5B33" w:rsidRPr="00E3331A" w:rsidRDefault="001F5B33" w:rsidP="00643445">
            <w:pPr>
              <w:pStyle w:val="Tabletext1"/>
            </w:pPr>
            <w:r w:rsidRPr="00E3331A">
              <w:t>67.5 and 70.8</w:t>
            </w:r>
          </w:p>
          <w:p w:rsidR="001F5B33" w:rsidRPr="00E3331A" w:rsidRDefault="001F5B33" w:rsidP="00643445">
            <w:pPr>
              <w:pStyle w:val="Tabletext1"/>
            </w:pPr>
            <w:r w:rsidRPr="00E3331A">
              <w:t xml:space="preserve">Social functioning </w:t>
            </w:r>
          </w:p>
          <w:p w:rsidR="001F5B33" w:rsidRPr="00E3331A" w:rsidRDefault="001F5B33" w:rsidP="00643445">
            <w:pPr>
              <w:pStyle w:val="Tabletext1"/>
            </w:pPr>
            <w:r w:rsidRPr="00E3331A">
              <w:t>91.7 and 97.9</w:t>
            </w:r>
          </w:p>
          <w:p w:rsidR="001F5B33" w:rsidRPr="00E3331A" w:rsidRDefault="001F5B33" w:rsidP="00643445">
            <w:pPr>
              <w:pStyle w:val="Tabletext1"/>
            </w:pPr>
            <w:r w:rsidRPr="00E3331A">
              <w:t xml:space="preserve">Role emotional </w:t>
            </w:r>
          </w:p>
          <w:p w:rsidR="001F5B33" w:rsidRPr="00E3331A" w:rsidRDefault="001F5B33" w:rsidP="00643445">
            <w:pPr>
              <w:pStyle w:val="Tabletext1"/>
            </w:pPr>
            <w:r w:rsidRPr="00E3331A">
              <w:t>94.4 and 100.0</w:t>
            </w:r>
          </w:p>
          <w:p w:rsidR="001F5B33" w:rsidRPr="00E3331A" w:rsidRDefault="001F5B33" w:rsidP="00643445">
            <w:pPr>
              <w:pStyle w:val="Tabletext1"/>
            </w:pPr>
            <w:r w:rsidRPr="00E3331A">
              <w:t xml:space="preserve">Mental health </w:t>
            </w:r>
          </w:p>
          <w:p w:rsidR="001F5B33" w:rsidRPr="00E3331A" w:rsidRDefault="001F5B33" w:rsidP="00643445">
            <w:pPr>
              <w:pStyle w:val="Tabletext1"/>
            </w:pPr>
            <w:r w:rsidRPr="00E3331A">
              <w:t>87.7 and 87.3</w:t>
            </w:r>
          </w:p>
        </w:tc>
        <w:tc>
          <w:tcPr>
            <w:tcW w:w="1476" w:type="dxa"/>
            <w:shd w:val="clear" w:color="auto" w:fill="auto"/>
          </w:tcPr>
          <w:p w:rsidR="001F5B33" w:rsidRPr="00E3331A" w:rsidRDefault="001F5B33" w:rsidP="0007007F">
            <w:pPr>
              <w:spacing w:after="0"/>
              <w:jc w:val="center"/>
              <w:rPr>
                <w:rFonts w:ascii="Arial Narrow" w:hAnsi="Arial Narrow"/>
                <w:sz w:val="20"/>
                <w:szCs w:val="20"/>
              </w:rPr>
            </w:pP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 xml:space="preserve">8 </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responders</w:t>
            </w:r>
          </w:p>
        </w:tc>
        <w:tc>
          <w:tcPr>
            <w:tcW w:w="4111" w:type="dxa"/>
            <w:shd w:val="clear" w:color="auto" w:fill="auto"/>
          </w:tcPr>
          <w:p w:rsidR="001F5B33" w:rsidRPr="00E3331A" w:rsidRDefault="00172756" w:rsidP="00172756">
            <w:pPr>
              <w:spacing w:after="0"/>
              <w:rPr>
                <w:rFonts w:ascii="Arial Narrow" w:hAnsi="Arial Narrow"/>
                <w:sz w:val="20"/>
                <w:szCs w:val="20"/>
              </w:rPr>
            </w:pPr>
            <w:r w:rsidRPr="00E3331A">
              <w:rPr>
                <w:rFonts w:ascii="Arial Narrow" w:hAnsi="Arial Narrow"/>
                <w:sz w:val="20"/>
                <w:szCs w:val="20"/>
              </w:rPr>
              <w:t>O</w:t>
            </w:r>
            <w:r w:rsidR="001F5B33" w:rsidRPr="00E3331A">
              <w:rPr>
                <w:rFonts w:ascii="Arial Narrow" w:hAnsi="Arial Narrow"/>
                <w:sz w:val="20"/>
                <w:szCs w:val="20"/>
              </w:rPr>
              <w:t xml:space="preserve">ne-armed study of improvement in acute motor response with IVIg in 11 patients following withdrawal and re-establishment of therapy. Outcomes included isokinetic strength, </w:t>
            </w:r>
            <w:r w:rsidRPr="00E3331A">
              <w:rPr>
                <w:rFonts w:ascii="Arial Narrow" w:hAnsi="Arial Narrow"/>
                <w:sz w:val="20"/>
                <w:szCs w:val="20"/>
              </w:rPr>
              <w:t>neuropathy impairment score (</w:t>
            </w:r>
            <w:r w:rsidR="001F5B33" w:rsidRPr="00E3331A">
              <w:rPr>
                <w:rFonts w:ascii="Arial Narrow" w:hAnsi="Arial Narrow"/>
                <w:sz w:val="20"/>
                <w:szCs w:val="20"/>
              </w:rPr>
              <w:t>NIS)-strength score, nine-hole peg test</w:t>
            </w:r>
            <w:r w:rsidRPr="00E3331A">
              <w:rPr>
                <w:rFonts w:ascii="Arial Narrow" w:hAnsi="Arial Narrow"/>
                <w:sz w:val="20"/>
                <w:szCs w:val="20"/>
              </w:rPr>
              <w:t xml:space="preserve">, </w:t>
            </w:r>
            <w:r w:rsidR="001F5B33" w:rsidRPr="00E3331A">
              <w:rPr>
                <w:rFonts w:ascii="Arial Narrow" w:hAnsi="Arial Narrow"/>
                <w:sz w:val="20"/>
                <w:szCs w:val="20"/>
              </w:rPr>
              <w:t>40-metre walk test and SF-36. “On days 5 and 10 after re-initiation of IVIG therapy isokinetic muscle strength increased by 5.5% (1.6 –9.6) and 11.9% (7.5–16.5), respectively, but there was no further increase at day 15” (ibid, p.</w:t>
            </w:r>
            <w:r w:rsidR="003D5FA7">
              <w:rPr>
                <w:rFonts w:ascii="Arial Narrow" w:hAnsi="Arial Narrow"/>
                <w:sz w:val="20"/>
                <w:szCs w:val="20"/>
              </w:rPr>
              <w:t>439).</w:t>
            </w:r>
          </w:p>
        </w:tc>
      </w:tr>
      <w:tr w:rsidR="001F5B33" w:rsidRPr="00E3331A" w:rsidTr="0007007F">
        <w:tc>
          <w:tcPr>
            <w:tcW w:w="1413" w:type="dxa"/>
            <w:shd w:val="clear" w:color="auto" w:fill="auto"/>
          </w:tcPr>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 xml:space="preserve">Harbo </w:t>
            </w:r>
            <w:r w:rsidR="00983BA7">
              <w:rPr>
                <w:rFonts w:ascii="Arial Narrow" w:hAnsi="Arial Narrow"/>
                <w:sz w:val="20"/>
                <w:szCs w:val="20"/>
              </w:rPr>
              <w:t xml:space="preserve">et al. </w:t>
            </w:r>
            <w:r w:rsidRPr="00E3331A">
              <w:rPr>
                <w:rFonts w:ascii="Arial Narrow" w:hAnsi="Arial Narrow"/>
                <w:sz w:val="20"/>
                <w:szCs w:val="20"/>
              </w:rPr>
              <w:t>2009</w:t>
            </w:r>
            <w:r w:rsidR="00B85C75">
              <w:rPr>
                <w:rFonts w:ascii="Arial Narrow" w:hAnsi="Arial Narrow"/>
                <w:noProof/>
                <w:sz w:val="20"/>
                <w:szCs w:val="20"/>
              </w:rPr>
              <w:t>(Harbo et al. 2009a)</w:t>
            </w:r>
            <w:r w:rsidRPr="00E3331A">
              <w:rPr>
                <w:rFonts w:ascii="Arial Narrow" w:hAnsi="Arial Narrow"/>
                <w:sz w:val="20"/>
                <w:szCs w:val="20"/>
              </w:rPr>
              <w:t xml:space="preserve"> SC vers</w:t>
            </w:r>
            <w:r w:rsidR="002F5734" w:rsidRPr="00E3331A">
              <w:rPr>
                <w:rFonts w:ascii="Arial Narrow" w:hAnsi="Arial Narrow"/>
                <w:sz w:val="20"/>
                <w:szCs w:val="20"/>
              </w:rPr>
              <w:t>us</w:t>
            </w:r>
            <w:r w:rsidRPr="00E3331A">
              <w:rPr>
                <w:rFonts w:ascii="Arial Narrow" w:hAnsi="Arial Narrow"/>
                <w:sz w:val="20"/>
                <w:szCs w:val="20"/>
              </w:rPr>
              <w:t xml:space="preserve"> IV comparison</w:t>
            </w:r>
          </w:p>
        </w:tc>
        <w:tc>
          <w:tcPr>
            <w:tcW w:w="2209" w:type="dxa"/>
            <w:shd w:val="clear" w:color="auto" w:fill="auto"/>
          </w:tcPr>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Equally effective, the mean change in muscle strength after SCIG being 3.6% (95% CI )</w:t>
            </w:r>
            <w:r w:rsidR="002F5734" w:rsidRPr="00E3331A">
              <w:rPr>
                <w:rFonts w:ascii="Arial Narrow" w:hAnsi="Arial Narrow"/>
                <w:sz w:val="20"/>
                <w:szCs w:val="20"/>
              </w:rPr>
              <w:t xml:space="preserve"> </w:t>
            </w:r>
            <w:r w:rsidRPr="00E3331A">
              <w:rPr>
                <w:rFonts w:ascii="Arial Narrow" w:hAnsi="Arial Narrow"/>
                <w:sz w:val="20"/>
                <w:szCs w:val="20"/>
              </w:rPr>
              <w:t>3.6% to 10.9%) vs. 4.3% (1.3% to 10.0%) after IVIG (P = 0.86). 1 patient had 3-week erythema and oedema at the injection sites. All other adverse effects were transient</w:t>
            </w:r>
          </w:p>
        </w:tc>
        <w:tc>
          <w:tcPr>
            <w:tcW w:w="1476" w:type="dxa"/>
            <w:shd w:val="clear" w:color="auto" w:fill="auto"/>
          </w:tcPr>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9</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Denmark</w:t>
            </w:r>
          </w:p>
        </w:tc>
        <w:tc>
          <w:tcPr>
            <w:tcW w:w="4111" w:type="dxa"/>
            <w:shd w:val="clear" w:color="auto" w:fill="auto"/>
          </w:tcPr>
          <w:p w:rsidR="001F5B33" w:rsidRPr="00E3331A" w:rsidRDefault="002F5734" w:rsidP="002F5734">
            <w:pPr>
              <w:spacing w:after="0"/>
              <w:rPr>
                <w:rFonts w:ascii="Arial Narrow" w:hAnsi="Arial Narrow"/>
                <w:sz w:val="20"/>
                <w:szCs w:val="20"/>
              </w:rPr>
            </w:pPr>
            <w:r w:rsidRPr="00E3331A">
              <w:rPr>
                <w:rFonts w:ascii="Arial Narrow" w:hAnsi="Arial Narrow"/>
                <w:sz w:val="20"/>
                <w:szCs w:val="20"/>
              </w:rPr>
              <w:t>S</w:t>
            </w:r>
            <w:r w:rsidR="001F5B33" w:rsidRPr="00E3331A">
              <w:rPr>
                <w:rFonts w:ascii="Arial Narrow" w:hAnsi="Arial Narrow"/>
                <w:sz w:val="20"/>
                <w:szCs w:val="20"/>
              </w:rPr>
              <w:t>tudy examined SCIg and IVI</w:t>
            </w:r>
            <w:r w:rsidRPr="00E3331A">
              <w:rPr>
                <w:rFonts w:ascii="Arial Narrow" w:hAnsi="Arial Narrow"/>
                <w:sz w:val="20"/>
                <w:szCs w:val="20"/>
              </w:rPr>
              <w:t>g</w:t>
            </w:r>
            <w:r w:rsidR="001F5B33" w:rsidRPr="00E3331A">
              <w:rPr>
                <w:rFonts w:ascii="Arial Narrow" w:hAnsi="Arial Narrow"/>
                <w:sz w:val="20"/>
                <w:szCs w:val="20"/>
              </w:rPr>
              <w:t xml:space="preserve"> in a single-blind randomi</w:t>
            </w:r>
            <w:r w:rsidR="00591599" w:rsidRPr="00E3331A">
              <w:rPr>
                <w:rFonts w:ascii="Arial Narrow" w:hAnsi="Arial Narrow"/>
                <w:sz w:val="20"/>
                <w:szCs w:val="20"/>
              </w:rPr>
              <w:t>s</w:t>
            </w:r>
            <w:r w:rsidR="001F5B33" w:rsidRPr="00E3331A">
              <w:rPr>
                <w:rFonts w:ascii="Arial Narrow" w:hAnsi="Arial Narrow"/>
                <w:sz w:val="20"/>
                <w:szCs w:val="20"/>
              </w:rPr>
              <w:t>ed cross</w:t>
            </w:r>
            <w:r w:rsidR="00D45BCF" w:rsidRPr="00E3331A">
              <w:rPr>
                <w:rFonts w:ascii="Arial Narrow" w:hAnsi="Arial Narrow"/>
                <w:sz w:val="20"/>
                <w:szCs w:val="20"/>
              </w:rPr>
              <w:t>over</w:t>
            </w:r>
            <w:r w:rsidR="001F5B33" w:rsidRPr="00E3331A">
              <w:rPr>
                <w:rFonts w:ascii="Arial Narrow" w:hAnsi="Arial Narrow"/>
                <w:sz w:val="20"/>
                <w:szCs w:val="20"/>
              </w:rPr>
              <w:t xml:space="preserve"> trial </w:t>
            </w:r>
            <w:r w:rsidRPr="00E3331A">
              <w:rPr>
                <w:rFonts w:ascii="Arial Narrow" w:hAnsi="Arial Narrow"/>
                <w:sz w:val="20"/>
                <w:szCs w:val="20"/>
              </w:rPr>
              <w:t xml:space="preserve">that </w:t>
            </w:r>
            <w:r w:rsidR="001F5B33" w:rsidRPr="00E3331A">
              <w:rPr>
                <w:rFonts w:ascii="Arial Narrow" w:hAnsi="Arial Narrow"/>
                <w:sz w:val="20"/>
                <w:szCs w:val="20"/>
              </w:rPr>
              <w:t xml:space="preserve">included 9 patients with MMN on IVIg treatment. The primary outcome was dynamometric strength score. HRQoL was also assessed using SF-36. Both arms were equally effective. </w:t>
            </w:r>
          </w:p>
        </w:tc>
      </w:tr>
      <w:tr w:rsidR="001F5B33" w:rsidRPr="00E3331A" w:rsidTr="0007007F">
        <w:tc>
          <w:tcPr>
            <w:tcW w:w="1413" w:type="dxa"/>
            <w:shd w:val="clear" w:color="auto" w:fill="auto"/>
          </w:tcPr>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 xml:space="preserve">Cocito </w:t>
            </w:r>
            <w:r w:rsidR="00983BA7">
              <w:rPr>
                <w:rFonts w:ascii="Arial Narrow" w:hAnsi="Arial Narrow"/>
                <w:sz w:val="20"/>
                <w:szCs w:val="20"/>
              </w:rPr>
              <w:t xml:space="preserve">et al. </w:t>
            </w:r>
            <w:r w:rsidRPr="00E3331A">
              <w:rPr>
                <w:rFonts w:ascii="Arial Narrow" w:hAnsi="Arial Narrow"/>
                <w:sz w:val="20"/>
                <w:szCs w:val="20"/>
              </w:rPr>
              <w:t>2012</w:t>
            </w:r>
            <w:r w:rsidR="00B85C75">
              <w:rPr>
                <w:rFonts w:ascii="Arial Narrow" w:hAnsi="Arial Narrow"/>
                <w:noProof/>
                <w:sz w:val="20"/>
                <w:szCs w:val="20"/>
              </w:rPr>
              <w:t>(Cocito et al. 2012)</w:t>
            </w:r>
          </w:p>
        </w:tc>
        <w:tc>
          <w:tcPr>
            <w:tcW w:w="2209" w:type="dxa"/>
            <w:shd w:val="clear" w:color="auto" w:fill="auto"/>
          </w:tcPr>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Therapeutic</w:t>
            </w:r>
          </w:p>
        </w:tc>
        <w:tc>
          <w:tcPr>
            <w:tcW w:w="1476" w:type="dxa"/>
            <w:shd w:val="clear" w:color="auto" w:fill="auto"/>
          </w:tcPr>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5</w:t>
            </w:r>
          </w:p>
        </w:tc>
        <w:tc>
          <w:tcPr>
            <w:tcW w:w="4111" w:type="dxa"/>
            <w:shd w:val="clear" w:color="auto" w:fill="auto"/>
          </w:tcPr>
          <w:p w:rsidR="001F5B33" w:rsidRPr="00E3331A" w:rsidRDefault="002F5734" w:rsidP="002F5734">
            <w:pPr>
              <w:spacing w:after="0"/>
              <w:rPr>
                <w:rFonts w:ascii="Arial Narrow" w:hAnsi="Arial Narrow"/>
                <w:sz w:val="20"/>
                <w:szCs w:val="20"/>
              </w:rPr>
            </w:pPr>
            <w:r w:rsidRPr="00E3331A">
              <w:rPr>
                <w:rFonts w:ascii="Arial Narrow" w:hAnsi="Arial Narrow"/>
                <w:sz w:val="20"/>
                <w:szCs w:val="20"/>
              </w:rPr>
              <w:t>P</w:t>
            </w:r>
            <w:r w:rsidR="001F5B33" w:rsidRPr="00E3331A">
              <w:rPr>
                <w:rFonts w:ascii="Arial Narrow" w:hAnsi="Arial Narrow"/>
                <w:sz w:val="20"/>
                <w:szCs w:val="20"/>
              </w:rPr>
              <w:t xml:space="preserve">rospective longitudinal study from Italy examined whether SCIg was equivalent to IVIg in 5 CIDP patients previously on IVIg. MRC scores, ONLS, grip strength and sensory sum score, </w:t>
            </w:r>
            <w:r w:rsidRPr="00E3331A">
              <w:rPr>
                <w:rFonts w:ascii="Arial Narrow" w:hAnsi="Arial Narrow"/>
                <w:sz w:val="20"/>
                <w:szCs w:val="20"/>
              </w:rPr>
              <w:t>plus</w:t>
            </w:r>
            <w:r w:rsidR="001F5B33" w:rsidRPr="00E3331A">
              <w:rPr>
                <w:rFonts w:ascii="Arial Narrow" w:hAnsi="Arial Narrow"/>
                <w:sz w:val="20"/>
                <w:szCs w:val="20"/>
              </w:rPr>
              <w:t xml:space="preserve"> SF-36 PCS</w:t>
            </w:r>
            <w:r w:rsidRPr="00E3331A">
              <w:rPr>
                <w:rFonts w:ascii="Arial Narrow" w:hAnsi="Arial Narrow"/>
                <w:sz w:val="20"/>
                <w:szCs w:val="20"/>
              </w:rPr>
              <w:t>,</w:t>
            </w:r>
            <w:r w:rsidR="001F5B33" w:rsidRPr="00E3331A">
              <w:rPr>
                <w:rFonts w:ascii="Arial Narrow" w:hAnsi="Arial Narrow"/>
                <w:sz w:val="20"/>
                <w:szCs w:val="20"/>
              </w:rPr>
              <w:t xml:space="preserve"> MCS and Modiﬁed LQI </w:t>
            </w:r>
            <w:r w:rsidRPr="00E3331A">
              <w:rPr>
                <w:rFonts w:ascii="Arial Narrow" w:hAnsi="Arial Narrow"/>
                <w:sz w:val="20"/>
                <w:szCs w:val="20"/>
              </w:rPr>
              <w:t xml:space="preserve">for secondary outcomes </w:t>
            </w:r>
            <w:r w:rsidR="001F5B33" w:rsidRPr="00E3331A">
              <w:rPr>
                <w:rFonts w:ascii="Arial Narrow" w:hAnsi="Arial Narrow"/>
                <w:sz w:val="20"/>
                <w:szCs w:val="20"/>
              </w:rPr>
              <w:t>were equivalent.</w:t>
            </w:r>
          </w:p>
        </w:tc>
      </w:tr>
      <w:tr w:rsidR="001F5B33" w:rsidRPr="00E3331A" w:rsidTr="0007007F">
        <w:tc>
          <w:tcPr>
            <w:tcW w:w="1413" w:type="dxa"/>
            <w:shd w:val="clear" w:color="auto" w:fill="auto"/>
          </w:tcPr>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 xml:space="preserve">Cocito </w:t>
            </w:r>
            <w:r w:rsidR="00983BA7">
              <w:rPr>
                <w:rFonts w:ascii="Arial Narrow" w:hAnsi="Arial Narrow"/>
                <w:sz w:val="20"/>
                <w:szCs w:val="20"/>
              </w:rPr>
              <w:t xml:space="preserve">et al. </w:t>
            </w:r>
            <w:r w:rsidRPr="00E3331A">
              <w:rPr>
                <w:rFonts w:ascii="Arial Narrow" w:hAnsi="Arial Narrow"/>
                <w:sz w:val="20"/>
                <w:szCs w:val="20"/>
              </w:rPr>
              <w:t>2013</w:t>
            </w:r>
            <w:r w:rsidR="00B85C75">
              <w:rPr>
                <w:rFonts w:ascii="Arial Narrow" w:hAnsi="Arial Narrow"/>
                <w:noProof/>
                <w:sz w:val="20"/>
                <w:szCs w:val="20"/>
              </w:rPr>
              <w:t>(Cocito et al. 2013)</w:t>
            </w:r>
          </w:p>
        </w:tc>
        <w:tc>
          <w:tcPr>
            <w:tcW w:w="2209" w:type="dxa"/>
            <w:shd w:val="clear" w:color="auto" w:fill="auto"/>
          </w:tcPr>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Therapeutic</w:t>
            </w:r>
          </w:p>
        </w:tc>
        <w:tc>
          <w:tcPr>
            <w:tcW w:w="1476" w:type="dxa"/>
            <w:shd w:val="clear" w:color="auto" w:fill="auto"/>
          </w:tcPr>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10</w:t>
            </w:r>
          </w:p>
        </w:tc>
        <w:tc>
          <w:tcPr>
            <w:tcW w:w="4111" w:type="dxa"/>
            <w:shd w:val="clear" w:color="auto" w:fill="auto"/>
          </w:tcPr>
          <w:p w:rsidR="001F5B33" w:rsidRPr="00E3331A" w:rsidRDefault="001F5B33" w:rsidP="002F5734">
            <w:pPr>
              <w:spacing w:after="0"/>
              <w:rPr>
                <w:rFonts w:ascii="Arial Narrow" w:hAnsi="Arial Narrow"/>
                <w:sz w:val="20"/>
                <w:szCs w:val="20"/>
              </w:rPr>
            </w:pPr>
            <w:r w:rsidRPr="00E3331A">
              <w:rPr>
                <w:rFonts w:ascii="Arial Narrow" w:hAnsi="Arial Narrow"/>
                <w:sz w:val="20"/>
                <w:szCs w:val="20"/>
              </w:rPr>
              <w:t xml:space="preserve">Authors reported signiﬁcant </w:t>
            </w:r>
            <w:r w:rsidR="002F5734" w:rsidRPr="00E3331A">
              <w:rPr>
                <w:rFonts w:ascii="Arial Narrow" w:hAnsi="Arial Narrow"/>
                <w:sz w:val="20"/>
                <w:szCs w:val="20"/>
              </w:rPr>
              <w:t>QoL</w:t>
            </w:r>
            <w:r w:rsidRPr="00E3331A">
              <w:rPr>
                <w:rFonts w:ascii="Arial Narrow" w:hAnsi="Arial Narrow"/>
                <w:sz w:val="20"/>
                <w:szCs w:val="20"/>
              </w:rPr>
              <w:t xml:space="preserve"> improvements in 10 patients with CIDP, as measured by the LQI with use of 20% SCIg versus 16% SCIg</w:t>
            </w:r>
            <w:r w:rsidR="002F5734" w:rsidRPr="00E3331A">
              <w:rPr>
                <w:rFonts w:ascii="Arial Narrow" w:hAnsi="Arial Narrow"/>
                <w:sz w:val="20"/>
                <w:szCs w:val="20"/>
              </w:rPr>
              <w:t>.</w:t>
            </w:r>
          </w:p>
        </w:tc>
      </w:tr>
      <w:tr w:rsidR="001F5B33" w:rsidRPr="00E3331A" w:rsidTr="0007007F">
        <w:tc>
          <w:tcPr>
            <w:tcW w:w="1413" w:type="dxa"/>
            <w:shd w:val="clear" w:color="auto" w:fill="auto"/>
          </w:tcPr>
          <w:p w:rsidR="001F5B33" w:rsidRPr="00E3331A" w:rsidRDefault="001F5B33" w:rsidP="002F5734">
            <w:pPr>
              <w:spacing w:after="0"/>
              <w:rPr>
                <w:rFonts w:ascii="Arial Narrow" w:hAnsi="Arial Narrow"/>
                <w:sz w:val="20"/>
                <w:szCs w:val="20"/>
              </w:rPr>
            </w:pPr>
            <w:r w:rsidRPr="00E3331A">
              <w:rPr>
                <w:rFonts w:ascii="Arial Narrow" w:hAnsi="Arial Narrow"/>
                <w:sz w:val="20"/>
                <w:szCs w:val="20"/>
              </w:rPr>
              <w:t>Nobile-Orazio et al. 2012</w:t>
            </w:r>
            <w:r w:rsidR="00B85C75">
              <w:rPr>
                <w:rFonts w:ascii="Arial Narrow" w:hAnsi="Arial Narrow"/>
                <w:noProof/>
                <w:sz w:val="20"/>
                <w:szCs w:val="20"/>
              </w:rPr>
              <w:t>(Nobile-Orazio et al. 2012a)</w:t>
            </w:r>
            <w:r w:rsidRPr="00E3331A">
              <w:rPr>
                <w:rFonts w:ascii="Arial Narrow" w:hAnsi="Arial Narrow"/>
                <w:sz w:val="20"/>
                <w:szCs w:val="20"/>
              </w:rPr>
              <w:t xml:space="preserve"> 6-month </w:t>
            </w:r>
            <w:r w:rsidRPr="00E3331A">
              <w:rPr>
                <w:rFonts w:ascii="Arial Narrow" w:hAnsi="Arial Narrow"/>
                <w:sz w:val="20"/>
                <w:szCs w:val="20"/>
              </w:rPr>
              <w:lastRenderedPageBreak/>
              <w:t>therapy with IVIg v</w:t>
            </w:r>
            <w:r w:rsidR="002F5734" w:rsidRPr="00E3331A">
              <w:rPr>
                <w:rFonts w:ascii="Arial Narrow" w:hAnsi="Arial Narrow"/>
                <w:sz w:val="20"/>
                <w:szCs w:val="20"/>
              </w:rPr>
              <w:t>s</w:t>
            </w:r>
            <w:r w:rsidRPr="00E3331A">
              <w:rPr>
                <w:rFonts w:ascii="Arial Narrow" w:hAnsi="Arial Narrow"/>
                <w:sz w:val="20"/>
                <w:szCs w:val="20"/>
              </w:rPr>
              <w:t xml:space="preserve"> that with </w:t>
            </w:r>
            <w:r w:rsidR="002F5734" w:rsidRPr="00E3331A">
              <w:rPr>
                <w:rFonts w:ascii="Arial Narrow" w:hAnsi="Arial Narrow"/>
                <w:sz w:val="20"/>
                <w:szCs w:val="20"/>
              </w:rPr>
              <w:t xml:space="preserve">IV </w:t>
            </w:r>
            <w:r w:rsidRPr="00E3331A">
              <w:rPr>
                <w:rFonts w:ascii="Arial Narrow" w:hAnsi="Arial Narrow"/>
                <w:sz w:val="20"/>
                <w:szCs w:val="20"/>
              </w:rPr>
              <w:t>methylprednisolone in Italy.</w:t>
            </w:r>
          </w:p>
        </w:tc>
        <w:tc>
          <w:tcPr>
            <w:tcW w:w="2209" w:type="dxa"/>
            <w:shd w:val="clear" w:color="auto" w:fill="auto"/>
          </w:tcPr>
          <w:p w:rsidR="001F5B33" w:rsidRPr="00E3331A" w:rsidRDefault="001F5B33" w:rsidP="0007007F">
            <w:pPr>
              <w:spacing w:after="0"/>
              <w:jc w:val="center"/>
              <w:rPr>
                <w:rFonts w:ascii="Arial Narrow" w:hAnsi="Arial Narrow"/>
                <w:b/>
                <w:sz w:val="20"/>
                <w:szCs w:val="20"/>
              </w:rPr>
            </w:pPr>
            <w:r w:rsidRPr="00E3331A">
              <w:rPr>
                <w:rFonts w:ascii="Arial Narrow" w:hAnsi="Arial Narrow"/>
                <w:b/>
                <w:sz w:val="20"/>
                <w:szCs w:val="20"/>
              </w:rPr>
              <w:lastRenderedPageBreak/>
              <w:t>Short-form-36 Methylprednisolone</w:t>
            </w:r>
          </w:p>
          <w:p w:rsidR="001F5B33" w:rsidRPr="00E3331A" w:rsidRDefault="001F5B33" w:rsidP="0007007F">
            <w:pPr>
              <w:spacing w:after="0"/>
              <w:jc w:val="center"/>
              <w:rPr>
                <w:rFonts w:ascii="Arial Narrow" w:hAnsi="Arial Narrow"/>
                <w:b/>
                <w:sz w:val="20"/>
                <w:szCs w:val="20"/>
              </w:rPr>
            </w:pPr>
            <w:r w:rsidRPr="00E3331A">
              <w:rPr>
                <w:rFonts w:ascii="Arial Narrow" w:hAnsi="Arial Narrow"/>
                <w:b/>
                <w:sz w:val="20"/>
                <w:szCs w:val="20"/>
              </w:rPr>
              <w:t>Immunoglobulin</w:t>
            </w:r>
          </w:p>
          <w:p w:rsidR="001F5B33" w:rsidRPr="00E3331A" w:rsidRDefault="001F5B33" w:rsidP="0007007F">
            <w:pPr>
              <w:spacing w:after="0"/>
              <w:jc w:val="center"/>
              <w:rPr>
                <w:rFonts w:ascii="Arial Narrow" w:hAnsi="Arial Narrow"/>
                <w:b/>
                <w:sz w:val="20"/>
                <w:szCs w:val="20"/>
              </w:rPr>
            </w:pPr>
            <w:r w:rsidRPr="00E3331A">
              <w:rPr>
                <w:rFonts w:ascii="Arial Narrow" w:hAnsi="Arial Narrow"/>
                <w:b/>
                <w:sz w:val="20"/>
                <w:szCs w:val="20"/>
              </w:rPr>
              <w:t>(p-value)</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lastRenderedPageBreak/>
              <w:t>Enrolment</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 xml:space="preserve">38·7 (17·0) </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56·3 (17·9)</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 xml:space="preserve">6 months </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 xml:space="preserve">55·4 (24·1) </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 xml:space="preserve">70·5 (17·9) </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0·0610</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Δ (p</w:t>
            </w:r>
            <w:r w:rsidR="00417823">
              <w:rPr>
                <w:rFonts w:ascii="Arial Narrow" w:hAnsi="Arial Narrow"/>
                <w:sz w:val="20"/>
                <w:szCs w:val="20"/>
              </w:rPr>
              <w:t>-</w:t>
            </w:r>
            <w:r w:rsidRPr="00E3331A">
              <w:rPr>
                <w:rFonts w:ascii="Arial Narrow" w:hAnsi="Arial Narrow"/>
                <w:sz w:val="20"/>
                <w:szCs w:val="20"/>
              </w:rPr>
              <w:t xml:space="preserve">value) </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 xml:space="preserve">16·7 (0·0008) </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14·2 (0·0011)</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0·3634</w:t>
            </w:r>
          </w:p>
        </w:tc>
        <w:tc>
          <w:tcPr>
            <w:tcW w:w="1476" w:type="dxa"/>
            <w:shd w:val="clear" w:color="auto" w:fill="auto"/>
          </w:tcPr>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lastRenderedPageBreak/>
              <w:t xml:space="preserve">45 patients </w:t>
            </w:r>
          </w:p>
          <w:p w:rsidR="001F5B33" w:rsidRPr="00E3331A" w:rsidRDefault="001F5B33" w:rsidP="002F5734">
            <w:pPr>
              <w:spacing w:after="0"/>
              <w:jc w:val="center"/>
              <w:rPr>
                <w:rFonts w:ascii="Arial Narrow" w:hAnsi="Arial Narrow"/>
                <w:sz w:val="20"/>
                <w:szCs w:val="20"/>
              </w:rPr>
            </w:pPr>
            <w:r w:rsidRPr="00E3331A">
              <w:rPr>
                <w:rFonts w:ascii="Arial Narrow" w:hAnsi="Arial Narrow"/>
                <w:sz w:val="20"/>
                <w:szCs w:val="20"/>
              </w:rPr>
              <w:t xml:space="preserve">(24 IVIg, 21 </w:t>
            </w:r>
            <w:r w:rsidR="002F5734" w:rsidRPr="00E3331A">
              <w:rPr>
                <w:rFonts w:ascii="Arial Narrow" w:hAnsi="Arial Narrow"/>
                <w:sz w:val="20"/>
                <w:szCs w:val="20"/>
              </w:rPr>
              <w:t xml:space="preserve">IV </w:t>
            </w:r>
            <w:r w:rsidRPr="00E3331A">
              <w:rPr>
                <w:rFonts w:ascii="Arial Narrow" w:hAnsi="Arial Narrow"/>
                <w:sz w:val="20"/>
                <w:szCs w:val="20"/>
              </w:rPr>
              <w:t>methyl</w:t>
            </w:r>
            <w:r w:rsidR="00D45BCF" w:rsidRPr="00E3331A">
              <w:rPr>
                <w:rFonts w:ascii="Arial Narrow" w:hAnsi="Arial Narrow"/>
                <w:sz w:val="20"/>
                <w:szCs w:val="20"/>
              </w:rPr>
              <w:t xml:space="preserve"> </w:t>
            </w:r>
            <w:r w:rsidRPr="00E3331A">
              <w:rPr>
                <w:rFonts w:ascii="Arial Narrow" w:hAnsi="Arial Narrow"/>
                <w:sz w:val="20"/>
                <w:szCs w:val="20"/>
              </w:rPr>
              <w:t>prednisolone)</w:t>
            </w:r>
          </w:p>
        </w:tc>
        <w:tc>
          <w:tcPr>
            <w:tcW w:w="4111" w:type="dxa"/>
            <w:shd w:val="clear" w:color="auto" w:fill="auto"/>
          </w:tcPr>
          <w:p w:rsidR="001F5B33" w:rsidRPr="00E3331A" w:rsidRDefault="001F5B33" w:rsidP="002F5734">
            <w:pPr>
              <w:spacing w:after="0"/>
              <w:rPr>
                <w:rFonts w:ascii="Arial Narrow" w:hAnsi="Arial Narrow"/>
                <w:sz w:val="20"/>
                <w:szCs w:val="20"/>
              </w:rPr>
            </w:pPr>
            <w:r w:rsidRPr="00E3331A">
              <w:rPr>
                <w:rFonts w:ascii="Arial Narrow" w:hAnsi="Arial Narrow"/>
                <w:sz w:val="20"/>
                <w:szCs w:val="20"/>
              </w:rPr>
              <w:t>IVIg compared to IV pulsed corticosteroids, across 6 months. More patients stopped methyl- prednisolone (11/21) than IVIg (3/24). Discontinuation was due to lack of efﬁcacy</w:t>
            </w:r>
            <w:r w:rsidR="002F5734" w:rsidRPr="00E3331A">
              <w:rPr>
                <w:rFonts w:ascii="Arial Narrow" w:hAnsi="Arial Narrow"/>
                <w:sz w:val="20"/>
                <w:szCs w:val="20"/>
              </w:rPr>
              <w:t>.</w:t>
            </w:r>
            <w:r w:rsidRPr="00E3331A">
              <w:rPr>
                <w:rFonts w:ascii="Arial Narrow" w:hAnsi="Arial Narrow"/>
                <w:sz w:val="20"/>
                <w:szCs w:val="20"/>
              </w:rPr>
              <w:t xml:space="preserve"> SF-36 increased by 16.7 points at 6 </w:t>
            </w:r>
            <w:r w:rsidRPr="00E3331A">
              <w:rPr>
                <w:rFonts w:ascii="Arial Narrow" w:hAnsi="Arial Narrow"/>
                <w:sz w:val="20"/>
                <w:szCs w:val="20"/>
              </w:rPr>
              <w:lastRenderedPageBreak/>
              <w:t>months with steroids (p = 0.0008) and by 14.2 points with IVIg (p = 0.011), however, there was no signiﬁcant difference between arms (p = 0.3634).</w:t>
            </w:r>
          </w:p>
        </w:tc>
      </w:tr>
      <w:tr w:rsidR="001F5B33" w:rsidRPr="00E3331A" w:rsidTr="0007007F">
        <w:tc>
          <w:tcPr>
            <w:tcW w:w="1413" w:type="dxa"/>
            <w:shd w:val="clear" w:color="auto" w:fill="auto"/>
          </w:tcPr>
          <w:p w:rsidR="001F5B33" w:rsidRPr="00E3331A" w:rsidRDefault="001F5B33" w:rsidP="00961E80">
            <w:pPr>
              <w:spacing w:after="0"/>
              <w:rPr>
                <w:rFonts w:ascii="Arial Narrow" w:hAnsi="Arial Narrow"/>
                <w:sz w:val="20"/>
                <w:szCs w:val="20"/>
              </w:rPr>
            </w:pPr>
            <w:r w:rsidRPr="00E3331A">
              <w:rPr>
                <w:rFonts w:ascii="Arial Narrow" w:hAnsi="Arial Narrow"/>
                <w:sz w:val="20"/>
                <w:szCs w:val="20"/>
              </w:rPr>
              <w:lastRenderedPageBreak/>
              <w:t>Mahdi-Rogers et al. 2014</w:t>
            </w:r>
            <w:r w:rsidR="00B85C75">
              <w:rPr>
                <w:rFonts w:ascii="Arial Narrow" w:hAnsi="Arial Narrow"/>
                <w:noProof/>
                <w:sz w:val="20"/>
                <w:szCs w:val="20"/>
              </w:rPr>
              <w:t>(Mahdi</w:t>
            </w:r>
            <w:r w:rsidR="00B85C75">
              <w:rPr>
                <w:rFonts w:ascii="Cambria Math" w:hAnsi="Cambria Math" w:cs="Cambria Math"/>
                <w:noProof/>
                <w:sz w:val="20"/>
                <w:szCs w:val="20"/>
              </w:rPr>
              <w:t>‐</w:t>
            </w:r>
            <w:r w:rsidR="00B85C75">
              <w:rPr>
                <w:rFonts w:ascii="Arial Narrow" w:hAnsi="Arial Narrow"/>
                <w:noProof/>
                <w:sz w:val="20"/>
                <w:szCs w:val="20"/>
              </w:rPr>
              <w:t>Rogers et al. 2014)</w:t>
            </w:r>
            <w:r w:rsidRPr="00E3331A">
              <w:rPr>
                <w:rFonts w:ascii="Arial Narrow" w:hAnsi="Arial Narrow"/>
                <w:sz w:val="20"/>
                <w:szCs w:val="20"/>
              </w:rPr>
              <w:t xml:space="preserve"> </w:t>
            </w:r>
          </w:p>
        </w:tc>
        <w:tc>
          <w:tcPr>
            <w:tcW w:w="2209" w:type="dxa"/>
            <w:shd w:val="clear" w:color="auto" w:fill="auto"/>
          </w:tcPr>
          <w:p w:rsidR="001F5B33" w:rsidRPr="00E3331A" w:rsidRDefault="001F5B33" w:rsidP="0007007F">
            <w:pPr>
              <w:spacing w:after="0"/>
              <w:jc w:val="center"/>
              <w:rPr>
                <w:rFonts w:ascii="Arial Narrow" w:hAnsi="Arial Narrow"/>
                <w:b/>
                <w:sz w:val="20"/>
                <w:szCs w:val="20"/>
              </w:rPr>
            </w:pPr>
            <w:r w:rsidRPr="00E3331A">
              <w:rPr>
                <w:rFonts w:ascii="Arial Narrow" w:hAnsi="Arial Narrow"/>
                <w:b/>
                <w:sz w:val="20"/>
                <w:szCs w:val="20"/>
              </w:rPr>
              <w:t>Economic, HRQoL</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0.62 for CIDP, which is lower than UK average of 0.86, but higher than 0.55 for 737 patients with multiple sclerosis or 0.54 for 97 patients with Parkinson's disease in UK surveys. No difference observed between Ig treatment, or not.</w:t>
            </w:r>
          </w:p>
        </w:tc>
        <w:tc>
          <w:tcPr>
            <w:tcW w:w="1476" w:type="dxa"/>
            <w:shd w:val="clear" w:color="auto" w:fill="auto"/>
          </w:tcPr>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106</w:t>
            </w:r>
          </w:p>
        </w:tc>
        <w:tc>
          <w:tcPr>
            <w:tcW w:w="4111" w:type="dxa"/>
            <w:shd w:val="clear" w:color="auto" w:fill="auto"/>
          </w:tcPr>
          <w:p w:rsidR="001F5B33" w:rsidRPr="00E3331A" w:rsidRDefault="001F5B33" w:rsidP="002F5734">
            <w:pPr>
              <w:rPr>
                <w:rFonts w:ascii="Arial Narrow" w:hAnsi="Arial Narrow"/>
                <w:sz w:val="20"/>
                <w:szCs w:val="20"/>
              </w:rPr>
            </w:pPr>
            <w:r w:rsidRPr="00E3331A">
              <w:rPr>
                <w:rFonts w:ascii="Arial Narrow" w:hAnsi="Arial Narrow"/>
                <w:sz w:val="20"/>
                <w:szCs w:val="20"/>
              </w:rPr>
              <w:t>EQ-5D survey undertaken in the UK across CIDP, MMN and PDB patients</w:t>
            </w:r>
            <w:r w:rsidR="002F5734" w:rsidRPr="00E3331A">
              <w:rPr>
                <w:rFonts w:ascii="Arial Narrow" w:hAnsi="Arial Narrow"/>
                <w:sz w:val="20"/>
                <w:szCs w:val="20"/>
              </w:rPr>
              <w:t>,</w:t>
            </w:r>
            <w:r w:rsidRPr="00E3331A">
              <w:rPr>
                <w:rFonts w:ascii="Arial Narrow" w:hAnsi="Arial Narrow"/>
                <w:sz w:val="20"/>
                <w:szCs w:val="20"/>
              </w:rPr>
              <w:t xml:space="preserve"> completed by 43 CIDP patients of 50 who were sent the survey. Utility scores were not signiﬁcantly related to gender, age, disease duration or IVIg treatment. HRQoL was signiﬁcantly higher in patients who were independently mobile or had no upper limb disability. The mean (SD) utility scores were 0.62 (0.23) for CIDP, 0.63 (0.22) for PDN and 0.72 (0.14) for MMN (P = 0.52).</w:t>
            </w:r>
          </w:p>
        </w:tc>
      </w:tr>
      <w:tr w:rsidR="001F5B33" w:rsidRPr="00E3331A" w:rsidTr="0007007F">
        <w:tc>
          <w:tcPr>
            <w:tcW w:w="1413" w:type="dxa"/>
            <w:shd w:val="clear" w:color="auto" w:fill="auto"/>
          </w:tcPr>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 xml:space="preserve">Maxwell </w:t>
            </w:r>
            <w:r w:rsidR="00983BA7">
              <w:rPr>
                <w:rFonts w:ascii="Arial Narrow" w:hAnsi="Arial Narrow"/>
                <w:sz w:val="20"/>
                <w:szCs w:val="20"/>
              </w:rPr>
              <w:t xml:space="preserve">et al. </w:t>
            </w:r>
            <w:r w:rsidRPr="00E3331A">
              <w:rPr>
                <w:rFonts w:ascii="Arial Narrow" w:hAnsi="Arial Narrow"/>
                <w:sz w:val="20"/>
                <w:szCs w:val="20"/>
              </w:rPr>
              <w:t>2013</w:t>
            </w:r>
            <w:r w:rsidR="00B85C75">
              <w:rPr>
                <w:rFonts w:ascii="Arial Narrow" w:hAnsi="Arial Narrow"/>
                <w:noProof/>
                <w:sz w:val="20"/>
                <w:szCs w:val="20"/>
              </w:rPr>
              <w:t>(Maxwell et al. 2013)</w:t>
            </w:r>
            <w:r w:rsidRPr="00E3331A">
              <w:rPr>
                <w:rFonts w:ascii="Arial Narrow" w:hAnsi="Arial Narrow"/>
                <w:sz w:val="20"/>
                <w:szCs w:val="20"/>
              </w:rPr>
              <w:t xml:space="preserve"> Canada</w:t>
            </w:r>
          </w:p>
        </w:tc>
        <w:tc>
          <w:tcPr>
            <w:tcW w:w="2209" w:type="dxa"/>
            <w:shd w:val="clear" w:color="auto" w:fill="auto"/>
          </w:tcPr>
          <w:p w:rsidR="001F5B33" w:rsidRPr="00E3331A" w:rsidRDefault="001F5B33" w:rsidP="0007007F">
            <w:pPr>
              <w:spacing w:after="0"/>
              <w:jc w:val="center"/>
              <w:rPr>
                <w:rFonts w:ascii="Arial Narrow" w:hAnsi="Arial Narrow"/>
                <w:b/>
                <w:sz w:val="20"/>
                <w:szCs w:val="20"/>
              </w:rPr>
            </w:pPr>
            <w:r w:rsidRPr="00E3331A">
              <w:rPr>
                <w:rFonts w:ascii="Arial Narrow" w:hAnsi="Arial Narrow"/>
                <w:b/>
                <w:sz w:val="20"/>
                <w:szCs w:val="20"/>
              </w:rPr>
              <w:t>Polyneuropathy and general population SF-36</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Physical functioning</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54.3 and 85.8</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Role physical</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51.8 and 82.1</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Bodily pain</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54.9 and 75.6</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General health</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49.8 and 77.0</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Energy/vitality</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47.6 and 65.8</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 xml:space="preserve">Social functioning </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64.2 and 86.2</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 xml:space="preserve">Role emotional </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69.1 and 84.0</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Mental health</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65.4 and 77.5</w:t>
            </w:r>
          </w:p>
        </w:tc>
        <w:tc>
          <w:tcPr>
            <w:tcW w:w="1476" w:type="dxa"/>
            <w:shd w:val="clear" w:color="auto" w:fill="auto"/>
          </w:tcPr>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154</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(39, CIDP)</w:t>
            </w:r>
          </w:p>
        </w:tc>
        <w:tc>
          <w:tcPr>
            <w:tcW w:w="4111" w:type="dxa"/>
            <w:shd w:val="clear" w:color="auto" w:fill="auto"/>
          </w:tcPr>
          <w:p w:rsidR="001F5B33" w:rsidRPr="00E3331A" w:rsidRDefault="002F5734" w:rsidP="002F5734">
            <w:pPr>
              <w:rPr>
                <w:rFonts w:ascii="Arial Narrow" w:hAnsi="Arial Narrow"/>
                <w:sz w:val="20"/>
                <w:szCs w:val="20"/>
              </w:rPr>
            </w:pPr>
            <w:r w:rsidRPr="00E3331A">
              <w:rPr>
                <w:rFonts w:ascii="Arial Narrow" w:hAnsi="Arial Narrow"/>
                <w:sz w:val="20"/>
                <w:szCs w:val="20"/>
              </w:rPr>
              <w:t>C</w:t>
            </w:r>
            <w:r w:rsidR="001F5B33" w:rsidRPr="00E3331A">
              <w:rPr>
                <w:rFonts w:ascii="Arial Narrow" w:hAnsi="Arial Narrow"/>
                <w:sz w:val="20"/>
                <w:szCs w:val="20"/>
              </w:rPr>
              <w:t>ross</w:t>
            </w:r>
            <w:r w:rsidR="00D45BCF" w:rsidRPr="00E3331A">
              <w:rPr>
                <w:rFonts w:ascii="Arial Narrow" w:hAnsi="Arial Narrow"/>
                <w:sz w:val="20"/>
                <w:szCs w:val="20"/>
              </w:rPr>
              <w:t>-</w:t>
            </w:r>
            <w:r w:rsidR="001F5B33" w:rsidRPr="00E3331A">
              <w:rPr>
                <w:rFonts w:ascii="Arial Narrow" w:hAnsi="Arial Narrow"/>
                <w:sz w:val="20"/>
                <w:szCs w:val="20"/>
              </w:rPr>
              <w:t xml:space="preserve">sectional Canadian study used the Peripheral Neuropathy </w:t>
            </w:r>
            <w:r w:rsidRPr="00E3331A">
              <w:rPr>
                <w:rFonts w:ascii="Arial Narrow" w:hAnsi="Arial Narrow"/>
                <w:sz w:val="20"/>
                <w:szCs w:val="20"/>
              </w:rPr>
              <w:t>QoL</w:t>
            </w:r>
            <w:r w:rsidR="001F5B33" w:rsidRPr="00E3331A">
              <w:rPr>
                <w:rFonts w:ascii="Arial Narrow" w:hAnsi="Arial Narrow"/>
                <w:sz w:val="20"/>
                <w:szCs w:val="20"/>
              </w:rPr>
              <w:t xml:space="preserve"> Instrument-97, in a population of 154 patients with neuropathy, </w:t>
            </w:r>
            <w:r w:rsidR="00591599" w:rsidRPr="00E3331A">
              <w:rPr>
                <w:rFonts w:ascii="Arial Narrow" w:hAnsi="Arial Narrow"/>
                <w:sz w:val="20"/>
                <w:szCs w:val="20"/>
              </w:rPr>
              <w:t>among</w:t>
            </w:r>
            <w:r w:rsidR="001F5B33" w:rsidRPr="00E3331A">
              <w:rPr>
                <w:rFonts w:ascii="Arial Narrow" w:hAnsi="Arial Narrow"/>
                <w:sz w:val="20"/>
                <w:szCs w:val="20"/>
              </w:rPr>
              <w:t xml:space="preserve"> whom 31.9% had diabetic polyneuropathy, 16% CIDP and 9% PDN, against a normative sample. “Comparison of QoL between the Canadian normative sample and patients with neuropathy showed lower scores for all eight of the SF-36 domains in the neuropathy patients (p&lt;0.001) “(p. 39).</w:t>
            </w:r>
          </w:p>
        </w:tc>
      </w:tr>
      <w:tr w:rsidR="001F5B33" w:rsidRPr="00E3331A" w:rsidTr="0007007F">
        <w:tc>
          <w:tcPr>
            <w:tcW w:w="1413" w:type="dxa"/>
            <w:shd w:val="clear" w:color="auto" w:fill="auto"/>
          </w:tcPr>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 xml:space="preserve">dos Santos </w:t>
            </w:r>
            <w:r w:rsidR="00983BA7">
              <w:rPr>
                <w:rFonts w:ascii="Arial Narrow" w:hAnsi="Arial Narrow"/>
                <w:sz w:val="20"/>
                <w:szCs w:val="20"/>
              </w:rPr>
              <w:t xml:space="preserve">et al. </w:t>
            </w:r>
            <w:r w:rsidRPr="00E3331A">
              <w:rPr>
                <w:rFonts w:ascii="Arial Narrow" w:hAnsi="Arial Narrow"/>
                <w:sz w:val="20"/>
                <w:szCs w:val="20"/>
              </w:rPr>
              <w:t>2014</w:t>
            </w:r>
            <w:r w:rsidR="00B85C75">
              <w:rPr>
                <w:rFonts w:ascii="Arial Narrow" w:hAnsi="Arial Narrow"/>
                <w:noProof/>
                <w:sz w:val="20"/>
                <w:szCs w:val="20"/>
              </w:rPr>
              <w:t>(Santos et al. 2014)</w:t>
            </w:r>
            <w:r w:rsidRPr="00E3331A">
              <w:rPr>
                <w:rFonts w:ascii="Arial Narrow" w:hAnsi="Arial Narrow"/>
                <w:sz w:val="20"/>
                <w:szCs w:val="20"/>
              </w:rPr>
              <w:t xml:space="preserve"> SF-</w:t>
            </w:r>
            <w:r w:rsidRPr="00E3331A">
              <w:rPr>
                <w:rFonts w:ascii="Arial Narrow" w:hAnsi="Arial Narrow"/>
                <w:sz w:val="20"/>
                <w:szCs w:val="20"/>
              </w:rPr>
              <w:lastRenderedPageBreak/>
              <w:t>36 scores in a cohort of CIDP patients</w:t>
            </w:r>
          </w:p>
        </w:tc>
        <w:tc>
          <w:tcPr>
            <w:tcW w:w="2209" w:type="dxa"/>
            <w:shd w:val="clear" w:color="auto" w:fill="auto"/>
          </w:tcPr>
          <w:p w:rsidR="001F5B33" w:rsidRPr="00E3331A" w:rsidRDefault="001F5B33" w:rsidP="0007007F">
            <w:pPr>
              <w:spacing w:after="0"/>
              <w:jc w:val="center"/>
              <w:rPr>
                <w:rFonts w:ascii="Arial Narrow" w:hAnsi="Arial Narrow"/>
                <w:sz w:val="20"/>
                <w:szCs w:val="20"/>
              </w:rPr>
            </w:pPr>
            <w:r w:rsidRPr="00E3331A">
              <w:rPr>
                <w:rFonts w:ascii="Arial Narrow" w:hAnsi="Arial Narrow"/>
                <w:b/>
                <w:sz w:val="20"/>
                <w:szCs w:val="20"/>
              </w:rPr>
              <w:lastRenderedPageBreak/>
              <w:t>HRQoL, cognitive</w:t>
            </w:r>
            <w:r w:rsidRPr="00E3331A">
              <w:rPr>
                <w:rFonts w:ascii="Arial Narrow" w:hAnsi="Arial Narrow"/>
                <w:sz w:val="20"/>
                <w:szCs w:val="20"/>
              </w:rPr>
              <w:t xml:space="preserve">. Results were unfortunately </w:t>
            </w:r>
            <w:r w:rsidRPr="00E3331A">
              <w:rPr>
                <w:rFonts w:ascii="Arial Narrow" w:hAnsi="Arial Narrow"/>
                <w:sz w:val="20"/>
                <w:szCs w:val="20"/>
              </w:rPr>
              <w:lastRenderedPageBreak/>
              <w:t xml:space="preserve">not adequately detailed for meaningful conclusions. </w:t>
            </w:r>
          </w:p>
        </w:tc>
        <w:tc>
          <w:tcPr>
            <w:tcW w:w="1476" w:type="dxa"/>
            <w:shd w:val="clear" w:color="auto" w:fill="auto"/>
          </w:tcPr>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lastRenderedPageBreak/>
              <w:t>41</w:t>
            </w:r>
          </w:p>
          <w:p w:rsidR="001F5B33" w:rsidRPr="00E3331A" w:rsidRDefault="001F5B33" w:rsidP="0007007F">
            <w:pPr>
              <w:spacing w:after="0"/>
              <w:jc w:val="center"/>
              <w:rPr>
                <w:rFonts w:ascii="Arial Narrow" w:hAnsi="Arial Narrow"/>
                <w:sz w:val="20"/>
                <w:szCs w:val="20"/>
              </w:rPr>
            </w:pPr>
            <w:r w:rsidRPr="00E3331A">
              <w:rPr>
                <w:rFonts w:ascii="Arial Narrow" w:hAnsi="Arial Narrow"/>
                <w:sz w:val="20"/>
                <w:szCs w:val="20"/>
              </w:rPr>
              <w:t>Brazil</w:t>
            </w:r>
          </w:p>
        </w:tc>
        <w:tc>
          <w:tcPr>
            <w:tcW w:w="4111" w:type="dxa"/>
            <w:shd w:val="clear" w:color="auto" w:fill="auto"/>
          </w:tcPr>
          <w:p w:rsidR="001F5B33" w:rsidRPr="00E3331A" w:rsidRDefault="001F5B33" w:rsidP="0007007F">
            <w:pPr>
              <w:spacing w:after="0"/>
              <w:rPr>
                <w:rFonts w:ascii="Arial Narrow" w:hAnsi="Arial Narrow"/>
                <w:sz w:val="20"/>
                <w:szCs w:val="20"/>
              </w:rPr>
            </w:pPr>
            <w:r w:rsidRPr="00E3331A">
              <w:rPr>
                <w:rFonts w:ascii="Arial Narrow" w:hAnsi="Arial Narrow"/>
                <w:sz w:val="20"/>
                <w:szCs w:val="20"/>
              </w:rPr>
              <w:t xml:space="preserve">Impaired patients were compared to non-matched normal subjects in a cross-sectional study from </w:t>
            </w:r>
            <w:r w:rsidRPr="00E3331A">
              <w:rPr>
                <w:rFonts w:ascii="Arial Narrow" w:hAnsi="Arial Narrow"/>
                <w:sz w:val="20"/>
                <w:szCs w:val="20"/>
              </w:rPr>
              <w:lastRenderedPageBreak/>
              <w:t>Brazil</w:t>
            </w:r>
            <w:r w:rsidR="002F5734" w:rsidRPr="00E3331A">
              <w:rPr>
                <w:rFonts w:ascii="Arial Narrow" w:hAnsi="Arial Narrow"/>
                <w:sz w:val="20"/>
                <w:szCs w:val="20"/>
              </w:rPr>
              <w:t xml:space="preserve">. </w:t>
            </w:r>
            <w:r w:rsidRPr="00E3331A">
              <w:rPr>
                <w:rFonts w:ascii="Arial Narrow" w:hAnsi="Arial Narrow"/>
                <w:sz w:val="20"/>
                <w:szCs w:val="20"/>
              </w:rPr>
              <w:t>Normative values for the relevant Brazilian population were not available for analysis</w:t>
            </w:r>
            <w:r w:rsidR="002F5734" w:rsidRPr="00E3331A">
              <w:rPr>
                <w:rFonts w:ascii="Arial Narrow" w:hAnsi="Arial Narrow"/>
                <w:sz w:val="20"/>
                <w:szCs w:val="20"/>
              </w:rPr>
              <w:t>.</w:t>
            </w:r>
          </w:p>
        </w:tc>
      </w:tr>
    </w:tbl>
    <w:p w:rsidR="001F5B33" w:rsidRPr="00E3331A" w:rsidRDefault="001F5B33" w:rsidP="0037150F">
      <w:pPr>
        <w:pStyle w:val="Tablenotes1"/>
        <w:rPr>
          <w:noProof/>
        </w:rPr>
      </w:pPr>
      <w:r w:rsidRPr="00E3331A">
        <w:rPr>
          <w:b/>
        </w:rPr>
        <w:lastRenderedPageBreak/>
        <w:t>Abbreviations</w:t>
      </w:r>
      <w:r w:rsidRPr="00E3331A">
        <w:t>: AAN = American Academy of Neurology, CIDP</w:t>
      </w:r>
      <w:r w:rsidR="002F5734" w:rsidRPr="00E3331A">
        <w:t xml:space="preserve"> </w:t>
      </w:r>
      <w:r w:rsidRPr="00E3331A">
        <w:t>= Chronic inflammatory demyelinating polyneuropathy, Ig</w:t>
      </w:r>
      <w:r w:rsidR="002F5734" w:rsidRPr="00E3331A">
        <w:t xml:space="preserve"> </w:t>
      </w:r>
      <w:r w:rsidRPr="00E3331A">
        <w:t>= Immunoglobulin, IV</w:t>
      </w:r>
      <w:r w:rsidR="002F5734" w:rsidRPr="00E3331A">
        <w:t xml:space="preserve"> </w:t>
      </w:r>
      <w:r w:rsidRPr="00E3331A">
        <w:t>= Intravenous, P = placebo, EFNS/PNS</w:t>
      </w:r>
      <w:r w:rsidR="002F5734" w:rsidRPr="00E3331A">
        <w:t xml:space="preserve"> </w:t>
      </w:r>
      <w:r w:rsidRPr="00E3331A">
        <w:t xml:space="preserve">= </w:t>
      </w:r>
      <w:r w:rsidR="00643445" w:rsidRPr="00E3331A">
        <w:t>European Federation of Neurological Societies/Peripheral Nerve Society</w:t>
      </w:r>
      <w:r w:rsidRPr="00E3331A">
        <w:t>, ONLS</w:t>
      </w:r>
      <w:r w:rsidR="002F5734" w:rsidRPr="00E3331A">
        <w:t xml:space="preserve"> </w:t>
      </w:r>
      <w:r w:rsidRPr="00E3331A">
        <w:t>= Overall Neuropathy Limitations Scale, NDS = neurologic disability score, INCAT = inflammatory Neuropathy Cause and Treatment.</w:t>
      </w:r>
    </w:p>
    <w:p w:rsidR="001F5B33" w:rsidRPr="00E3331A" w:rsidRDefault="001F5B33" w:rsidP="00BB6E4C">
      <w:pPr>
        <w:pStyle w:val="BodyTextSTD"/>
      </w:pPr>
      <w:r w:rsidRPr="00E3331A">
        <w:t xml:space="preserve">The authors (p. 22) concluded that SF-36 appears to be a useful generic instrument to evaluate HRQoL in CIDP and </w:t>
      </w:r>
      <w:r w:rsidR="00E810A5" w:rsidRPr="00E3331A">
        <w:rPr>
          <w:w w:val="105"/>
        </w:rPr>
        <w:t>paraproteinemic</w:t>
      </w:r>
      <w:r w:rsidR="00643445" w:rsidRPr="00E3331A">
        <w:rPr>
          <w:spacing w:val="11"/>
          <w:w w:val="105"/>
        </w:rPr>
        <w:t xml:space="preserve"> </w:t>
      </w:r>
      <w:r w:rsidR="00643445" w:rsidRPr="00E3331A">
        <w:rPr>
          <w:w w:val="105"/>
        </w:rPr>
        <w:t>demyelinating</w:t>
      </w:r>
      <w:r w:rsidR="00643445" w:rsidRPr="00E3331A">
        <w:rPr>
          <w:spacing w:val="25"/>
          <w:w w:val="104"/>
        </w:rPr>
        <w:t xml:space="preserve"> </w:t>
      </w:r>
      <w:r w:rsidR="00643445" w:rsidRPr="00E3331A">
        <w:rPr>
          <w:w w:val="105"/>
        </w:rPr>
        <w:t>neuropathy</w:t>
      </w:r>
      <w:r w:rsidR="00643445" w:rsidRPr="00E3331A">
        <w:t xml:space="preserve"> (</w:t>
      </w:r>
      <w:r w:rsidRPr="00E3331A">
        <w:t>PDN</w:t>
      </w:r>
      <w:r w:rsidR="00643445" w:rsidRPr="00E3331A">
        <w:t>)</w:t>
      </w:r>
      <w:r w:rsidRPr="00E3331A">
        <w:t xml:space="preserve">, as shown by its performance across the studies analysed in this review. Correlations of HRQoL measures were otherwise consistently found at baseline with strength scores, isokinetic strength and functional scores in CIDP. “The degree of impairment may be lesser than in other neurological disorders – particularly in regard to pain and general health perception, social functioning and mental health.” (ibid, p. 22) This was possibly attributed to most studies being conducted in countries with high standards of healthcare. The authors noted that improved quality of life with IVIg over steroids was not conﬁrmed with the 6-month data from the latest comparative study (Nobile </w:t>
      </w:r>
      <w:r w:rsidR="00983BA7">
        <w:t xml:space="preserve">et al. </w:t>
      </w:r>
      <w:r w:rsidRPr="00E3331A">
        <w:t>2012) and cross-sectional U</w:t>
      </w:r>
      <w:r w:rsidR="00591599" w:rsidRPr="00E3331A">
        <w:t>K</w:t>
      </w:r>
      <w:r w:rsidRPr="00E3331A">
        <w:t xml:space="preserve"> study found Ig use did not inﬂuence patient</w:t>
      </w:r>
      <w:r w:rsidR="00D45BCF" w:rsidRPr="00E3331A">
        <w:t>-</w:t>
      </w:r>
      <w:r w:rsidRPr="00E3331A">
        <w:t>reported HRQoL.</w:t>
      </w:r>
    </w:p>
    <w:p w:rsidR="001F5B33" w:rsidRPr="00E3331A" w:rsidRDefault="001F5B33" w:rsidP="00EC4A59">
      <w:pPr>
        <w:pStyle w:val="Heading4"/>
      </w:pPr>
      <w:r w:rsidRPr="00E3331A">
        <w:t>Literature search for Adverse Event State Utilities</w:t>
      </w:r>
    </w:p>
    <w:p w:rsidR="001F5B33" w:rsidRPr="00E3331A" w:rsidRDefault="001F5B33" w:rsidP="00BB6E4C">
      <w:pPr>
        <w:pStyle w:val="BodyTextSTD"/>
      </w:pPr>
      <w:r w:rsidRPr="00E3331A">
        <w:t xml:space="preserve">The Blackhouse </w:t>
      </w:r>
      <w:r w:rsidR="00983BA7">
        <w:t xml:space="preserve">et al. </w:t>
      </w:r>
      <w:r w:rsidRPr="00E3331A">
        <w:t xml:space="preserve">(2010) Canadian economic model </w:t>
      </w:r>
      <w:r w:rsidR="00956141" w:rsidRPr="00E3331A">
        <w:t xml:space="preserve">that </w:t>
      </w:r>
      <w:r w:rsidRPr="00E3331A">
        <w:t>compared Ig with steroids in CIDP patients quantified disutilities for steroid AEs including fracture, diabetes, glaucoma and serious infection. The disutility due to fracture was estimated using a Canadian model evaluating corticosteroid</w:t>
      </w:r>
      <w:r w:rsidR="00D45BCF" w:rsidRPr="00E3331A">
        <w:t>-</w:t>
      </w:r>
      <w:r w:rsidRPr="00E3331A">
        <w:t>induced osteoporosis</w:t>
      </w:r>
      <w:r w:rsidR="000450C6" w:rsidRPr="00E3331A">
        <w:t xml:space="preserve"> </w:t>
      </w:r>
      <w:r w:rsidR="00B85C75">
        <w:rPr>
          <w:noProof/>
        </w:rPr>
        <w:t>(Goeree et al. 2006)</w:t>
      </w:r>
      <w:r w:rsidRPr="00E3331A">
        <w:t xml:space="preserve">, the disutility for diabetes from the Ontario Diabetes Economic Model </w:t>
      </w:r>
      <w:r w:rsidR="00B85C75">
        <w:rPr>
          <w:noProof/>
        </w:rPr>
        <w:t>(O'Reilly et al. 2007)</w:t>
      </w:r>
      <w:r w:rsidRPr="00E3331A">
        <w:t xml:space="preserve"> and for cataract surgery (Hopkins </w:t>
      </w:r>
      <w:r w:rsidR="00983BA7">
        <w:t xml:space="preserve">et al. </w:t>
      </w:r>
      <w:r w:rsidRPr="00E3331A">
        <w:t xml:space="preserve">2008). The disutility for glaucoma was assumed to be 0.061 </w:t>
      </w:r>
      <w:r w:rsidR="00B85C75">
        <w:rPr>
          <w:noProof/>
        </w:rPr>
        <w:t>(Jampel et al. 2002)</w:t>
      </w:r>
      <w:r w:rsidRPr="00E3331A">
        <w:t xml:space="preserve"> and 1.0 for two weeks during a serious infection</w:t>
      </w:r>
      <w:r w:rsidR="000450C6" w:rsidRPr="00E3331A">
        <w:t xml:space="preserve"> </w:t>
      </w:r>
      <w:r w:rsidR="00B85C75">
        <w:rPr>
          <w:noProof/>
        </w:rPr>
        <w:t>(Bae et al. 2003)</w:t>
      </w:r>
      <w:r w:rsidR="000450C6" w:rsidRPr="00E3331A">
        <w:t>.</w:t>
      </w:r>
      <w:r w:rsidRPr="00E3331A">
        <w:t xml:space="preserve"> Most of these studies are North American.</w:t>
      </w:r>
    </w:p>
    <w:p w:rsidR="001F5B33" w:rsidRPr="00E3331A" w:rsidRDefault="001F5B33" w:rsidP="00BB6E4C">
      <w:pPr>
        <w:pStyle w:val="BodyTextSTD"/>
      </w:pPr>
      <w:r w:rsidRPr="00E3331A">
        <w:t xml:space="preserve">A search was conducted </w:t>
      </w:r>
      <w:r w:rsidR="00E5330A" w:rsidRPr="00E3331A">
        <w:t xml:space="preserve">20 April 2019 to identify </w:t>
      </w:r>
      <w:r w:rsidRPr="00E3331A">
        <w:t xml:space="preserve">Australian studies of </w:t>
      </w:r>
      <w:r w:rsidR="00E5330A" w:rsidRPr="00E3331A">
        <w:t xml:space="preserve">QoL analyses of AEs in CIDP patients. Embase, Cochrane Library, and HTA agency websites (CADTH and NICE) were searched using the terms shown in </w:t>
      </w:r>
      <w:r w:rsidR="006F35B9" w:rsidRPr="00E3331A">
        <w:t xml:space="preserve">Table </w:t>
      </w:r>
      <w:r w:rsidR="006F35B9">
        <w:rPr>
          <w:noProof/>
        </w:rPr>
        <w:t>47</w:t>
      </w:r>
      <w:r w:rsidRPr="00E3331A">
        <w:t xml:space="preserve">. Titles and abstracts were </w:t>
      </w:r>
      <w:r w:rsidR="00D77378" w:rsidRPr="00E3331A">
        <w:t>reviewed,</w:t>
      </w:r>
      <w:r w:rsidRPr="00E3331A">
        <w:t xml:space="preserve"> and a manual search was performed. </w:t>
      </w:r>
    </w:p>
    <w:p w:rsidR="001F5B33" w:rsidRPr="00E3331A" w:rsidRDefault="001F5B33" w:rsidP="001F5B33">
      <w:pPr>
        <w:pStyle w:val="Caption"/>
      </w:pPr>
      <w:bookmarkStart w:id="347" w:name="_Ref8466469"/>
      <w:bookmarkStart w:id="348" w:name="_Toc24103353"/>
      <w:r w:rsidRPr="00E3331A">
        <w:t xml:space="preserve">Table </w:t>
      </w:r>
      <w:r w:rsidR="006F35B9">
        <w:rPr>
          <w:noProof/>
        </w:rPr>
        <w:t>47</w:t>
      </w:r>
      <w:bookmarkEnd w:id="347"/>
      <w:r w:rsidR="00E5330A" w:rsidRPr="00E3331A">
        <w:tab/>
      </w:r>
      <w:r w:rsidRPr="00E3331A">
        <w:t xml:space="preserve">Search strategy for Australian CIDP </w:t>
      </w:r>
      <w:r w:rsidR="00E5330A" w:rsidRPr="00E3331A">
        <w:t>adverse events</w:t>
      </w:r>
      <w:r w:rsidRPr="00E3331A">
        <w:t xml:space="preserve"> utility literature review</w:t>
      </w:r>
      <w:bookmarkEnd w:id="348"/>
      <w:r w:rsidRPr="00E3331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7795"/>
      </w:tblGrid>
      <w:tr w:rsidR="001F5B33" w:rsidRPr="00E3331A" w:rsidTr="0007007F">
        <w:tc>
          <w:tcPr>
            <w:tcW w:w="677" w:type="pct"/>
            <w:shd w:val="clear" w:color="auto" w:fill="D9D9D9"/>
          </w:tcPr>
          <w:p w:rsidR="001F5B33" w:rsidRPr="00E3331A" w:rsidRDefault="001F5B33" w:rsidP="0007007F">
            <w:pPr>
              <w:pStyle w:val="TableHeading"/>
              <w:jc w:val="both"/>
              <w:rPr>
                <w:rFonts w:eastAsia="Calibri"/>
                <w:lang w:eastAsia="en-US"/>
              </w:rPr>
            </w:pPr>
            <w:r w:rsidRPr="00E3331A">
              <w:rPr>
                <w:rFonts w:eastAsia="Calibri"/>
                <w:lang w:eastAsia="en-US"/>
              </w:rPr>
              <w:t>Search</w:t>
            </w:r>
          </w:p>
        </w:tc>
        <w:tc>
          <w:tcPr>
            <w:tcW w:w="4323" w:type="pct"/>
            <w:shd w:val="clear" w:color="auto" w:fill="D9D9D9"/>
          </w:tcPr>
          <w:p w:rsidR="001F5B33" w:rsidRPr="00E3331A" w:rsidRDefault="001F5B33" w:rsidP="0007007F">
            <w:pPr>
              <w:pStyle w:val="TableHeading"/>
              <w:jc w:val="both"/>
              <w:rPr>
                <w:rFonts w:eastAsia="Calibri"/>
                <w:lang w:eastAsia="en-US"/>
              </w:rPr>
            </w:pPr>
            <w:r w:rsidRPr="00E3331A">
              <w:rPr>
                <w:rFonts w:eastAsia="Calibri"/>
                <w:lang w:eastAsia="en-US"/>
              </w:rPr>
              <w:t>Terms</w:t>
            </w:r>
          </w:p>
        </w:tc>
      </w:tr>
      <w:tr w:rsidR="001F5B33" w:rsidRPr="00E3331A" w:rsidTr="0007007F">
        <w:tc>
          <w:tcPr>
            <w:tcW w:w="677" w:type="pct"/>
            <w:vMerge w:val="restart"/>
            <w:shd w:val="clear" w:color="auto" w:fill="auto"/>
            <w:vAlign w:val="center"/>
          </w:tcPr>
          <w:p w:rsidR="001F5B33" w:rsidRPr="00E3331A" w:rsidRDefault="001F5B33" w:rsidP="0007007F">
            <w:pPr>
              <w:pStyle w:val="Tabletext1"/>
              <w:jc w:val="both"/>
              <w:rPr>
                <w:rFonts w:eastAsia="Calibri"/>
                <w:lang w:eastAsia="en-US"/>
              </w:rPr>
            </w:pPr>
            <w:r w:rsidRPr="00E3331A">
              <w:rPr>
                <w:rFonts w:eastAsia="Calibri"/>
                <w:lang w:eastAsia="en-US"/>
              </w:rPr>
              <w:t>1</w:t>
            </w:r>
          </w:p>
        </w:tc>
        <w:tc>
          <w:tcPr>
            <w:tcW w:w="4323" w:type="pct"/>
            <w:shd w:val="clear" w:color="auto" w:fill="auto"/>
          </w:tcPr>
          <w:p w:rsidR="001F5B33" w:rsidRPr="00E3331A" w:rsidRDefault="001F5B33" w:rsidP="0007007F">
            <w:pPr>
              <w:pStyle w:val="Tabletext1"/>
              <w:jc w:val="both"/>
              <w:rPr>
                <w:rFonts w:eastAsia="Calibri"/>
                <w:lang w:eastAsia="en-US"/>
              </w:rPr>
            </w:pPr>
            <w:r w:rsidRPr="00E3331A">
              <w:rPr>
                <w:rFonts w:eastAsia="Calibri"/>
                <w:lang w:eastAsia="en-US"/>
              </w:rPr>
              <w:t>Diabetes mellitus OR type 2 diabetes</w:t>
            </w:r>
          </w:p>
        </w:tc>
      </w:tr>
      <w:tr w:rsidR="001F5B33" w:rsidRPr="00E3331A" w:rsidTr="0007007F">
        <w:tc>
          <w:tcPr>
            <w:tcW w:w="677" w:type="pct"/>
            <w:vMerge/>
            <w:shd w:val="clear" w:color="auto" w:fill="auto"/>
          </w:tcPr>
          <w:p w:rsidR="001F5B33" w:rsidRPr="00E3331A" w:rsidRDefault="001F5B33" w:rsidP="0007007F">
            <w:pPr>
              <w:pStyle w:val="Tabletext1"/>
              <w:jc w:val="both"/>
              <w:rPr>
                <w:rFonts w:eastAsia="Calibri"/>
                <w:lang w:eastAsia="en-US"/>
              </w:rPr>
            </w:pPr>
          </w:p>
        </w:tc>
        <w:tc>
          <w:tcPr>
            <w:tcW w:w="4323" w:type="pct"/>
            <w:shd w:val="clear" w:color="auto" w:fill="auto"/>
          </w:tcPr>
          <w:p w:rsidR="001F5B33" w:rsidRPr="00E3331A" w:rsidRDefault="001F5B33" w:rsidP="0007007F">
            <w:pPr>
              <w:pStyle w:val="Tabletext1"/>
              <w:jc w:val="both"/>
              <w:rPr>
                <w:rFonts w:eastAsia="Calibri"/>
                <w:lang w:eastAsia="en-US"/>
              </w:rPr>
            </w:pPr>
            <w:r w:rsidRPr="00E3331A">
              <w:rPr>
                <w:rFonts w:eastAsia="Calibri"/>
                <w:lang w:eastAsia="en-US"/>
              </w:rPr>
              <w:t>Fracture OR Osteoporosis</w:t>
            </w:r>
          </w:p>
        </w:tc>
      </w:tr>
      <w:tr w:rsidR="001F5B33" w:rsidRPr="00E3331A" w:rsidTr="0007007F">
        <w:tc>
          <w:tcPr>
            <w:tcW w:w="677" w:type="pct"/>
            <w:vMerge/>
            <w:shd w:val="clear" w:color="auto" w:fill="auto"/>
          </w:tcPr>
          <w:p w:rsidR="001F5B33" w:rsidRPr="00E3331A" w:rsidRDefault="001F5B33" w:rsidP="0007007F">
            <w:pPr>
              <w:pStyle w:val="Tabletext1"/>
              <w:jc w:val="both"/>
              <w:rPr>
                <w:rFonts w:eastAsia="Calibri"/>
                <w:lang w:eastAsia="en-US"/>
              </w:rPr>
            </w:pPr>
          </w:p>
        </w:tc>
        <w:tc>
          <w:tcPr>
            <w:tcW w:w="4323" w:type="pct"/>
            <w:shd w:val="clear" w:color="auto" w:fill="auto"/>
          </w:tcPr>
          <w:p w:rsidR="001F5B33" w:rsidRPr="00E3331A" w:rsidRDefault="001F5B33" w:rsidP="0007007F">
            <w:pPr>
              <w:pStyle w:val="Tabletext1"/>
              <w:jc w:val="both"/>
              <w:rPr>
                <w:rFonts w:eastAsia="Calibri"/>
                <w:lang w:eastAsia="en-US"/>
              </w:rPr>
            </w:pPr>
            <w:r w:rsidRPr="00E3331A">
              <w:rPr>
                <w:rFonts w:eastAsia="Calibri"/>
                <w:lang w:eastAsia="en-US"/>
              </w:rPr>
              <w:t>Cataract</w:t>
            </w:r>
          </w:p>
        </w:tc>
      </w:tr>
      <w:tr w:rsidR="001F5B33" w:rsidRPr="00E3331A" w:rsidTr="0007007F">
        <w:tc>
          <w:tcPr>
            <w:tcW w:w="677" w:type="pct"/>
            <w:vMerge/>
            <w:shd w:val="clear" w:color="auto" w:fill="auto"/>
          </w:tcPr>
          <w:p w:rsidR="001F5B33" w:rsidRPr="00E3331A" w:rsidRDefault="001F5B33" w:rsidP="0007007F">
            <w:pPr>
              <w:pStyle w:val="Tabletext1"/>
              <w:jc w:val="both"/>
              <w:rPr>
                <w:rFonts w:eastAsia="Calibri"/>
                <w:lang w:eastAsia="en-US"/>
              </w:rPr>
            </w:pPr>
          </w:p>
        </w:tc>
        <w:tc>
          <w:tcPr>
            <w:tcW w:w="4323" w:type="pct"/>
            <w:shd w:val="clear" w:color="auto" w:fill="auto"/>
          </w:tcPr>
          <w:p w:rsidR="001F5B33" w:rsidRPr="00E3331A" w:rsidRDefault="001F5B33" w:rsidP="0007007F">
            <w:pPr>
              <w:pStyle w:val="Tabletext1"/>
              <w:jc w:val="both"/>
              <w:rPr>
                <w:rFonts w:eastAsia="Calibri"/>
                <w:lang w:eastAsia="en-US"/>
              </w:rPr>
            </w:pPr>
            <w:r w:rsidRPr="00E3331A">
              <w:rPr>
                <w:rFonts w:eastAsia="Calibri"/>
                <w:lang w:eastAsia="en-US"/>
              </w:rPr>
              <w:t>Glaucoma</w:t>
            </w:r>
          </w:p>
        </w:tc>
      </w:tr>
      <w:tr w:rsidR="001F5B33" w:rsidRPr="00E3331A" w:rsidTr="0007007F">
        <w:tc>
          <w:tcPr>
            <w:tcW w:w="677" w:type="pct"/>
            <w:vMerge/>
            <w:shd w:val="clear" w:color="auto" w:fill="auto"/>
          </w:tcPr>
          <w:p w:rsidR="001F5B33" w:rsidRPr="00E3331A" w:rsidRDefault="001F5B33" w:rsidP="0007007F">
            <w:pPr>
              <w:pStyle w:val="Tabletext1"/>
              <w:jc w:val="both"/>
              <w:rPr>
                <w:rFonts w:eastAsia="Calibri"/>
                <w:lang w:eastAsia="en-US"/>
              </w:rPr>
            </w:pPr>
          </w:p>
        </w:tc>
        <w:tc>
          <w:tcPr>
            <w:tcW w:w="4323" w:type="pct"/>
            <w:shd w:val="clear" w:color="auto" w:fill="auto"/>
          </w:tcPr>
          <w:p w:rsidR="001F5B33" w:rsidRPr="00E3331A" w:rsidRDefault="001F5B33" w:rsidP="0007007F">
            <w:pPr>
              <w:pStyle w:val="Tabletext1"/>
              <w:jc w:val="both"/>
              <w:rPr>
                <w:rFonts w:eastAsia="Calibri"/>
                <w:lang w:eastAsia="en-US"/>
              </w:rPr>
            </w:pPr>
            <w:r w:rsidRPr="00E3331A">
              <w:rPr>
                <w:rFonts w:eastAsia="Calibri"/>
                <w:lang w:eastAsia="en-US"/>
              </w:rPr>
              <w:t>Infection</w:t>
            </w:r>
          </w:p>
        </w:tc>
      </w:tr>
      <w:tr w:rsidR="001F5B33" w:rsidRPr="00E3331A" w:rsidTr="0007007F">
        <w:tc>
          <w:tcPr>
            <w:tcW w:w="677" w:type="pct"/>
            <w:vMerge/>
            <w:shd w:val="clear" w:color="auto" w:fill="auto"/>
          </w:tcPr>
          <w:p w:rsidR="001F5B33" w:rsidRPr="00E3331A" w:rsidRDefault="001F5B33" w:rsidP="0007007F">
            <w:pPr>
              <w:pStyle w:val="Tabletext1"/>
              <w:jc w:val="both"/>
              <w:rPr>
                <w:rFonts w:eastAsia="Calibri"/>
                <w:lang w:eastAsia="en-US"/>
              </w:rPr>
            </w:pPr>
          </w:p>
        </w:tc>
        <w:tc>
          <w:tcPr>
            <w:tcW w:w="4323" w:type="pct"/>
            <w:shd w:val="clear" w:color="auto" w:fill="auto"/>
          </w:tcPr>
          <w:p w:rsidR="001F5B33" w:rsidRPr="00E3331A" w:rsidRDefault="001F5B33" w:rsidP="0007007F">
            <w:pPr>
              <w:pStyle w:val="Tabletext1"/>
              <w:jc w:val="both"/>
              <w:rPr>
                <w:rFonts w:eastAsia="Calibri"/>
                <w:lang w:eastAsia="en-US"/>
              </w:rPr>
            </w:pPr>
            <w:r w:rsidRPr="00E3331A">
              <w:rPr>
                <w:rFonts w:eastAsia="Calibri"/>
                <w:lang w:eastAsia="en-US"/>
              </w:rPr>
              <w:t>Steroids OR Corticosteroids</w:t>
            </w:r>
          </w:p>
        </w:tc>
      </w:tr>
      <w:tr w:rsidR="001F5B33" w:rsidRPr="00E3331A" w:rsidTr="0007007F">
        <w:tc>
          <w:tcPr>
            <w:tcW w:w="677" w:type="pct"/>
            <w:shd w:val="clear" w:color="auto" w:fill="auto"/>
          </w:tcPr>
          <w:p w:rsidR="001F5B33" w:rsidRPr="00E3331A" w:rsidRDefault="001F5B33" w:rsidP="0007007F">
            <w:pPr>
              <w:pStyle w:val="Tabletext1"/>
              <w:jc w:val="both"/>
              <w:rPr>
                <w:rFonts w:eastAsia="Calibri"/>
                <w:lang w:eastAsia="en-US"/>
              </w:rPr>
            </w:pPr>
            <w:r w:rsidRPr="00E3331A">
              <w:rPr>
                <w:rFonts w:eastAsia="Calibri"/>
                <w:lang w:eastAsia="en-US"/>
              </w:rPr>
              <w:lastRenderedPageBreak/>
              <w:t>2</w:t>
            </w:r>
          </w:p>
        </w:tc>
        <w:tc>
          <w:tcPr>
            <w:tcW w:w="4323" w:type="pct"/>
            <w:shd w:val="clear" w:color="auto" w:fill="auto"/>
          </w:tcPr>
          <w:p w:rsidR="001F5B33" w:rsidRPr="00E3331A" w:rsidRDefault="001F5B33" w:rsidP="0007007F">
            <w:pPr>
              <w:pStyle w:val="Tabletext1"/>
              <w:jc w:val="both"/>
              <w:rPr>
                <w:rFonts w:eastAsia="Calibri"/>
                <w:sz w:val="22"/>
                <w:lang w:eastAsia="en-US"/>
              </w:rPr>
            </w:pPr>
            <w:r w:rsidRPr="00E3331A">
              <w:rPr>
                <w:rFonts w:eastAsia="Calibri"/>
                <w:lang w:eastAsia="en-US"/>
              </w:rPr>
              <w:t>[AQoL] OR [Australian quality of life] OR QALY</w:t>
            </w:r>
          </w:p>
        </w:tc>
      </w:tr>
      <w:tr w:rsidR="001F5B33" w:rsidRPr="00E3331A" w:rsidTr="0007007F">
        <w:tc>
          <w:tcPr>
            <w:tcW w:w="677" w:type="pct"/>
            <w:shd w:val="clear" w:color="auto" w:fill="auto"/>
          </w:tcPr>
          <w:p w:rsidR="001F5B33" w:rsidRPr="00E3331A" w:rsidRDefault="001F5B33" w:rsidP="0007007F">
            <w:pPr>
              <w:pStyle w:val="Tabletext1"/>
              <w:jc w:val="both"/>
              <w:rPr>
                <w:rFonts w:eastAsia="Calibri"/>
                <w:lang w:eastAsia="en-US"/>
              </w:rPr>
            </w:pPr>
            <w:r w:rsidRPr="00E3331A">
              <w:rPr>
                <w:rFonts w:eastAsia="Calibri"/>
                <w:lang w:eastAsia="en-US"/>
              </w:rPr>
              <w:t>3</w:t>
            </w:r>
          </w:p>
        </w:tc>
        <w:tc>
          <w:tcPr>
            <w:tcW w:w="4323" w:type="pct"/>
            <w:shd w:val="clear" w:color="auto" w:fill="auto"/>
          </w:tcPr>
          <w:p w:rsidR="001F5B33" w:rsidRPr="00E3331A" w:rsidRDefault="001F5B33" w:rsidP="0007007F">
            <w:pPr>
              <w:pStyle w:val="Tabletext1"/>
              <w:jc w:val="both"/>
              <w:rPr>
                <w:rFonts w:eastAsia="Calibri"/>
                <w:lang w:eastAsia="en-US"/>
              </w:rPr>
            </w:pPr>
            <w:r w:rsidRPr="00E3331A">
              <w:rPr>
                <w:rFonts w:eastAsia="Calibri"/>
                <w:lang w:eastAsia="en-US"/>
              </w:rPr>
              <w:t>[EQ-5D] OR [</w:t>
            </w:r>
            <w:r w:rsidRPr="00E3331A">
              <w:rPr>
                <w:rFonts w:eastAsia="Calibri" w:cs="Helvetica"/>
                <w:color w:val="000000"/>
                <w:sz w:val="21"/>
                <w:szCs w:val="21"/>
                <w:lang w:eastAsia="en-US"/>
              </w:rPr>
              <w:t>SGRQ] or [HRQL]</w:t>
            </w:r>
          </w:p>
        </w:tc>
      </w:tr>
      <w:tr w:rsidR="001F5B33" w:rsidRPr="00E3331A" w:rsidTr="0007007F">
        <w:tc>
          <w:tcPr>
            <w:tcW w:w="677" w:type="pct"/>
            <w:shd w:val="clear" w:color="auto" w:fill="auto"/>
          </w:tcPr>
          <w:p w:rsidR="001F5B33" w:rsidRPr="00E3331A" w:rsidRDefault="001F5B33" w:rsidP="0007007F">
            <w:pPr>
              <w:pStyle w:val="Tabletext1"/>
              <w:jc w:val="both"/>
              <w:rPr>
                <w:rFonts w:eastAsia="Calibri"/>
                <w:lang w:eastAsia="en-US"/>
              </w:rPr>
            </w:pPr>
            <w:r w:rsidRPr="00E3331A">
              <w:rPr>
                <w:rFonts w:eastAsia="Calibri"/>
                <w:lang w:eastAsia="en-US"/>
              </w:rPr>
              <w:t>4</w:t>
            </w:r>
          </w:p>
        </w:tc>
        <w:tc>
          <w:tcPr>
            <w:tcW w:w="4323" w:type="pct"/>
            <w:shd w:val="clear" w:color="auto" w:fill="auto"/>
          </w:tcPr>
          <w:p w:rsidR="001F5B33" w:rsidRPr="00E3331A" w:rsidRDefault="001F5B33" w:rsidP="0007007F">
            <w:pPr>
              <w:pStyle w:val="Tabletext1"/>
              <w:jc w:val="both"/>
              <w:rPr>
                <w:rFonts w:eastAsia="Calibri"/>
                <w:lang w:eastAsia="en-US"/>
              </w:rPr>
            </w:pPr>
            <w:r w:rsidRPr="00E3331A">
              <w:rPr>
                <w:rFonts w:eastAsia="Calibri"/>
                <w:lang w:eastAsia="en-US"/>
              </w:rPr>
              <w:t>[SF-6D] OR [short</w:t>
            </w:r>
            <w:r w:rsidR="00D45BCF" w:rsidRPr="00E3331A">
              <w:rPr>
                <w:rFonts w:eastAsia="Calibri"/>
                <w:lang w:eastAsia="en-US"/>
              </w:rPr>
              <w:t>-</w:t>
            </w:r>
            <w:r w:rsidRPr="00E3331A">
              <w:rPr>
                <w:rFonts w:eastAsia="Calibri"/>
                <w:lang w:eastAsia="en-US"/>
              </w:rPr>
              <w:t>form 6D]</w:t>
            </w:r>
          </w:p>
        </w:tc>
      </w:tr>
      <w:tr w:rsidR="001F5B33" w:rsidRPr="00E3331A" w:rsidTr="0007007F">
        <w:tc>
          <w:tcPr>
            <w:tcW w:w="677" w:type="pct"/>
            <w:shd w:val="clear" w:color="auto" w:fill="auto"/>
          </w:tcPr>
          <w:p w:rsidR="001F5B33" w:rsidRPr="00E3331A" w:rsidRDefault="001F5B33" w:rsidP="0007007F">
            <w:pPr>
              <w:pStyle w:val="Tabletext1"/>
              <w:jc w:val="both"/>
              <w:rPr>
                <w:rFonts w:eastAsia="Calibri"/>
                <w:lang w:eastAsia="en-US"/>
              </w:rPr>
            </w:pPr>
            <w:r w:rsidRPr="00E3331A">
              <w:rPr>
                <w:rFonts w:eastAsia="Calibri"/>
                <w:lang w:eastAsia="en-US"/>
              </w:rPr>
              <w:t>5</w:t>
            </w:r>
          </w:p>
        </w:tc>
        <w:tc>
          <w:tcPr>
            <w:tcW w:w="4323" w:type="pct"/>
            <w:shd w:val="clear" w:color="auto" w:fill="auto"/>
          </w:tcPr>
          <w:p w:rsidR="001F5B33" w:rsidRPr="00E3331A" w:rsidRDefault="001F5B33" w:rsidP="0007007F">
            <w:pPr>
              <w:pStyle w:val="Tabletext1"/>
              <w:jc w:val="both"/>
              <w:rPr>
                <w:rFonts w:eastAsia="Calibri"/>
                <w:lang w:eastAsia="en-US"/>
              </w:rPr>
            </w:pPr>
            <w:r w:rsidRPr="00E3331A">
              <w:rPr>
                <w:rFonts w:eastAsia="Calibri"/>
                <w:lang w:eastAsia="en-US"/>
              </w:rPr>
              <w:t>[Time trade off] OR [TTO] OR [Standard gamble]</w:t>
            </w:r>
          </w:p>
        </w:tc>
      </w:tr>
      <w:tr w:rsidR="001F5B33" w:rsidRPr="00E3331A" w:rsidTr="0007007F">
        <w:tc>
          <w:tcPr>
            <w:tcW w:w="677" w:type="pct"/>
            <w:shd w:val="clear" w:color="auto" w:fill="auto"/>
          </w:tcPr>
          <w:p w:rsidR="001F5B33" w:rsidRPr="00E3331A" w:rsidRDefault="001F5B33" w:rsidP="0007007F">
            <w:pPr>
              <w:pStyle w:val="Tabletext1"/>
              <w:jc w:val="both"/>
              <w:rPr>
                <w:rFonts w:eastAsia="Calibri"/>
                <w:lang w:eastAsia="en-US"/>
              </w:rPr>
            </w:pPr>
            <w:r w:rsidRPr="00E3331A">
              <w:rPr>
                <w:rFonts w:eastAsia="Calibri"/>
                <w:lang w:eastAsia="en-US"/>
              </w:rPr>
              <w:t>6</w:t>
            </w:r>
          </w:p>
        </w:tc>
        <w:tc>
          <w:tcPr>
            <w:tcW w:w="4323" w:type="pct"/>
            <w:shd w:val="clear" w:color="auto" w:fill="auto"/>
          </w:tcPr>
          <w:p w:rsidR="001F5B33" w:rsidRPr="00E3331A" w:rsidRDefault="001F5B33" w:rsidP="0007007F">
            <w:pPr>
              <w:pStyle w:val="Tabletext1"/>
              <w:jc w:val="both"/>
              <w:rPr>
                <w:rFonts w:eastAsia="Calibri"/>
                <w:lang w:eastAsia="en-US"/>
              </w:rPr>
            </w:pPr>
            <w:r w:rsidRPr="00E3331A">
              <w:rPr>
                <w:rFonts w:eastAsia="Calibri"/>
                <w:lang w:eastAsia="en-US"/>
              </w:rPr>
              <w:t>[Health utilities] OR [utility values] OR [utility scores]</w:t>
            </w:r>
          </w:p>
        </w:tc>
      </w:tr>
      <w:tr w:rsidR="001F5B33" w:rsidRPr="00E3331A" w:rsidTr="0007007F">
        <w:tc>
          <w:tcPr>
            <w:tcW w:w="677" w:type="pct"/>
            <w:shd w:val="clear" w:color="auto" w:fill="auto"/>
          </w:tcPr>
          <w:p w:rsidR="001F5B33" w:rsidRPr="00E3331A" w:rsidRDefault="001F5B33" w:rsidP="0007007F">
            <w:pPr>
              <w:pStyle w:val="Tabletext1"/>
              <w:jc w:val="both"/>
              <w:rPr>
                <w:rFonts w:eastAsia="Calibri"/>
                <w:lang w:eastAsia="en-US"/>
              </w:rPr>
            </w:pPr>
            <w:r w:rsidRPr="00E3331A">
              <w:rPr>
                <w:rFonts w:eastAsia="Calibri"/>
                <w:lang w:eastAsia="en-US"/>
              </w:rPr>
              <w:t>7</w:t>
            </w:r>
          </w:p>
        </w:tc>
        <w:tc>
          <w:tcPr>
            <w:tcW w:w="4323" w:type="pct"/>
            <w:shd w:val="clear" w:color="auto" w:fill="auto"/>
          </w:tcPr>
          <w:p w:rsidR="001F5B33" w:rsidRPr="00E3331A" w:rsidRDefault="001F5B33" w:rsidP="0007007F">
            <w:pPr>
              <w:pStyle w:val="Tabletext1"/>
              <w:jc w:val="both"/>
              <w:rPr>
                <w:rFonts w:eastAsia="Calibri"/>
                <w:lang w:eastAsia="en-US"/>
              </w:rPr>
            </w:pPr>
            <w:r w:rsidRPr="00E3331A">
              <w:rPr>
                <w:rFonts w:eastAsia="Calibri"/>
                <w:lang w:eastAsia="en-US"/>
              </w:rPr>
              <w:t>Australia or Australian</w:t>
            </w:r>
          </w:p>
        </w:tc>
      </w:tr>
      <w:tr w:rsidR="001F5B33" w:rsidRPr="00E3331A" w:rsidTr="0007007F">
        <w:tc>
          <w:tcPr>
            <w:tcW w:w="677" w:type="pct"/>
            <w:shd w:val="clear" w:color="auto" w:fill="auto"/>
          </w:tcPr>
          <w:p w:rsidR="001F5B33" w:rsidRPr="00E3331A" w:rsidRDefault="001F5B33" w:rsidP="0007007F">
            <w:pPr>
              <w:pStyle w:val="Tabletext1"/>
              <w:jc w:val="both"/>
              <w:rPr>
                <w:rFonts w:eastAsia="Calibri"/>
                <w:lang w:eastAsia="en-US"/>
              </w:rPr>
            </w:pPr>
            <w:r w:rsidRPr="00E3331A">
              <w:rPr>
                <w:rFonts w:eastAsia="Calibri"/>
                <w:lang w:eastAsia="en-US"/>
              </w:rPr>
              <w:t>8</w:t>
            </w:r>
          </w:p>
        </w:tc>
        <w:tc>
          <w:tcPr>
            <w:tcW w:w="4323" w:type="pct"/>
            <w:shd w:val="clear" w:color="auto" w:fill="auto"/>
          </w:tcPr>
          <w:p w:rsidR="001F5B33" w:rsidRPr="00E3331A" w:rsidRDefault="001F5B33" w:rsidP="0007007F">
            <w:pPr>
              <w:pStyle w:val="Tabletext1"/>
              <w:jc w:val="both"/>
              <w:rPr>
                <w:rFonts w:eastAsia="Calibri"/>
                <w:lang w:eastAsia="en-US"/>
              </w:rPr>
            </w:pPr>
            <w:r w:rsidRPr="00E3331A">
              <w:rPr>
                <w:rFonts w:eastAsia="Calibri"/>
                <w:lang w:eastAsia="en-US"/>
              </w:rPr>
              <w:t>[2] OR [3] OR [4] OR [5] OR [6]</w:t>
            </w:r>
          </w:p>
        </w:tc>
      </w:tr>
      <w:tr w:rsidR="001F5B33" w:rsidRPr="00E3331A" w:rsidTr="0007007F">
        <w:tc>
          <w:tcPr>
            <w:tcW w:w="677" w:type="pct"/>
            <w:shd w:val="clear" w:color="auto" w:fill="auto"/>
          </w:tcPr>
          <w:p w:rsidR="001F5B33" w:rsidRPr="00E3331A" w:rsidRDefault="001F5B33" w:rsidP="0007007F">
            <w:pPr>
              <w:pStyle w:val="Tabletext1"/>
              <w:jc w:val="both"/>
              <w:rPr>
                <w:rFonts w:eastAsia="Calibri"/>
                <w:lang w:eastAsia="en-US"/>
              </w:rPr>
            </w:pPr>
            <w:r w:rsidRPr="00E3331A">
              <w:rPr>
                <w:rFonts w:eastAsia="Calibri"/>
                <w:lang w:eastAsia="en-US"/>
              </w:rPr>
              <w:t>9</w:t>
            </w:r>
          </w:p>
        </w:tc>
        <w:tc>
          <w:tcPr>
            <w:tcW w:w="4323" w:type="pct"/>
            <w:shd w:val="clear" w:color="auto" w:fill="auto"/>
          </w:tcPr>
          <w:p w:rsidR="001F5B33" w:rsidRPr="00E3331A" w:rsidRDefault="001F5B33" w:rsidP="0007007F">
            <w:pPr>
              <w:pStyle w:val="Tabletext1"/>
              <w:jc w:val="both"/>
              <w:rPr>
                <w:rFonts w:eastAsia="Calibri"/>
                <w:lang w:eastAsia="en-US"/>
              </w:rPr>
            </w:pPr>
            <w:r w:rsidRPr="00E3331A">
              <w:rPr>
                <w:rFonts w:eastAsia="Calibri"/>
                <w:lang w:eastAsia="en-US"/>
              </w:rPr>
              <w:t>[1] AND [8] AND [7]</w:t>
            </w:r>
          </w:p>
        </w:tc>
      </w:tr>
    </w:tbl>
    <w:p w:rsidR="001F5B33" w:rsidRPr="00E3331A" w:rsidRDefault="001F5B33" w:rsidP="0037150F">
      <w:pPr>
        <w:pStyle w:val="Tablenotes1"/>
      </w:pPr>
    </w:p>
    <w:p w:rsidR="001F5B33" w:rsidRPr="00E3331A" w:rsidRDefault="001F5B33" w:rsidP="001F5B33">
      <w:pPr>
        <w:pStyle w:val="Caption"/>
      </w:pPr>
      <w:bookmarkStart w:id="349" w:name="_Ref8473066"/>
      <w:bookmarkStart w:id="350" w:name="_Toc24103354"/>
      <w:r w:rsidRPr="00E3331A">
        <w:t xml:space="preserve">Table </w:t>
      </w:r>
      <w:r w:rsidR="006F35B9">
        <w:rPr>
          <w:noProof/>
        </w:rPr>
        <w:t>48</w:t>
      </w:r>
      <w:bookmarkEnd w:id="349"/>
      <w:r w:rsidR="00E5330A" w:rsidRPr="00E3331A">
        <w:tab/>
      </w:r>
      <w:r w:rsidRPr="00E3331A">
        <w:t>Results of Australian adverse events utility literature review</w:t>
      </w:r>
      <w:bookmarkEnd w:id="3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1032"/>
        <w:gridCol w:w="1031"/>
        <w:gridCol w:w="1031"/>
        <w:gridCol w:w="1031"/>
        <w:gridCol w:w="1031"/>
        <w:gridCol w:w="1030"/>
      </w:tblGrid>
      <w:tr w:rsidR="00281EC2" w:rsidRPr="00E3331A" w:rsidTr="0007007F">
        <w:trPr>
          <w:cantSplit/>
          <w:tblHeader/>
        </w:trPr>
        <w:tc>
          <w:tcPr>
            <w:tcW w:w="1569" w:type="pct"/>
            <w:tcBorders>
              <w:top w:val="single" w:sz="4" w:space="0" w:color="auto"/>
              <w:left w:val="single" w:sz="4" w:space="0" w:color="auto"/>
              <w:bottom w:val="single" w:sz="4" w:space="0" w:color="auto"/>
              <w:right w:val="single" w:sz="4" w:space="0" w:color="auto"/>
            </w:tcBorders>
            <w:shd w:val="clear" w:color="auto" w:fill="D9D9D9"/>
            <w:vAlign w:val="center"/>
          </w:tcPr>
          <w:p w:rsidR="001F5B33" w:rsidRPr="00E3331A" w:rsidRDefault="001F5B33" w:rsidP="0007007F">
            <w:pPr>
              <w:pStyle w:val="Tabletext1"/>
              <w:keepNext/>
              <w:jc w:val="both"/>
              <w:rPr>
                <w:rFonts w:eastAsia="Calibri"/>
                <w:b/>
              </w:rPr>
            </w:pPr>
          </w:p>
        </w:tc>
        <w:tc>
          <w:tcPr>
            <w:tcW w:w="572" w:type="pct"/>
            <w:tcBorders>
              <w:top w:val="single" w:sz="4" w:space="0" w:color="auto"/>
              <w:left w:val="single" w:sz="4" w:space="0" w:color="auto"/>
              <w:bottom w:val="single" w:sz="4" w:space="0" w:color="auto"/>
              <w:right w:val="single" w:sz="4" w:space="0" w:color="auto"/>
            </w:tcBorders>
            <w:shd w:val="clear" w:color="auto" w:fill="D9D9D9"/>
            <w:vAlign w:val="center"/>
          </w:tcPr>
          <w:p w:rsidR="001F5B33" w:rsidRPr="00E3331A" w:rsidRDefault="001F5B33" w:rsidP="0007007F">
            <w:pPr>
              <w:pStyle w:val="Tabletext1"/>
              <w:keepNext/>
              <w:jc w:val="center"/>
              <w:rPr>
                <w:rFonts w:eastAsia="Calibri"/>
                <w:b/>
              </w:rPr>
            </w:pPr>
            <w:r w:rsidRPr="00E3331A">
              <w:rPr>
                <w:rFonts w:eastAsia="Calibri"/>
                <w:b/>
              </w:rPr>
              <w:t>Diabetes</w:t>
            </w:r>
          </w:p>
        </w:tc>
        <w:tc>
          <w:tcPr>
            <w:tcW w:w="572" w:type="pct"/>
            <w:tcBorders>
              <w:top w:val="single" w:sz="4" w:space="0" w:color="auto"/>
              <w:left w:val="single" w:sz="4" w:space="0" w:color="auto"/>
              <w:bottom w:val="single" w:sz="4" w:space="0" w:color="auto"/>
              <w:right w:val="single" w:sz="4" w:space="0" w:color="auto"/>
            </w:tcBorders>
            <w:shd w:val="clear" w:color="auto" w:fill="D9D9D9"/>
            <w:vAlign w:val="center"/>
          </w:tcPr>
          <w:p w:rsidR="001F5B33" w:rsidRPr="00E3331A" w:rsidRDefault="001F5B33" w:rsidP="0007007F">
            <w:pPr>
              <w:pStyle w:val="Tabletext1"/>
              <w:keepNext/>
              <w:jc w:val="center"/>
              <w:rPr>
                <w:rFonts w:eastAsia="Calibri"/>
                <w:b/>
              </w:rPr>
            </w:pPr>
            <w:r w:rsidRPr="00E3331A">
              <w:rPr>
                <w:rFonts w:eastAsia="Calibri"/>
                <w:b/>
              </w:rPr>
              <w:t>Fracture</w:t>
            </w:r>
          </w:p>
        </w:tc>
        <w:tc>
          <w:tcPr>
            <w:tcW w:w="572" w:type="pct"/>
            <w:tcBorders>
              <w:top w:val="single" w:sz="4" w:space="0" w:color="auto"/>
              <w:left w:val="single" w:sz="4" w:space="0" w:color="auto"/>
              <w:bottom w:val="single" w:sz="4" w:space="0" w:color="auto"/>
              <w:right w:val="single" w:sz="4" w:space="0" w:color="auto"/>
            </w:tcBorders>
            <w:shd w:val="clear" w:color="auto" w:fill="D9D9D9"/>
            <w:vAlign w:val="center"/>
          </w:tcPr>
          <w:p w:rsidR="001F5B33" w:rsidRPr="00E3331A" w:rsidRDefault="001F5B33" w:rsidP="0007007F">
            <w:pPr>
              <w:pStyle w:val="Tabletext1"/>
              <w:keepNext/>
              <w:jc w:val="center"/>
              <w:rPr>
                <w:rFonts w:eastAsia="Calibri"/>
                <w:b/>
              </w:rPr>
            </w:pPr>
            <w:r w:rsidRPr="00E3331A">
              <w:rPr>
                <w:rFonts w:eastAsia="Calibri"/>
                <w:b/>
              </w:rPr>
              <w:t>Cataract</w:t>
            </w:r>
          </w:p>
        </w:tc>
        <w:tc>
          <w:tcPr>
            <w:tcW w:w="572" w:type="pct"/>
            <w:tcBorders>
              <w:top w:val="single" w:sz="4" w:space="0" w:color="auto"/>
              <w:left w:val="single" w:sz="4" w:space="0" w:color="auto"/>
              <w:bottom w:val="single" w:sz="4" w:space="0" w:color="auto"/>
              <w:right w:val="single" w:sz="4" w:space="0" w:color="auto"/>
            </w:tcBorders>
            <w:shd w:val="clear" w:color="auto" w:fill="D9D9D9"/>
            <w:vAlign w:val="center"/>
          </w:tcPr>
          <w:p w:rsidR="001F5B33" w:rsidRPr="00E3331A" w:rsidRDefault="001F5B33" w:rsidP="0007007F">
            <w:pPr>
              <w:pStyle w:val="Tabletext1"/>
              <w:keepNext/>
              <w:jc w:val="center"/>
              <w:rPr>
                <w:rFonts w:eastAsia="Calibri"/>
                <w:b/>
              </w:rPr>
            </w:pPr>
            <w:r w:rsidRPr="00E3331A">
              <w:rPr>
                <w:rFonts w:eastAsia="Calibri"/>
                <w:b/>
              </w:rPr>
              <w:t>Glaucoma</w:t>
            </w:r>
          </w:p>
        </w:tc>
        <w:tc>
          <w:tcPr>
            <w:tcW w:w="572" w:type="pct"/>
            <w:tcBorders>
              <w:top w:val="single" w:sz="4" w:space="0" w:color="auto"/>
              <w:left w:val="single" w:sz="4" w:space="0" w:color="auto"/>
              <w:bottom w:val="single" w:sz="4" w:space="0" w:color="auto"/>
              <w:right w:val="single" w:sz="4" w:space="0" w:color="auto"/>
            </w:tcBorders>
            <w:shd w:val="clear" w:color="auto" w:fill="D9D9D9"/>
            <w:vAlign w:val="center"/>
          </w:tcPr>
          <w:p w:rsidR="001F5B33" w:rsidRPr="00E3331A" w:rsidRDefault="001F5B33" w:rsidP="0007007F">
            <w:pPr>
              <w:pStyle w:val="Tabletext1"/>
              <w:keepNext/>
              <w:jc w:val="center"/>
              <w:rPr>
                <w:rFonts w:eastAsia="Calibri"/>
                <w:b/>
              </w:rPr>
            </w:pPr>
            <w:r w:rsidRPr="00E3331A">
              <w:rPr>
                <w:rFonts w:eastAsia="Calibri"/>
                <w:b/>
              </w:rPr>
              <w:t>Infection</w:t>
            </w:r>
          </w:p>
        </w:tc>
        <w:tc>
          <w:tcPr>
            <w:tcW w:w="572" w:type="pct"/>
            <w:tcBorders>
              <w:top w:val="single" w:sz="4" w:space="0" w:color="auto"/>
              <w:left w:val="single" w:sz="4" w:space="0" w:color="auto"/>
              <w:bottom w:val="single" w:sz="4" w:space="0" w:color="auto"/>
              <w:right w:val="single" w:sz="4" w:space="0" w:color="auto"/>
            </w:tcBorders>
            <w:shd w:val="clear" w:color="auto" w:fill="D9D9D9"/>
            <w:vAlign w:val="center"/>
          </w:tcPr>
          <w:p w:rsidR="001F5B33" w:rsidRPr="00E3331A" w:rsidRDefault="001F5B33" w:rsidP="0007007F">
            <w:pPr>
              <w:pStyle w:val="Tabletext1"/>
              <w:keepNext/>
              <w:jc w:val="center"/>
              <w:rPr>
                <w:rFonts w:eastAsia="Calibri"/>
                <w:b/>
              </w:rPr>
            </w:pPr>
            <w:r w:rsidRPr="00E3331A">
              <w:rPr>
                <w:rFonts w:eastAsia="Calibri"/>
                <w:b/>
              </w:rPr>
              <w:t>Steroids</w:t>
            </w:r>
          </w:p>
        </w:tc>
      </w:tr>
      <w:tr w:rsidR="00281EC2" w:rsidRPr="00E3331A" w:rsidTr="0007007F">
        <w:trPr>
          <w:cantSplit/>
        </w:trPr>
        <w:tc>
          <w:tcPr>
            <w:tcW w:w="1569" w:type="pct"/>
            <w:shd w:val="clear" w:color="auto" w:fill="auto"/>
            <w:vAlign w:val="center"/>
          </w:tcPr>
          <w:p w:rsidR="001F5B33" w:rsidRPr="00E3331A" w:rsidRDefault="001F5B33" w:rsidP="00493DDF">
            <w:pPr>
              <w:pStyle w:val="TableText"/>
              <w:rPr>
                <w:rFonts w:eastAsia="Calibri"/>
                <w:sz w:val="20"/>
                <w:szCs w:val="20"/>
              </w:rPr>
            </w:pPr>
            <w:r w:rsidRPr="00E3331A">
              <w:rPr>
                <w:rFonts w:eastAsia="Calibri"/>
                <w:sz w:val="20"/>
                <w:szCs w:val="20"/>
              </w:rPr>
              <w:t>Number of titles and abstracts reviewed after search</w:t>
            </w:r>
          </w:p>
        </w:tc>
        <w:tc>
          <w:tcPr>
            <w:tcW w:w="572" w:type="pct"/>
            <w:shd w:val="clear" w:color="auto" w:fill="auto"/>
            <w:vAlign w:val="center"/>
          </w:tcPr>
          <w:p w:rsidR="001F5B33" w:rsidRPr="00E3331A" w:rsidRDefault="001F5B33" w:rsidP="0007007F">
            <w:pPr>
              <w:pStyle w:val="TableText"/>
              <w:jc w:val="center"/>
              <w:rPr>
                <w:rFonts w:eastAsia="Calibri"/>
                <w:sz w:val="20"/>
                <w:szCs w:val="20"/>
              </w:rPr>
            </w:pPr>
            <w:r w:rsidRPr="00E3331A">
              <w:rPr>
                <w:rFonts w:eastAsia="Calibri"/>
                <w:sz w:val="20"/>
                <w:szCs w:val="20"/>
              </w:rPr>
              <w:t>96</w:t>
            </w:r>
          </w:p>
        </w:tc>
        <w:tc>
          <w:tcPr>
            <w:tcW w:w="572" w:type="pct"/>
            <w:shd w:val="clear" w:color="auto" w:fill="auto"/>
            <w:vAlign w:val="center"/>
          </w:tcPr>
          <w:p w:rsidR="001F5B33" w:rsidRPr="00E3331A" w:rsidRDefault="001F5B33" w:rsidP="0007007F">
            <w:pPr>
              <w:pStyle w:val="TableText"/>
              <w:jc w:val="center"/>
              <w:rPr>
                <w:rFonts w:eastAsia="Calibri"/>
                <w:sz w:val="20"/>
                <w:szCs w:val="20"/>
              </w:rPr>
            </w:pPr>
            <w:r w:rsidRPr="00E3331A">
              <w:rPr>
                <w:rFonts w:eastAsia="Calibri"/>
                <w:sz w:val="20"/>
                <w:szCs w:val="20"/>
              </w:rPr>
              <w:t>46</w:t>
            </w:r>
          </w:p>
        </w:tc>
        <w:tc>
          <w:tcPr>
            <w:tcW w:w="572" w:type="pct"/>
            <w:shd w:val="clear" w:color="auto" w:fill="auto"/>
            <w:vAlign w:val="center"/>
          </w:tcPr>
          <w:p w:rsidR="001F5B33" w:rsidRPr="00E3331A" w:rsidRDefault="001F5B33" w:rsidP="0007007F">
            <w:pPr>
              <w:pStyle w:val="TableText"/>
              <w:jc w:val="center"/>
              <w:rPr>
                <w:rFonts w:eastAsia="Calibri"/>
                <w:sz w:val="20"/>
                <w:szCs w:val="20"/>
              </w:rPr>
            </w:pPr>
            <w:r w:rsidRPr="00E3331A">
              <w:rPr>
                <w:rFonts w:eastAsia="Calibri"/>
                <w:sz w:val="20"/>
                <w:szCs w:val="20"/>
              </w:rPr>
              <w:t>4</w:t>
            </w:r>
          </w:p>
        </w:tc>
        <w:tc>
          <w:tcPr>
            <w:tcW w:w="572" w:type="pct"/>
            <w:shd w:val="clear" w:color="auto" w:fill="auto"/>
            <w:vAlign w:val="center"/>
          </w:tcPr>
          <w:p w:rsidR="001F5B33" w:rsidRPr="00E3331A" w:rsidRDefault="001F5B33" w:rsidP="0007007F">
            <w:pPr>
              <w:pStyle w:val="TableText"/>
              <w:jc w:val="center"/>
              <w:rPr>
                <w:rFonts w:eastAsia="Calibri"/>
                <w:sz w:val="20"/>
                <w:szCs w:val="20"/>
              </w:rPr>
            </w:pPr>
            <w:r w:rsidRPr="00E3331A">
              <w:rPr>
                <w:rFonts w:eastAsia="Calibri"/>
                <w:sz w:val="20"/>
                <w:szCs w:val="20"/>
              </w:rPr>
              <w:t>2</w:t>
            </w:r>
          </w:p>
        </w:tc>
        <w:tc>
          <w:tcPr>
            <w:tcW w:w="572" w:type="pct"/>
            <w:shd w:val="clear" w:color="auto" w:fill="auto"/>
            <w:vAlign w:val="center"/>
          </w:tcPr>
          <w:p w:rsidR="001F5B33" w:rsidRPr="00E3331A" w:rsidRDefault="001F5B33" w:rsidP="0007007F">
            <w:pPr>
              <w:pStyle w:val="TableText"/>
              <w:jc w:val="center"/>
              <w:rPr>
                <w:rFonts w:eastAsia="Calibri"/>
                <w:sz w:val="20"/>
                <w:szCs w:val="20"/>
              </w:rPr>
            </w:pPr>
            <w:r w:rsidRPr="00E3331A">
              <w:rPr>
                <w:rFonts w:eastAsia="Calibri"/>
                <w:sz w:val="20"/>
                <w:szCs w:val="20"/>
              </w:rPr>
              <w:t>9</w:t>
            </w:r>
          </w:p>
        </w:tc>
        <w:tc>
          <w:tcPr>
            <w:tcW w:w="572" w:type="pct"/>
            <w:shd w:val="clear" w:color="auto" w:fill="auto"/>
            <w:vAlign w:val="center"/>
          </w:tcPr>
          <w:p w:rsidR="001F5B33" w:rsidRPr="00E3331A" w:rsidRDefault="001F5B33" w:rsidP="0007007F">
            <w:pPr>
              <w:pStyle w:val="TableText"/>
              <w:jc w:val="center"/>
              <w:rPr>
                <w:rFonts w:eastAsia="Calibri"/>
                <w:sz w:val="20"/>
                <w:szCs w:val="20"/>
              </w:rPr>
            </w:pPr>
            <w:r w:rsidRPr="00E3331A">
              <w:rPr>
                <w:rFonts w:eastAsia="Calibri"/>
                <w:sz w:val="20"/>
                <w:szCs w:val="20"/>
              </w:rPr>
              <w:t>374</w:t>
            </w:r>
          </w:p>
        </w:tc>
      </w:tr>
      <w:tr w:rsidR="00281EC2" w:rsidRPr="00E3331A" w:rsidTr="0007007F">
        <w:trPr>
          <w:cantSplit/>
        </w:trPr>
        <w:tc>
          <w:tcPr>
            <w:tcW w:w="1569" w:type="pct"/>
            <w:tcBorders>
              <w:bottom w:val="single" w:sz="4" w:space="0" w:color="auto"/>
            </w:tcBorders>
            <w:shd w:val="clear" w:color="auto" w:fill="auto"/>
            <w:vAlign w:val="center"/>
          </w:tcPr>
          <w:p w:rsidR="001F5B33" w:rsidRPr="00E3331A" w:rsidRDefault="001F5B33" w:rsidP="00493DDF">
            <w:pPr>
              <w:pStyle w:val="TableText"/>
              <w:rPr>
                <w:rFonts w:eastAsia="Calibri"/>
                <w:sz w:val="20"/>
                <w:szCs w:val="20"/>
              </w:rPr>
            </w:pPr>
            <w:r w:rsidRPr="00E3331A">
              <w:rPr>
                <w:rFonts w:eastAsia="Calibri"/>
                <w:sz w:val="20"/>
                <w:szCs w:val="20"/>
              </w:rPr>
              <w:t xml:space="preserve">TOTAL number of exclusions </w:t>
            </w:r>
          </w:p>
        </w:tc>
        <w:tc>
          <w:tcPr>
            <w:tcW w:w="572" w:type="pct"/>
            <w:tcBorders>
              <w:bottom w:val="single" w:sz="4" w:space="0" w:color="auto"/>
            </w:tcBorders>
            <w:shd w:val="clear" w:color="auto" w:fill="auto"/>
            <w:vAlign w:val="center"/>
          </w:tcPr>
          <w:p w:rsidR="001F5B33" w:rsidRPr="00E3331A" w:rsidRDefault="001F5B33" w:rsidP="0007007F">
            <w:pPr>
              <w:pStyle w:val="TableText"/>
              <w:jc w:val="center"/>
              <w:rPr>
                <w:rFonts w:eastAsia="Calibri"/>
                <w:sz w:val="20"/>
                <w:szCs w:val="20"/>
              </w:rPr>
            </w:pPr>
            <w:r w:rsidRPr="00E3331A">
              <w:rPr>
                <w:rFonts w:eastAsia="Calibri"/>
                <w:sz w:val="20"/>
                <w:szCs w:val="20"/>
              </w:rPr>
              <w:t>90</w:t>
            </w:r>
          </w:p>
        </w:tc>
        <w:tc>
          <w:tcPr>
            <w:tcW w:w="572" w:type="pct"/>
            <w:tcBorders>
              <w:bottom w:val="single" w:sz="4" w:space="0" w:color="auto"/>
            </w:tcBorders>
            <w:shd w:val="clear" w:color="auto" w:fill="auto"/>
            <w:vAlign w:val="center"/>
          </w:tcPr>
          <w:p w:rsidR="001F5B33" w:rsidRPr="00E3331A" w:rsidRDefault="001F5B33" w:rsidP="0007007F">
            <w:pPr>
              <w:pStyle w:val="TableText"/>
              <w:jc w:val="center"/>
              <w:rPr>
                <w:rFonts w:eastAsia="Calibri"/>
                <w:sz w:val="20"/>
                <w:szCs w:val="20"/>
              </w:rPr>
            </w:pPr>
            <w:r w:rsidRPr="00E3331A">
              <w:rPr>
                <w:rFonts w:eastAsia="Calibri"/>
                <w:sz w:val="20"/>
                <w:szCs w:val="20"/>
              </w:rPr>
              <w:t>41</w:t>
            </w:r>
          </w:p>
        </w:tc>
        <w:tc>
          <w:tcPr>
            <w:tcW w:w="572" w:type="pct"/>
            <w:tcBorders>
              <w:bottom w:val="single" w:sz="4" w:space="0" w:color="auto"/>
            </w:tcBorders>
            <w:shd w:val="clear" w:color="auto" w:fill="auto"/>
            <w:vAlign w:val="center"/>
          </w:tcPr>
          <w:p w:rsidR="001F5B33" w:rsidRPr="00E3331A" w:rsidRDefault="001F5B33" w:rsidP="0007007F">
            <w:pPr>
              <w:pStyle w:val="TableText"/>
              <w:jc w:val="center"/>
              <w:rPr>
                <w:rFonts w:eastAsia="Calibri"/>
                <w:sz w:val="20"/>
                <w:szCs w:val="20"/>
              </w:rPr>
            </w:pPr>
            <w:r w:rsidRPr="00E3331A">
              <w:rPr>
                <w:rFonts w:eastAsia="Calibri"/>
                <w:sz w:val="20"/>
                <w:szCs w:val="20"/>
              </w:rPr>
              <w:t>3</w:t>
            </w:r>
          </w:p>
        </w:tc>
        <w:tc>
          <w:tcPr>
            <w:tcW w:w="572" w:type="pct"/>
            <w:tcBorders>
              <w:bottom w:val="single" w:sz="4" w:space="0" w:color="auto"/>
            </w:tcBorders>
            <w:shd w:val="clear" w:color="auto" w:fill="auto"/>
            <w:vAlign w:val="center"/>
          </w:tcPr>
          <w:p w:rsidR="001F5B33" w:rsidRPr="00E3331A" w:rsidRDefault="001F5B33" w:rsidP="0007007F">
            <w:pPr>
              <w:pStyle w:val="TableText"/>
              <w:jc w:val="center"/>
              <w:rPr>
                <w:rFonts w:eastAsia="Calibri"/>
                <w:sz w:val="20"/>
                <w:szCs w:val="20"/>
              </w:rPr>
            </w:pPr>
            <w:r w:rsidRPr="00E3331A">
              <w:rPr>
                <w:rFonts w:eastAsia="Calibri"/>
                <w:sz w:val="20"/>
                <w:szCs w:val="20"/>
              </w:rPr>
              <w:t>2</w:t>
            </w:r>
          </w:p>
        </w:tc>
        <w:tc>
          <w:tcPr>
            <w:tcW w:w="572" w:type="pct"/>
            <w:tcBorders>
              <w:bottom w:val="single" w:sz="4" w:space="0" w:color="auto"/>
            </w:tcBorders>
            <w:shd w:val="clear" w:color="auto" w:fill="auto"/>
            <w:vAlign w:val="center"/>
          </w:tcPr>
          <w:p w:rsidR="001F5B33" w:rsidRPr="00E3331A" w:rsidRDefault="001F5B33" w:rsidP="0007007F">
            <w:pPr>
              <w:pStyle w:val="TableText"/>
              <w:jc w:val="center"/>
              <w:rPr>
                <w:rFonts w:eastAsia="Calibri"/>
                <w:sz w:val="20"/>
                <w:szCs w:val="20"/>
              </w:rPr>
            </w:pPr>
            <w:r w:rsidRPr="00E3331A">
              <w:rPr>
                <w:rFonts w:eastAsia="Calibri"/>
                <w:sz w:val="20"/>
                <w:szCs w:val="20"/>
              </w:rPr>
              <w:t>9</w:t>
            </w:r>
          </w:p>
        </w:tc>
        <w:tc>
          <w:tcPr>
            <w:tcW w:w="572" w:type="pct"/>
            <w:tcBorders>
              <w:bottom w:val="single" w:sz="4" w:space="0" w:color="auto"/>
            </w:tcBorders>
            <w:shd w:val="clear" w:color="auto" w:fill="auto"/>
            <w:vAlign w:val="center"/>
          </w:tcPr>
          <w:p w:rsidR="001F5B33" w:rsidRPr="00E3331A" w:rsidRDefault="001F5B33" w:rsidP="0007007F">
            <w:pPr>
              <w:pStyle w:val="TableText"/>
              <w:jc w:val="center"/>
              <w:rPr>
                <w:rFonts w:eastAsia="Calibri"/>
                <w:sz w:val="20"/>
                <w:szCs w:val="20"/>
              </w:rPr>
            </w:pPr>
            <w:r w:rsidRPr="00E3331A">
              <w:rPr>
                <w:rFonts w:eastAsia="Calibri"/>
                <w:sz w:val="20"/>
                <w:szCs w:val="20"/>
              </w:rPr>
              <w:t>374</w:t>
            </w:r>
          </w:p>
        </w:tc>
      </w:tr>
      <w:tr w:rsidR="00281EC2" w:rsidRPr="00E3331A" w:rsidDel="00B6604E" w:rsidTr="0007007F">
        <w:trPr>
          <w:cantSplit/>
        </w:trPr>
        <w:tc>
          <w:tcPr>
            <w:tcW w:w="1569" w:type="pct"/>
            <w:tcBorders>
              <w:right w:val="single" w:sz="4" w:space="0" w:color="auto"/>
            </w:tcBorders>
            <w:shd w:val="clear" w:color="auto" w:fill="auto"/>
            <w:vAlign w:val="center"/>
          </w:tcPr>
          <w:p w:rsidR="001F5B33" w:rsidRPr="00E3331A" w:rsidRDefault="001F5B33" w:rsidP="00493DDF">
            <w:pPr>
              <w:pStyle w:val="TableText"/>
              <w:rPr>
                <w:rFonts w:eastAsia="Calibri"/>
                <w:sz w:val="20"/>
                <w:szCs w:val="20"/>
              </w:rPr>
            </w:pPr>
            <w:r w:rsidRPr="00E3331A">
              <w:rPr>
                <w:rFonts w:eastAsia="Calibri"/>
              </w:rPr>
              <w:t xml:space="preserve">Other HTA websites </w:t>
            </w:r>
            <w:r w:rsidRPr="00E3331A">
              <w:rPr>
                <w:rFonts w:eastAsia="Calibri"/>
                <w:vertAlign w:val="superscript"/>
              </w:rPr>
              <w:t>a</w:t>
            </w:r>
          </w:p>
        </w:tc>
        <w:tc>
          <w:tcPr>
            <w:tcW w:w="572" w:type="pct"/>
            <w:tcBorders>
              <w:left w:val="single" w:sz="4" w:space="0" w:color="auto"/>
              <w:right w:val="single" w:sz="4" w:space="0" w:color="auto"/>
            </w:tcBorders>
            <w:shd w:val="clear" w:color="auto" w:fill="auto"/>
            <w:vAlign w:val="center"/>
          </w:tcPr>
          <w:p w:rsidR="001F5B33" w:rsidRPr="00E3331A" w:rsidDel="00B6604E" w:rsidRDefault="001F5B33" w:rsidP="0007007F">
            <w:pPr>
              <w:pStyle w:val="TableText"/>
              <w:jc w:val="center"/>
              <w:rPr>
                <w:rFonts w:eastAsia="Calibri"/>
                <w:sz w:val="20"/>
                <w:szCs w:val="20"/>
              </w:rPr>
            </w:pPr>
          </w:p>
        </w:tc>
        <w:tc>
          <w:tcPr>
            <w:tcW w:w="572" w:type="pct"/>
            <w:tcBorders>
              <w:left w:val="single" w:sz="4" w:space="0" w:color="auto"/>
              <w:right w:val="single" w:sz="4" w:space="0" w:color="auto"/>
            </w:tcBorders>
            <w:shd w:val="clear" w:color="auto" w:fill="auto"/>
            <w:vAlign w:val="center"/>
          </w:tcPr>
          <w:p w:rsidR="001F5B33" w:rsidRPr="00E3331A" w:rsidDel="00B6604E" w:rsidRDefault="001F5B33" w:rsidP="0007007F">
            <w:pPr>
              <w:pStyle w:val="TableText"/>
              <w:jc w:val="center"/>
              <w:rPr>
                <w:rFonts w:eastAsia="Calibri"/>
                <w:sz w:val="20"/>
                <w:szCs w:val="20"/>
              </w:rPr>
            </w:pPr>
          </w:p>
        </w:tc>
        <w:tc>
          <w:tcPr>
            <w:tcW w:w="572" w:type="pct"/>
            <w:tcBorders>
              <w:left w:val="single" w:sz="4" w:space="0" w:color="auto"/>
              <w:right w:val="single" w:sz="4" w:space="0" w:color="auto"/>
            </w:tcBorders>
            <w:shd w:val="clear" w:color="auto" w:fill="auto"/>
            <w:vAlign w:val="center"/>
          </w:tcPr>
          <w:p w:rsidR="001F5B33" w:rsidRPr="00E3331A" w:rsidDel="00B6604E" w:rsidRDefault="001F5B33" w:rsidP="0007007F">
            <w:pPr>
              <w:pStyle w:val="TableText"/>
              <w:jc w:val="center"/>
              <w:rPr>
                <w:rFonts w:eastAsia="Calibri"/>
                <w:sz w:val="20"/>
                <w:szCs w:val="20"/>
              </w:rPr>
            </w:pPr>
          </w:p>
        </w:tc>
        <w:tc>
          <w:tcPr>
            <w:tcW w:w="572" w:type="pct"/>
            <w:tcBorders>
              <w:left w:val="single" w:sz="4" w:space="0" w:color="auto"/>
              <w:right w:val="single" w:sz="4" w:space="0" w:color="auto"/>
            </w:tcBorders>
            <w:shd w:val="clear" w:color="auto" w:fill="auto"/>
            <w:vAlign w:val="center"/>
          </w:tcPr>
          <w:p w:rsidR="001F5B33" w:rsidRPr="00E3331A" w:rsidDel="00B6604E" w:rsidRDefault="001F5B33" w:rsidP="0007007F">
            <w:pPr>
              <w:pStyle w:val="TableText"/>
              <w:jc w:val="center"/>
              <w:rPr>
                <w:rFonts w:eastAsia="Calibri"/>
                <w:sz w:val="20"/>
                <w:szCs w:val="20"/>
              </w:rPr>
            </w:pPr>
          </w:p>
        </w:tc>
        <w:tc>
          <w:tcPr>
            <w:tcW w:w="572" w:type="pct"/>
            <w:tcBorders>
              <w:left w:val="single" w:sz="4" w:space="0" w:color="auto"/>
            </w:tcBorders>
            <w:shd w:val="clear" w:color="auto" w:fill="auto"/>
            <w:vAlign w:val="center"/>
          </w:tcPr>
          <w:p w:rsidR="001F5B33" w:rsidRPr="00E3331A" w:rsidDel="00B6604E" w:rsidRDefault="001F5B33" w:rsidP="0007007F">
            <w:pPr>
              <w:pStyle w:val="TableText"/>
              <w:jc w:val="center"/>
              <w:rPr>
                <w:rFonts w:eastAsia="Calibri"/>
                <w:sz w:val="20"/>
                <w:szCs w:val="20"/>
              </w:rPr>
            </w:pPr>
          </w:p>
        </w:tc>
        <w:tc>
          <w:tcPr>
            <w:tcW w:w="572" w:type="pct"/>
            <w:tcBorders>
              <w:left w:val="single" w:sz="4" w:space="0" w:color="auto"/>
            </w:tcBorders>
            <w:shd w:val="clear" w:color="auto" w:fill="auto"/>
            <w:vAlign w:val="center"/>
          </w:tcPr>
          <w:p w:rsidR="001F5B33" w:rsidRPr="00E3331A" w:rsidDel="00B6604E" w:rsidRDefault="001F5B33" w:rsidP="0007007F">
            <w:pPr>
              <w:pStyle w:val="TableText"/>
              <w:jc w:val="center"/>
              <w:rPr>
                <w:rFonts w:eastAsia="Calibri"/>
                <w:sz w:val="20"/>
                <w:szCs w:val="20"/>
              </w:rPr>
            </w:pPr>
          </w:p>
        </w:tc>
      </w:tr>
      <w:tr w:rsidR="00281EC2" w:rsidRPr="00E3331A" w:rsidDel="00B6604E" w:rsidTr="0007007F">
        <w:trPr>
          <w:cantSplit/>
        </w:trPr>
        <w:tc>
          <w:tcPr>
            <w:tcW w:w="1569" w:type="pct"/>
            <w:tcBorders>
              <w:right w:val="single" w:sz="4" w:space="0" w:color="auto"/>
            </w:tcBorders>
            <w:shd w:val="clear" w:color="auto" w:fill="auto"/>
            <w:vAlign w:val="center"/>
          </w:tcPr>
          <w:p w:rsidR="001F5B33" w:rsidRPr="00E3331A" w:rsidRDefault="001F5B33" w:rsidP="00493DDF">
            <w:pPr>
              <w:pStyle w:val="TableText"/>
              <w:rPr>
                <w:rFonts w:eastAsia="Calibri"/>
              </w:rPr>
            </w:pPr>
            <w:r w:rsidRPr="00E3331A">
              <w:rPr>
                <w:rFonts w:eastAsia="Calibri"/>
              </w:rPr>
              <w:t>Other</w:t>
            </w:r>
          </w:p>
        </w:tc>
        <w:tc>
          <w:tcPr>
            <w:tcW w:w="572" w:type="pct"/>
            <w:tcBorders>
              <w:left w:val="single" w:sz="4" w:space="0" w:color="auto"/>
              <w:right w:val="single" w:sz="4" w:space="0" w:color="auto"/>
            </w:tcBorders>
            <w:shd w:val="clear" w:color="auto" w:fill="auto"/>
            <w:vAlign w:val="center"/>
          </w:tcPr>
          <w:p w:rsidR="001F5B33" w:rsidRPr="00E3331A" w:rsidDel="00B6604E" w:rsidRDefault="001F5B33" w:rsidP="0007007F">
            <w:pPr>
              <w:pStyle w:val="TableText"/>
              <w:jc w:val="center"/>
              <w:rPr>
                <w:rFonts w:eastAsia="Calibri"/>
                <w:sz w:val="20"/>
                <w:szCs w:val="20"/>
              </w:rPr>
            </w:pPr>
          </w:p>
        </w:tc>
        <w:tc>
          <w:tcPr>
            <w:tcW w:w="572" w:type="pct"/>
            <w:tcBorders>
              <w:left w:val="single" w:sz="4" w:space="0" w:color="auto"/>
              <w:right w:val="single" w:sz="4" w:space="0" w:color="auto"/>
            </w:tcBorders>
            <w:shd w:val="clear" w:color="auto" w:fill="auto"/>
            <w:vAlign w:val="center"/>
          </w:tcPr>
          <w:p w:rsidR="001F5B33" w:rsidRPr="00E3331A" w:rsidDel="00B6604E" w:rsidRDefault="001F5B33" w:rsidP="0007007F">
            <w:pPr>
              <w:pStyle w:val="TableText"/>
              <w:jc w:val="center"/>
              <w:rPr>
                <w:rFonts w:eastAsia="Calibri"/>
                <w:sz w:val="20"/>
                <w:szCs w:val="20"/>
              </w:rPr>
            </w:pPr>
          </w:p>
        </w:tc>
        <w:tc>
          <w:tcPr>
            <w:tcW w:w="572" w:type="pct"/>
            <w:tcBorders>
              <w:left w:val="single" w:sz="4" w:space="0" w:color="auto"/>
              <w:right w:val="single" w:sz="4" w:space="0" w:color="auto"/>
            </w:tcBorders>
            <w:shd w:val="clear" w:color="auto" w:fill="auto"/>
            <w:vAlign w:val="center"/>
          </w:tcPr>
          <w:p w:rsidR="001F5B33" w:rsidRPr="00E3331A" w:rsidDel="00B6604E" w:rsidRDefault="001F5B33" w:rsidP="0007007F">
            <w:pPr>
              <w:pStyle w:val="TableText"/>
              <w:jc w:val="center"/>
              <w:rPr>
                <w:rFonts w:eastAsia="Calibri"/>
                <w:sz w:val="20"/>
                <w:szCs w:val="20"/>
              </w:rPr>
            </w:pPr>
          </w:p>
        </w:tc>
        <w:tc>
          <w:tcPr>
            <w:tcW w:w="572" w:type="pct"/>
            <w:tcBorders>
              <w:left w:val="single" w:sz="4" w:space="0" w:color="auto"/>
              <w:right w:val="single" w:sz="4" w:space="0" w:color="auto"/>
            </w:tcBorders>
            <w:shd w:val="clear" w:color="auto" w:fill="auto"/>
            <w:vAlign w:val="center"/>
          </w:tcPr>
          <w:p w:rsidR="001F5B33" w:rsidRPr="00E3331A" w:rsidDel="00B6604E" w:rsidRDefault="001F5B33" w:rsidP="0007007F">
            <w:pPr>
              <w:pStyle w:val="TableText"/>
              <w:jc w:val="center"/>
              <w:rPr>
                <w:rFonts w:eastAsia="Calibri"/>
                <w:sz w:val="20"/>
                <w:szCs w:val="20"/>
              </w:rPr>
            </w:pPr>
          </w:p>
        </w:tc>
        <w:tc>
          <w:tcPr>
            <w:tcW w:w="572" w:type="pct"/>
            <w:tcBorders>
              <w:left w:val="single" w:sz="4" w:space="0" w:color="auto"/>
            </w:tcBorders>
            <w:shd w:val="clear" w:color="auto" w:fill="auto"/>
            <w:vAlign w:val="center"/>
          </w:tcPr>
          <w:p w:rsidR="001F5B33" w:rsidRPr="00E3331A" w:rsidDel="00B6604E" w:rsidRDefault="001F5B33" w:rsidP="0007007F">
            <w:pPr>
              <w:pStyle w:val="TableText"/>
              <w:jc w:val="center"/>
              <w:rPr>
                <w:rFonts w:eastAsia="Calibri"/>
                <w:sz w:val="20"/>
                <w:szCs w:val="20"/>
              </w:rPr>
            </w:pPr>
          </w:p>
        </w:tc>
        <w:tc>
          <w:tcPr>
            <w:tcW w:w="572" w:type="pct"/>
            <w:tcBorders>
              <w:left w:val="single" w:sz="4" w:space="0" w:color="auto"/>
            </w:tcBorders>
            <w:shd w:val="clear" w:color="auto" w:fill="auto"/>
            <w:vAlign w:val="center"/>
          </w:tcPr>
          <w:p w:rsidR="001F5B33" w:rsidRPr="00E3331A" w:rsidDel="00B6604E" w:rsidRDefault="001F5B33" w:rsidP="0007007F">
            <w:pPr>
              <w:pStyle w:val="TableText"/>
              <w:jc w:val="center"/>
              <w:rPr>
                <w:rFonts w:eastAsia="Calibri"/>
                <w:sz w:val="20"/>
                <w:szCs w:val="20"/>
              </w:rPr>
            </w:pPr>
            <w:r w:rsidRPr="00E3331A">
              <w:rPr>
                <w:rFonts w:eastAsia="Calibri"/>
                <w:sz w:val="20"/>
                <w:szCs w:val="20"/>
              </w:rPr>
              <w:t>1</w:t>
            </w:r>
          </w:p>
        </w:tc>
      </w:tr>
      <w:tr w:rsidR="00281EC2" w:rsidRPr="00E3331A" w:rsidDel="00B6604E" w:rsidTr="0007007F">
        <w:trPr>
          <w:cantSplit/>
        </w:trPr>
        <w:tc>
          <w:tcPr>
            <w:tcW w:w="1569" w:type="pct"/>
            <w:tcBorders>
              <w:right w:val="single" w:sz="4" w:space="0" w:color="auto"/>
            </w:tcBorders>
            <w:shd w:val="clear" w:color="auto" w:fill="auto"/>
            <w:vAlign w:val="center"/>
          </w:tcPr>
          <w:p w:rsidR="001F5B33" w:rsidRPr="00E3331A" w:rsidRDefault="001F5B33" w:rsidP="00493DDF">
            <w:pPr>
              <w:pStyle w:val="TableText"/>
              <w:rPr>
                <w:rFonts w:eastAsia="Calibri"/>
                <w:sz w:val="20"/>
                <w:szCs w:val="20"/>
              </w:rPr>
            </w:pPr>
            <w:r w:rsidRPr="00E3331A">
              <w:rPr>
                <w:rFonts w:eastAsia="Calibri"/>
                <w:sz w:val="20"/>
                <w:szCs w:val="20"/>
              </w:rPr>
              <w:t>Number of utility studies included</w:t>
            </w:r>
          </w:p>
        </w:tc>
        <w:tc>
          <w:tcPr>
            <w:tcW w:w="572" w:type="pct"/>
            <w:tcBorders>
              <w:left w:val="single" w:sz="4" w:space="0" w:color="auto"/>
              <w:right w:val="single" w:sz="4" w:space="0" w:color="auto"/>
            </w:tcBorders>
            <w:shd w:val="clear" w:color="auto" w:fill="auto"/>
            <w:vAlign w:val="center"/>
          </w:tcPr>
          <w:p w:rsidR="001F5B33" w:rsidRPr="00E3331A" w:rsidDel="00B6604E" w:rsidRDefault="001F5B33" w:rsidP="0007007F">
            <w:pPr>
              <w:pStyle w:val="TableText"/>
              <w:jc w:val="center"/>
              <w:rPr>
                <w:rFonts w:eastAsia="Calibri"/>
                <w:sz w:val="20"/>
                <w:szCs w:val="20"/>
              </w:rPr>
            </w:pPr>
            <w:r w:rsidRPr="00E3331A">
              <w:rPr>
                <w:rFonts w:eastAsia="Calibri"/>
                <w:sz w:val="20"/>
                <w:szCs w:val="20"/>
              </w:rPr>
              <w:t>6</w:t>
            </w:r>
          </w:p>
        </w:tc>
        <w:tc>
          <w:tcPr>
            <w:tcW w:w="572" w:type="pct"/>
            <w:tcBorders>
              <w:left w:val="single" w:sz="4" w:space="0" w:color="auto"/>
              <w:right w:val="single" w:sz="4" w:space="0" w:color="auto"/>
            </w:tcBorders>
            <w:shd w:val="clear" w:color="auto" w:fill="auto"/>
            <w:vAlign w:val="center"/>
          </w:tcPr>
          <w:p w:rsidR="001F5B33" w:rsidRPr="00E3331A" w:rsidDel="00B6604E" w:rsidRDefault="001F5B33" w:rsidP="0007007F">
            <w:pPr>
              <w:pStyle w:val="TableText"/>
              <w:jc w:val="center"/>
              <w:rPr>
                <w:rFonts w:eastAsia="Calibri"/>
                <w:sz w:val="20"/>
                <w:szCs w:val="20"/>
              </w:rPr>
            </w:pPr>
            <w:r w:rsidRPr="00E3331A">
              <w:rPr>
                <w:rFonts w:eastAsia="Calibri"/>
                <w:sz w:val="20"/>
                <w:szCs w:val="20"/>
              </w:rPr>
              <w:t>4</w:t>
            </w:r>
          </w:p>
        </w:tc>
        <w:tc>
          <w:tcPr>
            <w:tcW w:w="572" w:type="pct"/>
            <w:tcBorders>
              <w:left w:val="single" w:sz="4" w:space="0" w:color="auto"/>
              <w:right w:val="single" w:sz="4" w:space="0" w:color="auto"/>
            </w:tcBorders>
            <w:shd w:val="clear" w:color="auto" w:fill="auto"/>
            <w:vAlign w:val="center"/>
          </w:tcPr>
          <w:p w:rsidR="001F5B33" w:rsidRPr="00E3331A" w:rsidDel="00B6604E" w:rsidRDefault="001F5B33" w:rsidP="0007007F">
            <w:pPr>
              <w:pStyle w:val="TableText"/>
              <w:jc w:val="center"/>
              <w:rPr>
                <w:rFonts w:eastAsia="Calibri"/>
                <w:sz w:val="20"/>
                <w:szCs w:val="20"/>
              </w:rPr>
            </w:pPr>
            <w:r w:rsidRPr="00E3331A">
              <w:rPr>
                <w:rFonts w:eastAsia="Calibri"/>
                <w:sz w:val="20"/>
                <w:szCs w:val="20"/>
              </w:rPr>
              <w:t>1</w:t>
            </w:r>
          </w:p>
        </w:tc>
        <w:tc>
          <w:tcPr>
            <w:tcW w:w="572" w:type="pct"/>
            <w:tcBorders>
              <w:left w:val="single" w:sz="4" w:space="0" w:color="auto"/>
              <w:right w:val="single" w:sz="4" w:space="0" w:color="auto"/>
            </w:tcBorders>
            <w:shd w:val="clear" w:color="auto" w:fill="auto"/>
            <w:vAlign w:val="center"/>
          </w:tcPr>
          <w:p w:rsidR="001F5B33" w:rsidRPr="00E3331A" w:rsidDel="00B6604E" w:rsidRDefault="001F5B33" w:rsidP="0007007F">
            <w:pPr>
              <w:pStyle w:val="TableText"/>
              <w:jc w:val="center"/>
              <w:rPr>
                <w:rFonts w:eastAsia="Calibri"/>
                <w:sz w:val="20"/>
                <w:szCs w:val="20"/>
              </w:rPr>
            </w:pPr>
            <w:r w:rsidRPr="00E3331A">
              <w:rPr>
                <w:rFonts w:eastAsia="Calibri"/>
                <w:sz w:val="20"/>
                <w:szCs w:val="20"/>
              </w:rPr>
              <w:t>0</w:t>
            </w:r>
          </w:p>
        </w:tc>
        <w:tc>
          <w:tcPr>
            <w:tcW w:w="572" w:type="pct"/>
            <w:tcBorders>
              <w:left w:val="single" w:sz="4" w:space="0" w:color="auto"/>
            </w:tcBorders>
            <w:shd w:val="clear" w:color="auto" w:fill="auto"/>
            <w:vAlign w:val="center"/>
          </w:tcPr>
          <w:p w:rsidR="001F5B33" w:rsidRPr="00E3331A" w:rsidDel="00B6604E" w:rsidRDefault="001F5B33" w:rsidP="0007007F">
            <w:pPr>
              <w:pStyle w:val="TableText"/>
              <w:jc w:val="center"/>
              <w:rPr>
                <w:rFonts w:eastAsia="Calibri"/>
                <w:sz w:val="20"/>
                <w:szCs w:val="20"/>
              </w:rPr>
            </w:pPr>
            <w:r w:rsidRPr="00E3331A">
              <w:rPr>
                <w:rFonts w:eastAsia="Calibri"/>
                <w:sz w:val="20"/>
                <w:szCs w:val="20"/>
              </w:rPr>
              <w:t>0</w:t>
            </w:r>
          </w:p>
        </w:tc>
        <w:tc>
          <w:tcPr>
            <w:tcW w:w="572" w:type="pct"/>
            <w:tcBorders>
              <w:left w:val="single" w:sz="4" w:space="0" w:color="auto"/>
            </w:tcBorders>
            <w:shd w:val="clear" w:color="auto" w:fill="auto"/>
            <w:vAlign w:val="center"/>
          </w:tcPr>
          <w:p w:rsidR="001F5B33" w:rsidRPr="00E3331A" w:rsidDel="00B6604E" w:rsidRDefault="001F5B33" w:rsidP="0007007F">
            <w:pPr>
              <w:pStyle w:val="TableText"/>
              <w:jc w:val="center"/>
              <w:rPr>
                <w:rFonts w:eastAsia="Calibri"/>
                <w:sz w:val="20"/>
                <w:szCs w:val="20"/>
              </w:rPr>
            </w:pPr>
            <w:r w:rsidRPr="00E3331A">
              <w:rPr>
                <w:rFonts w:eastAsia="Calibri"/>
                <w:sz w:val="20"/>
                <w:szCs w:val="20"/>
              </w:rPr>
              <w:t>1</w:t>
            </w:r>
          </w:p>
        </w:tc>
      </w:tr>
    </w:tbl>
    <w:p w:rsidR="00E5330A" w:rsidRPr="00E3331A" w:rsidRDefault="001F5B33" w:rsidP="0037150F">
      <w:pPr>
        <w:pStyle w:val="Tablenotes1"/>
      </w:pPr>
      <w:r w:rsidRPr="00E3331A">
        <w:rPr>
          <w:vertAlign w:val="superscript"/>
        </w:rPr>
        <w:t>a</w:t>
      </w:r>
      <w:r w:rsidRPr="00E3331A">
        <w:t xml:space="preserve"> HTA agencies included: NICE, CADTH </w:t>
      </w:r>
    </w:p>
    <w:p w:rsidR="001F5B33" w:rsidRPr="00E3331A" w:rsidRDefault="001F5B33" w:rsidP="0037150F">
      <w:pPr>
        <w:pStyle w:val="Tablenotes1"/>
      </w:pPr>
      <w:r w:rsidRPr="00E3331A">
        <w:t>Abbreviations</w:t>
      </w:r>
      <w:r w:rsidRPr="00E3331A">
        <w:rPr>
          <w:i/>
        </w:rPr>
        <w:t xml:space="preserve">: </w:t>
      </w:r>
      <w:r w:rsidRPr="00E3331A">
        <w:t>CADTH</w:t>
      </w:r>
      <w:r w:rsidR="00E5330A" w:rsidRPr="00E3331A">
        <w:t xml:space="preserve"> =</w:t>
      </w:r>
      <w:r w:rsidRPr="00E3331A">
        <w:t xml:space="preserve"> Canadian Agency for Drugs and Technologies in Health; HTA</w:t>
      </w:r>
      <w:r w:rsidR="00E5330A" w:rsidRPr="00E3331A">
        <w:t xml:space="preserve"> = </w:t>
      </w:r>
      <w:r w:rsidRPr="00E3331A">
        <w:t>Health Technology Assessment, NICE</w:t>
      </w:r>
      <w:r w:rsidR="00E5330A" w:rsidRPr="00E3331A">
        <w:t xml:space="preserve"> =</w:t>
      </w:r>
      <w:r w:rsidRPr="00E3331A">
        <w:t xml:space="preserve"> National Institute for Clinical Excellence</w:t>
      </w:r>
    </w:p>
    <w:p w:rsidR="001F5B33" w:rsidRPr="00E3331A" w:rsidRDefault="001F5B33" w:rsidP="00BB6E4C">
      <w:pPr>
        <w:pStyle w:val="BodyTextSTD"/>
      </w:pPr>
      <w:r w:rsidRPr="00E3331A">
        <w:t xml:space="preserve">Titles of key studies are outlined in </w:t>
      </w:r>
      <w:r w:rsidR="006F35B9" w:rsidRPr="00E3331A">
        <w:t xml:space="preserve">Table </w:t>
      </w:r>
      <w:r w:rsidR="006F35B9">
        <w:rPr>
          <w:noProof/>
        </w:rPr>
        <w:t>49</w:t>
      </w:r>
      <w:r w:rsidRPr="00E3331A">
        <w:t xml:space="preserve"> and described in the following text.</w:t>
      </w:r>
    </w:p>
    <w:p w:rsidR="001F5B33" w:rsidRPr="00E3331A" w:rsidRDefault="001F5B33" w:rsidP="001F5B33">
      <w:pPr>
        <w:pStyle w:val="Caption"/>
      </w:pPr>
      <w:bookmarkStart w:id="351" w:name="_Ref8473096"/>
      <w:bookmarkStart w:id="352" w:name="_Toc24103355"/>
      <w:r w:rsidRPr="00E3331A">
        <w:t xml:space="preserve">Table </w:t>
      </w:r>
      <w:r w:rsidR="006F35B9">
        <w:rPr>
          <w:noProof/>
        </w:rPr>
        <w:t>49</w:t>
      </w:r>
      <w:bookmarkEnd w:id="351"/>
      <w:r w:rsidR="007E014D" w:rsidRPr="00E3331A">
        <w:tab/>
      </w:r>
      <w:r w:rsidRPr="00E3331A">
        <w:t>Studies identified outlining utilities for Adverse Event states</w:t>
      </w:r>
      <w:bookmarkEnd w:id="352"/>
      <w:r w:rsidR="001925B9" w:rsidRPr="00E3331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514"/>
      </w:tblGrid>
      <w:tr w:rsidR="001F5B33" w:rsidRPr="00E3331A" w:rsidTr="0007007F">
        <w:trPr>
          <w:trHeight w:val="350"/>
        </w:trPr>
        <w:tc>
          <w:tcPr>
            <w:tcW w:w="833" w:type="pct"/>
            <w:shd w:val="clear" w:color="auto" w:fill="D9D9D9"/>
          </w:tcPr>
          <w:p w:rsidR="001F5B33" w:rsidRPr="00E3331A" w:rsidRDefault="001F5B33" w:rsidP="00493DDF">
            <w:pPr>
              <w:rPr>
                <w:rFonts w:ascii="Arial Narrow" w:hAnsi="Arial Narrow"/>
                <w:b/>
                <w:sz w:val="20"/>
                <w:szCs w:val="20"/>
              </w:rPr>
            </w:pPr>
            <w:r w:rsidRPr="00E3331A">
              <w:rPr>
                <w:rFonts w:ascii="Arial Narrow" w:hAnsi="Arial Narrow"/>
                <w:b/>
                <w:sz w:val="20"/>
                <w:szCs w:val="20"/>
              </w:rPr>
              <w:t>Study</w:t>
            </w:r>
          </w:p>
        </w:tc>
        <w:tc>
          <w:tcPr>
            <w:tcW w:w="4167" w:type="pct"/>
            <w:shd w:val="clear" w:color="auto" w:fill="D9D9D9"/>
          </w:tcPr>
          <w:p w:rsidR="001F5B33" w:rsidRPr="00E3331A" w:rsidRDefault="001F5B33" w:rsidP="00493DDF">
            <w:pPr>
              <w:rPr>
                <w:rFonts w:ascii="Arial Narrow" w:hAnsi="Arial Narrow"/>
                <w:b/>
                <w:sz w:val="20"/>
                <w:szCs w:val="20"/>
              </w:rPr>
            </w:pPr>
            <w:r w:rsidRPr="00E3331A">
              <w:rPr>
                <w:rFonts w:ascii="Arial Narrow" w:hAnsi="Arial Narrow"/>
                <w:b/>
                <w:sz w:val="20"/>
                <w:szCs w:val="20"/>
              </w:rPr>
              <w:t>Reference</w:t>
            </w:r>
          </w:p>
        </w:tc>
      </w:tr>
      <w:tr w:rsidR="001F5B33" w:rsidRPr="00E3331A" w:rsidTr="0007007F">
        <w:trPr>
          <w:trHeight w:val="287"/>
        </w:trPr>
        <w:tc>
          <w:tcPr>
            <w:tcW w:w="5000" w:type="pct"/>
            <w:gridSpan w:val="2"/>
            <w:shd w:val="clear" w:color="auto" w:fill="D9D9D9"/>
          </w:tcPr>
          <w:p w:rsidR="001F5B33" w:rsidRPr="00E3331A" w:rsidRDefault="001F5B33" w:rsidP="00493DDF">
            <w:pPr>
              <w:rPr>
                <w:rFonts w:ascii="Arial Narrow" w:hAnsi="Arial Narrow"/>
                <w:b/>
                <w:sz w:val="20"/>
                <w:szCs w:val="20"/>
              </w:rPr>
            </w:pPr>
            <w:r w:rsidRPr="00E3331A">
              <w:rPr>
                <w:rFonts w:ascii="Arial Narrow" w:hAnsi="Arial Narrow"/>
                <w:b/>
                <w:sz w:val="20"/>
                <w:szCs w:val="20"/>
              </w:rPr>
              <w:t>Australian Utilities for Diabetes</w:t>
            </w:r>
          </w:p>
        </w:tc>
      </w:tr>
      <w:tr w:rsidR="001F5B33" w:rsidRPr="00E3331A" w:rsidTr="00493DDF">
        <w:trPr>
          <w:trHeight w:val="566"/>
        </w:trPr>
        <w:tc>
          <w:tcPr>
            <w:tcW w:w="833"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 xml:space="preserve">Glasziou </w:t>
            </w:r>
            <w:r w:rsidR="00983BA7">
              <w:rPr>
                <w:rFonts w:ascii="Arial Narrow" w:hAnsi="Arial Narrow"/>
                <w:sz w:val="20"/>
                <w:szCs w:val="20"/>
              </w:rPr>
              <w:t xml:space="preserve">et al. </w:t>
            </w:r>
            <w:r w:rsidRPr="00E3331A">
              <w:rPr>
                <w:rFonts w:ascii="Arial Narrow" w:hAnsi="Arial Narrow"/>
                <w:sz w:val="20"/>
                <w:szCs w:val="20"/>
              </w:rPr>
              <w:t>2007</w:t>
            </w:r>
          </w:p>
        </w:tc>
        <w:tc>
          <w:tcPr>
            <w:tcW w:w="4167"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 xml:space="preserve">Glasziou </w:t>
            </w:r>
            <w:r w:rsidR="00983BA7">
              <w:rPr>
                <w:rFonts w:ascii="Arial Narrow" w:hAnsi="Arial Narrow"/>
                <w:sz w:val="20"/>
                <w:szCs w:val="20"/>
              </w:rPr>
              <w:t xml:space="preserve">et al. </w:t>
            </w:r>
            <w:r w:rsidRPr="00E3331A">
              <w:rPr>
                <w:rFonts w:ascii="Arial Narrow" w:hAnsi="Arial Narrow"/>
                <w:sz w:val="20"/>
                <w:szCs w:val="20"/>
              </w:rPr>
              <w:t>(2007) Which health-related quality of life score? A comparison of alternative utility measures in patients with Type 2 diabetes in the ADVANCE trial. Health and Quality of Life Outcomes</w:t>
            </w:r>
          </w:p>
        </w:tc>
      </w:tr>
      <w:tr w:rsidR="001F5B33" w:rsidRPr="00E3331A" w:rsidTr="00493DDF">
        <w:trPr>
          <w:trHeight w:val="566"/>
        </w:trPr>
        <w:tc>
          <w:tcPr>
            <w:tcW w:w="833"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 xml:space="preserve">Clarke </w:t>
            </w:r>
            <w:r w:rsidR="00983BA7">
              <w:rPr>
                <w:rFonts w:ascii="Arial Narrow" w:hAnsi="Arial Narrow"/>
                <w:sz w:val="20"/>
                <w:szCs w:val="20"/>
              </w:rPr>
              <w:t xml:space="preserve">et al. </w:t>
            </w:r>
            <w:r w:rsidRPr="00E3331A">
              <w:rPr>
                <w:rFonts w:ascii="Arial Narrow" w:hAnsi="Arial Narrow"/>
                <w:sz w:val="20"/>
                <w:szCs w:val="20"/>
              </w:rPr>
              <w:t>2009</w:t>
            </w:r>
          </w:p>
        </w:tc>
        <w:tc>
          <w:tcPr>
            <w:tcW w:w="4167"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 xml:space="preserve">Clarke </w:t>
            </w:r>
            <w:r w:rsidR="00983BA7">
              <w:rPr>
                <w:rFonts w:ascii="Arial Narrow" w:hAnsi="Arial Narrow"/>
                <w:sz w:val="20"/>
                <w:szCs w:val="20"/>
              </w:rPr>
              <w:t xml:space="preserve">et al. </w:t>
            </w:r>
            <w:r w:rsidRPr="00E3331A">
              <w:rPr>
                <w:rFonts w:ascii="Arial Narrow" w:hAnsi="Arial Narrow"/>
                <w:sz w:val="20"/>
                <w:szCs w:val="20"/>
              </w:rPr>
              <w:t>2009 Using the EQ-5D index score as a predictor of outcomes in patients with type 2 diabetes, Medical Care, 61-68</w:t>
            </w:r>
          </w:p>
        </w:tc>
      </w:tr>
      <w:tr w:rsidR="001F5B33" w:rsidRPr="00E3331A" w:rsidTr="00493DDF">
        <w:trPr>
          <w:trHeight w:val="566"/>
        </w:trPr>
        <w:tc>
          <w:tcPr>
            <w:tcW w:w="833"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 xml:space="preserve">Gordon </w:t>
            </w:r>
            <w:r w:rsidR="00983BA7">
              <w:rPr>
                <w:rFonts w:ascii="Arial Narrow" w:hAnsi="Arial Narrow"/>
                <w:sz w:val="20"/>
                <w:szCs w:val="20"/>
              </w:rPr>
              <w:t xml:space="preserve">et al. </w:t>
            </w:r>
            <w:r w:rsidRPr="00E3331A">
              <w:rPr>
                <w:rFonts w:ascii="Arial Narrow" w:hAnsi="Arial Narrow"/>
                <w:sz w:val="20"/>
                <w:szCs w:val="20"/>
              </w:rPr>
              <w:t>2014</w:t>
            </w:r>
          </w:p>
        </w:tc>
        <w:tc>
          <w:tcPr>
            <w:tcW w:w="4167"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 xml:space="preserve">Gordon </w:t>
            </w:r>
            <w:r w:rsidR="00983BA7">
              <w:rPr>
                <w:rFonts w:ascii="Arial Narrow" w:hAnsi="Arial Narrow"/>
                <w:sz w:val="20"/>
                <w:szCs w:val="20"/>
              </w:rPr>
              <w:t xml:space="preserve">et al. </w:t>
            </w:r>
            <w:r w:rsidRPr="00E3331A">
              <w:rPr>
                <w:rFonts w:ascii="Arial Narrow" w:hAnsi="Arial Narrow"/>
                <w:sz w:val="20"/>
                <w:szCs w:val="20"/>
              </w:rPr>
              <w:t>2014 A cost-effectiveness analysis of a telephone-linked care intervention for individuals with Type 2 diabetes, Diabetes research and clinical practice, 103-111</w:t>
            </w:r>
          </w:p>
        </w:tc>
      </w:tr>
      <w:tr w:rsidR="001F5B33" w:rsidRPr="00E3331A" w:rsidTr="00493DDF">
        <w:trPr>
          <w:trHeight w:val="566"/>
        </w:trPr>
        <w:tc>
          <w:tcPr>
            <w:tcW w:w="833"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Kortt, and Clarke 2005</w:t>
            </w:r>
          </w:p>
        </w:tc>
        <w:tc>
          <w:tcPr>
            <w:tcW w:w="4167"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Kortt, and Clarke 2005. Estimating utility values for health states of overweight and obese individuals using the SF-36, Quality of Life Research, 14, 2177-2185</w:t>
            </w:r>
          </w:p>
        </w:tc>
      </w:tr>
      <w:tr w:rsidR="001F5B33" w:rsidRPr="00E3331A" w:rsidTr="00493DDF">
        <w:trPr>
          <w:trHeight w:val="566"/>
        </w:trPr>
        <w:tc>
          <w:tcPr>
            <w:tcW w:w="833"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 xml:space="preserve">Keating </w:t>
            </w:r>
            <w:r w:rsidR="00983BA7">
              <w:rPr>
                <w:rFonts w:ascii="Arial Narrow" w:hAnsi="Arial Narrow"/>
                <w:sz w:val="20"/>
                <w:szCs w:val="20"/>
              </w:rPr>
              <w:t xml:space="preserve">et al. </w:t>
            </w:r>
            <w:r w:rsidRPr="00E3331A">
              <w:rPr>
                <w:rFonts w:ascii="Arial Narrow" w:hAnsi="Arial Narrow"/>
                <w:sz w:val="20"/>
                <w:szCs w:val="20"/>
              </w:rPr>
              <w:t>2012</w:t>
            </w:r>
          </w:p>
        </w:tc>
        <w:tc>
          <w:tcPr>
            <w:tcW w:w="4167"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 xml:space="preserve">Keating </w:t>
            </w:r>
            <w:r w:rsidR="00983BA7">
              <w:rPr>
                <w:rFonts w:ascii="Arial Narrow" w:hAnsi="Arial Narrow"/>
                <w:sz w:val="20"/>
                <w:szCs w:val="20"/>
              </w:rPr>
              <w:t xml:space="preserve">et al. </w:t>
            </w:r>
            <w:r w:rsidRPr="00E3331A">
              <w:rPr>
                <w:rFonts w:ascii="Arial Narrow" w:hAnsi="Arial Narrow"/>
                <w:sz w:val="20"/>
                <w:szCs w:val="20"/>
              </w:rPr>
              <w:t>2012. Utility-Based Quality of Life Associated With Overweight and Obesity: The Australian Diabetes, Obesity, and Lifestyle Study, Obesity</w:t>
            </w:r>
          </w:p>
        </w:tc>
      </w:tr>
      <w:tr w:rsidR="001F5B33" w:rsidRPr="00E3331A" w:rsidTr="00493DDF">
        <w:trPr>
          <w:trHeight w:val="566"/>
        </w:trPr>
        <w:tc>
          <w:tcPr>
            <w:tcW w:w="833" w:type="pct"/>
          </w:tcPr>
          <w:p w:rsidR="001F5B33" w:rsidRPr="00E3331A" w:rsidRDefault="001F5B33" w:rsidP="00493DDF">
            <w:pPr>
              <w:rPr>
                <w:rFonts w:ascii="Arial Narrow" w:hAnsi="Arial Narrow"/>
                <w:sz w:val="20"/>
                <w:szCs w:val="20"/>
              </w:rPr>
            </w:pPr>
            <w:r w:rsidRPr="00E3331A">
              <w:rPr>
                <w:rFonts w:ascii="Arial Narrow" w:hAnsi="Arial Narrow"/>
                <w:sz w:val="20"/>
                <w:szCs w:val="20"/>
              </w:rPr>
              <w:lastRenderedPageBreak/>
              <w:t xml:space="preserve">Afzali </w:t>
            </w:r>
            <w:r w:rsidR="00983BA7">
              <w:rPr>
                <w:rFonts w:ascii="Arial Narrow" w:hAnsi="Arial Narrow"/>
                <w:sz w:val="20"/>
                <w:szCs w:val="20"/>
              </w:rPr>
              <w:t xml:space="preserve">et al. </w:t>
            </w:r>
            <w:r w:rsidRPr="00E3331A">
              <w:rPr>
                <w:rFonts w:ascii="Arial Narrow" w:hAnsi="Arial Narrow"/>
                <w:sz w:val="20"/>
                <w:szCs w:val="20"/>
              </w:rPr>
              <w:t>2013</w:t>
            </w:r>
          </w:p>
        </w:tc>
        <w:tc>
          <w:tcPr>
            <w:tcW w:w="4167"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 xml:space="preserve">Afzali </w:t>
            </w:r>
            <w:r w:rsidR="00983BA7">
              <w:rPr>
                <w:rFonts w:ascii="Arial Narrow" w:hAnsi="Arial Narrow"/>
                <w:sz w:val="20"/>
                <w:szCs w:val="20"/>
              </w:rPr>
              <w:t xml:space="preserve">et al. </w:t>
            </w:r>
            <w:r w:rsidRPr="00E3331A">
              <w:rPr>
                <w:rFonts w:ascii="Arial Narrow" w:hAnsi="Arial Narrow"/>
                <w:sz w:val="20"/>
                <w:szCs w:val="20"/>
              </w:rPr>
              <w:t>2013 A model-based economic evaluation of improved primary care management of patients with type 2 diabetes in Australia, Applied Health Economics and Health Policy, 11, 661-670</w:t>
            </w:r>
          </w:p>
        </w:tc>
      </w:tr>
      <w:tr w:rsidR="001F5B33" w:rsidRPr="00E3331A" w:rsidTr="0007007F">
        <w:trPr>
          <w:trHeight w:val="287"/>
        </w:trPr>
        <w:tc>
          <w:tcPr>
            <w:tcW w:w="5000" w:type="pct"/>
            <w:gridSpan w:val="2"/>
            <w:shd w:val="clear" w:color="auto" w:fill="D9D9D9"/>
          </w:tcPr>
          <w:p w:rsidR="001F5B33" w:rsidRPr="00E3331A" w:rsidRDefault="001F5B33" w:rsidP="00493DDF">
            <w:pPr>
              <w:rPr>
                <w:rFonts w:ascii="Arial Narrow" w:hAnsi="Arial Narrow"/>
                <w:b/>
                <w:sz w:val="20"/>
                <w:szCs w:val="20"/>
              </w:rPr>
            </w:pPr>
            <w:r w:rsidRPr="00E3331A">
              <w:rPr>
                <w:rFonts w:ascii="Arial Narrow" w:hAnsi="Arial Narrow"/>
                <w:b/>
                <w:sz w:val="20"/>
                <w:szCs w:val="20"/>
              </w:rPr>
              <w:t>Australian Utilities for Corticosteroids</w:t>
            </w:r>
          </w:p>
        </w:tc>
      </w:tr>
      <w:tr w:rsidR="001F5B33" w:rsidRPr="00E3331A" w:rsidTr="00493DDF">
        <w:trPr>
          <w:trHeight w:val="566"/>
        </w:trPr>
        <w:tc>
          <w:tcPr>
            <w:tcW w:w="833"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 xml:space="preserve">Tilden </w:t>
            </w:r>
            <w:r w:rsidR="00983BA7">
              <w:rPr>
                <w:rFonts w:ascii="Arial Narrow" w:hAnsi="Arial Narrow"/>
                <w:sz w:val="20"/>
                <w:szCs w:val="20"/>
              </w:rPr>
              <w:t xml:space="preserve">et al. </w:t>
            </w:r>
            <w:r w:rsidRPr="00E3331A">
              <w:rPr>
                <w:rFonts w:ascii="Arial Narrow" w:hAnsi="Arial Narrow"/>
                <w:sz w:val="20"/>
                <w:szCs w:val="20"/>
              </w:rPr>
              <w:t>2015</w:t>
            </w:r>
          </w:p>
        </w:tc>
        <w:tc>
          <w:tcPr>
            <w:tcW w:w="4167"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 xml:space="preserve">Tilden </w:t>
            </w:r>
            <w:r w:rsidR="00983BA7">
              <w:rPr>
                <w:rFonts w:ascii="Arial Narrow" w:hAnsi="Arial Narrow"/>
                <w:sz w:val="20"/>
                <w:szCs w:val="20"/>
              </w:rPr>
              <w:t xml:space="preserve">et al. </w:t>
            </w:r>
            <w:r w:rsidRPr="00E3331A">
              <w:rPr>
                <w:rFonts w:ascii="Arial Narrow" w:hAnsi="Arial Narrow"/>
                <w:sz w:val="20"/>
                <w:szCs w:val="20"/>
              </w:rPr>
              <w:t xml:space="preserve">2015. Quantifying The Cost </w:t>
            </w:r>
            <w:r w:rsidR="00024BA0">
              <w:rPr>
                <w:rFonts w:ascii="Arial Narrow" w:hAnsi="Arial Narrow"/>
                <w:sz w:val="20"/>
                <w:szCs w:val="20"/>
              </w:rPr>
              <w:t>a</w:t>
            </w:r>
            <w:r w:rsidR="00024BA0" w:rsidRPr="00E3331A">
              <w:rPr>
                <w:rFonts w:ascii="Arial Narrow" w:hAnsi="Arial Narrow"/>
                <w:sz w:val="20"/>
                <w:szCs w:val="20"/>
              </w:rPr>
              <w:t xml:space="preserve">nd </w:t>
            </w:r>
            <w:r w:rsidRPr="00E3331A">
              <w:rPr>
                <w:rFonts w:ascii="Arial Narrow" w:hAnsi="Arial Narrow"/>
                <w:sz w:val="20"/>
                <w:szCs w:val="20"/>
              </w:rPr>
              <w:t xml:space="preserve">Quality </w:t>
            </w:r>
            <w:r w:rsidR="00024BA0">
              <w:rPr>
                <w:rFonts w:ascii="Arial Narrow" w:hAnsi="Arial Narrow"/>
                <w:sz w:val="20"/>
                <w:szCs w:val="20"/>
              </w:rPr>
              <w:t>o</w:t>
            </w:r>
            <w:r w:rsidRPr="00E3331A">
              <w:rPr>
                <w:rFonts w:ascii="Arial Narrow" w:hAnsi="Arial Narrow"/>
                <w:sz w:val="20"/>
                <w:szCs w:val="20"/>
              </w:rPr>
              <w:t>f Life Implications Of Adverse Events Associated With Long-Term Oral Corticosteroid Use, Value in Health, November 2015</w:t>
            </w:r>
            <w:r w:rsidR="005F31CF" w:rsidRPr="00E3331A">
              <w:rPr>
                <w:rFonts w:ascii="Arial Narrow" w:hAnsi="Arial Narrow"/>
                <w:sz w:val="20"/>
                <w:szCs w:val="20"/>
              </w:rPr>
              <w:t xml:space="preserve"> </w:t>
            </w:r>
            <w:r w:rsidRPr="00E3331A">
              <w:rPr>
                <w:rFonts w:ascii="Arial Narrow" w:hAnsi="Arial Narrow"/>
                <w:sz w:val="20"/>
                <w:szCs w:val="20"/>
              </w:rPr>
              <w:t>Volume 18, Issue 7, Page A688</w:t>
            </w:r>
          </w:p>
        </w:tc>
      </w:tr>
      <w:tr w:rsidR="001F5B33" w:rsidRPr="00E3331A" w:rsidTr="0007007F">
        <w:trPr>
          <w:trHeight w:val="287"/>
        </w:trPr>
        <w:tc>
          <w:tcPr>
            <w:tcW w:w="5000" w:type="pct"/>
            <w:gridSpan w:val="2"/>
            <w:shd w:val="clear" w:color="auto" w:fill="D9D9D9"/>
          </w:tcPr>
          <w:p w:rsidR="001F5B33" w:rsidRPr="00E3331A" w:rsidRDefault="001F5B33" w:rsidP="00493DDF">
            <w:pPr>
              <w:rPr>
                <w:rFonts w:ascii="Arial Narrow" w:hAnsi="Arial Narrow"/>
                <w:b/>
                <w:sz w:val="20"/>
                <w:szCs w:val="20"/>
              </w:rPr>
            </w:pPr>
            <w:r w:rsidRPr="00E3331A">
              <w:rPr>
                <w:rFonts w:ascii="Arial Narrow" w:hAnsi="Arial Narrow"/>
                <w:b/>
                <w:sz w:val="20"/>
                <w:szCs w:val="20"/>
              </w:rPr>
              <w:t>Australian Utilities for Fractures</w:t>
            </w:r>
          </w:p>
        </w:tc>
      </w:tr>
      <w:tr w:rsidR="001F5B33" w:rsidRPr="00E3331A" w:rsidTr="00493DDF">
        <w:trPr>
          <w:trHeight w:val="566"/>
        </w:trPr>
        <w:tc>
          <w:tcPr>
            <w:tcW w:w="833"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 xml:space="preserve">Abimanyi-Ochom </w:t>
            </w:r>
            <w:r w:rsidR="00983BA7">
              <w:rPr>
                <w:rFonts w:ascii="Arial Narrow" w:hAnsi="Arial Narrow"/>
                <w:sz w:val="20"/>
                <w:szCs w:val="20"/>
              </w:rPr>
              <w:t xml:space="preserve">et al. </w:t>
            </w:r>
            <w:r w:rsidRPr="00E3331A">
              <w:rPr>
                <w:rFonts w:ascii="Arial Narrow" w:hAnsi="Arial Narrow"/>
                <w:sz w:val="20"/>
                <w:szCs w:val="20"/>
              </w:rPr>
              <w:t>2015</w:t>
            </w:r>
          </w:p>
        </w:tc>
        <w:tc>
          <w:tcPr>
            <w:tcW w:w="4167"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 xml:space="preserve">Abimanyi-Ochom </w:t>
            </w:r>
            <w:r w:rsidR="00983BA7">
              <w:rPr>
                <w:rFonts w:ascii="Arial Narrow" w:hAnsi="Arial Narrow"/>
                <w:sz w:val="20"/>
                <w:szCs w:val="20"/>
              </w:rPr>
              <w:t xml:space="preserve">et al. </w:t>
            </w:r>
            <w:r w:rsidRPr="00E3331A">
              <w:rPr>
                <w:rFonts w:ascii="Arial Narrow" w:hAnsi="Arial Narrow"/>
                <w:sz w:val="20"/>
                <w:szCs w:val="20"/>
              </w:rPr>
              <w:t>2015. Changes in quality of life associated with fragility fractures: Australian arm of the International Cost and Utility Related to Osteoporotic Fractures Study (AusICUROS). Osteoporosis International, 1781-1790</w:t>
            </w:r>
          </w:p>
        </w:tc>
      </w:tr>
      <w:tr w:rsidR="001F5B33" w:rsidRPr="00E3331A" w:rsidTr="00493DDF">
        <w:trPr>
          <w:trHeight w:val="566"/>
        </w:trPr>
        <w:tc>
          <w:tcPr>
            <w:tcW w:w="833"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 xml:space="preserve">Karnon </w:t>
            </w:r>
            <w:r w:rsidR="00983BA7">
              <w:rPr>
                <w:rFonts w:ascii="Arial Narrow" w:hAnsi="Arial Narrow"/>
                <w:sz w:val="20"/>
                <w:szCs w:val="20"/>
              </w:rPr>
              <w:t xml:space="preserve">et al. </w:t>
            </w:r>
            <w:r w:rsidRPr="00E3331A">
              <w:rPr>
                <w:rFonts w:ascii="Arial Narrow" w:hAnsi="Arial Narrow"/>
                <w:sz w:val="20"/>
                <w:szCs w:val="20"/>
              </w:rPr>
              <w:t>2016</w:t>
            </w:r>
          </w:p>
        </w:tc>
        <w:tc>
          <w:tcPr>
            <w:tcW w:w="4167"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 xml:space="preserve">Karnon </w:t>
            </w:r>
            <w:r w:rsidR="00983BA7">
              <w:rPr>
                <w:rFonts w:ascii="Arial Narrow" w:hAnsi="Arial Narrow"/>
                <w:sz w:val="20"/>
                <w:szCs w:val="20"/>
              </w:rPr>
              <w:t xml:space="preserve">et al. </w:t>
            </w:r>
            <w:r w:rsidRPr="00E3331A">
              <w:rPr>
                <w:rFonts w:ascii="Arial Narrow" w:hAnsi="Arial Narrow"/>
                <w:sz w:val="20"/>
                <w:szCs w:val="20"/>
              </w:rPr>
              <w:t>2016. What are we paying for? A cost-effectiveness analysis of patented denosumab and generic alendronate for postmenopausal osteoporotic women in Australia, Cost Eff Resour Alloc (2016) 14:11</w:t>
            </w:r>
          </w:p>
        </w:tc>
      </w:tr>
      <w:tr w:rsidR="001F5B33" w:rsidRPr="00E3331A" w:rsidTr="00493DDF">
        <w:trPr>
          <w:trHeight w:val="566"/>
        </w:trPr>
        <w:tc>
          <w:tcPr>
            <w:tcW w:w="833"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 xml:space="preserve">Liew </w:t>
            </w:r>
            <w:r w:rsidR="00983BA7">
              <w:rPr>
                <w:rFonts w:ascii="Arial Narrow" w:hAnsi="Arial Narrow"/>
                <w:sz w:val="20"/>
                <w:szCs w:val="20"/>
              </w:rPr>
              <w:t xml:space="preserve">et al. </w:t>
            </w:r>
            <w:r w:rsidRPr="00E3331A">
              <w:rPr>
                <w:rFonts w:ascii="Arial Narrow" w:hAnsi="Arial Narrow"/>
                <w:sz w:val="20"/>
                <w:szCs w:val="20"/>
              </w:rPr>
              <w:t>2010</w:t>
            </w:r>
          </w:p>
        </w:tc>
        <w:tc>
          <w:tcPr>
            <w:tcW w:w="4167"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 xml:space="preserve">Liew </w:t>
            </w:r>
            <w:r w:rsidR="00983BA7">
              <w:rPr>
                <w:rFonts w:ascii="Arial Narrow" w:hAnsi="Arial Narrow"/>
                <w:sz w:val="20"/>
                <w:szCs w:val="20"/>
              </w:rPr>
              <w:t xml:space="preserve">et al. </w:t>
            </w:r>
            <w:r w:rsidRPr="00E3331A">
              <w:rPr>
                <w:rFonts w:ascii="Arial Narrow" w:hAnsi="Arial Narrow"/>
                <w:sz w:val="20"/>
                <w:szCs w:val="20"/>
              </w:rPr>
              <w:t>2010 Cost-effectiveness of risedronate for corticosteroid</w:t>
            </w:r>
            <w:r w:rsidR="00D45BCF" w:rsidRPr="00E3331A">
              <w:rPr>
                <w:rFonts w:ascii="Arial Narrow" w:hAnsi="Arial Narrow"/>
                <w:sz w:val="20"/>
                <w:szCs w:val="20"/>
              </w:rPr>
              <w:t>-induced</w:t>
            </w:r>
            <w:r w:rsidRPr="00E3331A">
              <w:rPr>
                <w:rFonts w:ascii="Arial Narrow" w:hAnsi="Arial Narrow"/>
                <w:sz w:val="20"/>
                <w:szCs w:val="20"/>
              </w:rPr>
              <w:t xml:space="preserve"> osteoporosis in Australia, 13 (7), A558-A559</w:t>
            </w:r>
          </w:p>
        </w:tc>
      </w:tr>
      <w:tr w:rsidR="001F5B33" w:rsidRPr="00E3331A" w:rsidTr="00493DDF">
        <w:trPr>
          <w:trHeight w:val="566"/>
        </w:trPr>
        <w:tc>
          <w:tcPr>
            <w:tcW w:w="833"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 xml:space="preserve">Milte </w:t>
            </w:r>
            <w:r w:rsidR="00983BA7">
              <w:rPr>
                <w:rFonts w:ascii="Arial Narrow" w:hAnsi="Arial Narrow"/>
                <w:sz w:val="20"/>
                <w:szCs w:val="20"/>
              </w:rPr>
              <w:t xml:space="preserve">et al. </w:t>
            </w:r>
            <w:r w:rsidRPr="00E3331A">
              <w:rPr>
                <w:rFonts w:ascii="Arial Narrow" w:hAnsi="Arial Narrow"/>
                <w:sz w:val="20"/>
                <w:szCs w:val="20"/>
              </w:rPr>
              <w:t>2018</w:t>
            </w:r>
          </w:p>
        </w:tc>
        <w:tc>
          <w:tcPr>
            <w:tcW w:w="4167"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Quality of life in older adults following a hip fracture: an empirical comparison of the ICECAP-O and the EQ-5D-3 L instruments. Health and Quality of Life Outcomes (2018) 16:173</w:t>
            </w:r>
          </w:p>
        </w:tc>
      </w:tr>
      <w:tr w:rsidR="001F5B33" w:rsidRPr="00E3331A" w:rsidTr="0007007F">
        <w:trPr>
          <w:trHeight w:val="313"/>
        </w:trPr>
        <w:tc>
          <w:tcPr>
            <w:tcW w:w="5000" w:type="pct"/>
            <w:gridSpan w:val="2"/>
            <w:shd w:val="clear" w:color="auto" w:fill="D9D9D9"/>
          </w:tcPr>
          <w:p w:rsidR="001F5B33" w:rsidRPr="00E3331A" w:rsidRDefault="001F5B33" w:rsidP="00493DDF">
            <w:pPr>
              <w:rPr>
                <w:rFonts w:ascii="Arial Narrow" w:hAnsi="Arial Narrow"/>
                <w:sz w:val="20"/>
                <w:szCs w:val="20"/>
              </w:rPr>
            </w:pPr>
            <w:r w:rsidRPr="00E3331A">
              <w:rPr>
                <w:rFonts w:ascii="Arial Narrow" w:hAnsi="Arial Narrow"/>
                <w:b/>
                <w:sz w:val="20"/>
                <w:szCs w:val="20"/>
              </w:rPr>
              <w:t>Australian Utilities for Cataract</w:t>
            </w:r>
          </w:p>
        </w:tc>
      </w:tr>
      <w:tr w:rsidR="001F5B33" w:rsidRPr="00E3331A" w:rsidTr="00493DDF">
        <w:trPr>
          <w:trHeight w:val="566"/>
        </w:trPr>
        <w:tc>
          <w:tcPr>
            <w:tcW w:w="833"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Abell and Vote 2014</w:t>
            </w:r>
          </w:p>
        </w:tc>
        <w:tc>
          <w:tcPr>
            <w:tcW w:w="4167" w:type="pct"/>
          </w:tcPr>
          <w:p w:rsidR="001F5B33" w:rsidRPr="00E3331A" w:rsidRDefault="001F5B33" w:rsidP="00493DDF">
            <w:pPr>
              <w:rPr>
                <w:rFonts w:ascii="Arial Narrow" w:hAnsi="Arial Narrow"/>
                <w:sz w:val="20"/>
                <w:szCs w:val="20"/>
              </w:rPr>
            </w:pPr>
            <w:r w:rsidRPr="00E3331A">
              <w:rPr>
                <w:rFonts w:ascii="Arial Narrow" w:hAnsi="Arial Narrow"/>
                <w:sz w:val="20"/>
                <w:szCs w:val="20"/>
              </w:rPr>
              <w:t>Abell and Vote 2014 Cost-effectiveness of femtosecond laser-assisted cataract surgery versus phacoemulsification cataract surgery. Ophthalmology, 10-16</w:t>
            </w:r>
          </w:p>
        </w:tc>
      </w:tr>
    </w:tbl>
    <w:p w:rsidR="001F5B33" w:rsidRPr="00E3331A" w:rsidRDefault="001F5B33" w:rsidP="0037150F">
      <w:pPr>
        <w:pStyle w:val="Tablenotes1"/>
      </w:pPr>
    </w:p>
    <w:p w:rsidR="001F5B33" w:rsidRPr="00E3331A" w:rsidRDefault="001F5B33" w:rsidP="003E4E1F">
      <w:pPr>
        <w:pStyle w:val="Heading5"/>
      </w:pPr>
      <w:r w:rsidRPr="00E3331A">
        <w:t xml:space="preserve">Australian </w:t>
      </w:r>
      <w:r w:rsidR="005767C6" w:rsidRPr="00E3331A">
        <w:t>u</w:t>
      </w:r>
      <w:r w:rsidRPr="00E3331A">
        <w:t xml:space="preserve">tilities for </w:t>
      </w:r>
      <w:r w:rsidR="005767C6" w:rsidRPr="00E3331A">
        <w:t>c</w:t>
      </w:r>
      <w:r w:rsidRPr="00E3331A">
        <w:t xml:space="preserve">orticosteroids </w:t>
      </w:r>
    </w:p>
    <w:p w:rsidR="001F5B33" w:rsidRPr="00E3331A" w:rsidRDefault="001F5B33" w:rsidP="003E4E1F">
      <w:pPr>
        <w:pStyle w:val="Heading6"/>
      </w:pPr>
      <w:r w:rsidRPr="00E3331A">
        <w:t xml:space="preserve">Tilden </w:t>
      </w:r>
      <w:r w:rsidR="00983BA7">
        <w:t xml:space="preserve">et al. </w:t>
      </w:r>
      <w:r w:rsidRPr="00E3331A">
        <w:t>(2015)</w:t>
      </w:r>
    </w:p>
    <w:p w:rsidR="001F5B33" w:rsidRPr="00E3331A" w:rsidRDefault="001F5B33" w:rsidP="00BB6E4C">
      <w:pPr>
        <w:pStyle w:val="BodyTextSTD"/>
      </w:pPr>
      <w:r w:rsidRPr="00E3331A">
        <w:t xml:space="preserve">The aim of the paper was to investigate the excess risk of complications associated with long-term maintenance oral corticosteroid </w:t>
      </w:r>
      <w:r w:rsidR="00D77378" w:rsidRPr="00E3331A">
        <w:t>use and</w:t>
      </w:r>
      <w:r w:rsidRPr="00E3331A">
        <w:t xml:space="preserve"> </w:t>
      </w:r>
      <w:r w:rsidR="007E014D" w:rsidRPr="00E3331A">
        <w:t xml:space="preserve">to </w:t>
      </w:r>
      <w:r w:rsidRPr="00E3331A">
        <w:t xml:space="preserve">quantify the cost and QALY burden of these events. </w:t>
      </w:r>
      <w:r w:rsidR="007E014D" w:rsidRPr="00E3331A">
        <w:t xml:space="preserve">The </w:t>
      </w:r>
      <w:r w:rsidRPr="00E3331A">
        <w:t>systematic review</w:t>
      </w:r>
      <w:r w:rsidR="007E014D" w:rsidRPr="00E3331A">
        <w:t xml:space="preserve"> identified</w:t>
      </w:r>
      <w:r w:rsidRPr="00E3331A">
        <w:t xml:space="preserve"> 72 studies focus</w:t>
      </w:r>
      <w:r w:rsidR="00591599" w:rsidRPr="00E3331A">
        <w:t>ed</w:t>
      </w:r>
      <w:r w:rsidRPr="00E3331A">
        <w:t xml:space="preserve"> on type </w:t>
      </w:r>
      <w:r w:rsidR="007E014D" w:rsidRPr="00E3331A">
        <w:t>2</w:t>
      </w:r>
      <w:r w:rsidRPr="00E3331A">
        <w:t xml:space="preserve"> diabetes, myocardial infarction, glaucoma, cataract, ulcer, osteoporosis, infection and stroke. A risk estimate for each adverse event was established and applied to the Australian annual cost and QALY burden of each event. Based on this calculation, the expected annual cost was $598.32 per patient per year with a QALY loss of 0.0367 per year of treatment. Adverse event burden of disease was considered reversible once oral corticosteroids ceased.</w:t>
      </w:r>
    </w:p>
    <w:p w:rsidR="001F5B33" w:rsidRPr="00E3331A" w:rsidRDefault="001F5B33" w:rsidP="003E4E1F">
      <w:pPr>
        <w:pStyle w:val="Heading5"/>
      </w:pPr>
      <w:r w:rsidRPr="00E3331A">
        <w:lastRenderedPageBreak/>
        <w:t xml:space="preserve">Australian </w:t>
      </w:r>
      <w:r w:rsidR="005767C6" w:rsidRPr="00E3331A">
        <w:t>u</w:t>
      </w:r>
      <w:r w:rsidRPr="00E3331A">
        <w:t xml:space="preserve">tilities for </w:t>
      </w:r>
      <w:r w:rsidR="005767C6" w:rsidRPr="00E3331A">
        <w:t>d</w:t>
      </w:r>
      <w:r w:rsidRPr="00E3331A">
        <w:t xml:space="preserve">iabetes </w:t>
      </w:r>
    </w:p>
    <w:p w:rsidR="001F5B33" w:rsidRPr="00E3331A" w:rsidRDefault="001F5B33" w:rsidP="003E4E1F">
      <w:pPr>
        <w:pStyle w:val="Heading6"/>
      </w:pPr>
      <w:r w:rsidRPr="00E3331A">
        <w:t xml:space="preserve">Glasziou </w:t>
      </w:r>
      <w:r w:rsidR="00983BA7">
        <w:t xml:space="preserve">et al. </w:t>
      </w:r>
      <w:r w:rsidRPr="00E3331A">
        <w:t>(2007)</w:t>
      </w:r>
    </w:p>
    <w:p w:rsidR="001F5B33" w:rsidRPr="00E3331A" w:rsidRDefault="001F5B33" w:rsidP="00BB6E4C">
      <w:pPr>
        <w:pStyle w:val="BodyTextSTD"/>
      </w:pPr>
      <w:r w:rsidRPr="00E3331A">
        <w:t>The ADVANCE</w:t>
      </w:r>
      <w:r w:rsidRPr="00E3331A">
        <w:rPr>
          <w:rStyle w:val="FootnoteReference"/>
        </w:rPr>
        <w:footnoteReference w:id="25"/>
      </w:r>
      <w:r w:rsidRPr="00E3331A">
        <w:t xml:space="preserve"> study included 978 Australian patients with </w:t>
      </w:r>
      <w:r w:rsidR="007E014D" w:rsidRPr="00E3331A">
        <w:t>t</w:t>
      </w:r>
      <w:r w:rsidRPr="00E3331A">
        <w:t>ype 2 diabetes. During the study patients completed EQ-5D and SF-36 questionnaires at baseline. Estimated utilities for diabetes conditions ranged from 0.68 to 0.85, with lower values associated with serious complications such as stroke or myocardial infarction.</w:t>
      </w:r>
    </w:p>
    <w:p w:rsidR="001F5B33" w:rsidRPr="00E3331A" w:rsidRDefault="001F5B33" w:rsidP="003E4E1F">
      <w:pPr>
        <w:pStyle w:val="Heading6"/>
      </w:pPr>
      <w:r w:rsidRPr="00E3331A">
        <w:t xml:space="preserve">Clarke </w:t>
      </w:r>
      <w:r w:rsidR="00983BA7">
        <w:t xml:space="preserve">et al. </w:t>
      </w:r>
      <w:r w:rsidRPr="00E3331A">
        <w:t>2009</w:t>
      </w:r>
    </w:p>
    <w:p w:rsidR="001F5B33" w:rsidRPr="00E3331A" w:rsidRDefault="001F5B33" w:rsidP="00BB6E4C">
      <w:pPr>
        <w:pStyle w:val="BodyTextSTD"/>
      </w:pPr>
      <w:r w:rsidRPr="00E3331A">
        <w:t>This cohort study involved 7</w:t>
      </w:r>
      <w:r w:rsidR="007E014D" w:rsidRPr="00E3331A">
        <w:t>,</w:t>
      </w:r>
      <w:r w:rsidRPr="00E3331A">
        <w:t xml:space="preserve">348 patients with type 2 diabetes over </w:t>
      </w:r>
      <w:r w:rsidR="007E014D" w:rsidRPr="00E3331A">
        <w:t xml:space="preserve">five </w:t>
      </w:r>
      <w:r w:rsidRPr="00E3331A">
        <w:t xml:space="preserve">years. </w:t>
      </w:r>
      <w:r w:rsidR="007E014D" w:rsidRPr="00E3331A">
        <w:t xml:space="preserve">Patients </w:t>
      </w:r>
      <w:r w:rsidRPr="00E3331A">
        <w:t>were age 50</w:t>
      </w:r>
      <w:r w:rsidR="007E014D" w:rsidRPr="00E3331A">
        <w:t xml:space="preserve"> to </w:t>
      </w:r>
      <w:r w:rsidRPr="00E3331A">
        <w:t>75 years and had been recruited to the Australian FIELD</w:t>
      </w:r>
      <w:r w:rsidRPr="00E3331A">
        <w:rPr>
          <w:rStyle w:val="FootnoteReference"/>
        </w:rPr>
        <w:footnoteReference w:id="26"/>
      </w:r>
      <w:r w:rsidRPr="00E3331A">
        <w:t xml:space="preserve"> study. The average index score was 0.82 with no prior </w:t>
      </w:r>
      <w:r w:rsidR="00497E19" w:rsidRPr="00E3331A">
        <w:t>complication but</w:t>
      </w:r>
      <w:r w:rsidRPr="00E3331A">
        <w:t xml:space="preserve"> was </w:t>
      </w:r>
      <w:r w:rsidR="007E014D" w:rsidRPr="00E3331A">
        <w:t xml:space="preserve">lower </w:t>
      </w:r>
      <w:r w:rsidRPr="00E3331A">
        <w:t>for patients with prior vascular events (0.76) and other major complications (0.65).</w:t>
      </w:r>
    </w:p>
    <w:p w:rsidR="001F5B33" w:rsidRPr="00E3331A" w:rsidRDefault="001F5B33" w:rsidP="003E4E1F">
      <w:pPr>
        <w:pStyle w:val="Heading6"/>
      </w:pPr>
      <w:r w:rsidRPr="00E3331A">
        <w:t xml:space="preserve">Gordon </w:t>
      </w:r>
      <w:r w:rsidR="00983BA7">
        <w:t xml:space="preserve">et al. </w:t>
      </w:r>
      <w:r w:rsidRPr="00E3331A">
        <w:t>2014</w:t>
      </w:r>
    </w:p>
    <w:p w:rsidR="001F5B33" w:rsidRPr="00E3331A" w:rsidRDefault="001F5B33" w:rsidP="00BB6E4C">
      <w:pPr>
        <w:pStyle w:val="BodyTextSTD"/>
      </w:pPr>
      <w:r w:rsidRPr="00E3331A">
        <w:t xml:space="preserve">The authors developed a Markov model using data from the TLC </w:t>
      </w:r>
      <w:r w:rsidR="007E014D" w:rsidRPr="00E3331A">
        <w:t>d</w:t>
      </w:r>
      <w:r w:rsidRPr="00E3331A">
        <w:t xml:space="preserve">iabetes trial and other published evidence. The 5-year model consisted of three health states related to glycaemic control. The study used average utility values at 12-month follow-up (0.726) for the ‘sub-optimal control’ category, an increment of 0.029 was included for ‘average control’ and 0.058 for ‘optimal control’. </w:t>
      </w:r>
    </w:p>
    <w:p w:rsidR="001F5B33" w:rsidRPr="00E3331A" w:rsidRDefault="001F5B33" w:rsidP="003E4E1F">
      <w:pPr>
        <w:pStyle w:val="Heading6"/>
      </w:pPr>
      <w:r w:rsidRPr="00E3331A">
        <w:t>Kortt, and Clarke 2005</w:t>
      </w:r>
    </w:p>
    <w:p w:rsidR="001F5B33" w:rsidRPr="00E3331A" w:rsidRDefault="001F5B33" w:rsidP="00BB6E4C">
      <w:pPr>
        <w:pStyle w:val="BodyTextSTD"/>
      </w:pPr>
      <w:r w:rsidRPr="00E3331A">
        <w:t xml:space="preserve">The study used HRQoL data from the Australian 1995 National Health Survey, which included SF-36 responses from 12,661 individuals in the general population. They were transformed into utility values using the SF-6D algorithm developed by Brazier. Regression analyses quantified impacts of </w:t>
      </w:r>
      <w:r w:rsidR="00BE54F2">
        <w:t>body mass index (</w:t>
      </w:r>
      <w:r w:rsidRPr="00E3331A">
        <w:t>BMI</w:t>
      </w:r>
      <w:r w:rsidR="00BE54F2">
        <w:t>)</w:t>
      </w:r>
      <w:r w:rsidRPr="00E3331A">
        <w:t xml:space="preserve"> and five obesity-related medical conditions (diabetes, coronary heart disease, depression, musculoskeletal disorders and cancer) on utility. The mean value for the SF-6D utility index was 0.803. Type 2 diabetes reduced this value by -0.0188, coronary heart disease</w:t>
      </w:r>
      <w:r w:rsidR="007E014D" w:rsidRPr="00E3331A">
        <w:t xml:space="preserve"> by</w:t>
      </w:r>
      <w:r w:rsidRPr="00E3331A">
        <w:t xml:space="preserve"> -0.0538, depression </w:t>
      </w:r>
      <w:r w:rsidR="007E014D" w:rsidRPr="00E3331A">
        <w:t xml:space="preserve">by </w:t>
      </w:r>
      <w:r w:rsidRPr="00E3331A">
        <w:t xml:space="preserve">-0.1665, musculoskeletal disorders </w:t>
      </w:r>
      <w:r w:rsidR="007E014D" w:rsidRPr="00E3331A">
        <w:t>by</w:t>
      </w:r>
      <w:r w:rsidRPr="00E3331A">
        <w:t xml:space="preserve"> -0.0647 and cancer </w:t>
      </w:r>
      <w:r w:rsidR="007E014D" w:rsidRPr="00E3331A">
        <w:t xml:space="preserve">by </w:t>
      </w:r>
      <w:r w:rsidRPr="00E3331A">
        <w:t>-0.0870.</w:t>
      </w:r>
    </w:p>
    <w:p w:rsidR="001F5B33" w:rsidRPr="00E3331A" w:rsidRDefault="001F5B33" w:rsidP="003E4E1F">
      <w:pPr>
        <w:pStyle w:val="Heading6"/>
      </w:pPr>
      <w:r w:rsidRPr="00E3331A">
        <w:t xml:space="preserve">Keating </w:t>
      </w:r>
      <w:r w:rsidR="00983BA7">
        <w:t xml:space="preserve">et al. </w:t>
      </w:r>
      <w:r w:rsidRPr="00E3331A">
        <w:t>2012</w:t>
      </w:r>
    </w:p>
    <w:p w:rsidR="001F5B33" w:rsidRPr="00E3331A" w:rsidRDefault="001F5B33" w:rsidP="00BB6E4C">
      <w:pPr>
        <w:pStyle w:val="BodyTextSTD"/>
      </w:pPr>
      <w:r w:rsidRPr="00E3331A">
        <w:t xml:space="preserve">This study was a cross-sectional analysis of 10,959 adults participating in baseline data collection </w:t>
      </w:r>
      <w:r w:rsidR="007E014D" w:rsidRPr="00E3331A">
        <w:t xml:space="preserve">for </w:t>
      </w:r>
      <w:r w:rsidRPr="00E3331A">
        <w:t xml:space="preserve">the nationally representative Australian Diabetes, Obesity and Lifestyle (AusDiab) Study. QoL was evaluated using the SF-6D. Relative to the healthy weight group (mean UQoL score 0.77), mean </w:t>
      </w:r>
      <w:r w:rsidRPr="00E3331A">
        <w:lastRenderedPageBreak/>
        <w:t xml:space="preserve">adjusted UQoL differences were 0.001 for </w:t>
      </w:r>
      <w:r w:rsidR="007E014D" w:rsidRPr="00E3331A">
        <w:t xml:space="preserve">the </w:t>
      </w:r>
      <w:r w:rsidRPr="00E3331A">
        <w:t>overweight</w:t>
      </w:r>
      <w:r w:rsidR="007E014D" w:rsidRPr="00E3331A">
        <w:t xml:space="preserve"> group</w:t>
      </w:r>
      <w:r w:rsidRPr="00E3331A">
        <w:t xml:space="preserve">, -0.012 for Class-I obese, -0.020 for Class-II obese, and -0.069 for Class-III obese. </w:t>
      </w:r>
    </w:p>
    <w:p w:rsidR="001F5B33" w:rsidRPr="00E3331A" w:rsidRDefault="001F5B33" w:rsidP="003E4E1F">
      <w:pPr>
        <w:pStyle w:val="Heading6"/>
      </w:pPr>
      <w:r w:rsidRPr="00E3331A">
        <w:t xml:space="preserve">Afzali </w:t>
      </w:r>
      <w:r w:rsidR="00983BA7">
        <w:t xml:space="preserve">et al. </w:t>
      </w:r>
      <w:r w:rsidRPr="00E3331A">
        <w:t>2013</w:t>
      </w:r>
    </w:p>
    <w:p w:rsidR="001F5B33" w:rsidRPr="00E3331A" w:rsidRDefault="001F5B33" w:rsidP="00BB6E4C">
      <w:pPr>
        <w:pStyle w:val="BodyTextSTD"/>
      </w:pPr>
      <w:r w:rsidRPr="00E3331A">
        <w:t xml:space="preserve">This study estimated the lifetime costs and QALYs associated with two models of management of type 2 diabetes in primary care. A model was developed </w:t>
      </w:r>
      <w:r w:rsidR="007E014D" w:rsidRPr="00E3331A">
        <w:t xml:space="preserve">with data </w:t>
      </w:r>
      <w:r w:rsidRPr="00E3331A">
        <w:t>sourced from Australian and UK observational studies. The mean value for patients without a history of diabetes was 0.785</w:t>
      </w:r>
      <w:r w:rsidR="007E014D" w:rsidRPr="00E3331A">
        <w:t>,</w:t>
      </w:r>
      <w:r w:rsidRPr="00E3331A">
        <w:t xml:space="preserve"> taken from a UK study. Disutilities for heart attack, amputation, stroke, blindness and heart failure ranged from -0.05 to -0.280. These consequences are associated with longer term diabetes, rather than a year of elevated haemoglobin A1c [HbA1c]</w:t>
      </w:r>
      <w:r w:rsidR="007E014D" w:rsidRPr="00E3331A">
        <w:t>,</w:t>
      </w:r>
      <w:r w:rsidRPr="00E3331A">
        <w:t xml:space="preserve"> which returns to normal following the discontinuation of steroids in the economic model for CIDP.</w:t>
      </w:r>
    </w:p>
    <w:p w:rsidR="001F5B33" w:rsidRPr="00E3331A" w:rsidRDefault="001F5B33" w:rsidP="003E4E1F">
      <w:pPr>
        <w:pStyle w:val="Heading5"/>
      </w:pPr>
      <w:r w:rsidRPr="00E3331A">
        <w:t xml:space="preserve">Australian </w:t>
      </w:r>
      <w:r w:rsidR="005767C6" w:rsidRPr="00E3331A">
        <w:t>u</w:t>
      </w:r>
      <w:r w:rsidRPr="00E3331A">
        <w:t xml:space="preserve">tilities for </w:t>
      </w:r>
      <w:r w:rsidR="005767C6" w:rsidRPr="00E3331A">
        <w:t>f</w:t>
      </w:r>
      <w:r w:rsidRPr="00E3331A">
        <w:t xml:space="preserve">ractures </w:t>
      </w:r>
    </w:p>
    <w:p w:rsidR="001F5B33" w:rsidRPr="00E3331A" w:rsidRDefault="001F5B33" w:rsidP="003E4E1F">
      <w:pPr>
        <w:pStyle w:val="Heading6"/>
      </w:pPr>
      <w:r w:rsidRPr="00E3331A">
        <w:t xml:space="preserve">Abimanyi-Ochom </w:t>
      </w:r>
      <w:r w:rsidR="00983BA7">
        <w:t xml:space="preserve">et al. </w:t>
      </w:r>
      <w:r w:rsidRPr="00E3331A">
        <w:t>2015</w:t>
      </w:r>
    </w:p>
    <w:p w:rsidR="001F5B33" w:rsidRPr="00E3331A" w:rsidRDefault="001F5B33" w:rsidP="00BB6E4C">
      <w:pPr>
        <w:pStyle w:val="BodyTextSTD"/>
      </w:pPr>
      <w:r w:rsidRPr="00E3331A">
        <w:t>The authors examined change</w:t>
      </w:r>
      <w:r w:rsidR="007E014D" w:rsidRPr="00E3331A">
        <w:t>s</w:t>
      </w:r>
      <w:r w:rsidRPr="00E3331A">
        <w:t xml:space="preserve"> in </w:t>
      </w:r>
      <w:r w:rsidR="007E014D" w:rsidRPr="00E3331A">
        <w:t xml:space="preserve">HRQoL </w:t>
      </w:r>
      <w:r w:rsidRPr="00E3331A">
        <w:t xml:space="preserve">due to fracture in Australian adults aged over 50 years using the EQ-5D-3 L questionnaire. </w:t>
      </w:r>
      <w:r w:rsidR="007E014D" w:rsidRPr="00E3331A">
        <w:t>P</w:t>
      </w:r>
      <w:r w:rsidRPr="00E3331A">
        <w:t xml:space="preserve">articipants recruited within </w:t>
      </w:r>
      <w:r w:rsidR="007E014D" w:rsidRPr="00E3331A">
        <w:t>two</w:t>
      </w:r>
      <w:r w:rsidRPr="00E3331A">
        <w:t xml:space="preserve"> weeks of a fracture (hip, wrist, humerus, vertebral and ankle) </w:t>
      </w:r>
      <w:r w:rsidR="007E014D" w:rsidRPr="00E3331A">
        <w:t xml:space="preserve">were followed-up </w:t>
      </w:r>
      <w:r w:rsidRPr="00E3331A">
        <w:t>at baseline and 4, 12 and 18 months. The average HRQoL for all participants prior to fracture was 0.86</w:t>
      </w:r>
      <w:r w:rsidR="00472236" w:rsidRPr="00E3331A">
        <w:t>,</w:t>
      </w:r>
      <w:r w:rsidRPr="00E3331A">
        <w:t xml:space="preserve"> </w:t>
      </w:r>
      <w:r w:rsidR="00472236" w:rsidRPr="00E3331A">
        <w:t xml:space="preserve">which </w:t>
      </w:r>
      <w:r w:rsidRPr="00E3331A">
        <w:t>declined to 0.42 in the immediate post-fracture period. Those with wrist, humerus or ankle fracture returned to their pre-fracture HRQoL after 18 months.</w:t>
      </w:r>
    </w:p>
    <w:p w:rsidR="001F5B33" w:rsidRPr="00E3331A" w:rsidRDefault="001F5B33" w:rsidP="003E4E1F">
      <w:pPr>
        <w:pStyle w:val="Heading6"/>
      </w:pPr>
      <w:r w:rsidRPr="00E3331A">
        <w:t xml:space="preserve">Karnon </w:t>
      </w:r>
      <w:r w:rsidR="00983BA7">
        <w:t xml:space="preserve">et al. </w:t>
      </w:r>
      <w:r w:rsidRPr="00E3331A">
        <w:t>(2016)</w:t>
      </w:r>
    </w:p>
    <w:p w:rsidR="001F5B33" w:rsidRPr="00E3331A" w:rsidRDefault="001F5B33" w:rsidP="00BB6E4C">
      <w:pPr>
        <w:pStyle w:val="BodyTextSTD"/>
      </w:pPr>
      <w:r w:rsidRPr="00E3331A">
        <w:t xml:space="preserve">The study aimed to identify age-specific general population utility weights (Clemens </w:t>
      </w:r>
      <w:r w:rsidR="00983BA7">
        <w:t xml:space="preserve">et al. </w:t>
      </w:r>
      <w:r w:rsidRPr="00E3331A">
        <w:t xml:space="preserve">2014) and found no Australian utility weights for the fracture states, so utility multipliers reported in a recent meta-analysis (Peasgood </w:t>
      </w:r>
      <w:r w:rsidR="00983BA7">
        <w:t xml:space="preserve">et al. </w:t>
      </w:r>
      <w:r w:rsidRPr="00E3331A">
        <w:t xml:space="preserve">2009, Chau </w:t>
      </w:r>
      <w:r w:rsidR="00983BA7">
        <w:t xml:space="preserve">et al. </w:t>
      </w:r>
      <w:r w:rsidRPr="00E3331A">
        <w:t xml:space="preserve">2015), and </w:t>
      </w:r>
      <w:r w:rsidR="00440092" w:rsidRPr="00E3331A">
        <w:t>those</w:t>
      </w:r>
      <w:r w:rsidRPr="00E3331A">
        <w:t xml:space="preserve"> from the FREEDOM trial (Cummings</w:t>
      </w:r>
      <w:r w:rsidRPr="00E3331A">
        <w:rPr>
          <w:rStyle w:val="FootnoteReference"/>
          <w:vertAlign w:val="baseline"/>
        </w:rPr>
        <w:t xml:space="preserve"> </w:t>
      </w:r>
      <w:r w:rsidR="00983BA7">
        <w:t xml:space="preserve">et al. </w:t>
      </w:r>
      <w:r w:rsidRPr="00E3331A">
        <w:t>2009)</w:t>
      </w:r>
      <w:r w:rsidR="00440092" w:rsidRPr="00E3331A">
        <w:t xml:space="preserve"> were used</w:t>
      </w:r>
      <w:r w:rsidRPr="00E3331A">
        <w:t xml:space="preserve">. The multiplier for hip fracture in the first year was 0.70, which increased to 0.8 in the second year. Non-hip fracture was assigned a </w:t>
      </w:r>
      <w:r w:rsidR="00E810A5" w:rsidRPr="00E3331A">
        <w:t>first-year</w:t>
      </w:r>
      <w:r w:rsidRPr="00E3331A">
        <w:t xml:space="preserve"> weight of 0.84, which increased to 0.96 in the second year.</w:t>
      </w:r>
    </w:p>
    <w:p w:rsidR="001F5B33" w:rsidRPr="00E3331A" w:rsidRDefault="001F5B33" w:rsidP="003E4E1F">
      <w:pPr>
        <w:pStyle w:val="Heading6"/>
      </w:pPr>
      <w:r w:rsidRPr="00E3331A">
        <w:t xml:space="preserve">Liew </w:t>
      </w:r>
      <w:r w:rsidR="00983BA7">
        <w:t xml:space="preserve">et al. </w:t>
      </w:r>
      <w:r w:rsidRPr="00E3331A">
        <w:t>(2010)</w:t>
      </w:r>
    </w:p>
    <w:p w:rsidR="001F5B33" w:rsidRPr="00E3331A" w:rsidRDefault="001F5B33" w:rsidP="00BB6E4C">
      <w:pPr>
        <w:pStyle w:val="BodyTextSTD"/>
      </w:pPr>
      <w:r w:rsidRPr="00E3331A">
        <w:t xml:space="preserve">The authors undertook an economic study comparing bisphosphonate risedronate with placebo to prevent vertebral fractures in patients with corticosteroid-induced osteoporosis in Australia. A utility of 0.71 </w:t>
      </w:r>
      <w:r w:rsidR="00EB0DF7" w:rsidRPr="00E3331A">
        <w:t xml:space="preserve">was taken from the literature and </w:t>
      </w:r>
      <w:r w:rsidRPr="00E3331A">
        <w:t>included in the study for vertebral fracture.</w:t>
      </w:r>
    </w:p>
    <w:p w:rsidR="001F5B33" w:rsidRPr="00E3331A" w:rsidRDefault="001F5B33" w:rsidP="003E4E1F">
      <w:pPr>
        <w:pStyle w:val="Heading6"/>
      </w:pPr>
      <w:r w:rsidRPr="00E3331A">
        <w:t xml:space="preserve">Milte </w:t>
      </w:r>
      <w:r w:rsidR="00983BA7">
        <w:t xml:space="preserve">et al. </w:t>
      </w:r>
      <w:r w:rsidRPr="00E3331A">
        <w:t>(2018)</w:t>
      </w:r>
    </w:p>
    <w:p w:rsidR="001F5B33" w:rsidRPr="00E3331A" w:rsidRDefault="001F5B33" w:rsidP="00BB6E4C">
      <w:pPr>
        <w:pStyle w:val="BodyTextSTD"/>
      </w:pPr>
      <w:r w:rsidRPr="00E3331A">
        <w:t>This study used EQ-5D-3 L (health and physical function focus) and ICECAP-O (well</w:t>
      </w:r>
      <w:r w:rsidR="00591599" w:rsidRPr="00E3331A">
        <w:t>-being</w:t>
      </w:r>
      <w:r w:rsidRPr="00E3331A">
        <w:t xml:space="preserve"> and capability focus) questionnaires to measure </w:t>
      </w:r>
      <w:r w:rsidR="00EB0DF7" w:rsidRPr="00E3331A">
        <w:t>QoL in older Australians following hip fracture</w:t>
      </w:r>
      <w:r w:rsidRPr="00E3331A">
        <w:t xml:space="preserve">. A total of </w:t>
      </w:r>
      <w:r w:rsidRPr="00E3331A">
        <w:lastRenderedPageBreak/>
        <w:t>87 participants completed the ICECAP-O and EQ-5D-3 L instruments 1</w:t>
      </w:r>
      <w:r w:rsidR="00EB0DF7" w:rsidRPr="00E3331A">
        <w:t xml:space="preserve"> to </w:t>
      </w:r>
      <w:r w:rsidRPr="00E3331A">
        <w:t xml:space="preserve">3 weeks </w:t>
      </w:r>
      <w:r w:rsidR="00EB0DF7" w:rsidRPr="00E3331A">
        <w:t xml:space="preserve">after </w:t>
      </w:r>
      <w:r w:rsidRPr="00E3331A">
        <w:t>surgery. The mean ICECAP-O score was 0.639 and the mean EQ-5D-3 L utility score was 0.545.</w:t>
      </w:r>
    </w:p>
    <w:p w:rsidR="001F5B33" w:rsidRPr="00E3331A" w:rsidRDefault="001F5B33" w:rsidP="00EC4A59">
      <w:pPr>
        <w:pStyle w:val="Heading5"/>
      </w:pPr>
      <w:r w:rsidRPr="00E3331A">
        <w:t xml:space="preserve">Australian </w:t>
      </w:r>
      <w:r w:rsidR="005767C6" w:rsidRPr="00E3331A">
        <w:t>u</w:t>
      </w:r>
      <w:r w:rsidRPr="00E3331A">
        <w:t xml:space="preserve">tilities for </w:t>
      </w:r>
      <w:r w:rsidR="005767C6" w:rsidRPr="00E3331A">
        <w:t>c</w:t>
      </w:r>
      <w:r w:rsidRPr="00E3331A">
        <w:t xml:space="preserve">ataract </w:t>
      </w:r>
    </w:p>
    <w:p w:rsidR="001F5B33" w:rsidRPr="00E3331A" w:rsidRDefault="001F5B33" w:rsidP="00EC4A59">
      <w:pPr>
        <w:pStyle w:val="Heading6"/>
      </w:pPr>
      <w:r w:rsidRPr="00E3331A">
        <w:t>Abell and Vote 2014</w:t>
      </w:r>
    </w:p>
    <w:p w:rsidR="001F5B33" w:rsidRPr="00E3331A" w:rsidRDefault="001F5B33" w:rsidP="00BB6E4C">
      <w:pPr>
        <w:pStyle w:val="BodyTextSTD"/>
      </w:pPr>
      <w:r w:rsidRPr="00E3331A">
        <w:t xml:space="preserve">The authors prepared an economic analysis of femtosecond laser-assisted cataract surgery and conventional phacoemulsification cataract surgery using </w:t>
      </w:r>
      <w:r w:rsidR="00EB0DF7" w:rsidRPr="00E3331A">
        <w:t>QALYs</w:t>
      </w:r>
      <w:r w:rsidRPr="00E3331A">
        <w:t xml:space="preserve">. Pre-cataract surgery </w:t>
      </w:r>
      <w:r w:rsidR="00EB0DF7" w:rsidRPr="00E3331A">
        <w:t>QoL</w:t>
      </w:r>
      <w:r w:rsidRPr="00E3331A">
        <w:t xml:space="preserve"> was estimated at 0.85215 and post-cataract surgery utility 0.978.</w:t>
      </w:r>
    </w:p>
    <w:p w:rsidR="001F5B33" w:rsidRPr="00E3331A" w:rsidRDefault="001F5B33" w:rsidP="001F5B33">
      <w:pPr>
        <w:pStyle w:val="Heading3"/>
      </w:pPr>
      <w:bookmarkStart w:id="353" w:name="_Toc24103496"/>
      <w:r w:rsidRPr="00E3331A">
        <w:t>C.3. 4</w:t>
      </w:r>
      <w:r w:rsidRPr="00E3331A">
        <w:tab/>
        <w:t>Relationship of pre-modelling study to the economic evaluation</w:t>
      </w:r>
      <w:bookmarkEnd w:id="353"/>
    </w:p>
    <w:p w:rsidR="001F5B33" w:rsidRPr="00E3331A" w:rsidRDefault="001F5B33" w:rsidP="00EC4A59">
      <w:pPr>
        <w:pStyle w:val="Heading4"/>
      </w:pPr>
      <w:bookmarkStart w:id="354" w:name="_Hlk489262214"/>
      <w:r w:rsidRPr="00E3331A">
        <w:t xml:space="preserve">Utilities for </w:t>
      </w:r>
      <w:r w:rsidR="005767C6" w:rsidRPr="00E3331A">
        <w:t>h</w:t>
      </w:r>
      <w:r w:rsidRPr="00E3331A">
        <w:t xml:space="preserve">ealth </w:t>
      </w:r>
      <w:r w:rsidR="005767C6" w:rsidRPr="00E3331A">
        <w:t>s</w:t>
      </w:r>
      <w:r w:rsidRPr="00E3331A">
        <w:t>tates</w:t>
      </w:r>
    </w:p>
    <w:p w:rsidR="001F5B33" w:rsidRPr="00E3331A" w:rsidRDefault="001F5B33" w:rsidP="00BB6E4C">
      <w:pPr>
        <w:pStyle w:val="BodyTextSTD"/>
      </w:pPr>
      <w:r w:rsidRPr="00E3331A">
        <w:t xml:space="preserve">Utility values used in the economic model for each of the health states are outlined in </w:t>
      </w:r>
      <w:r w:rsidR="006F35B9" w:rsidRPr="00E3331A">
        <w:t xml:space="preserve">Table </w:t>
      </w:r>
      <w:r w:rsidR="006F35B9">
        <w:rPr>
          <w:noProof/>
        </w:rPr>
        <w:t>50</w:t>
      </w:r>
      <w:r w:rsidRPr="00E3331A">
        <w:t>.</w:t>
      </w:r>
      <w:r w:rsidR="00345C95" w:rsidRPr="00E3331A">
        <w:t xml:space="preserve"> </w:t>
      </w:r>
      <w:r w:rsidRPr="00E3331A">
        <w:t>An event</w:t>
      </w:r>
      <w:r w:rsidR="00EB0DF7" w:rsidRPr="00E3331A">
        <w:t>-</w:t>
      </w:r>
      <w:r w:rsidRPr="00E3331A">
        <w:t>free utility of 0.85 for males and female</w:t>
      </w:r>
      <w:r w:rsidR="00440092" w:rsidRPr="00E3331A">
        <w:t xml:space="preserve"> adults aged </w:t>
      </w:r>
      <w:r w:rsidRPr="00E3331A">
        <w:t>45-</w:t>
      </w:r>
      <w:r w:rsidR="00804FF4">
        <w:t>6</w:t>
      </w:r>
      <w:r w:rsidR="00804FF4" w:rsidRPr="00E3331A">
        <w:t xml:space="preserve">4 </w:t>
      </w:r>
      <w:r w:rsidRPr="00E3331A">
        <w:t xml:space="preserve">was recorded as population norms for the EQ-5D-3L by age and gender based on a representative adult sample in Queensland (Clemens </w:t>
      </w:r>
      <w:r w:rsidR="00983BA7">
        <w:t xml:space="preserve">et al. </w:t>
      </w:r>
      <w:r w:rsidRPr="00E3331A">
        <w:t>2014). Dis</w:t>
      </w:r>
      <w:r w:rsidR="00D45BCF" w:rsidRPr="00E3331A">
        <w:t>utilities</w:t>
      </w:r>
      <w:r w:rsidRPr="00E3331A">
        <w:t xml:space="preserve"> are applied to this value for each of the model</w:t>
      </w:r>
      <w:r w:rsidR="00EB0DF7" w:rsidRPr="00E3331A">
        <w:t>’</w:t>
      </w:r>
      <w:r w:rsidRPr="00E3331A">
        <w:t xml:space="preserve">s CIDP health states. </w:t>
      </w:r>
    </w:p>
    <w:p w:rsidR="001F5B33" w:rsidRPr="00E3331A" w:rsidRDefault="001F5B33" w:rsidP="00BB6E4C">
      <w:pPr>
        <w:pStyle w:val="BodyTextSTD"/>
      </w:pPr>
      <w:r w:rsidRPr="00E3331A">
        <w:t xml:space="preserve">Mahdi-Rogers et al. </w:t>
      </w:r>
      <w:r w:rsidR="002067B1">
        <w:t>(</w:t>
      </w:r>
      <w:r w:rsidRPr="00E3331A">
        <w:t>2014</w:t>
      </w:r>
      <w:r w:rsidR="002067B1">
        <w:t>)</w:t>
      </w:r>
      <w:r w:rsidRPr="00E3331A">
        <w:t xml:space="preserve"> compared the utility of CIDP patients with a normative sample using cross-sectional analysis from England. Utility scores were not signiﬁcantly related to gender, age, disease duration or IVIg treatment. A value of 0.62 was reported for CIDP, which was 0.24 lower than the UK average of 0.86. This </w:t>
      </w:r>
      <w:r w:rsidR="00804FF4">
        <w:t xml:space="preserve">utility reduction </w:t>
      </w:r>
      <w:r w:rsidRPr="00E3331A">
        <w:t xml:space="preserve">is included as a disutility for CIDP patients </w:t>
      </w:r>
      <w:r w:rsidR="00EB0DF7" w:rsidRPr="00E3331A">
        <w:t xml:space="preserve">using </w:t>
      </w:r>
      <w:r w:rsidRPr="00E3331A">
        <w:t>corticosteroids with no</w:t>
      </w:r>
      <w:r w:rsidR="00D45BCF" w:rsidRPr="00E3331A">
        <w:t xml:space="preserve"> </w:t>
      </w:r>
      <w:r w:rsidRPr="00E3331A">
        <w:t xml:space="preserve">AEs. </w:t>
      </w:r>
    </w:p>
    <w:p w:rsidR="001F5B33" w:rsidRPr="00E3331A" w:rsidRDefault="001F5B33" w:rsidP="00BB6E4C">
      <w:pPr>
        <w:pStyle w:val="BodyTextSTD"/>
      </w:pPr>
      <w:r w:rsidRPr="00E3331A">
        <w:t xml:space="preserve">The Hughes </w:t>
      </w:r>
      <w:r w:rsidR="00983BA7">
        <w:t xml:space="preserve">et al. </w:t>
      </w:r>
      <w:r w:rsidR="002067B1">
        <w:t>(</w:t>
      </w:r>
      <w:r w:rsidRPr="00E3331A">
        <w:t>2001</w:t>
      </w:r>
      <w:r w:rsidR="002067B1">
        <w:t>)</w:t>
      </w:r>
      <w:r w:rsidRPr="00E3331A">
        <w:t xml:space="preserve"> trial reported clinical outcomes for Ig use compared to corticosteroids over </w:t>
      </w:r>
      <w:r w:rsidR="00EB0DF7" w:rsidRPr="00E3331A">
        <w:t xml:space="preserve">six </w:t>
      </w:r>
      <w:r w:rsidRPr="00E3331A">
        <w:t>weeks. The key outcome was level of physical disability measured using a</w:t>
      </w:r>
      <w:r w:rsidR="008D2C61" w:rsidRPr="00E3331A">
        <w:t>n</w:t>
      </w:r>
      <w:r w:rsidRPr="00E3331A">
        <w:t xml:space="preserve"> 11-point scale. McCrone </w:t>
      </w:r>
      <w:r w:rsidR="00983BA7">
        <w:t xml:space="preserve">et al. </w:t>
      </w:r>
      <w:r w:rsidRPr="00E3331A">
        <w:t xml:space="preserve">(2003) reported these changes using the EQ-5D instrument. They reported that EQ-5D was largely unchanged (0.64–0.63) for the prednisolone group (P = 0.956), however increased from 0.57 to 0.69 for the IVIg group (P = 0.072). IVIg resulted in a mean relative gain in </w:t>
      </w:r>
      <w:r w:rsidR="008D2C61" w:rsidRPr="00E3331A">
        <w:t>QoL</w:t>
      </w:r>
      <w:r w:rsidRPr="00E3331A">
        <w:t xml:space="preserve"> compared with prednisolone of 0.12. This was noted by the authors as not statistically significant at conventional levels but the trend favoured IVIg (P = 0.164). This gain in Ig over steroids is applied to generate a disutility for Ig responders</w:t>
      </w:r>
      <w:r w:rsidR="008D2C61" w:rsidRPr="00E3331A">
        <w:t xml:space="preserve"> of -0.12</w:t>
      </w:r>
      <w:r w:rsidRPr="00E3331A">
        <w:t>. The utility assumption for Ig, as for other health state</w:t>
      </w:r>
      <w:r w:rsidR="00440092" w:rsidRPr="00E3331A">
        <w:t>s</w:t>
      </w:r>
      <w:r w:rsidRPr="00E3331A">
        <w:t xml:space="preserve"> are summarised in </w:t>
      </w:r>
      <w:r w:rsidR="006F35B9" w:rsidRPr="00E3331A">
        <w:t xml:space="preserve">Table </w:t>
      </w:r>
      <w:r w:rsidR="006F35B9">
        <w:rPr>
          <w:noProof/>
        </w:rPr>
        <w:t>50</w:t>
      </w:r>
      <w:r w:rsidRPr="00E3331A">
        <w:t>. Utility value</w:t>
      </w:r>
      <w:r w:rsidR="008D2C61" w:rsidRPr="00E3331A">
        <w:t>s</w:t>
      </w:r>
      <w:r w:rsidRPr="00E3331A">
        <w:t xml:space="preserve"> are converted to a weekly value by dividing by 52. As the Mahdi-Rogers et al. </w:t>
      </w:r>
      <w:r w:rsidR="002067B1">
        <w:t>(</w:t>
      </w:r>
      <w:r w:rsidRPr="00E3331A">
        <w:t>2014</w:t>
      </w:r>
      <w:r w:rsidR="002067B1">
        <w:t>)</w:t>
      </w:r>
      <w:r w:rsidRPr="00E3331A">
        <w:t xml:space="preserve"> study found no significant differences in utility between those treated, or not with Ig, the utility benefit is subject to sensitivity analysis. </w:t>
      </w:r>
    </w:p>
    <w:p w:rsidR="001F5B33" w:rsidRPr="00E3331A" w:rsidRDefault="001F5B33" w:rsidP="00BB6E4C">
      <w:pPr>
        <w:pStyle w:val="BodyTextSTD"/>
      </w:pPr>
      <w:r w:rsidRPr="00E3331A">
        <w:t xml:space="preserve">The Blackhouse </w:t>
      </w:r>
      <w:r w:rsidR="00983BA7">
        <w:t xml:space="preserve">et al. </w:t>
      </w:r>
      <w:r w:rsidRPr="00E3331A">
        <w:t>(2010) Canadian economic model included disutilit</w:t>
      </w:r>
      <w:r w:rsidR="008D2C61" w:rsidRPr="00E3331A">
        <w:t>ie</w:t>
      </w:r>
      <w:r w:rsidRPr="00E3331A">
        <w:t xml:space="preserve">s for steroid AEs including fracture, diabetes, glaucoma and serious infection. A disutility for diabetes of -0.000160 for </w:t>
      </w:r>
      <w:r w:rsidR="008D2C61" w:rsidRPr="00E3331A">
        <w:t xml:space="preserve">those age </w:t>
      </w:r>
      <w:r w:rsidRPr="00E3331A">
        <w:t>50-54</w:t>
      </w:r>
      <w:r w:rsidR="008D2C61" w:rsidRPr="00E3331A">
        <w:t xml:space="preserve"> </w:t>
      </w:r>
      <w:r w:rsidRPr="00E3331A">
        <w:t>year</w:t>
      </w:r>
      <w:r w:rsidR="008D2C61" w:rsidRPr="00E3331A">
        <w:t>s</w:t>
      </w:r>
      <w:r w:rsidRPr="00E3331A">
        <w:t xml:space="preserve"> in the first year of the AE was sourced from the Ontario Diabetes Economic Model. Australian studies </w:t>
      </w:r>
      <w:r w:rsidR="008D2C61" w:rsidRPr="00E3331A">
        <w:t xml:space="preserve">identified </w:t>
      </w:r>
      <w:r w:rsidRPr="00E3331A">
        <w:t xml:space="preserve">in the literature review generally included diabetes patients with serious complications, therefore far higher utility reductions were evident. For example, Kortt and </w:t>
      </w:r>
      <w:r w:rsidRPr="00E3331A">
        <w:lastRenderedPageBreak/>
        <w:t xml:space="preserve">Clarke 2005 used SF-36 responses from the Australian 1995 National Health Survey. Regression analyses found </w:t>
      </w:r>
      <w:r w:rsidR="008D2C61" w:rsidRPr="00E3331A">
        <w:t>t</w:t>
      </w:r>
      <w:r w:rsidRPr="00E3331A">
        <w:t xml:space="preserve">ype 2 diabetes reduced patient utility by -0.0188. The economic model assumes steroids cease with elevated HbA1c and patients transition to </w:t>
      </w:r>
      <w:r w:rsidR="003B09AB">
        <w:t>immunosuppressants</w:t>
      </w:r>
      <w:r w:rsidRPr="00E3331A">
        <w:t xml:space="preserve">. Correspondingly, the lower value of -0.000160 from the Canadian study is combined with steroid CIDP patient disutility to generate a disutility of -0.240160. </w:t>
      </w:r>
    </w:p>
    <w:p w:rsidR="001F5B33" w:rsidRPr="00E3331A" w:rsidRDefault="001F5B33" w:rsidP="00BB6E4C">
      <w:pPr>
        <w:pStyle w:val="BodyTextSTD"/>
      </w:pPr>
      <w:r w:rsidRPr="00E3331A">
        <w:t>As no utilities were found for health states that sub-grouped CIDP patients with diabetes (or any other steroid AE) the calculation of a combined disutility is uncertain. The disutility is at the lower end of dis</w:t>
      </w:r>
      <w:r w:rsidR="00E810A5">
        <w:t>utilities</w:t>
      </w:r>
      <w:r w:rsidRPr="00E3331A">
        <w:t xml:space="preserve"> for diabetes cited in the literature and also subject to sensitivity analysis in Section D. As already noted, Mahdi-Rogers et al. </w:t>
      </w:r>
      <w:r w:rsidR="002067B1">
        <w:t>(</w:t>
      </w:r>
      <w:r w:rsidRPr="00E3331A">
        <w:t>2014</w:t>
      </w:r>
      <w:r w:rsidR="002067B1">
        <w:t>)</w:t>
      </w:r>
      <w:r w:rsidRPr="00E3331A">
        <w:t xml:space="preserve"> found no signiﬁcant differences in CIDP utilities related to gender, age, disease duration or IVIg treatment in a cross</w:t>
      </w:r>
      <w:r w:rsidR="00D45BCF" w:rsidRPr="00E3331A">
        <w:t>-</w:t>
      </w:r>
      <w:r w:rsidRPr="00E3331A">
        <w:t>sectional survey of British patients.</w:t>
      </w:r>
    </w:p>
    <w:p w:rsidR="001F5B33" w:rsidRPr="00E3331A" w:rsidRDefault="001F5B33" w:rsidP="001F5B33">
      <w:pPr>
        <w:pStyle w:val="Caption"/>
      </w:pPr>
      <w:bookmarkStart w:id="355" w:name="_Ref503520347"/>
      <w:bookmarkStart w:id="356" w:name="_Toc24103356"/>
      <w:r w:rsidRPr="00E3331A">
        <w:t xml:space="preserve">Table </w:t>
      </w:r>
      <w:r w:rsidR="006F35B9">
        <w:rPr>
          <w:noProof/>
        </w:rPr>
        <w:t>50</w:t>
      </w:r>
      <w:bookmarkEnd w:id="355"/>
      <w:r w:rsidR="008D2C61" w:rsidRPr="00E3331A">
        <w:rPr>
          <w:noProof/>
        </w:rPr>
        <w:tab/>
      </w:r>
      <w:r w:rsidRPr="00E3331A">
        <w:t>Summary of utility inputs for the Section D cost-effectiveness model</w:t>
      </w:r>
      <w:bookmarkEnd w:id="3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2"/>
        <w:gridCol w:w="1161"/>
        <w:gridCol w:w="1901"/>
        <w:gridCol w:w="1608"/>
        <w:gridCol w:w="1774"/>
      </w:tblGrid>
      <w:tr w:rsidR="006C1442" w:rsidRPr="00E3331A" w:rsidTr="00096949">
        <w:trPr>
          <w:tblHeader/>
        </w:trPr>
        <w:tc>
          <w:tcPr>
            <w:tcW w:w="1426" w:type="pct"/>
            <w:shd w:val="clear" w:color="auto" w:fill="D9D9D9"/>
            <w:vAlign w:val="center"/>
          </w:tcPr>
          <w:p w:rsidR="006C1442" w:rsidRPr="00E3331A" w:rsidRDefault="006C1442">
            <w:pPr>
              <w:pStyle w:val="Tableheading1"/>
              <w:rPr>
                <w:rFonts w:eastAsia="Arial"/>
              </w:rPr>
            </w:pPr>
            <w:r w:rsidRPr="00E3331A">
              <w:t>Health state</w:t>
            </w:r>
          </w:p>
        </w:tc>
        <w:tc>
          <w:tcPr>
            <w:tcW w:w="644" w:type="pct"/>
            <w:shd w:val="clear" w:color="auto" w:fill="D9D9D9"/>
            <w:vAlign w:val="center"/>
          </w:tcPr>
          <w:p w:rsidR="006C1442" w:rsidRPr="00E3331A" w:rsidRDefault="006C1442">
            <w:pPr>
              <w:pStyle w:val="Tableheading1"/>
              <w:rPr>
                <w:rFonts w:eastAsia="Arial"/>
              </w:rPr>
            </w:pPr>
            <w:r w:rsidRPr="00E3331A">
              <w:t>Utility/ Disutility</w:t>
            </w:r>
          </w:p>
        </w:tc>
        <w:tc>
          <w:tcPr>
            <w:tcW w:w="1054" w:type="pct"/>
            <w:shd w:val="clear" w:color="auto" w:fill="D9D9D9"/>
            <w:vAlign w:val="center"/>
          </w:tcPr>
          <w:p w:rsidR="006C1442" w:rsidRPr="00E3331A" w:rsidRDefault="006C1442">
            <w:pPr>
              <w:pStyle w:val="Tableheading1"/>
              <w:rPr>
                <w:rFonts w:eastAsia="Arial"/>
              </w:rPr>
            </w:pPr>
            <w:r w:rsidRPr="00E3331A">
              <w:t>Nature of estimate</w:t>
            </w:r>
          </w:p>
        </w:tc>
        <w:tc>
          <w:tcPr>
            <w:tcW w:w="892" w:type="pct"/>
            <w:shd w:val="clear" w:color="auto" w:fill="D9D9D9"/>
            <w:vAlign w:val="center"/>
          </w:tcPr>
          <w:p w:rsidR="006C1442" w:rsidRPr="00E3331A" w:rsidRDefault="006C1442">
            <w:pPr>
              <w:pStyle w:val="Tableheading1"/>
              <w:rPr>
                <w:rFonts w:eastAsia="Arial"/>
              </w:rPr>
            </w:pPr>
            <w:r w:rsidRPr="00E3331A">
              <w:t>Source</w:t>
            </w:r>
          </w:p>
        </w:tc>
        <w:tc>
          <w:tcPr>
            <w:tcW w:w="984" w:type="pct"/>
            <w:shd w:val="clear" w:color="auto" w:fill="D9D9D9"/>
            <w:vAlign w:val="center"/>
          </w:tcPr>
          <w:p w:rsidR="006C1442" w:rsidRPr="00E3331A" w:rsidRDefault="006C1442">
            <w:pPr>
              <w:pStyle w:val="Tableheading1"/>
              <w:rPr>
                <w:rFonts w:eastAsia="Arial"/>
              </w:rPr>
            </w:pPr>
            <w:r w:rsidRPr="00E3331A">
              <w:t>Alternative estimates of utility value</w:t>
            </w:r>
          </w:p>
        </w:tc>
      </w:tr>
      <w:tr w:rsidR="006C1442" w:rsidRPr="00E3331A" w:rsidTr="00096949">
        <w:tc>
          <w:tcPr>
            <w:tcW w:w="1426" w:type="pct"/>
            <w:vAlign w:val="center"/>
          </w:tcPr>
          <w:p w:rsidR="006C1442" w:rsidRPr="00E3331A" w:rsidRDefault="006C1442" w:rsidP="003816D7">
            <w:pPr>
              <w:pStyle w:val="Tablecontents"/>
              <w:jc w:val="left"/>
              <w:rPr>
                <w:rFonts w:eastAsia="Arial"/>
              </w:rPr>
            </w:pPr>
            <w:r w:rsidRPr="00E3331A">
              <w:rPr>
                <w:lang w:val="en-US"/>
              </w:rPr>
              <w:t>Ig Initial Treatment</w:t>
            </w:r>
          </w:p>
        </w:tc>
        <w:tc>
          <w:tcPr>
            <w:tcW w:w="644" w:type="pct"/>
            <w:vAlign w:val="center"/>
          </w:tcPr>
          <w:p w:rsidR="006C1442" w:rsidRPr="00E3331A" w:rsidRDefault="006C1442" w:rsidP="003816D7">
            <w:pPr>
              <w:pStyle w:val="Tablecontents"/>
              <w:jc w:val="left"/>
              <w:rPr>
                <w:rFonts w:eastAsia="Arial"/>
              </w:rPr>
            </w:pPr>
            <w:r w:rsidRPr="00E3331A">
              <w:rPr>
                <w:rFonts w:eastAsia="Arial"/>
              </w:rPr>
              <w:t>-0.12</w:t>
            </w:r>
            <w:r w:rsidR="00804FF4">
              <w:rPr>
                <w:rFonts w:eastAsia="Arial"/>
              </w:rPr>
              <w:t>0</w:t>
            </w:r>
          </w:p>
        </w:tc>
        <w:tc>
          <w:tcPr>
            <w:tcW w:w="1054" w:type="pct"/>
            <w:vMerge w:val="restart"/>
            <w:vAlign w:val="center"/>
          </w:tcPr>
          <w:p w:rsidR="006C1442" w:rsidRPr="00E3331A" w:rsidRDefault="006C1442" w:rsidP="006D09AA">
            <w:pPr>
              <w:pStyle w:val="Tablecontents"/>
              <w:jc w:val="left"/>
              <w:rPr>
                <w:rFonts w:eastAsia="Arial"/>
              </w:rPr>
            </w:pPr>
            <w:r w:rsidRPr="00E3331A">
              <w:rPr>
                <w:rFonts w:eastAsia="Arial"/>
              </w:rPr>
              <w:t xml:space="preserve">McCrone </w:t>
            </w:r>
            <w:r w:rsidR="00983BA7">
              <w:rPr>
                <w:rFonts w:eastAsia="Arial"/>
              </w:rPr>
              <w:t xml:space="preserve">et al. </w:t>
            </w:r>
            <w:r w:rsidRPr="00E3331A">
              <w:rPr>
                <w:rFonts w:eastAsia="Arial"/>
              </w:rPr>
              <w:t>(2004) reported these changes using changes in quality of life using the EuroQol EQ-5D instrument from the 6-week Hughes trial.</w:t>
            </w:r>
          </w:p>
        </w:tc>
        <w:tc>
          <w:tcPr>
            <w:tcW w:w="892" w:type="pct"/>
            <w:vAlign w:val="center"/>
          </w:tcPr>
          <w:p w:rsidR="006C1442" w:rsidRPr="00E3331A" w:rsidRDefault="006C1442" w:rsidP="00DB223B">
            <w:pPr>
              <w:pStyle w:val="Tablecontents"/>
              <w:jc w:val="left"/>
              <w:rPr>
                <w:rFonts w:eastAsia="Arial"/>
              </w:rPr>
            </w:pPr>
            <w:r w:rsidRPr="00E3331A">
              <w:rPr>
                <w:rFonts w:eastAsia="Arial"/>
              </w:rPr>
              <w:t xml:space="preserve">McCrone </w:t>
            </w:r>
            <w:r w:rsidR="00983BA7">
              <w:rPr>
                <w:rFonts w:eastAsia="Arial"/>
              </w:rPr>
              <w:t xml:space="preserve">et al. </w:t>
            </w:r>
            <w:r w:rsidRPr="00E3331A">
              <w:rPr>
                <w:rFonts w:eastAsia="Arial"/>
              </w:rPr>
              <w:t>(2003)</w:t>
            </w:r>
          </w:p>
        </w:tc>
        <w:tc>
          <w:tcPr>
            <w:tcW w:w="984" w:type="pct"/>
            <w:vAlign w:val="center"/>
          </w:tcPr>
          <w:p w:rsidR="006C1442" w:rsidRPr="00E3331A" w:rsidRDefault="006C1442" w:rsidP="00DB223B">
            <w:pPr>
              <w:pStyle w:val="Tablecontents"/>
              <w:jc w:val="left"/>
              <w:rPr>
                <w:rFonts w:eastAsia="Arial"/>
              </w:rPr>
            </w:pPr>
            <w:r w:rsidRPr="00E3331A">
              <w:t>0/+10%</w:t>
            </w:r>
          </w:p>
        </w:tc>
      </w:tr>
      <w:tr w:rsidR="006C1442" w:rsidRPr="00E3331A" w:rsidTr="00096949">
        <w:tc>
          <w:tcPr>
            <w:tcW w:w="1426" w:type="pct"/>
            <w:vAlign w:val="center"/>
          </w:tcPr>
          <w:p w:rsidR="006C1442" w:rsidRPr="00E3331A" w:rsidRDefault="006C1442" w:rsidP="003816D7">
            <w:pPr>
              <w:pStyle w:val="Tablecontents"/>
              <w:jc w:val="left"/>
              <w:rPr>
                <w:rFonts w:eastAsia="Arial"/>
              </w:rPr>
            </w:pPr>
            <w:r w:rsidRPr="00E3331A">
              <w:rPr>
                <w:lang w:val="en-US"/>
              </w:rPr>
              <w:t>Ig Responder</w:t>
            </w:r>
          </w:p>
        </w:tc>
        <w:tc>
          <w:tcPr>
            <w:tcW w:w="644" w:type="pct"/>
            <w:vAlign w:val="center"/>
          </w:tcPr>
          <w:p w:rsidR="006C1442" w:rsidRPr="00E3331A" w:rsidRDefault="006C1442" w:rsidP="003816D7">
            <w:pPr>
              <w:pStyle w:val="Tablecontents"/>
              <w:jc w:val="left"/>
              <w:rPr>
                <w:rFonts w:eastAsia="Arial"/>
              </w:rPr>
            </w:pPr>
            <w:r w:rsidRPr="00E3331A">
              <w:rPr>
                <w:rFonts w:eastAsia="Arial"/>
              </w:rPr>
              <w:t>-0.12</w:t>
            </w:r>
            <w:r w:rsidR="00804FF4">
              <w:rPr>
                <w:rFonts w:eastAsia="Arial"/>
              </w:rPr>
              <w:t>0</w:t>
            </w:r>
          </w:p>
        </w:tc>
        <w:tc>
          <w:tcPr>
            <w:tcW w:w="1054" w:type="pct"/>
            <w:vMerge/>
            <w:vAlign w:val="center"/>
          </w:tcPr>
          <w:p w:rsidR="006C1442" w:rsidRPr="00E3331A" w:rsidRDefault="006C1442" w:rsidP="003840DD">
            <w:pPr>
              <w:pStyle w:val="Tablecontents"/>
              <w:jc w:val="left"/>
              <w:rPr>
                <w:rFonts w:eastAsia="Arial"/>
              </w:rPr>
            </w:pPr>
          </w:p>
        </w:tc>
        <w:tc>
          <w:tcPr>
            <w:tcW w:w="892" w:type="pct"/>
            <w:vAlign w:val="center"/>
          </w:tcPr>
          <w:p w:rsidR="006C1442" w:rsidRPr="00E3331A" w:rsidRDefault="006C1442" w:rsidP="003840DD">
            <w:pPr>
              <w:pStyle w:val="Tablecontents"/>
              <w:jc w:val="left"/>
              <w:rPr>
                <w:rFonts w:eastAsia="Arial"/>
              </w:rPr>
            </w:pPr>
            <w:r w:rsidRPr="00E3331A">
              <w:rPr>
                <w:rFonts w:eastAsia="Arial"/>
              </w:rPr>
              <w:t xml:space="preserve">McCrone </w:t>
            </w:r>
            <w:r w:rsidR="00983BA7">
              <w:rPr>
                <w:rFonts w:eastAsia="Arial"/>
              </w:rPr>
              <w:t xml:space="preserve">et al. </w:t>
            </w:r>
            <w:r w:rsidRPr="00E3331A">
              <w:rPr>
                <w:rFonts w:eastAsia="Arial"/>
              </w:rPr>
              <w:t>(2003)</w:t>
            </w:r>
          </w:p>
        </w:tc>
        <w:tc>
          <w:tcPr>
            <w:tcW w:w="984" w:type="pct"/>
            <w:vAlign w:val="center"/>
          </w:tcPr>
          <w:p w:rsidR="006C1442" w:rsidRPr="00E3331A" w:rsidRDefault="006C1442" w:rsidP="003840DD">
            <w:pPr>
              <w:pStyle w:val="Tablecontents"/>
              <w:jc w:val="left"/>
              <w:rPr>
                <w:rFonts w:eastAsia="Arial"/>
              </w:rPr>
            </w:pPr>
            <w:r w:rsidRPr="00E3331A">
              <w:t>0/+10%</w:t>
            </w:r>
          </w:p>
        </w:tc>
      </w:tr>
      <w:tr w:rsidR="006C1442" w:rsidRPr="00E3331A" w:rsidTr="00096949">
        <w:tc>
          <w:tcPr>
            <w:tcW w:w="1426" w:type="pct"/>
            <w:vAlign w:val="center"/>
          </w:tcPr>
          <w:p w:rsidR="006C1442" w:rsidRPr="00E3331A" w:rsidRDefault="006C1442" w:rsidP="003816D7">
            <w:pPr>
              <w:pStyle w:val="Tablecontents"/>
              <w:jc w:val="left"/>
              <w:rPr>
                <w:lang w:val="en-US"/>
              </w:rPr>
            </w:pPr>
            <w:r w:rsidRPr="00E3331A">
              <w:rPr>
                <w:lang w:val="en-US"/>
              </w:rPr>
              <w:t xml:space="preserve">Corticosteroids </w:t>
            </w:r>
          </w:p>
          <w:p w:rsidR="006C1442" w:rsidRPr="00E3331A" w:rsidRDefault="006C1442" w:rsidP="003816D7">
            <w:pPr>
              <w:pStyle w:val="Tablecontents"/>
              <w:jc w:val="left"/>
              <w:rPr>
                <w:rFonts w:eastAsia="Arial"/>
              </w:rPr>
            </w:pPr>
            <w:r w:rsidRPr="00E3331A">
              <w:rPr>
                <w:lang w:val="en-US"/>
              </w:rPr>
              <w:t>(no adverse events)</w:t>
            </w:r>
          </w:p>
        </w:tc>
        <w:tc>
          <w:tcPr>
            <w:tcW w:w="644" w:type="pct"/>
            <w:vAlign w:val="center"/>
          </w:tcPr>
          <w:p w:rsidR="006C1442" w:rsidRPr="00E3331A" w:rsidRDefault="006C1442" w:rsidP="006D09AA">
            <w:pPr>
              <w:pStyle w:val="Tablecontents"/>
              <w:jc w:val="left"/>
              <w:rPr>
                <w:rFonts w:eastAsia="Arial"/>
              </w:rPr>
            </w:pPr>
            <w:r w:rsidRPr="00E3331A">
              <w:rPr>
                <w:rFonts w:eastAsia="Arial"/>
              </w:rPr>
              <w:t>-0.24</w:t>
            </w:r>
            <w:r w:rsidR="00804FF4">
              <w:rPr>
                <w:rFonts w:eastAsia="Arial"/>
              </w:rPr>
              <w:t>0</w:t>
            </w:r>
          </w:p>
        </w:tc>
        <w:tc>
          <w:tcPr>
            <w:tcW w:w="1054" w:type="pct"/>
            <w:vAlign w:val="center"/>
          </w:tcPr>
          <w:p w:rsidR="006C1442" w:rsidRPr="00E3331A" w:rsidRDefault="006C1442" w:rsidP="00DB223B">
            <w:pPr>
              <w:pStyle w:val="Tablecontents"/>
              <w:jc w:val="left"/>
              <w:rPr>
                <w:rFonts w:eastAsia="Arial"/>
              </w:rPr>
            </w:pPr>
            <w:r w:rsidRPr="00E3331A">
              <w:rPr>
                <w:rFonts w:eastAsia="Arial"/>
              </w:rPr>
              <w:t>Cross-sectional analysis from the southeast of England.</w:t>
            </w:r>
          </w:p>
        </w:tc>
        <w:tc>
          <w:tcPr>
            <w:tcW w:w="892" w:type="pct"/>
            <w:vAlign w:val="center"/>
          </w:tcPr>
          <w:p w:rsidR="006C1442" w:rsidRPr="00E3331A" w:rsidRDefault="006C1442" w:rsidP="00DB223B">
            <w:pPr>
              <w:pStyle w:val="Tablecontents"/>
              <w:jc w:val="left"/>
              <w:rPr>
                <w:rFonts w:eastAsia="Arial"/>
              </w:rPr>
            </w:pPr>
            <w:r w:rsidRPr="00E3331A">
              <w:rPr>
                <w:rFonts w:eastAsia="Arial"/>
              </w:rPr>
              <w:t xml:space="preserve">Mahdi-Rogers </w:t>
            </w:r>
            <w:r w:rsidR="00983BA7">
              <w:rPr>
                <w:rFonts w:eastAsia="Arial"/>
              </w:rPr>
              <w:t xml:space="preserve">et al. </w:t>
            </w:r>
            <w:r w:rsidRPr="00E3331A">
              <w:rPr>
                <w:rFonts w:eastAsia="Arial"/>
              </w:rPr>
              <w:t xml:space="preserve">2014 </w:t>
            </w:r>
          </w:p>
        </w:tc>
        <w:tc>
          <w:tcPr>
            <w:tcW w:w="984" w:type="pct"/>
            <w:vAlign w:val="center"/>
          </w:tcPr>
          <w:p w:rsidR="006C1442" w:rsidRPr="00E3331A" w:rsidRDefault="006C1442" w:rsidP="00DB223B">
            <w:pPr>
              <w:pStyle w:val="Tablecontents"/>
              <w:jc w:val="left"/>
              <w:rPr>
                <w:rFonts w:eastAsia="Arial"/>
              </w:rPr>
            </w:pPr>
            <w:r w:rsidRPr="00E3331A">
              <w:t>0/+10%</w:t>
            </w:r>
          </w:p>
        </w:tc>
      </w:tr>
      <w:tr w:rsidR="006C1442" w:rsidRPr="00E3331A" w:rsidTr="00096949">
        <w:tc>
          <w:tcPr>
            <w:tcW w:w="1426" w:type="pct"/>
            <w:vAlign w:val="center"/>
          </w:tcPr>
          <w:p w:rsidR="006C1442" w:rsidRPr="00E3331A" w:rsidRDefault="00024BA0" w:rsidP="003816D7">
            <w:pPr>
              <w:pStyle w:val="Tablecontents"/>
              <w:jc w:val="left"/>
              <w:rPr>
                <w:lang w:val="en-US"/>
              </w:rPr>
            </w:pPr>
            <w:r w:rsidRPr="00024BA0">
              <w:rPr>
                <w:lang w:val="en-US"/>
              </w:rPr>
              <w:t>Corticosteroids non-responder + azathioprine</w:t>
            </w:r>
          </w:p>
        </w:tc>
        <w:tc>
          <w:tcPr>
            <w:tcW w:w="644" w:type="pct"/>
            <w:vAlign w:val="center"/>
          </w:tcPr>
          <w:p w:rsidR="006C1442" w:rsidRPr="00E3331A" w:rsidRDefault="006C1442" w:rsidP="006D09AA">
            <w:pPr>
              <w:pStyle w:val="Tablecontents"/>
              <w:jc w:val="left"/>
              <w:rPr>
                <w:rFonts w:eastAsia="Arial"/>
              </w:rPr>
            </w:pPr>
            <w:r w:rsidRPr="00E3331A">
              <w:rPr>
                <w:rFonts w:eastAsia="Arial"/>
              </w:rPr>
              <w:t>-0.24</w:t>
            </w:r>
            <w:r w:rsidR="00804FF4">
              <w:rPr>
                <w:rFonts w:eastAsia="Arial"/>
              </w:rPr>
              <w:t>0</w:t>
            </w:r>
          </w:p>
        </w:tc>
        <w:tc>
          <w:tcPr>
            <w:tcW w:w="1054" w:type="pct"/>
            <w:vAlign w:val="center"/>
          </w:tcPr>
          <w:p w:rsidR="006C1442" w:rsidRPr="00E3331A" w:rsidRDefault="006C1442" w:rsidP="00DB223B">
            <w:pPr>
              <w:pStyle w:val="Tablecontents"/>
              <w:jc w:val="left"/>
              <w:rPr>
                <w:rFonts w:eastAsia="Arial"/>
              </w:rPr>
            </w:pPr>
            <w:r w:rsidRPr="00E3331A">
              <w:rPr>
                <w:rFonts w:eastAsia="Arial"/>
              </w:rPr>
              <w:t xml:space="preserve">Assumed to be the same as steroid responders </w:t>
            </w:r>
          </w:p>
        </w:tc>
        <w:tc>
          <w:tcPr>
            <w:tcW w:w="892" w:type="pct"/>
            <w:vAlign w:val="center"/>
          </w:tcPr>
          <w:p w:rsidR="006C1442" w:rsidRPr="00E3331A" w:rsidRDefault="006C1442" w:rsidP="00DB223B">
            <w:pPr>
              <w:pStyle w:val="Tablecontents"/>
              <w:jc w:val="left"/>
              <w:rPr>
                <w:rFonts w:eastAsia="Arial"/>
              </w:rPr>
            </w:pPr>
            <w:r w:rsidRPr="00E3331A">
              <w:rPr>
                <w:rFonts w:eastAsia="Arial"/>
              </w:rPr>
              <w:t>Study Assumption</w:t>
            </w:r>
          </w:p>
        </w:tc>
        <w:tc>
          <w:tcPr>
            <w:tcW w:w="984" w:type="pct"/>
            <w:vAlign w:val="center"/>
          </w:tcPr>
          <w:p w:rsidR="006C1442" w:rsidRPr="00E3331A" w:rsidRDefault="006C1442" w:rsidP="00DB223B">
            <w:pPr>
              <w:pStyle w:val="Tablecontents"/>
              <w:jc w:val="left"/>
            </w:pPr>
            <w:r w:rsidRPr="00E3331A">
              <w:t>0/+10%</w:t>
            </w:r>
          </w:p>
        </w:tc>
      </w:tr>
      <w:tr w:rsidR="006C1442" w:rsidRPr="00E3331A" w:rsidTr="00096949">
        <w:tc>
          <w:tcPr>
            <w:tcW w:w="1426" w:type="pct"/>
            <w:vAlign w:val="center"/>
          </w:tcPr>
          <w:p w:rsidR="006C1442" w:rsidRPr="00E3331A" w:rsidRDefault="006C1442" w:rsidP="003816D7">
            <w:pPr>
              <w:pStyle w:val="Tablecontents"/>
              <w:jc w:val="left"/>
              <w:rPr>
                <w:rFonts w:eastAsia="Arial"/>
              </w:rPr>
            </w:pPr>
            <w:r w:rsidRPr="00E3331A">
              <w:rPr>
                <w:lang w:val="en-US"/>
              </w:rPr>
              <w:t>Fracture</w:t>
            </w:r>
          </w:p>
        </w:tc>
        <w:tc>
          <w:tcPr>
            <w:tcW w:w="644" w:type="pct"/>
            <w:vAlign w:val="center"/>
          </w:tcPr>
          <w:p w:rsidR="006C1442" w:rsidRPr="00E3331A" w:rsidRDefault="006C1442" w:rsidP="003816D7">
            <w:pPr>
              <w:pStyle w:val="Tablecontents"/>
              <w:jc w:val="left"/>
              <w:rPr>
                <w:rFonts w:eastAsia="Arial"/>
              </w:rPr>
            </w:pPr>
            <w:r w:rsidRPr="00E3331A">
              <w:rPr>
                <w:rFonts w:eastAsia="Arial"/>
              </w:rPr>
              <w:t>-0.</w:t>
            </w:r>
            <w:r w:rsidR="00804FF4" w:rsidRPr="00E3331A">
              <w:rPr>
                <w:rFonts w:eastAsia="Arial"/>
              </w:rPr>
              <w:t>37</w:t>
            </w:r>
            <w:r w:rsidR="00804FF4">
              <w:rPr>
                <w:rFonts w:eastAsia="Arial"/>
              </w:rPr>
              <w:t>7</w:t>
            </w:r>
          </w:p>
        </w:tc>
        <w:tc>
          <w:tcPr>
            <w:tcW w:w="1054" w:type="pct"/>
            <w:vAlign w:val="center"/>
          </w:tcPr>
          <w:p w:rsidR="006C1442" w:rsidRPr="00E3331A" w:rsidRDefault="006C1442" w:rsidP="006D09AA">
            <w:pPr>
              <w:pStyle w:val="Tablecontents"/>
              <w:jc w:val="left"/>
              <w:rPr>
                <w:rFonts w:eastAsia="Arial"/>
              </w:rPr>
            </w:pPr>
            <w:r w:rsidRPr="00E3331A">
              <w:rPr>
                <w:rFonts w:eastAsia="Arial"/>
              </w:rPr>
              <w:t xml:space="preserve">The non-hip fracture multiplier of 0.84 was applied to </w:t>
            </w:r>
            <w:r w:rsidR="0072581D" w:rsidRPr="00E3331A">
              <w:rPr>
                <w:rFonts w:eastAsia="Arial"/>
              </w:rPr>
              <w:t xml:space="preserve">a general population utility of </w:t>
            </w:r>
            <w:r w:rsidRPr="00E3331A">
              <w:rPr>
                <w:rFonts w:eastAsia="Arial"/>
              </w:rPr>
              <w:t xml:space="preserve">0.85 and added to </w:t>
            </w:r>
            <w:r w:rsidR="0072581D" w:rsidRPr="00E3331A">
              <w:rPr>
                <w:rFonts w:eastAsia="Arial"/>
              </w:rPr>
              <w:t xml:space="preserve">steroid </w:t>
            </w:r>
            <w:r w:rsidRPr="00E3331A">
              <w:rPr>
                <w:rFonts w:eastAsia="Arial"/>
              </w:rPr>
              <w:t>disutility.</w:t>
            </w:r>
          </w:p>
        </w:tc>
        <w:tc>
          <w:tcPr>
            <w:tcW w:w="892" w:type="pct"/>
            <w:vAlign w:val="center"/>
          </w:tcPr>
          <w:p w:rsidR="006C1442" w:rsidRPr="00E3331A" w:rsidRDefault="006C1442" w:rsidP="00DB223B">
            <w:pPr>
              <w:pStyle w:val="Tablecontents"/>
              <w:jc w:val="left"/>
              <w:rPr>
                <w:rFonts w:eastAsia="Arial"/>
              </w:rPr>
            </w:pPr>
            <w:r w:rsidRPr="00E3331A">
              <w:rPr>
                <w:rFonts w:eastAsia="Arial"/>
              </w:rPr>
              <w:t xml:space="preserve">Karnon </w:t>
            </w:r>
            <w:r w:rsidR="00983BA7">
              <w:rPr>
                <w:rFonts w:eastAsia="Arial"/>
              </w:rPr>
              <w:t xml:space="preserve">et al. </w:t>
            </w:r>
            <w:r w:rsidRPr="00E3331A">
              <w:rPr>
                <w:rFonts w:eastAsia="Arial"/>
              </w:rPr>
              <w:t>(2016)</w:t>
            </w:r>
          </w:p>
        </w:tc>
        <w:tc>
          <w:tcPr>
            <w:tcW w:w="984" w:type="pct"/>
            <w:vAlign w:val="center"/>
          </w:tcPr>
          <w:p w:rsidR="006C1442" w:rsidRPr="00E3331A" w:rsidRDefault="006C1442" w:rsidP="00DB223B">
            <w:pPr>
              <w:pStyle w:val="Tablecontents"/>
              <w:jc w:val="left"/>
              <w:rPr>
                <w:rFonts w:eastAsia="Arial"/>
              </w:rPr>
            </w:pPr>
            <w:r w:rsidRPr="00E3331A">
              <w:t>0/+10%</w:t>
            </w:r>
          </w:p>
        </w:tc>
      </w:tr>
      <w:tr w:rsidR="006C1442" w:rsidRPr="00E3331A" w:rsidTr="00096949">
        <w:tc>
          <w:tcPr>
            <w:tcW w:w="1426" w:type="pct"/>
            <w:vAlign w:val="center"/>
          </w:tcPr>
          <w:p w:rsidR="006C1442" w:rsidRPr="00E3331A" w:rsidRDefault="006C1442" w:rsidP="003816D7">
            <w:pPr>
              <w:pStyle w:val="Tablecontents"/>
              <w:jc w:val="left"/>
              <w:rPr>
                <w:lang w:val="en-US"/>
              </w:rPr>
            </w:pPr>
            <w:r w:rsidRPr="00E3331A">
              <w:rPr>
                <w:lang w:val="en-US"/>
              </w:rPr>
              <w:t>Diabetes</w:t>
            </w:r>
          </w:p>
        </w:tc>
        <w:tc>
          <w:tcPr>
            <w:tcW w:w="644" w:type="pct"/>
            <w:vAlign w:val="center"/>
          </w:tcPr>
          <w:p w:rsidR="006C1442" w:rsidRPr="00E3331A" w:rsidRDefault="006C1442" w:rsidP="003816D7">
            <w:pPr>
              <w:pStyle w:val="Tablecontents"/>
              <w:jc w:val="left"/>
              <w:rPr>
                <w:rFonts w:eastAsia="Arial"/>
              </w:rPr>
            </w:pPr>
            <w:r w:rsidRPr="00E3331A">
              <w:rPr>
                <w:rFonts w:eastAsia="Arial"/>
              </w:rPr>
              <w:t>-0.240</w:t>
            </w:r>
          </w:p>
        </w:tc>
        <w:tc>
          <w:tcPr>
            <w:tcW w:w="1054" w:type="pct"/>
            <w:vAlign w:val="center"/>
          </w:tcPr>
          <w:p w:rsidR="006C1442" w:rsidRPr="00E3331A" w:rsidRDefault="006C1442" w:rsidP="006D09AA">
            <w:pPr>
              <w:pStyle w:val="Tablecontents"/>
              <w:jc w:val="left"/>
              <w:rPr>
                <w:rFonts w:eastAsia="Arial"/>
              </w:rPr>
            </w:pPr>
            <w:r w:rsidRPr="00E3331A">
              <w:rPr>
                <w:rFonts w:eastAsia="Arial"/>
              </w:rPr>
              <w:t>The disutility in the Canadian model is added to</w:t>
            </w:r>
            <w:r w:rsidR="00B32111" w:rsidRPr="00E3331A">
              <w:rPr>
                <w:rFonts w:eastAsia="Arial"/>
              </w:rPr>
              <w:t>o</w:t>
            </w:r>
            <w:r w:rsidRPr="00E3331A">
              <w:rPr>
                <w:rFonts w:eastAsia="Arial"/>
              </w:rPr>
              <w:t xml:space="preserve"> steroid CIDP patient disutility. The lower value -0.000160 from the Canadian study is combined with steroid disutility to generate a disutility of -0.240160 </w:t>
            </w:r>
          </w:p>
        </w:tc>
        <w:tc>
          <w:tcPr>
            <w:tcW w:w="892" w:type="pct"/>
            <w:vAlign w:val="center"/>
          </w:tcPr>
          <w:p w:rsidR="006C1442" w:rsidRPr="00E3331A" w:rsidRDefault="006C1442" w:rsidP="00DB223B">
            <w:pPr>
              <w:pStyle w:val="Tablecontents"/>
              <w:jc w:val="left"/>
              <w:rPr>
                <w:rFonts w:eastAsia="Arial"/>
              </w:rPr>
            </w:pPr>
            <w:r w:rsidRPr="00E3331A">
              <w:rPr>
                <w:rFonts w:eastAsia="Arial"/>
              </w:rPr>
              <w:t xml:space="preserve">Blackhouse </w:t>
            </w:r>
            <w:r w:rsidR="00983BA7">
              <w:rPr>
                <w:rFonts w:eastAsia="Arial"/>
              </w:rPr>
              <w:t xml:space="preserve">et al. </w:t>
            </w:r>
            <w:r w:rsidRPr="00E3331A">
              <w:rPr>
                <w:rFonts w:eastAsia="Arial"/>
              </w:rPr>
              <w:t>(2010) disutilities for steroid AEs</w:t>
            </w:r>
          </w:p>
        </w:tc>
        <w:tc>
          <w:tcPr>
            <w:tcW w:w="984" w:type="pct"/>
            <w:vAlign w:val="center"/>
          </w:tcPr>
          <w:p w:rsidR="006C1442" w:rsidRPr="00E3331A" w:rsidRDefault="006C1442" w:rsidP="00DB223B">
            <w:pPr>
              <w:pStyle w:val="Tablecontents"/>
              <w:jc w:val="left"/>
            </w:pPr>
            <w:r w:rsidRPr="00E3331A">
              <w:t>0/+10%</w:t>
            </w:r>
          </w:p>
        </w:tc>
      </w:tr>
      <w:tr w:rsidR="006C1442" w:rsidRPr="00E3331A" w:rsidTr="00096949">
        <w:tc>
          <w:tcPr>
            <w:tcW w:w="1426" w:type="pct"/>
            <w:vAlign w:val="center"/>
          </w:tcPr>
          <w:p w:rsidR="006C1442" w:rsidRPr="00E3331A" w:rsidRDefault="006C1442" w:rsidP="003816D7">
            <w:pPr>
              <w:pStyle w:val="Tablecontents"/>
              <w:jc w:val="left"/>
              <w:rPr>
                <w:lang w:val="en-US"/>
              </w:rPr>
            </w:pPr>
            <w:r w:rsidRPr="00E3331A">
              <w:rPr>
                <w:lang w:val="en-US"/>
              </w:rPr>
              <w:t>Glaucoma</w:t>
            </w:r>
          </w:p>
        </w:tc>
        <w:tc>
          <w:tcPr>
            <w:tcW w:w="644" w:type="pct"/>
            <w:vAlign w:val="center"/>
          </w:tcPr>
          <w:p w:rsidR="006C1442" w:rsidRPr="00E3331A" w:rsidRDefault="006C1442" w:rsidP="003816D7">
            <w:pPr>
              <w:pStyle w:val="Tablecontents"/>
              <w:jc w:val="left"/>
              <w:rPr>
                <w:rFonts w:eastAsia="Arial"/>
              </w:rPr>
            </w:pPr>
            <w:r w:rsidRPr="00E3331A">
              <w:rPr>
                <w:rFonts w:eastAsia="Arial"/>
              </w:rPr>
              <w:t>-0.301</w:t>
            </w:r>
          </w:p>
        </w:tc>
        <w:tc>
          <w:tcPr>
            <w:tcW w:w="1054" w:type="pct"/>
            <w:vAlign w:val="center"/>
          </w:tcPr>
          <w:p w:rsidR="006C1442" w:rsidRPr="00E3331A" w:rsidRDefault="006C1442" w:rsidP="006D09AA">
            <w:pPr>
              <w:pStyle w:val="Tablecontents"/>
              <w:jc w:val="left"/>
              <w:rPr>
                <w:rFonts w:eastAsia="Arial"/>
              </w:rPr>
            </w:pPr>
            <w:r w:rsidRPr="00E3331A">
              <w:rPr>
                <w:rFonts w:eastAsia="Arial"/>
              </w:rPr>
              <w:t xml:space="preserve">Blackhouse </w:t>
            </w:r>
            <w:r w:rsidR="00983BA7">
              <w:rPr>
                <w:rFonts w:eastAsia="Arial"/>
              </w:rPr>
              <w:t xml:space="preserve">et al. </w:t>
            </w:r>
            <w:r w:rsidRPr="00E3331A">
              <w:rPr>
                <w:rFonts w:eastAsia="Arial"/>
              </w:rPr>
              <w:t>(2010) disutilities for steroid AEs of 0.061. It is added to steroid disutility</w:t>
            </w:r>
          </w:p>
        </w:tc>
        <w:tc>
          <w:tcPr>
            <w:tcW w:w="892" w:type="pct"/>
            <w:vAlign w:val="center"/>
          </w:tcPr>
          <w:p w:rsidR="006C1442" w:rsidRPr="00E3331A" w:rsidRDefault="006C1442" w:rsidP="00DB223B">
            <w:pPr>
              <w:pStyle w:val="Tablecontents"/>
              <w:jc w:val="left"/>
              <w:rPr>
                <w:rFonts w:eastAsia="Arial"/>
              </w:rPr>
            </w:pPr>
            <w:r w:rsidRPr="00E3331A">
              <w:rPr>
                <w:rFonts w:eastAsia="Arial"/>
              </w:rPr>
              <w:t xml:space="preserve">Blackhouse </w:t>
            </w:r>
            <w:r w:rsidR="00983BA7">
              <w:rPr>
                <w:rFonts w:eastAsia="Arial"/>
              </w:rPr>
              <w:t xml:space="preserve">et al. </w:t>
            </w:r>
            <w:r w:rsidRPr="00E3331A">
              <w:rPr>
                <w:rFonts w:eastAsia="Arial"/>
              </w:rPr>
              <w:t xml:space="preserve">(2010) </w:t>
            </w:r>
          </w:p>
        </w:tc>
        <w:tc>
          <w:tcPr>
            <w:tcW w:w="984" w:type="pct"/>
            <w:vAlign w:val="center"/>
          </w:tcPr>
          <w:p w:rsidR="006C1442" w:rsidRPr="00E3331A" w:rsidRDefault="006C1442" w:rsidP="00DB223B">
            <w:pPr>
              <w:pStyle w:val="Tablecontents"/>
              <w:jc w:val="left"/>
            </w:pPr>
            <w:r w:rsidRPr="00E3331A">
              <w:t>0/+10%</w:t>
            </w:r>
          </w:p>
        </w:tc>
      </w:tr>
      <w:tr w:rsidR="006C1442" w:rsidRPr="00E3331A" w:rsidTr="00096949">
        <w:tc>
          <w:tcPr>
            <w:tcW w:w="1426" w:type="pct"/>
            <w:vAlign w:val="center"/>
          </w:tcPr>
          <w:p w:rsidR="006C1442" w:rsidRPr="00E3331A" w:rsidRDefault="006C1442" w:rsidP="003816D7">
            <w:pPr>
              <w:pStyle w:val="Tablecontents"/>
              <w:jc w:val="left"/>
              <w:rPr>
                <w:lang w:val="en-US"/>
              </w:rPr>
            </w:pPr>
            <w:r w:rsidRPr="00E3331A">
              <w:rPr>
                <w:lang w:val="en-US"/>
              </w:rPr>
              <w:lastRenderedPageBreak/>
              <w:t>Cataract</w:t>
            </w:r>
          </w:p>
        </w:tc>
        <w:tc>
          <w:tcPr>
            <w:tcW w:w="644" w:type="pct"/>
            <w:vAlign w:val="center"/>
          </w:tcPr>
          <w:p w:rsidR="006C1442" w:rsidRPr="00E3331A" w:rsidRDefault="006C1442" w:rsidP="003816D7">
            <w:pPr>
              <w:pStyle w:val="Tablecontents"/>
              <w:jc w:val="left"/>
              <w:rPr>
                <w:rFonts w:eastAsia="Arial"/>
              </w:rPr>
            </w:pPr>
            <w:r w:rsidRPr="00E3331A">
              <w:rPr>
                <w:rFonts w:eastAsia="Arial"/>
              </w:rPr>
              <w:t>-0.33</w:t>
            </w:r>
            <w:r w:rsidR="00804FF4">
              <w:rPr>
                <w:rFonts w:eastAsia="Arial"/>
              </w:rPr>
              <w:t>0</w:t>
            </w:r>
          </w:p>
        </w:tc>
        <w:tc>
          <w:tcPr>
            <w:tcW w:w="1054" w:type="pct"/>
            <w:vAlign w:val="center"/>
          </w:tcPr>
          <w:p w:rsidR="006C1442" w:rsidRPr="00E3331A" w:rsidRDefault="006C1442" w:rsidP="006D09AA">
            <w:pPr>
              <w:pStyle w:val="Tablecontents"/>
              <w:jc w:val="left"/>
              <w:rPr>
                <w:rFonts w:eastAsia="Arial"/>
              </w:rPr>
            </w:pPr>
            <w:r w:rsidRPr="00E3331A">
              <w:rPr>
                <w:rFonts w:eastAsia="Arial"/>
              </w:rPr>
              <w:t xml:space="preserve">The disutility in Abell and Vote 2014 </w:t>
            </w:r>
            <w:r w:rsidR="00716127" w:rsidRPr="00E3331A">
              <w:rPr>
                <w:rFonts w:eastAsia="Arial"/>
              </w:rPr>
              <w:t xml:space="preserve">is added to steroid disutility </w:t>
            </w:r>
          </w:p>
        </w:tc>
        <w:tc>
          <w:tcPr>
            <w:tcW w:w="892" w:type="pct"/>
            <w:vAlign w:val="center"/>
          </w:tcPr>
          <w:p w:rsidR="006C1442" w:rsidRPr="00E3331A" w:rsidRDefault="006C1442" w:rsidP="00DB223B">
            <w:pPr>
              <w:pStyle w:val="Tablecontents"/>
              <w:jc w:val="left"/>
              <w:rPr>
                <w:rFonts w:eastAsia="Arial"/>
              </w:rPr>
            </w:pPr>
            <w:r w:rsidRPr="00E3331A">
              <w:rPr>
                <w:rFonts w:eastAsia="Arial"/>
              </w:rPr>
              <w:t>Abell and Vote (2014)</w:t>
            </w:r>
          </w:p>
        </w:tc>
        <w:tc>
          <w:tcPr>
            <w:tcW w:w="984" w:type="pct"/>
            <w:vAlign w:val="center"/>
          </w:tcPr>
          <w:p w:rsidR="006C1442" w:rsidRPr="00E3331A" w:rsidRDefault="006C1442" w:rsidP="00DB223B">
            <w:pPr>
              <w:pStyle w:val="Tablecontents"/>
              <w:jc w:val="left"/>
            </w:pPr>
            <w:r w:rsidRPr="00E3331A">
              <w:t>0/+10%</w:t>
            </w:r>
          </w:p>
        </w:tc>
      </w:tr>
      <w:tr w:rsidR="006C1442" w:rsidRPr="00E3331A" w:rsidTr="00096949">
        <w:trPr>
          <w:trHeight w:val="808"/>
        </w:trPr>
        <w:tc>
          <w:tcPr>
            <w:tcW w:w="1426" w:type="pct"/>
            <w:vAlign w:val="center"/>
          </w:tcPr>
          <w:p w:rsidR="006C1442" w:rsidRPr="00E3331A" w:rsidRDefault="006C1442" w:rsidP="003816D7">
            <w:pPr>
              <w:pStyle w:val="Tablecontents"/>
              <w:jc w:val="left"/>
              <w:rPr>
                <w:lang w:val="en-US"/>
              </w:rPr>
            </w:pPr>
            <w:r w:rsidRPr="00E3331A">
              <w:rPr>
                <w:lang w:val="en-US"/>
              </w:rPr>
              <w:t>Infection</w:t>
            </w:r>
          </w:p>
        </w:tc>
        <w:tc>
          <w:tcPr>
            <w:tcW w:w="644" w:type="pct"/>
            <w:vAlign w:val="center"/>
          </w:tcPr>
          <w:p w:rsidR="006C1442" w:rsidRPr="00E3331A" w:rsidRDefault="006C1442" w:rsidP="003816D7">
            <w:pPr>
              <w:pStyle w:val="Tablecontents"/>
              <w:jc w:val="left"/>
              <w:rPr>
                <w:rFonts w:eastAsia="Arial"/>
              </w:rPr>
            </w:pPr>
            <w:r w:rsidRPr="00E3331A">
              <w:rPr>
                <w:rFonts w:eastAsia="Arial"/>
              </w:rPr>
              <w:t>-0.</w:t>
            </w:r>
            <w:r w:rsidR="00804FF4" w:rsidRPr="00E3331A">
              <w:rPr>
                <w:rFonts w:eastAsia="Arial"/>
              </w:rPr>
              <w:t>27</w:t>
            </w:r>
            <w:r w:rsidR="00804FF4">
              <w:rPr>
                <w:rFonts w:eastAsia="Arial"/>
              </w:rPr>
              <w:t>9</w:t>
            </w:r>
          </w:p>
        </w:tc>
        <w:tc>
          <w:tcPr>
            <w:tcW w:w="1054" w:type="pct"/>
            <w:vAlign w:val="center"/>
          </w:tcPr>
          <w:p w:rsidR="006C1442" w:rsidRPr="00E3331A" w:rsidRDefault="006C1442" w:rsidP="006D09AA">
            <w:pPr>
              <w:pStyle w:val="Tablecontents"/>
              <w:jc w:val="left"/>
              <w:rPr>
                <w:rFonts w:eastAsia="Arial"/>
              </w:rPr>
            </w:pPr>
            <w:r w:rsidRPr="00E3331A">
              <w:rPr>
                <w:rFonts w:eastAsia="Arial"/>
              </w:rPr>
              <w:t xml:space="preserve">A disutility of -0.04 </w:t>
            </w:r>
            <w:r w:rsidR="00716127" w:rsidRPr="00E3331A">
              <w:rPr>
                <w:rFonts w:eastAsia="Arial"/>
              </w:rPr>
              <w:t xml:space="preserve">is </w:t>
            </w:r>
            <w:r w:rsidRPr="00E3331A">
              <w:rPr>
                <w:rFonts w:eastAsia="Arial"/>
              </w:rPr>
              <w:t xml:space="preserve">added to </w:t>
            </w:r>
            <w:r w:rsidR="00716127" w:rsidRPr="00E3331A">
              <w:rPr>
                <w:rFonts w:eastAsia="Arial"/>
              </w:rPr>
              <w:t xml:space="preserve">steroid patient disutility </w:t>
            </w:r>
          </w:p>
        </w:tc>
        <w:tc>
          <w:tcPr>
            <w:tcW w:w="892" w:type="pct"/>
            <w:vAlign w:val="center"/>
          </w:tcPr>
          <w:p w:rsidR="006C1442" w:rsidRPr="00E3331A" w:rsidRDefault="006C1442" w:rsidP="00DB223B">
            <w:pPr>
              <w:pStyle w:val="Tablecontents"/>
              <w:jc w:val="left"/>
              <w:rPr>
                <w:rFonts w:eastAsia="Arial"/>
              </w:rPr>
            </w:pPr>
            <w:r w:rsidRPr="00E3331A">
              <w:rPr>
                <w:rFonts w:eastAsia="Arial"/>
              </w:rPr>
              <w:t xml:space="preserve">Blackhouse </w:t>
            </w:r>
            <w:r w:rsidR="00983BA7">
              <w:rPr>
                <w:rFonts w:eastAsia="Arial"/>
              </w:rPr>
              <w:t xml:space="preserve">et al. </w:t>
            </w:r>
            <w:r w:rsidRPr="00E3331A">
              <w:rPr>
                <w:rFonts w:eastAsia="Arial"/>
              </w:rPr>
              <w:t xml:space="preserve">(2010) </w:t>
            </w:r>
          </w:p>
        </w:tc>
        <w:tc>
          <w:tcPr>
            <w:tcW w:w="984" w:type="pct"/>
            <w:vAlign w:val="center"/>
          </w:tcPr>
          <w:p w:rsidR="006C1442" w:rsidRPr="00E3331A" w:rsidRDefault="006C1442" w:rsidP="00DB223B">
            <w:pPr>
              <w:pStyle w:val="Tablecontents"/>
              <w:jc w:val="left"/>
            </w:pPr>
            <w:r w:rsidRPr="00E3331A">
              <w:t>0/+10%</w:t>
            </w:r>
          </w:p>
        </w:tc>
      </w:tr>
      <w:tr w:rsidR="00EF6559" w:rsidRPr="00E3331A" w:rsidTr="00096949">
        <w:tc>
          <w:tcPr>
            <w:tcW w:w="1426" w:type="pct"/>
            <w:vAlign w:val="center"/>
          </w:tcPr>
          <w:p w:rsidR="00EF6559" w:rsidRPr="00E3331A" w:rsidRDefault="00024BA0" w:rsidP="00EF6559">
            <w:pPr>
              <w:pStyle w:val="Tablecontents"/>
              <w:jc w:val="left"/>
              <w:rPr>
                <w:lang w:val="en-US"/>
              </w:rPr>
            </w:pPr>
            <w:r w:rsidRPr="00024BA0">
              <w:rPr>
                <w:lang w:val="en-US"/>
              </w:rPr>
              <w:t>Azathioprine non-responder</w:t>
            </w:r>
          </w:p>
        </w:tc>
        <w:tc>
          <w:tcPr>
            <w:tcW w:w="644" w:type="pct"/>
            <w:vAlign w:val="center"/>
          </w:tcPr>
          <w:p w:rsidR="00EF6559" w:rsidRPr="00E3331A" w:rsidRDefault="00EF6559" w:rsidP="00EF6559">
            <w:pPr>
              <w:pStyle w:val="Tablecontents"/>
              <w:jc w:val="left"/>
              <w:rPr>
                <w:rFonts w:eastAsia="Arial"/>
              </w:rPr>
            </w:pPr>
            <w:r w:rsidRPr="00E3331A">
              <w:rPr>
                <w:rFonts w:eastAsia="Arial"/>
              </w:rPr>
              <w:t>-0.24</w:t>
            </w:r>
            <w:r w:rsidR="00804FF4">
              <w:rPr>
                <w:rFonts w:eastAsia="Arial"/>
              </w:rPr>
              <w:t>0</w:t>
            </w:r>
          </w:p>
        </w:tc>
        <w:tc>
          <w:tcPr>
            <w:tcW w:w="1054" w:type="pct"/>
            <w:vAlign w:val="center"/>
          </w:tcPr>
          <w:p w:rsidR="00EF6559" w:rsidRPr="00E3331A" w:rsidRDefault="00EF6559" w:rsidP="00EF6559">
            <w:pPr>
              <w:pStyle w:val="Tablecontents"/>
              <w:jc w:val="left"/>
              <w:rPr>
                <w:rFonts w:eastAsia="Arial"/>
              </w:rPr>
            </w:pPr>
            <w:r w:rsidRPr="00E3331A">
              <w:rPr>
                <w:rFonts w:eastAsia="Arial"/>
              </w:rPr>
              <w:t xml:space="preserve">In the absence of </w:t>
            </w:r>
            <w:r w:rsidR="00B32111" w:rsidRPr="00E3331A">
              <w:rPr>
                <w:rFonts w:eastAsia="Arial"/>
              </w:rPr>
              <w:t xml:space="preserve">utility </w:t>
            </w:r>
            <w:r w:rsidRPr="00E3331A">
              <w:rPr>
                <w:rFonts w:eastAsia="Arial"/>
              </w:rPr>
              <w:t>data</w:t>
            </w:r>
            <w:r w:rsidR="00B32111" w:rsidRPr="00E3331A">
              <w:rPr>
                <w:rFonts w:eastAsia="Arial"/>
              </w:rPr>
              <w:t xml:space="preserve"> for this state</w:t>
            </w:r>
            <w:r w:rsidRPr="00E3331A">
              <w:rPr>
                <w:rFonts w:eastAsia="Arial"/>
              </w:rPr>
              <w:t xml:space="preserve">, </w:t>
            </w:r>
            <w:r w:rsidR="00FB293F">
              <w:rPr>
                <w:rFonts w:eastAsia="Arial"/>
              </w:rPr>
              <w:t xml:space="preserve">it is </w:t>
            </w:r>
            <w:r w:rsidRPr="00E3331A">
              <w:rPr>
                <w:rFonts w:eastAsia="Arial"/>
              </w:rPr>
              <w:t xml:space="preserve">assumed to be the same as </w:t>
            </w:r>
            <w:r w:rsidR="00FB293F" w:rsidRPr="00FB293F">
              <w:rPr>
                <w:rFonts w:eastAsia="Arial"/>
              </w:rPr>
              <w:t>steroid non-responder + azathioprine</w:t>
            </w:r>
            <w:r w:rsidRPr="00E3331A">
              <w:rPr>
                <w:rFonts w:eastAsia="Arial"/>
              </w:rPr>
              <w:t>.</w:t>
            </w:r>
            <w:r w:rsidRPr="00E3331A">
              <w:t xml:space="preserve"> </w:t>
            </w:r>
          </w:p>
        </w:tc>
        <w:tc>
          <w:tcPr>
            <w:tcW w:w="892" w:type="pct"/>
            <w:vAlign w:val="center"/>
          </w:tcPr>
          <w:p w:rsidR="00EF6559" w:rsidRPr="00E3331A" w:rsidRDefault="00EF6559" w:rsidP="00EF6559">
            <w:pPr>
              <w:pStyle w:val="Tablecontents"/>
              <w:jc w:val="left"/>
              <w:rPr>
                <w:rFonts w:eastAsia="Arial"/>
              </w:rPr>
            </w:pPr>
            <w:r w:rsidRPr="00E3331A">
              <w:rPr>
                <w:rFonts w:eastAsia="Arial"/>
              </w:rPr>
              <w:t>Study Assumption</w:t>
            </w:r>
          </w:p>
        </w:tc>
        <w:tc>
          <w:tcPr>
            <w:tcW w:w="984" w:type="pct"/>
            <w:vAlign w:val="center"/>
          </w:tcPr>
          <w:p w:rsidR="00EF6559" w:rsidRPr="00E3331A" w:rsidRDefault="00EF6559" w:rsidP="00EF6559">
            <w:pPr>
              <w:pStyle w:val="Tablecontents"/>
              <w:jc w:val="left"/>
            </w:pPr>
            <w:r w:rsidRPr="00E3331A">
              <w:t>0/+10%</w:t>
            </w:r>
          </w:p>
        </w:tc>
      </w:tr>
      <w:tr w:rsidR="006C1442" w:rsidRPr="00E3331A" w:rsidTr="006C1442">
        <w:tc>
          <w:tcPr>
            <w:tcW w:w="1426" w:type="pct"/>
            <w:vAlign w:val="center"/>
          </w:tcPr>
          <w:p w:rsidR="006C1442" w:rsidRPr="00E3331A" w:rsidRDefault="006C1442" w:rsidP="003816D7">
            <w:pPr>
              <w:pStyle w:val="Tablecontents"/>
              <w:jc w:val="left"/>
              <w:rPr>
                <w:lang w:val="en-US"/>
              </w:rPr>
            </w:pPr>
            <w:r w:rsidRPr="00E3331A">
              <w:rPr>
                <w:lang w:val="en-US"/>
              </w:rPr>
              <w:t>Disabled</w:t>
            </w:r>
          </w:p>
        </w:tc>
        <w:tc>
          <w:tcPr>
            <w:tcW w:w="644" w:type="pct"/>
            <w:vAlign w:val="center"/>
          </w:tcPr>
          <w:p w:rsidR="006C1442" w:rsidRPr="00E3331A" w:rsidRDefault="00B32111" w:rsidP="003816D7">
            <w:pPr>
              <w:pStyle w:val="Tablecontents"/>
              <w:jc w:val="left"/>
              <w:rPr>
                <w:rFonts w:eastAsia="Arial"/>
              </w:rPr>
            </w:pPr>
            <w:r w:rsidRPr="00E3331A">
              <w:rPr>
                <w:rFonts w:eastAsia="Arial"/>
              </w:rPr>
              <w:t>-0.36</w:t>
            </w:r>
            <w:r w:rsidR="00804FF4">
              <w:rPr>
                <w:rFonts w:eastAsia="Arial"/>
              </w:rPr>
              <w:t>0</w:t>
            </w:r>
          </w:p>
        </w:tc>
        <w:tc>
          <w:tcPr>
            <w:tcW w:w="1054" w:type="pct"/>
            <w:vAlign w:val="center"/>
          </w:tcPr>
          <w:p w:rsidR="006C1442" w:rsidRPr="00E3331A" w:rsidRDefault="00B32111" w:rsidP="006D09AA">
            <w:pPr>
              <w:pStyle w:val="Tablecontents"/>
              <w:jc w:val="left"/>
              <w:rPr>
                <w:rFonts w:eastAsia="Arial"/>
              </w:rPr>
            </w:pPr>
            <w:r w:rsidRPr="00E3331A">
              <w:rPr>
                <w:rFonts w:eastAsia="Arial"/>
              </w:rPr>
              <w:t>CIDP disabled utility is estimated to be 0.49, or a disutility of -0.36 for a general population 50-year-old utility of 0.85</w:t>
            </w:r>
          </w:p>
        </w:tc>
        <w:tc>
          <w:tcPr>
            <w:tcW w:w="892" w:type="pct"/>
            <w:vAlign w:val="center"/>
          </w:tcPr>
          <w:p w:rsidR="006C1442" w:rsidRPr="00E3331A" w:rsidRDefault="00B32111" w:rsidP="00DB223B">
            <w:pPr>
              <w:pStyle w:val="Tablecontents"/>
              <w:jc w:val="left"/>
              <w:rPr>
                <w:rFonts w:eastAsia="Arial"/>
              </w:rPr>
            </w:pPr>
            <w:r w:rsidRPr="00E3331A">
              <w:rPr>
                <w:rFonts w:eastAsia="Arial"/>
              </w:rPr>
              <w:t xml:space="preserve">Assumption based on Ahmad </w:t>
            </w:r>
            <w:r w:rsidR="00983BA7">
              <w:rPr>
                <w:rFonts w:eastAsia="Arial"/>
              </w:rPr>
              <w:t xml:space="preserve">et al. </w:t>
            </w:r>
            <w:r w:rsidRPr="00E3331A">
              <w:rPr>
                <w:rFonts w:eastAsia="Arial"/>
              </w:rPr>
              <w:t>(2017). utility weights for Australian Multiple Sclerosis patients.</w:t>
            </w:r>
          </w:p>
        </w:tc>
        <w:tc>
          <w:tcPr>
            <w:tcW w:w="984" w:type="pct"/>
            <w:vAlign w:val="center"/>
          </w:tcPr>
          <w:p w:rsidR="006C1442" w:rsidRPr="00E3331A" w:rsidRDefault="00B32111" w:rsidP="00DB223B">
            <w:pPr>
              <w:pStyle w:val="Tablecontents"/>
              <w:jc w:val="left"/>
            </w:pPr>
            <w:r w:rsidRPr="00E3331A">
              <w:t>0/+10%</w:t>
            </w:r>
          </w:p>
        </w:tc>
      </w:tr>
    </w:tbl>
    <w:bookmarkEnd w:id="354"/>
    <w:p w:rsidR="001F5B33" w:rsidRPr="00E3331A" w:rsidRDefault="001F5B33" w:rsidP="001F5B33">
      <w:pPr>
        <w:rPr>
          <w:rFonts w:ascii="Arial Narrow" w:hAnsi="Arial Narrow"/>
          <w:sz w:val="18"/>
        </w:rPr>
      </w:pPr>
      <w:r w:rsidRPr="00E3331A">
        <w:rPr>
          <w:rFonts w:ascii="Arial Narrow" w:hAnsi="Arial Narrow"/>
          <w:sz w:val="18"/>
        </w:rPr>
        <w:t>Abbreviations: AE= adverse event. CIDP = Chronic Inflammatory Demyelinating Polyneuropathy</w:t>
      </w:r>
    </w:p>
    <w:p w:rsidR="001F5B33" w:rsidRPr="00E3331A" w:rsidRDefault="001F5B33" w:rsidP="00BB6E4C">
      <w:pPr>
        <w:pStyle w:val="BodyTextSTD"/>
      </w:pPr>
      <w:r w:rsidRPr="00E3331A">
        <w:t xml:space="preserve">The Blackhouse </w:t>
      </w:r>
      <w:r w:rsidR="00983BA7">
        <w:t xml:space="preserve">et al. </w:t>
      </w:r>
      <w:r w:rsidRPr="00E3331A">
        <w:t>(2010) study included cataract disutility values by assuming 0.38 prior to cataract surgery and 0.10 after surgery. Australian studies were identified</w:t>
      </w:r>
      <w:r w:rsidR="00BC1534" w:rsidRPr="00E3331A">
        <w:t>,</w:t>
      </w:r>
      <w:r w:rsidRPr="00E3331A">
        <w:t xml:space="preserve"> includ</w:t>
      </w:r>
      <w:r w:rsidR="00BC1534" w:rsidRPr="00E3331A">
        <w:t>ing</w:t>
      </w:r>
      <w:r w:rsidRPr="00E3331A">
        <w:t xml:space="preserve"> Abell and Vote 2014. Pre</w:t>
      </w:r>
      <w:r w:rsidR="00D45BCF" w:rsidRPr="00E3331A">
        <w:t>-cataract</w:t>
      </w:r>
      <w:r w:rsidRPr="00E3331A">
        <w:t xml:space="preserve"> surgery </w:t>
      </w:r>
      <w:r w:rsidR="00BC1534" w:rsidRPr="00E3331A">
        <w:t>QoL</w:t>
      </w:r>
      <w:r w:rsidRPr="00E3331A">
        <w:t xml:space="preserve"> was estimated at 0.85215 and post-cataract surgery utility 0.978. An average disutility of -0.085 is added to the CIDP steroid disutility. </w:t>
      </w:r>
    </w:p>
    <w:p w:rsidR="001F5B33" w:rsidRPr="00E3331A" w:rsidRDefault="001F5B33" w:rsidP="00BB6E4C">
      <w:pPr>
        <w:pStyle w:val="BodyTextSTD"/>
      </w:pPr>
      <w:r w:rsidRPr="00E3331A">
        <w:t xml:space="preserve">Abimanyi-Ochom </w:t>
      </w:r>
      <w:r w:rsidR="00983BA7">
        <w:t xml:space="preserve">et al. </w:t>
      </w:r>
      <w:r w:rsidR="00BC1534" w:rsidRPr="00E3331A">
        <w:t>(</w:t>
      </w:r>
      <w:r w:rsidRPr="00E3331A">
        <w:t>2015</w:t>
      </w:r>
      <w:r w:rsidR="00BC1534" w:rsidRPr="00E3331A">
        <w:t>)</w:t>
      </w:r>
      <w:r w:rsidRPr="00E3331A">
        <w:t xml:space="preserve"> and Karnon </w:t>
      </w:r>
      <w:r w:rsidR="00983BA7">
        <w:t xml:space="preserve">et al. </w:t>
      </w:r>
      <w:r w:rsidRPr="00E3331A">
        <w:t xml:space="preserve">(2016) examined fracture disutilities in Australia. In Abimanyi-Ochom </w:t>
      </w:r>
      <w:r w:rsidR="00983BA7">
        <w:t xml:space="preserve">et al. </w:t>
      </w:r>
      <w:r w:rsidR="00BC1534" w:rsidRPr="00E3331A">
        <w:t>(</w:t>
      </w:r>
      <w:r w:rsidRPr="00E3331A">
        <w:t>2015</w:t>
      </w:r>
      <w:r w:rsidR="00BC1534" w:rsidRPr="00E3331A">
        <w:t>)</w:t>
      </w:r>
      <w:r w:rsidRPr="00E3331A">
        <w:t xml:space="preserve"> the average HRQoL for all participants prior to fracture was 0.86</w:t>
      </w:r>
      <w:r w:rsidR="00BC1534" w:rsidRPr="00E3331A">
        <w:t>, which</w:t>
      </w:r>
      <w:r w:rsidRPr="00E3331A">
        <w:t xml:space="preserve"> declined to 0.42 in the immediate post-fracture period. Those with wrist, humerus or ankle fracture returned to their pre-fracture HRQoL after 18 months. Karnon </w:t>
      </w:r>
      <w:r w:rsidR="00983BA7">
        <w:t xml:space="preserve">et al. </w:t>
      </w:r>
      <w:r w:rsidRPr="00E3331A">
        <w:t xml:space="preserve">(2016) applied a multiplier for hip fracture in the first year of 0.70, which increased to 0.8 in the second year. The non-hip fracture multiplier of 0.84 was applied to 0.85 and added to CIDP disutility. The remaining steroid AE disutilities are taken from Blackhouse </w:t>
      </w:r>
      <w:r w:rsidR="00983BA7">
        <w:t xml:space="preserve">et al. </w:t>
      </w:r>
      <w:r w:rsidRPr="00E3331A">
        <w:t xml:space="preserve">(2010). </w:t>
      </w:r>
    </w:p>
    <w:p w:rsidR="005B6294" w:rsidRPr="00E3331A" w:rsidRDefault="00BD71F7">
      <w:pPr>
        <w:pStyle w:val="BodyTextSTD"/>
      </w:pPr>
      <w:r w:rsidRPr="00E3331A">
        <w:t xml:space="preserve">The Thai study </w:t>
      </w:r>
      <w:r w:rsidR="00685F63" w:rsidRPr="00E3331A">
        <w:t xml:space="preserve">by Bamrungsawad </w:t>
      </w:r>
      <w:r w:rsidR="00983BA7">
        <w:t xml:space="preserve">et al. </w:t>
      </w:r>
      <w:r w:rsidR="00BC1534" w:rsidRPr="00E3331A">
        <w:t>(</w:t>
      </w:r>
      <w:r w:rsidR="00685F63" w:rsidRPr="00E3331A">
        <w:t>2016</w:t>
      </w:r>
      <w:r w:rsidR="00BC1534" w:rsidRPr="00E3331A">
        <w:t>)</w:t>
      </w:r>
      <w:r w:rsidR="00685F63" w:rsidRPr="00E3331A">
        <w:t xml:space="preserve"> examined the costs and outcomes for IVIG plus corticosteroids in comparison with immunosuppressants plus corticosteroids in steroid-resistant CIDP patients. The study included the probability of becoming disabled in patients non-responding to therapy of 0.098 and an associated disabled utility of -0.178. </w:t>
      </w:r>
      <w:r w:rsidR="005B6294" w:rsidRPr="00E3331A">
        <w:t xml:space="preserve">Being disabled was defined as patients with an MRC scale for one muscle group of three or less. The review of patient records </w:t>
      </w:r>
      <w:r w:rsidR="00E810A5" w:rsidRPr="00E3331A">
        <w:t>associated</w:t>
      </w:r>
      <w:r w:rsidR="005B6294" w:rsidRPr="00E3331A">
        <w:t xml:space="preserve"> with study found 24/29 (82.76 %) of steroid</w:t>
      </w:r>
      <w:r w:rsidR="00417823">
        <w:t>-</w:t>
      </w:r>
      <w:r w:rsidR="005B6294" w:rsidRPr="00E3331A">
        <w:t xml:space="preserve">resistant CIDP patients to be disabled. </w:t>
      </w:r>
      <w:r w:rsidR="00685F63" w:rsidRPr="00E3331A">
        <w:t>Utility estimates were based on the Thai EuroQol 5D (EQ-5D-3L</w:t>
      </w:r>
      <w:r w:rsidR="001D778E" w:rsidRPr="00E3331A">
        <w:t>) but</w:t>
      </w:r>
      <w:r w:rsidR="00685F63" w:rsidRPr="00E3331A">
        <w:t xml:space="preserve"> included </w:t>
      </w:r>
      <w:r w:rsidR="00BC1534" w:rsidRPr="00E3331A">
        <w:t xml:space="preserve">only four </w:t>
      </w:r>
      <w:r w:rsidR="00685F63" w:rsidRPr="00E3331A">
        <w:t>disabled patients.</w:t>
      </w:r>
      <w:r w:rsidR="00E60A5B" w:rsidRPr="00E3331A">
        <w:t xml:space="preserve"> </w:t>
      </w:r>
    </w:p>
    <w:p w:rsidR="00EF6559" w:rsidRPr="00E3331A" w:rsidRDefault="005B6294">
      <w:pPr>
        <w:pStyle w:val="BodyTextSTD"/>
      </w:pPr>
      <w:r w:rsidRPr="00E3331A">
        <w:t>No utility estimates were found in the Australian literature for disabled CIDP patients. In the absence of CIDP-specific utility</w:t>
      </w:r>
      <w:r w:rsidR="00B32111" w:rsidRPr="00E3331A">
        <w:t xml:space="preserve"> data</w:t>
      </w:r>
      <w:r w:rsidRPr="00E3331A">
        <w:t xml:space="preserve">, multiple sclerosis health state utility values are derived from the study of </w:t>
      </w:r>
      <w:r w:rsidRPr="00E3331A">
        <w:lastRenderedPageBreak/>
        <w:t xml:space="preserve">Ahmad </w:t>
      </w:r>
      <w:r w:rsidR="00983BA7">
        <w:t xml:space="preserve">et al. </w:t>
      </w:r>
      <w:r w:rsidRPr="00E3331A">
        <w:t xml:space="preserve">(2017). The authors used </w:t>
      </w:r>
      <w:r w:rsidR="00B32111" w:rsidRPr="00E3331A">
        <w:t>data</w:t>
      </w:r>
      <w:r w:rsidRPr="00E3331A">
        <w:t xml:space="preserve"> from the Australian Multiple Sclerosis Longitudinal Study undertaken in 2008. They transformed </w:t>
      </w:r>
      <w:r w:rsidR="00E810A5" w:rsidRPr="00E3331A">
        <w:t>responses</w:t>
      </w:r>
      <w:r w:rsidR="00A960DC" w:rsidRPr="00E3331A">
        <w:t xml:space="preserve"> to the </w:t>
      </w:r>
      <w:r w:rsidR="00B32111" w:rsidRPr="00E3331A">
        <w:t>World Health Organisation</w:t>
      </w:r>
      <w:r w:rsidR="00A960DC" w:rsidRPr="00E3331A">
        <w:t xml:space="preserve"> (WHOQOL-100 </w:t>
      </w:r>
      <w:r w:rsidR="00E810A5" w:rsidRPr="00E3331A">
        <w:t>quality</w:t>
      </w:r>
      <w:r w:rsidR="00A960DC" w:rsidRPr="00E3331A">
        <w:t xml:space="preserve"> of life measurement instrument) to EQ-5D values for mild, moderate and severe Multiple Sclerosis states. Mild severity was defined using Expanded Disability Status Scale (EDSS) levels of 0–3.5, moderate 4–6 and severe levels 6.5–9.5. Utility values of 0.614, 0.506 and 0.404 </w:t>
      </w:r>
      <w:r w:rsidR="00B32111" w:rsidRPr="00E3331A">
        <w:t xml:space="preserve">were calculated </w:t>
      </w:r>
      <w:r w:rsidR="00A960DC" w:rsidRPr="00E3331A">
        <w:t xml:space="preserve">for each state, respectively. </w:t>
      </w:r>
    </w:p>
    <w:p w:rsidR="00BD71F7" w:rsidRPr="00E3331A" w:rsidRDefault="00B32111">
      <w:pPr>
        <w:pStyle w:val="BodyTextSTD"/>
      </w:pPr>
      <w:r w:rsidRPr="00E3331A">
        <w:t>Multiple Sclerosis p</w:t>
      </w:r>
      <w:r w:rsidR="00A960DC" w:rsidRPr="00E3331A">
        <w:t>atients with a</w:t>
      </w:r>
      <w:r w:rsidRPr="00E3331A">
        <w:t>n EDSS</w:t>
      </w:r>
      <w:r w:rsidR="00A960DC" w:rsidRPr="00E3331A">
        <w:t xml:space="preserve"> score of less than 4 are a</w:t>
      </w:r>
      <w:r w:rsidR="00EF6559" w:rsidRPr="00E3331A">
        <w:t xml:space="preserve">ble to walk without impairment, therefore </w:t>
      </w:r>
      <w:r w:rsidR="00E810A5" w:rsidRPr="00E3331A">
        <w:t>moderate</w:t>
      </w:r>
      <w:r w:rsidR="00EF6559" w:rsidRPr="00E3331A">
        <w:t xml:space="preserve"> and severe patients </w:t>
      </w:r>
      <w:r w:rsidRPr="00E3331A">
        <w:t xml:space="preserve">broadly </w:t>
      </w:r>
      <w:r w:rsidR="00EF6559" w:rsidRPr="00E3331A">
        <w:t xml:space="preserve">correspond with the disabled </w:t>
      </w:r>
      <w:r w:rsidRPr="00E3331A">
        <w:t xml:space="preserve">CIDP </w:t>
      </w:r>
      <w:r w:rsidR="00EF6559" w:rsidRPr="00E3331A">
        <w:t xml:space="preserve">state in the economic model. Clinical feedback during preparation of the </w:t>
      </w:r>
      <w:r w:rsidR="00BE54F2">
        <w:t>A</w:t>
      </w:r>
      <w:r w:rsidR="00EF6559" w:rsidRPr="00E3331A">
        <w:t xml:space="preserve">ssessment indicated 15% of disabled </w:t>
      </w:r>
      <w:r w:rsidRPr="00E3331A">
        <w:t xml:space="preserve">CIDP </w:t>
      </w:r>
      <w:r w:rsidR="00EF6559" w:rsidRPr="00E3331A">
        <w:t>patients would be severe and the remainder moderate. Based on this proportion</w:t>
      </w:r>
      <w:r w:rsidRPr="00E3331A">
        <w:t>,</w:t>
      </w:r>
      <w:r w:rsidR="00EF6559" w:rsidRPr="00E3331A">
        <w:t xml:space="preserve"> the CIDP disabled utility is estimated to be 0.49, or a disutility of -0.36 for a</w:t>
      </w:r>
      <w:r w:rsidRPr="00E3331A">
        <w:t>n Australian</w:t>
      </w:r>
      <w:r w:rsidR="00EF6559" w:rsidRPr="00E3331A">
        <w:t xml:space="preserve"> general population </w:t>
      </w:r>
      <w:r w:rsidRPr="00E3331A">
        <w:t xml:space="preserve">50-year-old </w:t>
      </w:r>
      <w:r w:rsidR="00EF6559" w:rsidRPr="00E3331A">
        <w:t>utility of 0.85</w:t>
      </w:r>
      <w:r w:rsidRPr="00E3331A">
        <w:t xml:space="preserve"> (Clemens </w:t>
      </w:r>
      <w:r w:rsidR="00983BA7">
        <w:t xml:space="preserve">et al. </w:t>
      </w:r>
      <w:r w:rsidRPr="00E3331A">
        <w:t>2014).</w:t>
      </w:r>
      <w:r w:rsidR="00EF6559" w:rsidRPr="00E3331A">
        <w:t xml:space="preserve"> This disutility is included in the economic model for disabled CIDP patients. It is less than that for other disability states reported in the literature. For example, d</w:t>
      </w:r>
      <w:r w:rsidR="00BD71F7" w:rsidRPr="00E3331A">
        <w:t xml:space="preserve">isabling stroke </w:t>
      </w:r>
      <w:r w:rsidR="00685F63" w:rsidRPr="00E3331A">
        <w:t>was estimate</w:t>
      </w:r>
      <w:r w:rsidR="00724544" w:rsidRPr="00E3331A">
        <w:t>d</w:t>
      </w:r>
      <w:r w:rsidR="00685F63" w:rsidRPr="00E3331A">
        <w:t xml:space="preserve"> to have a utility of </w:t>
      </w:r>
      <w:r w:rsidR="00BD71F7" w:rsidRPr="00E3331A">
        <w:t xml:space="preserve">0.39 </w:t>
      </w:r>
      <w:r w:rsidR="00685F63" w:rsidRPr="00E3331A">
        <w:t>in studies such as</w:t>
      </w:r>
      <w:r w:rsidR="00BD71F7" w:rsidRPr="00E3331A">
        <w:t xml:space="preserve"> Wu et al. (2014)</w:t>
      </w:r>
      <w:r w:rsidR="00840837" w:rsidRPr="00E3331A">
        <w:t xml:space="preserve"> </w:t>
      </w:r>
      <w:r w:rsidR="00685F63" w:rsidRPr="00E3331A">
        <w:t xml:space="preserve">and </w:t>
      </w:r>
      <w:r w:rsidR="00BD71F7" w:rsidRPr="00E3331A">
        <w:t xml:space="preserve">Shah </w:t>
      </w:r>
      <w:r w:rsidR="00840837" w:rsidRPr="00E3331A">
        <w:t>and</w:t>
      </w:r>
      <w:r w:rsidR="00BD71F7" w:rsidRPr="00E3331A">
        <w:t xml:space="preserve"> Gage (2011)</w:t>
      </w:r>
      <w:r w:rsidR="00685F63" w:rsidRPr="00E3331A">
        <w:t xml:space="preserve"> This represents a disutility of around -0.46</w:t>
      </w:r>
      <w:r w:rsidR="00302F15" w:rsidRPr="00E3331A">
        <w:t xml:space="preserve"> for a general population utility of 0.85</w:t>
      </w:r>
      <w:r w:rsidR="00685F63" w:rsidRPr="00E3331A">
        <w:t xml:space="preserve">. </w:t>
      </w:r>
      <w:r w:rsidR="00EF6559" w:rsidRPr="00E3331A">
        <w:t xml:space="preserve">The </w:t>
      </w:r>
      <w:r w:rsidRPr="00E3331A">
        <w:t xml:space="preserve">disabled utility </w:t>
      </w:r>
      <w:r w:rsidR="00EF6559" w:rsidRPr="00E3331A">
        <w:t>estimate is subject to sensitivity analysis.</w:t>
      </w:r>
    </w:p>
    <w:p w:rsidR="001F5B33" w:rsidRPr="00E3331A" w:rsidRDefault="007907E2" w:rsidP="00096949">
      <w:pPr>
        <w:pStyle w:val="Heading2"/>
      </w:pPr>
      <w:bookmarkStart w:id="357" w:name="_Toc24103497"/>
      <w:r w:rsidRPr="00E3331A">
        <w:t>C.4.</w:t>
      </w:r>
      <w:r w:rsidRPr="00E3331A">
        <w:tab/>
      </w:r>
      <w:r w:rsidR="001F5B33" w:rsidRPr="00E3331A">
        <w:t>Extrapolation translation issues</w:t>
      </w:r>
      <w:bookmarkEnd w:id="357"/>
    </w:p>
    <w:p w:rsidR="001F5B33" w:rsidRPr="00E3331A" w:rsidRDefault="001F5B33" w:rsidP="001F5B33">
      <w:pPr>
        <w:pStyle w:val="Heading3"/>
      </w:pPr>
      <w:bookmarkStart w:id="358" w:name="_Toc24103498"/>
      <w:r w:rsidRPr="00E3331A">
        <w:t>C.4.1</w:t>
      </w:r>
      <w:r w:rsidRPr="00E3331A">
        <w:tab/>
        <w:t>Identification of issue that needs to be addressed</w:t>
      </w:r>
      <w:bookmarkEnd w:id="358"/>
    </w:p>
    <w:p w:rsidR="001F5B33" w:rsidRPr="00E3331A" w:rsidRDefault="001F5B33" w:rsidP="00BB6E4C">
      <w:pPr>
        <w:pStyle w:val="BodyTextSTD"/>
      </w:pPr>
      <w:r w:rsidRPr="00E3331A">
        <w:t xml:space="preserve">Randomised trials included in Section B have a maximum follow-up of less than </w:t>
      </w:r>
      <w:r w:rsidR="008040A2" w:rsidRPr="00E3331A">
        <w:t xml:space="preserve">one </w:t>
      </w:r>
      <w:r w:rsidRPr="00E3331A">
        <w:t xml:space="preserve">year. The benefits of </w:t>
      </w:r>
      <w:r w:rsidR="003B5837" w:rsidRPr="00E3331A">
        <w:t xml:space="preserve">reduced </w:t>
      </w:r>
      <w:r w:rsidRPr="00E3331A">
        <w:t xml:space="preserve">corticosteroids </w:t>
      </w:r>
      <w:r w:rsidR="003B5837" w:rsidRPr="00E3331A">
        <w:t xml:space="preserve">adverse events </w:t>
      </w:r>
      <w:r w:rsidRPr="00E3331A">
        <w:t xml:space="preserve">are likely to be realised across a </w:t>
      </w:r>
      <w:r w:rsidR="00D77378" w:rsidRPr="00E3331A">
        <w:t>longer</w:t>
      </w:r>
      <w:r w:rsidR="008040A2" w:rsidRPr="00E3331A">
        <w:t>-</w:t>
      </w:r>
      <w:r w:rsidR="00D77378" w:rsidRPr="00E3331A">
        <w:t>term</w:t>
      </w:r>
      <w:r w:rsidRPr="00E3331A">
        <w:t xml:space="preserve"> horizon and not captured within this period of time. This pre-modelling study outlines the </w:t>
      </w:r>
      <w:r w:rsidR="00E0508C" w:rsidRPr="00E3331A">
        <w:t xml:space="preserve">assumptions </w:t>
      </w:r>
      <w:r w:rsidRPr="00E3331A">
        <w:t xml:space="preserve">for extrapolating data from a trial period of </w:t>
      </w:r>
      <w:r w:rsidR="008040A2" w:rsidRPr="00E3331A">
        <w:t xml:space="preserve">six </w:t>
      </w:r>
      <w:r w:rsidRPr="00E3331A">
        <w:t xml:space="preserve">months into a </w:t>
      </w:r>
      <w:r w:rsidR="00E0508C" w:rsidRPr="00E3331A">
        <w:t>10</w:t>
      </w:r>
      <w:r w:rsidRPr="00E3331A">
        <w:t xml:space="preserve">-year economic evaluation. </w:t>
      </w:r>
    </w:p>
    <w:p w:rsidR="001F5B33" w:rsidRPr="00E3331A" w:rsidRDefault="001F5B33" w:rsidP="001F5B33">
      <w:pPr>
        <w:pStyle w:val="Heading3"/>
        <w:keepLines/>
      </w:pPr>
      <w:bookmarkStart w:id="359" w:name="_Toc24103499"/>
      <w:r w:rsidRPr="00E3331A">
        <w:t>C.4.2</w:t>
      </w:r>
      <w:r w:rsidRPr="00E3331A">
        <w:tab/>
        <w:t>Focused analytical plan</w:t>
      </w:r>
      <w:bookmarkEnd w:id="359"/>
    </w:p>
    <w:p w:rsidR="001F5B33" w:rsidRPr="00E3331A" w:rsidRDefault="001F5B33" w:rsidP="00BB6E4C">
      <w:pPr>
        <w:pStyle w:val="BodyTextSTD"/>
      </w:pPr>
      <w:r w:rsidRPr="00E3331A">
        <w:t xml:space="preserve">Results of the economic model are separated into two analyses. The first step is a trial analysis in which all costs and health outcomes are quantified within </w:t>
      </w:r>
      <w:r w:rsidR="008040A2" w:rsidRPr="00E3331A">
        <w:t xml:space="preserve">six </w:t>
      </w:r>
      <w:r w:rsidRPr="00E3331A">
        <w:t xml:space="preserve">months. This corresponds with the time frame of major trials such as the Hughes </w:t>
      </w:r>
      <w:r w:rsidR="00983BA7">
        <w:t xml:space="preserve">et al. </w:t>
      </w:r>
      <w:r w:rsidRPr="00E3331A">
        <w:t xml:space="preserve">(2008) ICE study. A </w:t>
      </w:r>
      <w:r w:rsidR="00D77378" w:rsidRPr="00E3331A">
        <w:t>longer</w:t>
      </w:r>
      <w:r w:rsidR="008040A2" w:rsidRPr="00E3331A">
        <w:t>-</w:t>
      </w:r>
      <w:r w:rsidR="00D77378" w:rsidRPr="00E3331A">
        <w:t>term</w:t>
      </w:r>
      <w:r w:rsidRPr="00E3331A">
        <w:t xml:space="preserve"> projection of </w:t>
      </w:r>
      <w:r w:rsidR="00E0508C" w:rsidRPr="00E3331A">
        <w:t xml:space="preserve">10 </w:t>
      </w:r>
      <w:r w:rsidRPr="00E3331A">
        <w:t xml:space="preserve">years is also </w:t>
      </w:r>
      <w:r w:rsidR="00E810A5" w:rsidRPr="00E3331A">
        <w:t>undertaken,</w:t>
      </w:r>
      <w:r w:rsidRPr="00E3331A">
        <w:t xml:space="preserve"> and results of the model presented as an extrapolated analysis. Rates are converted to weekly equivalents and projected over the longer time frame. The sources of this data and sensitivity analyses undertaken where assumptions are uncertain are detailed.</w:t>
      </w:r>
    </w:p>
    <w:p w:rsidR="001F5B33" w:rsidRPr="00E3331A" w:rsidRDefault="001F5B33" w:rsidP="001F5B33">
      <w:pPr>
        <w:pStyle w:val="Heading3"/>
      </w:pPr>
      <w:bookmarkStart w:id="360" w:name="_Toc24103500"/>
      <w:r w:rsidRPr="00E3331A">
        <w:t>C.4.3</w:t>
      </w:r>
      <w:r w:rsidRPr="00E3331A">
        <w:tab/>
        <w:t>Results of pre-modelling study</w:t>
      </w:r>
      <w:bookmarkEnd w:id="360"/>
    </w:p>
    <w:p w:rsidR="00B97B0C" w:rsidRPr="00E3331A" w:rsidRDefault="001F5B33" w:rsidP="00BB6E4C">
      <w:pPr>
        <w:pStyle w:val="BodyTextSTD"/>
      </w:pPr>
      <w:r w:rsidRPr="00E3331A">
        <w:t xml:space="preserve">Assumptions included in the trial and </w:t>
      </w:r>
      <w:r w:rsidR="00E0508C" w:rsidRPr="00E3331A">
        <w:t>10</w:t>
      </w:r>
      <w:r w:rsidRPr="00E3331A">
        <w:t xml:space="preserve">-year models and their sources are outlined in </w:t>
      </w:r>
      <w:r w:rsidR="0087749D" w:rsidRPr="00E3331A">
        <w:t xml:space="preserve">Table </w:t>
      </w:r>
      <w:r w:rsidR="0087749D">
        <w:rPr>
          <w:noProof/>
        </w:rPr>
        <w:t>51</w:t>
      </w:r>
      <w:r w:rsidR="0087749D">
        <w:t xml:space="preserve">. </w:t>
      </w:r>
      <w:r w:rsidR="007C32D3" w:rsidRPr="00E3331A">
        <w:t xml:space="preserve">The IVIg response rate for initial treatment is a pooled response rate of 0.61 from the Zinman et al. (2005), Hughes et al. (2008) and Nobile-Orazio et al. (2012) studies. It is higher than the pooled estimate in Blackhouse </w:t>
      </w:r>
      <w:r w:rsidR="00983BA7">
        <w:t xml:space="preserve">et al. </w:t>
      </w:r>
      <w:r w:rsidR="007C32D3" w:rsidRPr="00E3331A">
        <w:t xml:space="preserve">2010 of 0.473. This lower pooled estimate included response rates </w:t>
      </w:r>
      <w:r w:rsidR="007C32D3" w:rsidRPr="00E3331A">
        <w:lastRenderedPageBreak/>
        <w:t>from the IVIg treatment arms of Zinman</w:t>
      </w:r>
      <w:r w:rsidR="0087749D">
        <w:t xml:space="preserve"> et al.</w:t>
      </w:r>
      <w:r w:rsidR="007C32D3" w:rsidRPr="00E3331A">
        <w:t xml:space="preserve"> (2005), Thompson</w:t>
      </w:r>
      <w:r w:rsidR="0087749D">
        <w:t xml:space="preserve"> et al.</w:t>
      </w:r>
      <w:r w:rsidR="007C32D3" w:rsidRPr="00E3331A">
        <w:t xml:space="preserve"> (1996), Mendell </w:t>
      </w:r>
      <w:r w:rsidR="0087749D">
        <w:t xml:space="preserve">et al. </w:t>
      </w:r>
      <w:r w:rsidR="007C32D3" w:rsidRPr="00E3331A">
        <w:t xml:space="preserve">(2001), Hughes </w:t>
      </w:r>
      <w:r w:rsidR="0087749D">
        <w:t xml:space="preserve">et al. </w:t>
      </w:r>
      <w:r w:rsidR="007C32D3" w:rsidRPr="00E3331A">
        <w:t>(2008), Vermuelen</w:t>
      </w:r>
      <w:r w:rsidR="0087749D">
        <w:t xml:space="preserve"> et al.</w:t>
      </w:r>
      <w:r w:rsidR="007C32D3" w:rsidRPr="00E3331A">
        <w:t xml:space="preserve"> (1993) and Hahn</w:t>
      </w:r>
      <w:r w:rsidR="0087749D">
        <w:t xml:space="preserve"> et al.</w:t>
      </w:r>
      <w:r w:rsidR="007C32D3" w:rsidRPr="00E3331A">
        <w:t xml:space="preserve"> (1996) which had limited months of follow-up.</w:t>
      </w:r>
      <w:r w:rsidR="00B97B0C" w:rsidRPr="00E3331A">
        <w:t xml:space="preserve"> </w:t>
      </w:r>
    </w:p>
    <w:p w:rsidR="00B97B0C" w:rsidRPr="00E3331A" w:rsidRDefault="001F5B33" w:rsidP="00BB6E4C">
      <w:pPr>
        <w:pStyle w:val="BodyTextSTD"/>
      </w:pPr>
      <w:r w:rsidRPr="00E3331A">
        <w:t>The I</w:t>
      </w:r>
      <w:r w:rsidR="00546AEF" w:rsidRPr="00E3331A">
        <w:t>g</w:t>
      </w:r>
      <w:r w:rsidRPr="00E3331A">
        <w:t xml:space="preserve"> relapse rate was taken from the Hughes et </w:t>
      </w:r>
      <w:r w:rsidR="0087749D">
        <w:t xml:space="preserve">al. </w:t>
      </w:r>
      <w:r w:rsidR="003B5837" w:rsidRPr="00E3331A">
        <w:t>(</w:t>
      </w:r>
      <w:r w:rsidRPr="00E3331A">
        <w:t>2008</w:t>
      </w:r>
      <w:r w:rsidR="003B5837" w:rsidRPr="00E3331A">
        <w:t>)</w:t>
      </w:r>
      <w:r w:rsidRPr="00E3331A">
        <w:t xml:space="preserve"> ICE study. Blackhouse </w:t>
      </w:r>
      <w:r w:rsidR="00983BA7">
        <w:t xml:space="preserve">et al. </w:t>
      </w:r>
      <w:r w:rsidRPr="00E3331A">
        <w:t xml:space="preserve">(2010) noted </w:t>
      </w:r>
      <w:r w:rsidR="00546AEF" w:rsidRPr="00E3331A">
        <w:t xml:space="preserve">that </w:t>
      </w:r>
      <w:r w:rsidRPr="00E3331A">
        <w:t xml:space="preserve">this was the only study </w:t>
      </w:r>
      <w:r w:rsidR="00546AEF" w:rsidRPr="00E3331A">
        <w:t xml:space="preserve">to </w:t>
      </w:r>
      <w:r w:rsidRPr="00E3331A">
        <w:t xml:space="preserve">report relapse rates over a </w:t>
      </w:r>
      <w:r w:rsidR="00546AEF" w:rsidRPr="00E3331A">
        <w:t>6</w:t>
      </w:r>
      <w:r w:rsidRPr="00E3331A">
        <w:t>-month period. The 25-week relapse rate for I</w:t>
      </w:r>
      <w:r w:rsidR="00546AEF" w:rsidRPr="00E3331A">
        <w:t>g</w:t>
      </w:r>
      <w:r w:rsidRPr="00E3331A">
        <w:t xml:space="preserve"> in this study was estimated to be 13%</w:t>
      </w:r>
      <w:r w:rsidR="00546AEF" w:rsidRPr="00E3331A">
        <w:t>,</w:t>
      </w:r>
      <w:r w:rsidRPr="00E3331A">
        <w:t xml:space="preserve"> converted to a weekly probability using -(LN(1-0.13))/25. </w:t>
      </w:r>
      <w:r w:rsidR="00B97B0C" w:rsidRPr="00E3331A">
        <w:t>The ICE study does not extrapolate beyond 1-year; therefore, the proportion of responding patients is assumed to be stable beyond 12 months. Based on this assumption</w:t>
      </w:r>
      <w:r w:rsidR="009856EC" w:rsidRPr="00E3331A">
        <w:t>,</w:t>
      </w:r>
      <w:r w:rsidR="00B97B0C" w:rsidRPr="00E3331A">
        <w:t xml:space="preserve"> around half of Ig patients are retained on this therapy after 10-years.</w:t>
      </w:r>
    </w:p>
    <w:p w:rsidR="001F5B33" w:rsidRPr="00E3331A" w:rsidRDefault="001F5B33" w:rsidP="00BB6E4C">
      <w:pPr>
        <w:pStyle w:val="BodyTextSTD"/>
      </w:pPr>
      <w:r w:rsidRPr="00E3331A">
        <w:t xml:space="preserve">Steroid therapy response rates have been reported in a number of studies. </w:t>
      </w:r>
      <w:r w:rsidR="00857459" w:rsidRPr="00E3331A">
        <w:t>A</w:t>
      </w:r>
      <w:r w:rsidRPr="00E3331A">
        <w:t xml:space="preserve"> 77% response was reported by Lopate et al. </w:t>
      </w:r>
      <w:r w:rsidR="001A27B7" w:rsidRPr="00E3331A">
        <w:t xml:space="preserve">(2005) </w:t>
      </w:r>
      <w:r w:rsidRPr="00E3331A">
        <w:t xml:space="preserve">who treated CIDP patients with IVMP pulse therapy over </w:t>
      </w:r>
      <w:r w:rsidR="00857459" w:rsidRPr="00E3331A">
        <w:t xml:space="preserve">six </w:t>
      </w:r>
      <w:r w:rsidRPr="00E3331A">
        <w:t xml:space="preserve">months. Nobile-Orazio et al. </w:t>
      </w:r>
      <w:r w:rsidR="001A27B7" w:rsidRPr="00E3331A">
        <w:t xml:space="preserve">(2015) </w:t>
      </w:r>
      <w:r w:rsidRPr="00E3331A">
        <w:t xml:space="preserve">administrated </w:t>
      </w:r>
      <w:r w:rsidR="00857459" w:rsidRPr="00E3331A">
        <w:t xml:space="preserve">IV </w:t>
      </w:r>
      <w:r w:rsidRPr="00E3331A">
        <w:t xml:space="preserve">methylprednisolone, with a response rate of 48%. Muley et al. </w:t>
      </w:r>
      <w:r w:rsidR="001A27B7" w:rsidRPr="00E3331A">
        <w:t xml:space="preserve">(2008) </w:t>
      </w:r>
      <w:r w:rsidRPr="00E3331A">
        <w:t>provide</w:t>
      </w:r>
      <w:r w:rsidR="001A27B7" w:rsidRPr="00E3331A">
        <w:t>d</w:t>
      </w:r>
      <w:r w:rsidRPr="00E3331A">
        <w:t xml:space="preserve"> once-weekly oral </w:t>
      </w:r>
      <w:r w:rsidR="001A27B7" w:rsidRPr="00E3331A">
        <w:t xml:space="preserve">steroids </w:t>
      </w:r>
      <w:r w:rsidRPr="00E3331A">
        <w:t xml:space="preserve">for three months, with remission reported in 60% of patients. Eftimov et al. </w:t>
      </w:r>
      <w:r w:rsidR="001A27B7" w:rsidRPr="00E3331A">
        <w:t>(2012) f</w:t>
      </w:r>
      <w:r w:rsidRPr="00E3331A">
        <w:t xml:space="preserve">ollowed patients for </w:t>
      </w:r>
      <w:r w:rsidR="00857459" w:rsidRPr="00E3331A">
        <w:t xml:space="preserve">five </w:t>
      </w:r>
      <w:r w:rsidRPr="00E3331A">
        <w:t>years</w:t>
      </w:r>
      <w:r w:rsidR="00857459" w:rsidRPr="00E3331A">
        <w:t xml:space="preserve">, reporting that 33% </w:t>
      </w:r>
      <w:r w:rsidRPr="00E3331A">
        <w:t xml:space="preserve">of patients had cure or remission, 33% had stable active disease and 10% had unstable active disease. After </w:t>
      </w:r>
      <w:r w:rsidR="00857459" w:rsidRPr="00E3331A">
        <w:t xml:space="preserve">five </w:t>
      </w:r>
      <w:r w:rsidRPr="00E3331A">
        <w:t xml:space="preserve">years, 12.5% of dexamethasone patients had hypertension, 12.4% Cushing </w:t>
      </w:r>
      <w:r w:rsidR="001A27B7" w:rsidRPr="00E3331A">
        <w:t xml:space="preserve">appearance </w:t>
      </w:r>
      <w:r w:rsidRPr="00E3331A">
        <w:t xml:space="preserve">and 8.3% fractures. </w:t>
      </w:r>
    </w:p>
    <w:p w:rsidR="001F5B33" w:rsidRPr="00E3331A" w:rsidRDefault="001F5B33" w:rsidP="00BB6E4C">
      <w:pPr>
        <w:pStyle w:val="BodyTextSTD"/>
      </w:pPr>
      <w:r w:rsidRPr="00E3331A">
        <w:t xml:space="preserve">Boru </w:t>
      </w:r>
      <w:r w:rsidR="00983BA7">
        <w:t xml:space="preserve">et al. </w:t>
      </w:r>
      <w:r w:rsidR="001A27B7" w:rsidRPr="00E3331A">
        <w:t>(</w:t>
      </w:r>
      <w:r w:rsidRPr="00E3331A">
        <w:t>2014</w:t>
      </w:r>
      <w:r w:rsidR="001A27B7" w:rsidRPr="00E3331A">
        <w:t>)</w:t>
      </w:r>
      <w:r w:rsidRPr="00E3331A">
        <w:t xml:space="preserve"> also presen</w:t>
      </w:r>
      <w:r w:rsidR="00857459" w:rsidRPr="00E3331A">
        <w:t>ted</w:t>
      </w:r>
      <w:r w:rsidRPr="00E3331A">
        <w:t xml:space="preserve"> longer</w:t>
      </w:r>
      <w:r w:rsidR="00857459" w:rsidRPr="00E3331A">
        <w:t>-</w:t>
      </w:r>
      <w:r w:rsidRPr="00E3331A">
        <w:t>term data. The</w:t>
      </w:r>
      <w:r w:rsidR="00857459" w:rsidRPr="00E3331A">
        <w:t xml:space="preserve"> authors</w:t>
      </w:r>
      <w:r w:rsidRPr="00E3331A">
        <w:t xml:space="preserve"> retrospectively evaluated 20 CIDP patients treated with monthly high</w:t>
      </w:r>
      <w:r w:rsidR="00D45BCF" w:rsidRPr="00E3331A">
        <w:t>-</w:t>
      </w:r>
      <w:r w:rsidRPr="00E3331A">
        <w:t>dose IV methylprednisolone for five years, then followed</w:t>
      </w:r>
      <w:r w:rsidR="000C0E99">
        <w:t>-</w:t>
      </w:r>
      <w:r w:rsidRPr="00E3331A">
        <w:t xml:space="preserve">up for 10 years. </w:t>
      </w:r>
      <w:r w:rsidR="00DB4D7C" w:rsidRPr="00E3331A">
        <w:t>Patients who d</w:t>
      </w:r>
      <w:r w:rsidRPr="00E3331A">
        <w:t>rop</w:t>
      </w:r>
      <w:r w:rsidR="00DB4D7C" w:rsidRPr="00E3331A">
        <w:t>ped</w:t>
      </w:r>
      <w:r w:rsidRPr="00E3331A">
        <w:t xml:space="preserve"> out </w:t>
      </w:r>
      <w:r w:rsidR="00DB4D7C" w:rsidRPr="00E3331A">
        <w:t>of the study included t</w:t>
      </w:r>
      <w:r w:rsidRPr="00E3331A">
        <w:t xml:space="preserve">wo patients </w:t>
      </w:r>
      <w:r w:rsidR="00DB4D7C" w:rsidRPr="00E3331A">
        <w:t xml:space="preserve">who </w:t>
      </w:r>
      <w:r w:rsidRPr="00E3331A">
        <w:t xml:space="preserve">moved cities, </w:t>
      </w:r>
      <w:r w:rsidR="00DB4D7C" w:rsidRPr="00E3331A">
        <w:t xml:space="preserve">and </w:t>
      </w:r>
      <w:r w:rsidRPr="00E3331A">
        <w:t xml:space="preserve">others </w:t>
      </w:r>
      <w:r w:rsidR="00DB4D7C" w:rsidRPr="00E3331A">
        <w:t xml:space="preserve">who </w:t>
      </w:r>
      <w:r w:rsidRPr="00E3331A">
        <w:t xml:space="preserve">ceased treatment due to side effects like hypertension and intractable nausea (1 patient), pregnancy (1 patient) and no response to treatment (1 patient). Osteopenia was found in 6.7% of patients, increased body weight in 40% of patients and impaired glucose tolerance in 20% of patients after 10 years. Diabetes and hypertension did not occur in any patients. </w:t>
      </w:r>
      <w:r w:rsidR="00DB4D7C" w:rsidRPr="00E3331A">
        <w:t>V</w:t>
      </w:r>
      <w:r w:rsidRPr="00E3331A">
        <w:t xml:space="preserve">an Lieverloo </w:t>
      </w:r>
      <w:r w:rsidR="00983BA7">
        <w:t xml:space="preserve">et al. </w:t>
      </w:r>
      <w:r w:rsidR="00DB4D7C" w:rsidRPr="00E3331A">
        <w:t>(</w:t>
      </w:r>
      <w:r w:rsidRPr="00E3331A">
        <w:t>2018</w:t>
      </w:r>
      <w:r w:rsidR="00DB4D7C" w:rsidRPr="00E3331A">
        <w:t>)</w:t>
      </w:r>
      <w:r w:rsidRPr="00E3331A">
        <w:t xml:space="preserve"> administered either prednisolone, pulsed dexamethasone, or pulsed </w:t>
      </w:r>
      <w:r w:rsidR="00DB4D7C" w:rsidRPr="00E3331A">
        <w:t xml:space="preserve">IV </w:t>
      </w:r>
      <w:r w:rsidRPr="00E3331A">
        <w:t xml:space="preserve">methylprednisolone and found </w:t>
      </w:r>
      <w:r w:rsidR="00DB4D7C" w:rsidRPr="00E3331A">
        <w:t xml:space="preserve">that </w:t>
      </w:r>
      <w:r w:rsidRPr="00E3331A">
        <w:t>60% of patients responded to corticosteroids</w:t>
      </w:r>
      <w:r w:rsidR="00DB4D7C" w:rsidRPr="00E3331A">
        <w:t>.</w:t>
      </w:r>
      <w:r w:rsidRPr="00E3331A">
        <w:t xml:space="preserve"> </w:t>
      </w:r>
      <w:r w:rsidR="00DB4D7C" w:rsidRPr="00E3331A">
        <w:t>O</w:t>
      </w:r>
      <w:r w:rsidRPr="00E3331A">
        <w:t xml:space="preserve">f the 75 responders, 61% remained in remission during a median follow-up of 55 months. </w:t>
      </w:r>
    </w:p>
    <w:p w:rsidR="001A27B7" w:rsidRPr="00E3331A" w:rsidRDefault="001F5B33" w:rsidP="00BB6E4C">
      <w:pPr>
        <w:pStyle w:val="BodyTextSTD"/>
      </w:pPr>
      <w:r w:rsidRPr="00E3331A">
        <w:t xml:space="preserve">Patient baseline population characteristics vary among </w:t>
      </w:r>
      <w:r w:rsidR="001A27B7" w:rsidRPr="00E3331A">
        <w:t>the above steroid studies</w:t>
      </w:r>
      <w:r w:rsidR="00DB4D7C" w:rsidRPr="00E3331A">
        <w:t>.</w:t>
      </w:r>
      <w:r w:rsidRPr="00E3331A">
        <w:t xml:space="preserve"> </w:t>
      </w:r>
      <w:r w:rsidR="00DB4D7C" w:rsidRPr="00E3331A">
        <w:t>S</w:t>
      </w:r>
      <w:r w:rsidRPr="00E3331A">
        <w:t>ome preclud</w:t>
      </w:r>
      <w:r w:rsidR="00DB4D7C" w:rsidRPr="00E3331A">
        <w:t>ed</w:t>
      </w:r>
      <w:r w:rsidRPr="00E3331A">
        <w:t xml:space="preserve"> those contra</w:t>
      </w:r>
      <w:r w:rsidR="00D45BCF" w:rsidRPr="00E3331A">
        <w:t>indicated</w:t>
      </w:r>
      <w:r w:rsidRPr="00E3331A">
        <w:t xml:space="preserve"> to steroids and others </w:t>
      </w:r>
      <w:r w:rsidR="00DB4D7C" w:rsidRPr="00E3331A">
        <w:t xml:space="preserve">do </w:t>
      </w:r>
      <w:r w:rsidRPr="00E3331A">
        <w:t>not.</w:t>
      </w:r>
      <w:r w:rsidR="001A27B7" w:rsidRPr="00E3331A">
        <w:t xml:space="preserve"> A weekly non-response probab</w:t>
      </w:r>
      <w:r w:rsidR="00913128" w:rsidRPr="00E3331A">
        <w:t>i</w:t>
      </w:r>
      <w:r w:rsidR="001A27B7" w:rsidRPr="00E3331A">
        <w:t>l</w:t>
      </w:r>
      <w:r w:rsidR="00913128" w:rsidRPr="00E3331A">
        <w:t>it</w:t>
      </w:r>
      <w:r w:rsidR="001A27B7" w:rsidRPr="00E3331A">
        <w:t xml:space="preserve">y is included so 40% of the steroid arm is responsive after 5-years. Non-responsive patients and those with AEs transition to </w:t>
      </w:r>
      <w:r w:rsidR="003B09AB">
        <w:t>immunosuppressants</w:t>
      </w:r>
      <w:r w:rsidR="001A27B7" w:rsidRPr="00E3331A">
        <w:t>. It is assumed the proportion of responsive patients is stable after 5-years.</w:t>
      </w:r>
    </w:p>
    <w:p w:rsidR="001A27B7" w:rsidRPr="00E3331A" w:rsidRDefault="001A27B7" w:rsidP="00BB6E4C">
      <w:pPr>
        <w:pStyle w:val="BodyTextSTD"/>
      </w:pPr>
      <w:r w:rsidRPr="00E3331A">
        <w:t xml:space="preserve">Bamrungsawad </w:t>
      </w:r>
      <w:r w:rsidR="00983BA7">
        <w:t xml:space="preserve">et al. </w:t>
      </w:r>
      <w:r w:rsidRPr="00E3331A">
        <w:t xml:space="preserve">(2016) included a zero probability of response to immunosuppressant plus corticosteroids. A 99.99% non-response rate at 1-year is converted to weekly rate of </w:t>
      </w:r>
      <w:r w:rsidR="00494FCA" w:rsidRPr="00E3331A">
        <w:t>0.66422</w:t>
      </w:r>
      <w:r w:rsidR="003B5837" w:rsidRPr="00E3331A">
        <w:t xml:space="preserve"> for steroid</w:t>
      </w:r>
      <w:r w:rsidR="00417823">
        <w:t>-</w:t>
      </w:r>
      <w:r w:rsidR="003B5837" w:rsidRPr="00E3331A">
        <w:t>resistant patients</w:t>
      </w:r>
      <w:r w:rsidRPr="00E3331A">
        <w:t xml:space="preserve">. </w:t>
      </w:r>
      <w:r w:rsidR="003B5837" w:rsidRPr="00E3331A">
        <w:t>It is assumed that 75% of patients in steroid adverse event states would be non-</w:t>
      </w:r>
      <w:r w:rsidR="00E810A5" w:rsidRPr="00E3331A">
        <w:t>respondent</w:t>
      </w:r>
      <w:r w:rsidR="003B5837" w:rsidRPr="00E3331A">
        <w:t xml:space="preserve"> to </w:t>
      </w:r>
      <w:r w:rsidR="00E810A5">
        <w:t>immunosuppressants</w:t>
      </w:r>
      <w:r w:rsidR="003B09AB" w:rsidRPr="00E3331A">
        <w:t xml:space="preserve"> </w:t>
      </w:r>
      <w:r w:rsidR="003B5837" w:rsidRPr="00E3331A">
        <w:t>after one year</w:t>
      </w:r>
      <w:r w:rsidR="00497E19" w:rsidRPr="00E3331A">
        <w:t>.</w:t>
      </w:r>
      <w:r w:rsidR="003B5837" w:rsidRPr="00E3331A">
        <w:t xml:space="preserve"> Bamrungsawad </w:t>
      </w:r>
      <w:r w:rsidR="00983BA7">
        <w:t xml:space="preserve">et al. </w:t>
      </w:r>
      <w:r w:rsidR="003B5837" w:rsidRPr="00E3331A">
        <w:t xml:space="preserve">(2016) </w:t>
      </w:r>
      <w:r w:rsidR="0015646F" w:rsidRPr="00E3331A">
        <w:t xml:space="preserve">also </w:t>
      </w:r>
      <w:r w:rsidR="0015646F" w:rsidRPr="00E3331A">
        <w:lastRenderedPageBreak/>
        <w:t xml:space="preserve">estimated the proportion of non-responding immunosuppressant plus corticosteroids patients who would become disabled. They defined a disabled patient as someone with an MRC scale for one muscle group of three or less. Using </w:t>
      </w:r>
      <w:r w:rsidR="00497E19" w:rsidRPr="00E3331A">
        <w:t>these criteria</w:t>
      </w:r>
      <w:r w:rsidR="0015646F" w:rsidRPr="00E3331A">
        <w:t xml:space="preserve"> 24/29 (82.76 %) of non-responding immunosuppressant CIDP patients were found to be disabled when medical records were </w:t>
      </w:r>
      <w:r w:rsidR="009856EC" w:rsidRPr="00E3331A">
        <w:t>reviewed</w:t>
      </w:r>
      <w:r w:rsidR="0015646F" w:rsidRPr="00E3331A">
        <w:t>. The probability of becoming disabled in patients not responding to therapy was 0.098 over 12 weeks, or 0.0086 per week.</w:t>
      </w:r>
    </w:p>
    <w:p w:rsidR="001F5B33" w:rsidRPr="00E3331A" w:rsidRDefault="0015646F">
      <w:pPr>
        <w:pStyle w:val="Caption"/>
      </w:pPr>
      <w:bookmarkStart w:id="361" w:name="_Ref23765816"/>
      <w:bookmarkStart w:id="362" w:name="_Toc24103357"/>
      <w:r w:rsidRPr="00E3331A">
        <w:t xml:space="preserve">Table </w:t>
      </w:r>
      <w:r w:rsidR="006F35B9">
        <w:rPr>
          <w:noProof/>
        </w:rPr>
        <w:t>51</w:t>
      </w:r>
      <w:bookmarkEnd w:id="361"/>
      <w:r w:rsidR="000F080F" w:rsidRPr="00E3331A">
        <w:rPr>
          <w:noProof/>
        </w:rPr>
        <w:tab/>
      </w:r>
      <w:r w:rsidR="001F5B33" w:rsidRPr="00E3331A">
        <w:t xml:space="preserve">Summary of </w:t>
      </w:r>
      <w:r w:rsidRPr="00E3331A">
        <w:t xml:space="preserve">response and relapse assumptions for </w:t>
      </w:r>
      <w:r w:rsidR="001F5B33" w:rsidRPr="00E3331A">
        <w:t>extrapolation</w:t>
      </w:r>
      <w:bookmarkEnd w:id="362"/>
      <w:r w:rsidR="001F5B33" w:rsidRPr="00E3331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91"/>
        <w:gridCol w:w="3616"/>
        <w:gridCol w:w="1134"/>
        <w:gridCol w:w="1134"/>
        <w:gridCol w:w="941"/>
      </w:tblGrid>
      <w:tr w:rsidR="00C27ECE" w:rsidRPr="00E3331A" w:rsidTr="00304276">
        <w:trPr>
          <w:cantSplit/>
          <w:tblHeader/>
        </w:trPr>
        <w:tc>
          <w:tcPr>
            <w:tcW w:w="2191" w:type="dxa"/>
            <w:vMerge w:val="restart"/>
            <w:shd w:val="clear" w:color="auto" w:fill="D9D9D9"/>
            <w:vAlign w:val="center"/>
          </w:tcPr>
          <w:p w:rsidR="00C27ECE" w:rsidRPr="00E3331A" w:rsidRDefault="00C27ECE" w:rsidP="00AC2DD2">
            <w:pPr>
              <w:pStyle w:val="TableHeading"/>
            </w:pPr>
            <w:r w:rsidRPr="00E3331A">
              <w:t>Parameter</w:t>
            </w:r>
          </w:p>
        </w:tc>
        <w:tc>
          <w:tcPr>
            <w:tcW w:w="3616" w:type="dxa"/>
            <w:vMerge w:val="restart"/>
            <w:shd w:val="clear" w:color="auto" w:fill="D9D9D9"/>
            <w:vAlign w:val="center"/>
          </w:tcPr>
          <w:p w:rsidR="00C27ECE" w:rsidRPr="00E3331A" w:rsidRDefault="00C27ECE" w:rsidP="00AC2DD2">
            <w:pPr>
              <w:pStyle w:val="TableHeading"/>
            </w:pPr>
            <w:r w:rsidRPr="00E3331A">
              <w:t>Study</w:t>
            </w:r>
          </w:p>
        </w:tc>
        <w:tc>
          <w:tcPr>
            <w:tcW w:w="3209" w:type="dxa"/>
            <w:gridSpan w:val="3"/>
            <w:shd w:val="clear" w:color="auto" w:fill="D9D9D9"/>
            <w:vAlign w:val="center"/>
          </w:tcPr>
          <w:p w:rsidR="00C27ECE" w:rsidRPr="00E3331A" w:rsidRDefault="00C27ECE" w:rsidP="00AC2DD2">
            <w:pPr>
              <w:pStyle w:val="TableHeading"/>
              <w:jc w:val="center"/>
            </w:pPr>
            <w:r w:rsidRPr="00E3331A">
              <w:t>Weekly rates</w:t>
            </w:r>
          </w:p>
        </w:tc>
      </w:tr>
      <w:tr w:rsidR="00C27ECE" w:rsidRPr="00E3331A" w:rsidTr="00304276">
        <w:trPr>
          <w:cantSplit/>
          <w:tblHeader/>
        </w:trPr>
        <w:tc>
          <w:tcPr>
            <w:tcW w:w="2191" w:type="dxa"/>
            <w:vMerge/>
            <w:shd w:val="clear" w:color="auto" w:fill="D9D9D9"/>
            <w:vAlign w:val="center"/>
          </w:tcPr>
          <w:p w:rsidR="00C27ECE" w:rsidRPr="00E3331A" w:rsidRDefault="00C27ECE" w:rsidP="00AC2DD2">
            <w:pPr>
              <w:pStyle w:val="TableHeading"/>
            </w:pPr>
          </w:p>
        </w:tc>
        <w:tc>
          <w:tcPr>
            <w:tcW w:w="3616" w:type="dxa"/>
            <w:vMerge/>
            <w:shd w:val="clear" w:color="auto" w:fill="D9D9D9"/>
            <w:vAlign w:val="center"/>
          </w:tcPr>
          <w:p w:rsidR="00C27ECE" w:rsidRPr="00E3331A" w:rsidRDefault="00C27ECE" w:rsidP="00AC2DD2">
            <w:pPr>
              <w:pStyle w:val="TableHeading"/>
            </w:pPr>
          </w:p>
        </w:tc>
        <w:tc>
          <w:tcPr>
            <w:tcW w:w="1134" w:type="dxa"/>
            <w:shd w:val="clear" w:color="auto" w:fill="D9D9D9"/>
            <w:vAlign w:val="center"/>
          </w:tcPr>
          <w:p w:rsidR="00C27ECE" w:rsidRPr="00E3331A" w:rsidRDefault="00C27ECE" w:rsidP="00AC2DD2">
            <w:pPr>
              <w:pStyle w:val="TableHeading"/>
            </w:pPr>
            <w:r w:rsidRPr="00E3331A">
              <w:t>0-1 years</w:t>
            </w:r>
          </w:p>
        </w:tc>
        <w:tc>
          <w:tcPr>
            <w:tcW w:w="1134" w:type="dxa"/>
            <w:shd w:val="clear" w:color="auto" w:fill="D9D9D9"/>
            <w:vAlign w:val="center"/>
          </w:tcPr>
          <w:p w:rsidR="00C27ECE" w:rsidRPr="00E3331A" w:rsidRDefault="00C27ECE" w:rsidP="00AC2DD2">
            <w:pPr>
              <w:pStyle w:val="TableHeading"/>
            </w:pPr>
            <w:r w:rsidRPr="00E3331A">
              <w:t>1 to 5 years</w:t>
            </w:r>
          </w:p>
        </w:tc>
        <w:tc>
          <w:tcPr>
            <w:tcW w:w="941" w:type="dxa"/>
            <w:shd w:val="clear" w:color="auto" w:fill="D9D9D9"/>
            <w:vAlign w:val="center"/>
          </w:tcPr>
          <w:p w:rsidR="00C27ECE" w:rsidRPr="00E3331A" w:rsidRDefault="00C27ECE" w:rsidP="00AC2DD2">
            <w:pPr>
              <w:pStyle w:val="TableHeading"/>
            </w:pPr>
            <w:r w:rsidRPr="00E3331A">
              <w:t>5+ years</w:t>
            </w:r>
          </w:p>
        </w:tc>
      </w:tr>
      <w:tr w:rsidR="008D0E46" w:rsidRPr="00E3331A" w:rsidTr="00304276">
        <w:trPr>
          <w:cantSplit/>
          <w:trHeight w:val="1087"/>
        </w:trPr>
        <w:tc>
          <w:tcPr>
            <w:tcW w:w="2191" w:type="dxa"/>
            <w:vAlign w:val="center"/>
          </w:tcPr>
          <w:p w:rsidR="008D0E46" w:rsidRPr="00E3331A" w:rsidRDefault="008D0E46" w:rsidP="008D0E46">
            <w:pPr>
              <w:pStyle w:val="Tablenotes0"/>
            </w:pPr>
            <w:r w:rsidRPr="00E3331A">
              <w:t>Ig response probability</w:t>
            </w:r>
          </w:p>
        </w:tc>
        <w:tc>
          <w:tcPr>
            <w:tcW w:w="3616" w:type="dxa"/>
            <w:vAlign w:val="center"/>
          </w:tcPr>
          <w:p w:rsidR="008D0E46" w:rsidRPr="00E3331A" w:rsidRDefault="008D0E46" w:rsidP="008D0E46">
            <w:pPr>
              <w:pStyle w:val="Tablenotes0"/>
            </w:pPr>
            <w:r w:rsidRPr="00E3331A">
              <w:t xml:space="preserve">The IVIg response rate for initial treatment is a pooled response rate from the Zinman et al. (2005), Hughes et al. (2008) and Nobile-Orazio et al. (2012) studies. It is higher than the pooled estimate in Blackhouse </w:t>
            </w:r>
            <w:r w:rsidR="00983BA7">
              <w:t xml:space="preserve">et al. </w:t>
            </w:r>
            <w:r w:rsidRPr="00E3331A">
              <w:t xml:space="preserve">2010 of 0.473. This calculation included response rates from the Ig treatment arms of Zinman (2005), Thompson (1996), Mendell (2001), Hughes (2008), Vermuelen (1993) and Hahn (1996) which had limited months of follow-up. The response rate is included at 4 months in line with Australia Ig criteria timing. </w:t>
            </w:r>
          </w:p>
        </w:tc>
        <w:tc>
          <w:tcPr>
            <w:tcW w:w="1134" w:type="dxa"/>
            <w:vAlign w:val="center"/>
          </w:tcPr>
          <w:p w:rsidR="008D0E46" w:rsidRDefault="008D0E46" w:rsidP="00304276">
            <w:pPr>
              <w:jc w:val="center"/>
              <w:rPr>
                <w:rFonts w:ascii="Arial Narrow" w:hAnsi="Arial Narrow" w:cs="Calibri"/>
                <w:color w:val="000000"/>
                <w:sz w:val="20"/>
                <w:szCs w:val="20"/>
              </w:rPr>
            </w:pPr>
            <w:r w:rsidRPr="008D0E46">
              <w:rPr>
                <w:rFonts w:ascii="Arial Narrow" w:hAnsi="Arial Narrow" w:cs="Calibri"/>
                <w:color w:val="000000"/>
                <w:sz w:val="20"/>
                <w:szCs w:val="20"/>
              </w:rPr>
              <w:t>0.61000</w:t>
            </w:r>
          </w:p>
          <w:p w:rsidR="008D0E46" w:rsidRPr="00304276" w:rsidRDefault="008D0E46" w:rsidP="00304276">
            <w:pPr>
              <w:jc w:val="center"/>
              <w:rPr>
                <w:rFonts w:ascii="Arial Narrow" w:hAnsi="Arial Narrow" w:cs="Calibri"/>
                <w:color w:val="000000"/>
                <w:sz w:val="20"/>
                <w:szCs w:val="20"/>
              </w:rPr>
            </w:pPr>
            <w:r>
              <w:rPr>
                <w:rFonts w:ascii="Arial Narrow" w:hAnsi="Arial Narrow" w:cs="Calibri"/>
                <w:color w:val="000000"/>
                <w:sz w:val="20"/>
                <w:szCs w:val="20"/>
              </w:rPr>
              <w:t>At 4 months</w:t>
            </w:r>
          </w:p>
        </w:tc>
        <w:tc>
          <w:tcPr>
            <w:tcW w:w="1134" w:type="dxa"/>
            <w:vAlign w:val="center"/>
          </w:tcPr>
          <w:p w:rsidR="008D0E46" w:rsidRPr="00304276" w:rsidRDefault="008D0E46" w:rsidP="00304276">
            <w:pPr>
              <w:jc w:val="center"/>
              <w:rPr>
                <w:rFonts w:ascii="Arial Narrow" w:hAnsi="Arial Narrow" w:cs="Calibri"/>
                <w:color w:val="000000"/>
                <w:sz w:val="20"/>
                <w:szCs w:val="20"/>
              </w:rPr>
            </w:pPr>
            <w:r w:rsidRPr="008D0E46">
              <w:rPr>
                <w:rFonts w:ascii="Arial Narrow" w:hAnsi="Arial Narrow" w:cs="Calibri"/>
                <w:color w:val="000000"/>
                <w:sz w:val="20"/>
                <w:szCs w:val="20"/>
              </w:rPr>
              <w:t>NA</w:t>
            </w:r>
          </w:p>
        </w:tc>
        <w:tc>
          <w:tcPr>
            <w:tcW w:w="941" w:type="dxa"/>
            <w:vAlign w:val="center"/>
          </w:tcPr>
          <w:p w:rsidR="008D0E46" w:rsidRPr="00304276" w:rsidRDefault="008D0E46" w:rsidP="00304276">
            <w:pPr>
              <w:jc w:val="center"/>
              <w:rPr>
                <w:rFonts w:ascii="Arial Narrow" w:hAnsi="Arial Narrow" w:cs="Calibri"/>
                <w:color w:val="000000"/>
                <w:sz w:val="20"/>
                <w:szCs w:val="20"/>
              </w:rPr>
            </w:pPr>
            <w:r w:rsidRPr="008D0E46">
              <w:rPr>
                <w:rFonts w:ascii="Arial Narrow" w:hAnsi="Arial Narrow" w:cs="Calibri"/>
                <w:color w:val="000000"/>
                <w:sz w:val="20"/>
                <w:szCs w:val="20"/>
              </w:rPr>
              <w:t>NA</w:t>
            </w:r>
          </w:p>
        </w:tc>
      </w:tr>
      <w:tr w:rsidR="008D0E46" w:rsidRPr="00E3331A" w:rsidTr="00304276">
        <w:trPr>
          <w:cantSplit/>
          <w:trHeight w:val="1087"/>
        </w:trPr>
        <w:tc>
          <w:tcPr>
            <w:tcW w:w="2191" w:type="dxa"/>
            <w:vAlign w:val="center"/>
          </w:tcPr>
          <w:p w:rsidR="008D0E46" w:rsidRPr="00E3331A" w:rsidRDefault="008D0E46" w:rsidP="008D0E46">
            <w:pPr>
              <w:pStyle w:val="Tablenotes0"/>
            </w:pPr>
            <w:r w:rsidRPr="00E3331A">
              <w:t>Ig relapse probability</w:t>
            </w:r>
          </w:p>
        </w:tc>
        <w:tc>
          <w:tcPr>
            <w:tcW w:w="3616" w:type="dxa"/>
            <w:vAlign w:val="center"/>
          </w:tcPr>
          <w:p w:rsidR="008D0E46" w:rsidRPr="00E3331A" w:rsidRDefault="008D0E46" w:rsidP="008D0E46">
            <w:pPr>
              <w:pStyle w:val="Tablenotes0"/>
            </w:pPr>
            <w:r w:rsidRPr="00E3331A">
              <w:t>The Ig relapse rate was based upon data from the ICE study. The 25-week relapse rate for Ig in this study was estimated to be 13%. It is converted to a weekly probability using -(LN(1-0.13))/25. The ICE study does not extrapolate beyond 1-year; therefore, the proportion of patients who are responsive is assumed to be stable after 1 year.</w:t>
            </w:r>
          </w:p>
        </w:tc>
        <w:tc>
          <w:tcPr>
            <w:tcW w:w="1134" w:type="dxa"/>
            <w:vAlign w:val="center"/>
          </w:tcPr>
          <w:p w:rsidR="008D0E46" w:rsidRPr="005F0981" w:rsidRDefault="008D0E46" w:rsidP="00304276">
            <w:pPr>
              <w:jc w:val="center"/>
              <w:rPr>
                <w:rFonts w:ascii="Arial Narrow" w:hAnsi="Arial Narrow"/>
                <w:sz w:val="20"/>
                <w:szCs w:val="20"/>
              </w:rPr>
            </w:pPr>
            <w:r w:rsidRPr="008D0E46">
              <w:rPr>
                <w:rFonts w:ascii="Arial Narrow" w:hAnsi="Arial Narrow" w:cs="Calibri"/>
                <w:color w:val="000000"/>
                <w:sz w:val="20"/>
                <w:szCs w:val="20"/>
              </w:rPr>
              <w:t>0.00557</w:t>
            </w:r>
          </w:p>
        </w:tc>
        <w:tc>
          <w:tcPr>
            <w:tcW w:w="1134" w:type="dxa"/>
            <w:vAlign w:val="center"/>
          </w:tcPr>
          <w:p w:rsidR="008D0E46" w:rsidRPr="005F0981" w:rsidRDefault="008D0E46" w:rsidP="00304276">
            <w:pPr>
              <w:jc w:val="center"/>
              <w:rPr>
                <w:rFonts w:ascii="Arial Narrow" w:hAnsi="Arial Narrow"/>
                <w:sz w:val="20"/>
                <w:szCs w:val="20"/>
              </w:rPr>
            </w:pPr>
            <w:r w:rsidRPr="008D0E46">
              <w:rPr>
                <w:rFonts w:ascii="Arial Narrow" w:hAnsi="Arial Narrow" w:cs="Calibri"/>
                <w:color w:val="000000"/>
                <w:sz w:val="20"/>
                <w:szCs w:val="20"/>
              </w:rPr>
              <w:t>0.00000</w:t>
            </w:r>
          </w:p>
        </w:tc>
        <w:tc>
          <w:tcPr>
            <w:tcW w:w="941" w:type="dxa"/>
            <w:vAlign w:val="center"/>
          </w:tcPr>
          <w:p w:rsidR="008D0E46" w:rsidRPr="008D0E46" w:rsidRDefault="008D0E46" w:rsidP="00304276">
            <w:pPr>
              <w:jc w:val="center"/>
              <w:rPr>
                <w:rFonts w:ascii="Arial Narrow" w:hAnsi="Arial Narrow" w:cs="Calibri"/>
                <w:color w:val="000000"/>
                <w:sz w:val="20"/>
                <w:szCs w:val="20"/>
              </w:rPr>
            </w:pPr>
            <w:r w:rsidRPr="008D0E46">
              <w:rPr>
                <w:rFonts w:ascii="Arial Narrow" w:hAnsi="Arial Narrow" w:cs="Calibri"/>
                <w:color w:val="000000"/>
                <w:sz w:val="20"/>
                <w:szCs w:val="20"/>
              </w:rPr>
              <w:t>0.00000</w:t>
            </w:r>
          </w:p>
        </w:tc>
      </w:tr>
      <w:tr w:rsidR="008D0E46" w:rsidRPr="00E3331A" w:rsidTr="00304276">
        <w:trPr>
          <w:cantSplit/>
        </w:trPr>
        <w:tc>
          <w:tcPr>
            <w:tcW w:w="2191"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rPr>
                <w:sz w:val="18"/>
                <w:szCs w:val="18"/>
              </w:rPr>
            </w:pPr>
            <w:r w:rsidRPr="00E3331A">
              <w:rPr>
                <w:rFonts w:ascii="Arial Narrow" w:hAnsi="Arial Narrow"/>
                <w:sz w:val="18"/>
                <w:szCs w:val="18"/>
                <w:lang w:val="en-US"/>
              </w:rPr>
              <w:t>Corticosteroids (non-responder) probability</w:t>
            </w:r>
          </w:p>
        </w:tc>
        <w:tc>
          <w:tcPr>
            <w:tcW w:w="3616"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pPr>
            <w:r w:rsidRPr="00E3331A">
              <w:t xml:space="preserve">van Lieverloo </w:t>
            </w:r>
            <w:r w:rsidR="00983BA7">
              <w:t xml:space="preserve">et al. </w:t>
            </w:r>
            <w:r w:rsidRPr="00E3331A">
              <w:t xml:space="preserve">(2018) indicated 60% of patients responded to corticosteroids and of the 75 responders, 61% remained in remission, during a median follow-up of 55 months Eftimov et al. (2012) reported long-term results of PREDICT study for 5 years. 33% of patients had cure or remission, 33% had stable active disease and 10% had unstable active disease. Patient baseline population characteristics vary among trials, with some precluding those who were contraindicated to steroids, and others not. Correspondingly, there is uncertainty about steroid response rates among trials for the Australian patient population. Weekly non-response probably is included so 40% of the steroid arm is responsive after 5-years. Non-responsive patients and those with AEs transition to </w:t>
            </w:r>
            <w:r w:rsidR="002B786E">
              <w:t>immunosuppressants</w:t>
            </w:r>
          </w:p>
        </w:tc>
        <w:tc>
          <w:tcPr>
            <w:tcW w:w="1134" w:type="dxa"/>
            <w:tcBorders>
              <w:top w:val="single" w:sz="4" w:space="0" w:color="auto"/>
              <w:left w:val="single" w:sz="4" w:space="0" w:color="auto"/>
              <w:bottom w:val="single" w:sz="4" w:space="0" w:color="auto"/>
              <w:right w:val="single" w:sz="4" w:space="0" w:color="auto"/>
            </w:tcBorders>
            <w:vAlign w:val="center"/>
          </w:tcPr>
          <w:p w:rsidR="008D0E46" w:rsidRPr="00304276" w:rsidRDefault="008D0E46" w:rsidP="00304276">
            <w:pPr>
              <w:spacing w:after="0" w:line="240" w:lineRule="auto"/>
              <w:jc w:val="center"/>
              <w:rPr>
                <w:rFonts w:ascii="Arial Narrow" w:hAnsi="Arial Narrow"/>
                <w:sz w:val="20"/>
                <w:szCs w:val="20"/>
              </w:rPr>
            </w:pPr>
            <w:r w:rsidRPr="008D0E46">
              <w:rPr>
                <w:rFonts w:ascii="Arial Narrow" w:hAnsi="Arial Narrow" w:cs="Calibri"/>
                <w:color w:val="000000"/>
                <w:sz w:val="20"/>
                <w:szCs w:val="20"/>
              </w:rPr>
              <w:t>0.00246</w:t>
            </w:r>
          </w:p>
        </w:tc>
        <w:tc>
          <w:tcPr>
            <w:tcW w:w="1134" w:type="dxa"/>
            <w:tcBorders>
              <w:top w:val="single" w:sz="4" w:space="0" w:color="auto"/>
              <w:left w:val="single" w:sz="4" w:space="0" w:color="auto"/>
              <w:bottom w:val="single" w:sz="4" w:space="0" w:color="auto"/>
              <w:right w:val="single" w:sz="4" w:space="0" w:color="auto"/>
            </w:tcBorders>
            <w:vAlign w:val="center"/>
          </w:tcPr>
          <w:p w:rsidR="008D0E46" w:rsidRPr="00304276" w:rsidRDefault="008D0E46" w:rsidP="00304276">
            <w:pPr>
              <w:spacing w:after="0" w:line="240" w:lineRule="auto"/>
              <w:jc w:val="center"/>
              <w:rPr>
                <w:rFonts w:ascii="Arial Narrow" w:hAnsi="Arial Narrow"/>
                <w:sz w:val="20"/>
                <w:szCs w:val="20"/>
              </w:rPr>
            </w:pPr>
            <w:r w:rsidRPr="008D0E46">
              <w:rPr>
                <w:rFonts w:ascii="Arial Narrow" w:hAnsi="Arial Narrow" w:cs="Calibri"/>
                <w:color w:val="000000"/>
                <w:sz w:val="20"/>
                <w:szCs w:val="20"/>
              </w:rPr>
              <w:t>0.00246</w:t>
            </w:r>
          </w:p>
        </w:tc>
        <w:tc>
          <w:tcPr>
            <w:tcW w:w="941" w:type="dxa"/>
            <w:tcBorders>
              <w:top w:val="single" w:sz="4" w:space="0" w:color="auto"/>
              <w:left w:val="single" w:sz="4" w:space="0" w:color="auto"/>
              <w:bottom w:val="single" w:sz="4" w:space="0" w:color="auto"/>
              <w:right w:val="single" w:sz="4" w:space="0" w:color="auto"/>
            </w:tcBorders>
            <w:vAlign w:val="center"/>
          </w:tcPr>
          <w:p w:rsidR="008D0E46" w:rsidRPr="00304276" w:rsidRDefault="008D0E46" w:rsidP="00304276">
            <w:pPr>
              <w:spacing w:after="0" w:line="240" w:lineRule="auto"/>
              <w:jc w:val="center"/>
              <w:rPr>
                <w:rFonts w:ascii="Arial Narrow" w:hAnsi="Arial Narrow" w:cs="Calibri"/>
                <w:sz w:val="20"/>
                <w:szCs w:val="20"/>
              </w:rPr>
            </w:pPr>
            <w:r w:rsidRPr="008D0E46">
              <w:rPr>
                <w:rFonts w:ascii="Arial Narrow" w:hAnsi="Arial Narrow" w:cs="Calibri"/>
                <w:color w:val="000000"/>
                <w:sz w:val="20"/>
                <w:szCs w:val="20"/>
              </w:rPr>
              <w:t>0.00000</w:t>
            </w:r>
          </w:p>
        </w:tc>
      </w:tr>
      <w:tr w:rsidR="008D0E46" w:rsidRPr="00E3331A" w:rsidTr="00304276">
        <w:trPr>
          <w:cantSplit/>
        </w:trPr>
        <w:tc>
          <w:tcPr>
            <w:tcW w:w="2191"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pPr>
            <w:r w:rsidRPr="00FB293F">
              <w:rPr>
                <w:szCs w:val="20"/>
                <w:lang w:val="en-US"/>
              </w:rPr>
              <w:t>Azathioprine</w:t>
            </w:r>
            <w:r w:rsidRPr="00E3331A">
              <w:rPr>
                <w:szCs w:val="20"/>
                <w:lang w:val="en-US"/>
              </w:rPr>
              <w:t xml:space="preserve"> </w:t>
            </w:r>
            <w:r>
              <w:rPr>
                <w:szCs w:val="20"/>
                <w:lang w:val="en-US"/>
              </w:rPr>
              <w:t>n</w:t>
            </w:r>
            <w:r w:rsidRPr="00E3331A">
              <w:rPr>
                <w:szCs w:val="20"/>
                <w:lang w:val="en-US"/>
              </w:rPr>
              <w:t>on-responder probability</w:t>
            </w:r>
          </w:p>
        </w:tc>
        <w:tc>
          <w:tcPr>
            <w:tcW w:w="3616"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pPr>
            <w:r w:rsidRPr="00E3331A">
              <w:t xml:space="preserve">Bamrungsawad </w:t>
            </w:r>
            <w:r w:rsidR="00983BA7">
              <w:t xml:space="preserve">et al. </w:t>
            </w:r>
            <w:r w:rsidRPr="00E3331A">
              <w:t>(2016) included a zero probability of response to immunosuppressant plus corticosteroids. A 99.99% non-response at 1-year is converted to weekly rate of 0.66422 for steroid</w:t>
            </w:r>
            <w:r w:rsidR="00417823">
              <w:t>-resistant</w:t>
            </w:r>
            <w:r w:rsidRPr="00E3331A">
              <w:t xml:space="preserve"> patients. It is assumed that 75% of patients in steroid adverse event states would be non-</w:t>
            </w:r>
            <w:r w:rsidR="00E810A5" w:rsidRPr="00E3331A">
              <w:t>respondent</w:t>
            </w:r>
            <w:r w:rsidRPr="00E3331A">
              <w:t xml:space="preserve"> to </w:t>
            </w:r>
            <w:r w:rsidR="002B786E">
              <w:t>immunosuppressants</w:t>
            </w:r>
            <w:r w:rsidR="002B786E" w:rsidRPr="00E3331A" w:rsidDel="002B786E">
              <w:t xml:space="preserve"> </w:t>
            </w:r>
            <w:r w:rsidRPr="00E3331A">
              <w:t>after one year</w:t>
            </w:r>
          </w:p>
        </w:tc>
        <w:tc>
          <w:tcPr>
            <w:tcW w:w="1134" w:type="dxa"/>
            <w:tcBorders>
              <w:top w:val="single" w:sz="4" w:space="0" w:color="auto"/>
              <w:left w:val="single" w:sz="4" w:space="0" w:color="auto"/>
              <w:bottom w:val="single" w:sz="4" w:space="0" w:color="auto"/>
              <w:right w:val="single" w:sz="4" w:space="0" w:color="auto"/>
            </w:tcBorders>
            <w:vAlign w:val="center"/>
          </w:tcPr>
          <w:p w:rsidR="008D0E46" w:rsidRPr="00304276" w:rsidRDefault="008D0E46" w:rsidP="00304276">
            <w:pPr>
              <w:jc w:val="center"/>
              <w:rPr>
                <w:rFonts w:ascii="Arial Narrow" w:hAnsi="Arial Narrow"/>
                <w:sz w:val="20"/>
                <w:szCs w:val="20"/>
              </w:rPr>
            </w:pPr>
            <w:r w:rsidRPr="008D0E46">
              <w:rPr>
                <w:rFonts w:ascii="Arial Narrow" w:hAnsi="Arial Narrow" w:cs="Calibri"/>
                <w:color w:val="000000"/>
                <w:sz w:val="20"/>
                <w:szCs w:val="20"/>
              </w:rPr>
              <w:t>0.66422</w:t>
            </w:r>
          </w:p>
        </w:tc>
        <w:tc>
          <w:tcPr>
            <w:tcW w:w="1134" w:type="dxa"/>
            <w:tcBorders>
              <w:top w:val="single" w:sz="4" w:space="0" w:color="auto"/>
              <w:left w:val="single" w:sz="4" w:space="0" w:color="auto"/>
              <w:bottom w:val="single" w:sz="4" w:space="0" w:color="auto"/>
              <w:right w:val="single" w:sz="4" w:space="0" w:color="auto"/>
            </w:tcBorders>
            <w:vAlign w:val="center"/>
          </w:tcPr>
          <w:p w:rsidR="008D0E46" w:rsidRPr="00304276" w:rsidRDefault="008D0E46" w:rsidP="00304276">
            <w:pPr>
              <w:jc w:val="center"/>
              <w:rPr>
                <w:rFonts w:ascii="Arial Narrow" w:hAnsi="Arial Narrow"/>
                <w:sz w:val="20"/>
                <w:szCs w:val="20"/>
              </w:rPr>
            </w:pPr>
            <w:r w:rsidRPr="008D0E46">
              <w:rPr>
                <w:rFonts w:ascii="Arial Narrow" w:hAnsi="Arial Narrow" w:cs="Calibri"/>
                <w:color w:val="000000"/>
                <w:sz w:val="20"/>
                <w:szCs w:val="20"/>
              </w:rPr>
              <w:t>0.66422</w:t>
            </w:r>
          </w:p>
        </w:tc>
        <w:tc>
          <w:tcPr>
            <w:tcW w:w="941" w:type="dxa"/>
            <w:tcBorders>
              <w:top w:val="single" w:sz="4" w:space="0" w:color="auto"/>
              <w:left w:val="single" w:sz="4" w:space="0" w:color="auto"/>
              <w:bottom w:val="single" w:sz="4" w:space="0" w:color="auto"/>
              <w:right w:val="single" w:sz="4" w:space="0" w:color="auto"/>
            </w:tcBorders>
            <w:vAlign w:val="center"/>
          </w:tcPr>
          <w:p w:rsidR="008D0E46" w:rsidRPr="00304276" w:rsidRDefault="008D0E46" w:rsidP="00304276">
            <w:pPr>
              <w:jc w:val="center"/>
              <w:rPr>
                <w:rFonts w:ascii="Arial Narrow" w:hAnsi="Arial Narrow" w:cs="Calibri"/>
                <w:sz w:val="20"/>
                <w:szCs w:val="20"/>
              </w:rPr>
            </w:pPr>
            <w:r w:rsidRPr="008D0E46">
              <w:rPr>
                <w:rFonts w:ascii="Arial Narrow" w:hAnsi="Arial Narrow" w:cs="Calibri"/>
                <w:color w:val="000000"/>
                <w:sz w:val="20"/>
                <w:szCs w:val="20"/>
              </w:rPr>
              <w:t>0.66422</w:t>
            </w:r>
          </w:p>
        </w:tc>
      </w:tr>
      <w:tr w:rsidR="008D0E46" w:rsidRPr="00E3331A" w:rsidTr="00304276">
        <w:trPr>
          <w:cantSplit/>
          <w:trHeight w:val="1898"/>
        </w:trPr>
        <w:tc>
          <w:tcPr>
            <w:tcW w:w="2191"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rPr>
                <w:szCs w:val="20"/>
                <w:lang w:val="en-US"/>
              </w:rPr>
            </w:pPr>
            <w:r w:rsidRPr="00E3331A">
              <w:rPr>
                <w:szCs w:val="20"/>
                <w:lang w:val="en-US"/>
              </w:rPr>
              <w:lastRenderedPageBreak/>
              <w:t>Disability among Immunotherapy Non-responder probability</w:t>
            </w:r>
          </w:p>
        </w:tc>
        <w:tc>
          <w:tcPr>
            <w:tcW w:w="3616" w:type="dxa"/>
            <w:tcBorders>
              <w:top w:val="single" w:sz="4" w:space="0" w:color="auto"/>
              <w:left w:val="single" w:sz="4" w:space="0" w:color="auto"/>
              <w:bottom w:val="single" w:sz="4" w:space="0" w:color="auto"/>
              <w:right w:val="single" w:sz="4" w:space="0" w:color="auto"/>
            </w:tcBorders>
            <w:vAlign w:val="center"/>
          </w:tcPr>
          <w:p w:rsidR="008D0E46" w:rsidRPr="00E3331A" w:rsidDel="0029778F" w:rsidRDefault="008D0E46" w:rsidP="008D0E46">
            <w:pPr>
              <w:pStyle w:val="Tablenotes0"/>
            </w:pPr>
            <w:r w:rsidRPr="00E3331A">
              <w:t xml:space="preserve">Bamrungsawad </w:t>
            </w:r>
            <w:r w:rsidR="00983BA7">
              <w:t xml:space="preserve">et al. </w:t>
            </w:r>
            <w:r w:rsidRPr="00E3331A">
              <w:t xml:space="preserve">(2016) defined a disabled patient as someone with an MRC scale for one muscle group of three or less. Using </w:t>
            </w:r>
            <w:r w:rsidR="00E810A5" w:rsidRPr="00E3331A">
              <w:t>this criterion</w:t>
            </w:r>
            <w:r w:rsidRPr="00E3331A">
              <w:t xml:space="preserve"> 24/29 (82.76 %) of </w:t>
            </w:r>
            <w:r w:rsidR="002B786E">
              <w:t>immunosuppressants</w:t>
            </w:r>
            <w:r w:rsidR="002B786E" w:rsidRPr="00E3331A" w:rsidDel="002B786E">
              <w:t xml:space="preserve"> </w:t>
            </w:r>
            <w:r w:rsidRPr="00E3331A">
              <w:t>non-</w:t>
            </w:r>
            <w:r w:rsidR="00E810A5" w:rsidRPr="00E3331A">
              <w:t>responder</w:t>
            </w:r>
            <w:r w:rsidRPr="00E3331A">
              <w:t xml:space="preserve"> CIDP patients were disabled when medical records were reviewed. The probability of becoming disabled for patients not responding to therapy was 0.098 over 12 weeks, or 0.0086 per week.</w:t>
            </w:r>
          </w:p>
        </w:tc>
        <w:tc>
          <w:tcPr>
            <w:tcW w:w="1134" w:type="dxa"/>
            <w:tcBorders>
              <w:top w:val="single" w:sz="4" w:space="0" w:color="auto"/>
              <w:left w:val="single" w:sz="4" w:space="0" w:color="auto"/>
              <w:bottom w:val="single" w:sz="4" w:space="0" w:color="auto"/>
              <w:right w:val="single" w:sz="4" w:space="0" w:color="auto"/>
            </w:tcBorders>
            <w:vAlign w:val="center"/>
          </w:tcPr>
          <w:p w:rsidR="008D0E46" w:rsidRPr="00304276" w:rsidDel="0029778F" w:rsidRDefault="008D0E46" w:rsidP="00304276">
            <w:pPr>
              <w:jc w:val="center"/>
              <w:rPr>
                <w:rFonts w:ascii="Arial Narrow" w:hAnsi="Arial Narrow" w:cs="Calibri"/>
                <w:sz w:val="20"/>
                <w:szCs w:val="20"/>
              </w:rPr>
            </w:pPr>
            <w:r w:rsidRPr="008D0E46">
              <w:rPr>
                <w:rFonts w:ascii="Arial Narrow" w:hAnsi="Arial Narrow" w:cs="Calibri"/>
                <w:color w:val="000000"/>
                <w:sz w:val="20"/>
                <w:szCs w:val="20"/>
              </w:rPr>
              <w:t>0.00860</w:t>
            </w:r>
          </w:p>
        </w:tc>
        <w:tc>
          <w:tcPr>
            <w:tcW w:w="1134" w:type="dxa"/>
            <w:tcBorders>
              <w:top w:val="single" w:sz="4" w:space="0" w:color="auto"/>
              <w:left w:val="single" w:sz="4" w:space="0" w:color="auto"/>
              <w:bottom w:val="single" w:sz="4" w:space="0" w:color="auto"/>
              <w:right w:val="single" w:sz="4" w:space="0" w:color="auto"/>
            </w:tcBorders>
            <w:vAlign w:val="center"/>
          </w:tcPr>
          <w:p w:rsidR="008D0E46" w:rsidRPr="00304276" w:rsidRDefault="008D0E46" w:rsidP="00304276">
            <w:pPr>
              <w:jc w:val="center"/>
              <w:rPr>
                <w:rFonts w:ascii="Arial Narrow" w:hAnsi="Arial Narrow" w:cs="Calibri"/>
                <w:sz w:val="20"/>
                <w:szCs w:val="20"/>
              </w:rPr>
            </w:pPr>
            <w:r w:rsidRPr="008D0E46">
              <w:rPr>
                <w:rFonts w:ascii="Arial Narrow" w:hAnsi="Arial Narrow" w:cs="Calibri"/>
                <w:color w:val="000000"/>
                <w:sz w:val="20"/>
                <w:szCs w:val="20"/>
              </w:rPr>
              <w:t>0.00860</w:t>
            </w:r>
          </w:p>
        </w:tc>
        <w:tc>
          <w:tcPr>
            <w:tcW w:w="941" w:type="dxa"/>
            <w:tcBorders>
              <w:top w:val="single" w:sz="4" w:space="0" w:color="auto"/>
              <w:left w:val="single" w:sz="4" w:space="0" w:color="auto"/>
              <w:bottom w:val="single" w:sz="4" w:space="0" w:color="auto"/>
              <w:right w:val="single" w:sz="4" w:space="0" w:color="auto"/>
            </w:tcBorders>
            <w:vAlign w:val="center"/>
          </w:tcPr>
          <w:p w:rsidR="008D0E46" w:rsidRPr="00304276" w:rsidRDefault="008D0E46" w:rsidP="00304276">
            <w:pPr>
              <w:jc w:val="center"/>
              <w:rPr>
                <w:rFonts w:ascii="Arial Narrow" w:hAnsi="Arial Narrow" w:cs="Calibri"/>
                <w:sz w:val="20"/>
                <w:szCs w:val="20"/>
              </w:rPr>
            </w:pPr>
            <w:r w:rsidRPr="008D0E46">
              <w:rPr>
                <w:rFonts w:ascii="Arial Narrow" w:hAnsi="Arial Narrow" w:cs="Calibri"/>
                <w:color w:val="000000"/>
                <w:sz w:val="20"/>
                <w:szCs w:val="20"/>
              </w:rPr>
              <w:t>0.00860</w:t>
            </w:r>
          </w:p>
        </w:tc>
      </w:tr>
    </w:tbl>
    <w:p w:rsidR="0015646F" w:rsidRPr="00E3331A" w:rsidRDefault="0015646F" w:rsidP="0015646F">
      <w:pPr>
        <w:pStyle w:val="Tablenotes1"/>
      </w:pPr>
      <w:r w:rsidRPr="00E3331A">
        <w:t>Abbreviations: AE= adverse event. CIDP = Chronic Inflammatory Demyelinating Polyneuropathy</w:t>
      </w:r>
    </w:p>
    <w:p w:rsidR="0015646F" w:rsidRPr="00E3331A" w:rsidRDefault="0015646F" w:rsidP="007C32D3"/>
    <w:p w:rsidR="0015646F" w:rsidRPr="00E3331A" w:rsidRDefault="009856EC" w:rsidP="007C32D3">
      <w:r w:rsidRPr="00E3331A">
        <w:t>Adverse ev</w:t>
      </w:r>
      <w:r w:rsidR="0015646F" w:rsidRPr="00E3331A">
        <w:t>e</w:t>
      </w:r>
      <w:r w:rsidRPr="00E3331A">
        <w:t>n</w:t>
      </w:r>
      <w:r w:rsidR="0015646F" w:rsidRPr="00E3331A">
        <w:t xml:space="preserve">t rates for patients availing steroids are reported separately for fracture, glaucoma, </w:t>
      </w:r>
      <w:r w:rsidR="00E810A5" w:rsidRPr="00E3331A">
        <w:t>diabetes</w:t>
      </w:r>
      <w:r w:rsidR="0015646F" w:rsidRPr="00E3331A">
        <w:t xml:space="preserve">, infection and cataracts. They are mostly derived from Blackhouse </w:t>
      </w:r>
      <w:r w:rsidR="00983BA7">
        <w:t xml:space="preserve">et al. </w:t>
      </w:r>
      <w:r w:rsidR="0015646F" w:rsidRPr="00E3331A">
        <w:t>(2010), along with mortality odds ratios</w:t>
      </w:r>
      <w:r w:rsidRPr="00E3331A">
        <w:t>. They are</w:t>
      </w:r>
      <w:r w:rsidR="0015646F" w:rsidRPr="00E3331A">
        <w:t xml:space="preserve"> outlined in </w:t>
      </w:r>
      <w:r w:rsidR="006F35B9" w:rsidRPr="00E3331A">
        <w:t xml:space="preserve">Table </w:t>
      </w:r>
      <w:r w:rsidR="006F35B9">
        <w:rPr>
          <w:noProof/>
        </w:rPr>
        <w:t>52</w:t>
      </w:r>
      <w:r w:rsidR="00096949" w:rsidRPr="00E3331A">
        <w:t>. Rates from Wilson et al. (2017</w:t>
      </w:r>
      <w:r w:rsidR="0087749D">
        <w:t>)</w:t>
      </w:r>
      <w:r w:rsidR="00096949" w:rsidRPr="00E3331A">
        <w:t xml:space="preserve"> have been used in a </w:t>
      </w:r>
      <w:r w:rsidR="00E810A5" w:rsidRPr="00E3331A">
        <w:t>sensitivity</w:t>
      </w:r>
      <w:r w:rsidR="00096949" w:rsidRPr="00E3331A">
        <w:t xml:space="preserve"> analysis. </w:t>
      </w:r>
    </w:p>
    <w:p w:rsidR="007C32D3" w:rsidRPr="00E3331A" w:rsidRDefault="0015646F" w:rsidP="00096949">
      <w:pPr>
        <w:pStyle w:val="Caption"/>
      </w:pPr>
      <w:bookmarkStart w:id="363" w:name="_Ref19291986"/>
      <w:bookmarkStart w:id="364" w:name="_Toc24103358"/>
      <w:r w:rsidRPr="00E3331A">
        <w:t xml:space="preserve">Table </w:t>
      </w:r>
      <w:r w:rsidR="006F35B9">
        <w:rPr>
          <w:noProof/>
        </w:rPr>
        <w:t>52</w:t>
      </w:r>
      <w:bookmarkEnd w:id="363"/>
      <w:r w:rsidRPr="00E3331A">
        <w:rPr>
          <w:noProof/>
        </w:rPr>
        <w:tab/>
      </w:r>
      <w:r w:rsidRPr="00E3331A">
        <w:t>Summary of steroid adverse event and mortality assumptions for extrapolation</w:t>
      </w:r>
      <w:bookmarkEnd w:id="3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29"/>
        <w:gridCol w:w="3911"/>
        <w:gridCol w:w="1134"/>
        <w:gridCol w:w="1276"/>
        <w:gridCol w:w="1366"/>
      </w:tblGrid>
      <w:tr w:rsidR="00C27ECE" w:rsidRPr="00E3331A" w:rsidTr="00304276">
        <w:trPr>
          <w:cantSplit/>
          <w:tblHeader/>
        </w:trPr>
        <w:tc>
          <w:tcPr>
            <w:tcW w:w="1329" w:type="dxa"/>
            <w:vMerge w:val="restart"/>
            <w:shd w:val="clear" w:color="auto" w:fill="D9D9D9"/>
            <w:vAlign w:val="center"/>
          </w:tcPr>
          <w:p w:rsidR="00C27ECE" w:rsidRPr="00E3331A" w:rsidRDefault="00C27ECE" w:rsidP="00AC2DD2">
            <w:pPr>
              <w:pStyle w:val="TableHeading"/>
            </w:pPr>
            <w:r w:rsidRPr="00E3331A">
              <w:t>Parameter</w:t>
            </w:r>
          </w:p>
        </w:tc>
        <w:tc>
          <w:tcPr>
            <w:tcW w:w="3911" w:type="dxa"/>
            <w:vMerge w:val="restart"/>
            <w:shd w:val="clear" w:color="auto" w:fill="D9D9D9"/>
            <w:vAlign w:val="center"/>
          </w:tcPr>
          <w:p w:rsidR="00C27ECE" w:rsidRPr="00E3331A" w:rsidRDefault="00C27ECE" w:rsidP="00AC2DD2">
            <w:pPr>
              <w:pStyle w:val="TableHeading"/>
            </w:pPr>
            <w:r w:rsidRPr="00E3331A">
              <w:t>Study</w:t>
            </w:r>
          </w:p>
        </w:tc>
        <w:tc>
          <w:tcPr>
            <w:tcW w:w="3776" w:type="dxa"/>
            <w:gridSpan w:val="3"/>
            <w:shd w:val="clear" w:color="auto" w:fill="D9D9D9"/>
            <w:vAlign w:val="center"/>
          </w:tcPr>
          <w:p w:rsidR="00C27ECE" w:rsidRPr="00E3331A" w:rsidRDefault="00C27ECE" w:rsidP="00AC2DD2">
            <w:pPr>
              <w:pStyle w:val="TableHeading"/>
              <w:jc w:val="center"/>
            </w:pPr>
            <w:r w:rsidRPr="00E3331A">
              <w:t>Weekly rates</w:t>
            </w:r>
          </w:p>
        </w:tc>
      </w:tr>
      <w:tr w:rsidR="00C27ECE" w:rsidRPr="00E3331A" w:rsidTr="00304276">
        <w:trPr>
          <w:cantSplit/>
          <w:tblHeader/>
        </w:trPr>
        <w:tc>
          <w:tcPr>
            <w:tcW w:w="1329" w:type="dxa"/>
            <w:vMerge/>
            <w:shd w:val="clear" w:color="auto" w:fill="D9D9D9"/>
            <w:vAlign w:val="center"/>
          </w:tcPr>
          <w:p w:rsidR="00C27ECE" w:rsidRPr="00E3331A" w:rsidRDefault="00C27ECE" w:rsidP="00AC2DD2">
            <w:pPr>
              <w:pStyle w:val="TableHeading"/>
            </w:pPr>
          </w:p>
        </w:tc>
        <w:tc>
          <w:tcPr>
            <w:tcW w:w="3911" w:type="dxa"/>
            <w:vMerge/>
            <w:shd w:val="clear" w:color="auto" w:fill="D9D9D9"/>
            <w:vAlign w:val="center"/>
          </w:tcPr>
          <w:p w:rsidR="00C27ECE" w:rsidRPr="00E3331A" w:rsidRDefault="00C27ECE" w:rsidP="00AC2DD2">
            <w:pPr>
              <w:pStyle w:val="TableHeading"/>
            </w:pPr>
          </w:p>
        </w:tc>
        <w:tc>
          <w:tcPr>
            <w:tcW w:w="1134" w:type="dxa"/>
            <w:shd w:val="clear" w:color="auto" w:fill="D9D9D9"/>
            <w:vAlign w:val="center"/>
          </w:tcPr>
          <w:p w:rsidR="00C27ECE" w:rsidRPr="00E3331A" w:rsidRDefault="00C27ECE" w:rsidP="00AC2DD2">
            <w:pPr>
              <w:pStyle w:val="TableHeading"/>
            </w:pPr>
            <w:r w:rsidRPr="00E3331A">
              <w:t>0-1 year</w:t>
            </w:r>
          </w:p>
        </w:tc>
        <w:tc>
          <w:tcPr>
            <w:tcW w:w="1276" w:type="dxa"/>
            <w:shd w:val="clear" w:color="auto" w:fill="D9D9D9"/>
            <w:vAlign w:val="center"/>
          </w:tcPr>
          <w:p w:rsidR="00C27ECE" w:rsidRPr="00E3331A" w:rsidRDefault="00C27ECE" w:rsidP="00AC2DD2">
            <w:pPr>
              <w:pStyle w:val="TableHeading"/>
            </w:pPr>
            <w:r w:rsidRPr="00E3331A">
              <w:t>1 to 5 years</w:t>
            </w:r>
          </w:p>
        </w:tc>
        <w:tc>
          <w:tcPr>
            <w:tcW w:w="1366" w:type="dxa"/>
            <w:shd w:val="clear" w:color="auto" w:fill="D9D9D9"/>
            <w:vAlign w:val="center"/>
          </w:tcPr>
          <w:p w:rsidR="00C27ECE" w:rsidRPr="00E3331A" w:rsidRDefault="00C27ECE" w:rsidP="00AC2DD2">
            <w:pPr>
              <w:pStyle w:val="TableHeading"/>
            </w:pPr>
            <w:r w:rsidRPr="00E3331A">
              <w:t>5+ years</w:t>
            </w:r>
          </w:p>
        </w:tc>
      </w:tr>
      <w:tr w:rsidR="00804FF4"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rPr>
                <w:lang w:val="en-US"/>
              </w:rPr>
            </w:pPr>
            <w:r w:rsidRPr="00E3331A">
              <w:rPr>
                <w:lang w:val="en-US"/>
              </w:rPr>
              <w:t>Fracture probability</w:t>
            </w:r>
          </w:p>
        </w:tc>
        <w:tc>
          <w:tcPr>
            <w:tcW w:w="3911"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spacing w:after="0"/>
            </w:pPr>
            <w:r w:rsidRPr="00E3331A">
              <w:t xml:space="preserve">A fracture annual probability of 0.0098, or 0.00019 per week for Corticosteroids patients, was taken from Bae </w:t>
            </w:r>
            <w:r w:rsidR="00983BA7">
              <w:t xml:space="preserve">et al. </w:t>
            </w:r>
            <w:r w:rsidRPr="00E3331A">
              <w:t xml:space="preserve">2003 in the Blackhouse </w:t>
            </w:r>
            <w:r w:rsidR="00983BA7">
              <w:t xml:space="preserve">et al. </w:t>
            </w:r>
            <w:r w:rsidRPr="00E3331A">
              <w:t xml:space="preserve">(2010) study. Fractures were not reported in the Van Schaik </w:t>
            </w:r>
            <w:r w:rsidR="00983BA7">
              <w:t xml:space="preserve">et al. </w:t>
            </w:r>
            <w:r w:rsidRPr="00E3331A">
              <w:t xml:space="preserve">2010 description of PREDICT, however they were reported in Eftimov </w:t>
            </w:r>
            <w:r w:rsidR="00983BA7">
              <w:t xml:space="preserve">et al. </w:t>
            </w:r>
            <w:r w:rsidRPr="00E3331A">
              <w:t>2012. A total of 2 of the 39 (Table 3. p. 1083) (5.13%) were reported to have fractures, equating to 8.3% of the dexamethasone group and none of the prednisolone group. This value is converted to a weekly probability.</w:t>
            </w:r>
          </w:p>
        </w:tc>
        <w:tc>
          <w:tcPr>
            <w:tcW w:w="1134"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pStyle w:val="Tablenotes0"/>
              <w:spacing w:after="0"/>
              <w:jc w:val="center"/>
            </w:pPr>
            <w:r>
              <w:rPr>
                <w:rFonts w:cs="Calibri"/>
                <w:color w:val="000000"/>
                <w:sz w:val="20"/>
                <w:szCs w:val="20"/>
              </w:rPr>
              <w:t>0.00023</w:t>
            </w:r>
          </w:p>
        </w:tc>
        <w:tc>
          <w:tcPr>
            <w:tcW w:w="1276"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pStyle w:val="Tablenotes0"/>
              <w:spacing w:after="0"/>
              <w:jc w:val="center"/>
            </w:pPr>
            <w:r>
              <w:rPr>
                <w:rFonts w:cs="Calibri"/>
                <w:color w:val="000000"/>
                <w:sz w:val="20"/>
                <w:szCs w:val="20"/>
              </w:rPr>
              <w:t>0.00023</w:t>
            </w:r>
          </w:p>
        </w:tc>
        <w:tc>
          <w:tcPr>
            <w:tcW w:w="1366"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pStyle w:val="Tablenotes0"/>
              <w:spacing w:after="0"/>
              <w:jc w:val="center"/>
            </w:pPr>
            <w:r>
              <w:rPr>
                <w:rFonts w:cs="Calibri"/>
                <w:color w:val="000000"/>
                <w:sz w:val="20"/>
                <w:szCs w:val="20"/>
              </w:rPr>
              <w:t>0.00023</w:t>
            </w:r>
          </w:p>
        </w:tc>
      </w:tr>
      <w:tr w:rsidR="00804FF4"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pPr>
            <w:r w:rsidRPr="00E3331A">
              <w:rPr>
                <w:lang w:val="en-US"/>
              </w:rPr>
              <w:t>Diabetes probability</w:t>
            </w:r>
          </w:p>
        </w:tc>
        <w:tc>
          <w:tcPr>
            <w:tcW w:w="3911"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pPr>
            <w:r w:rsidRPr="00E3331A">
              <w:t xml:space="preserve">A diabetes annual probability of 0.0043, or 0.00008 per week for Corticosteroids patients, was taken from Blackhouse </w:t>
            </w:r>
            <w:r w:rsidR="00983BA7">
              <w:t xml:space="preserve">et al. </w:t>
            </w:r>
            <w:r w:rsidRPr="00E3331A">
              <w:t xml:space="preserve">(2010). Impaired glucose tolerance was found in 3 (20%) patients after 10 years of follow-up in the Boru </w:t>
            </w:r>
            <w:r w:rsidR="00983BA7">
              <w:t xml:space="preserve">et al. </w:t>
            </w:r>
            <w:r w:rsidRPr="00E3331A">
              <w:t>2014 study. The dexamethasone arm of PREDICT had adverse event prevalence of 8.3% for hypertension, 54.1% increased body weight, 8.3% diabetes, 33.3% Cushing appearance and 4.2% impaired glucose tolerance. A higher 5-year value of around 10% is included in this study, which corresponds to a weekly probability of 0.00045.</w:t>
            </w:r>
          </w:p>
        </w:tc>
        <w:tc>
          <w:tcPr>
            <w:tcW w:w="1134"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pStyle w:val="Tablenotes0"/>
              <w:spacing w:after="0"/>
              <w:jc w:val="center"/>
            </w:pPr>
            <w:r>
              <w:rPr>
                <w:rFonts w:cs="Calibri"/>
                <w:color w:val="000000"/>
                <w:sz w:val="20"/>
                <w:szCs w:val="20"/>
              </w:rPr>
              <w:t>0.00045</w:t>
            </w:r>
          </w:p>
        </w:tc>
        <w:tc>
          <w:tcPr>
            <w:tcW w:w="1276"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pStyle w:val="Tablenotes0"/>
              <w:spacing w:after="0"/>
              <w:jc w:val="center"/>
            </w:pPr>
            <w:r>
              <w:rPr>
                <w:rFonts w:cs="Calibri"/>
                <w:color w:val="000000"/>
                <w:sz w:val="20"/>
                <w:szCs w:val="20"/>
              </w:rPr>
              <w:t>0.00045</w:t>
            </w:r>
          </w:p>
        </w:tc>
        <w:tc>
          <w:tcPr>
            <w:tcW w:w="1366"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pStyle w:val="Tablenotes0"/>
              <w:spacing w:after="0"/>
              <w:jc w:val="center"/>
            </w:pPr>
            <w:r>
              <w:rPr>
                <w:rFonts w:cs="Calibri"/>
                <w:color w:val="000000"/>
                <w:sz w:val="20"/>
                <w:szCs w:val="20"/>
              </w:rPr>
              <w:t>0.00045</w:t>
            </w:r>
          </w:p>
        </w:tc>
      </w:tr>
      <w:tr w:rsidR="00804FF4"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pPr>
            <w:r w:rsidRPr="00E3331A">
              <w:rPr>
                <w:lang w:val="en-US"/>
              </w:rPr>
              <w:t>Glaucoma probability</w:t>
            </w:r>
          </w:p>
        </w:tc>
        <w:tc>
          <w:tcPr>
            <w:tcW w:w="3911"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pPr>
            <w:r w:rsidRPr="00E3331A">
              <w:t xml:space="preserve">A glaucoma annual probability of 0.0008, or 0.00002 per week for Corticosteroids patients, was taken from Blackhouse </w:t>
            </w:r>
            <w:r w:rsidR="00983BA7">
              <w:t xml:space="preserve">et al. </w:t>
            </w:r>
            <w:r w:rsidRPr="00E3331A">
              <w:t xml:space="preserve">(2010). </w:t>
            </w:r>
          </w:p>
        </w:tc>
        <w:tc>
          <w:tcPr>
            <w:tcW w:w="1134"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pStyle w:val="Tablenotes0"/>
              <w:spacing w:after="0"/>
              <w:jc w:val="center"/>
            </w:pPr>
            <w:r>
              <w:rPr>
                <w:rFonts w:cs="Calibri"/>
                <w:color w:val="000000"/>
                <w:sz w:val="20"/>
                <w:szCs w:val="20"/>
              </w:rPr>
              <w:t>0.00002</w:t>
            </w:r>
          </w:p>
        </w:tc>
        <w:tc>
          <w:tcPr>
            <w:tcW w:w="1276"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pStyle w:val="Tablenotes0"/>
              <w:spacing w:after="0"/>
              <w:jc w:val="center"/>
            </w:pPr>
            <w:r>
              <w:rPr>
                <w:rFonts w:cs="Calibri"/>
                <w:color w:val="000000"/>
                <w:sz w:val="20"/>
                <w:szCs w:val="20"/>
              </w:rPr>
              <w:t>0.00002</w:t>
            </w:r>
          </w:p>
        </w:tc>
        <w:tc>
          <w:tcPr>
            <w:tcW w:w="1366"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pStyle w:val="Tablenotes0"/>
              <w:spacing w:after="0"/>
              <w:jc w:val="center"/>
            </w:pPr>
            <w:r>
              <w:rPr>
                <w:rFonts w:cs="Calibri"/>
                <w:color w:val="000000"/>
                <w:sz w:val="20"/>
                <w:szCs w:val="20"/>
              </w:rPr>
              <w:t>0.00002</w:t>
            </w:r>
          </w:p>
        </w:tc>
      </w:tr>
      <w:tr w:rsidR="00804FF4"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pPr>
            <w:r w:rsidRPr="00E3331A">
              <w:rPr>
                <w:lang w:val="en-US"/>
              </w:rPr>
              <w:t>Cataract probability</w:t>
            </w:r>
          </w:p>
        </w:tc>
        <w:tc>
          <w:tcPr>
            <w:tcW w:w="3911"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pPr>
            <w:r w:rsidRPr="00E3331A">
              <w:t xml:space="preserve">A cataract annual probability of 0.0114, or 0.00022 per week for Corticosteroids patients, was taken from Blackhouse </w:t>
            </w:r>
            <w:r w:rsidR="00983BA7">
              <w:t xml:space="preserve">et al. </w:t>
            </w:r>
            <w:r w:rsidRPr="00E3331A">
              <w:t xml:space="preserve">(2010). </w:t>
            </w:r>
          </w:p>
        </w:tc>
        <w:tc>
          <w:tcPr>
            <w:tcW w:w="1134"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pStyle w:val="Tablenotes0"/>
              <w:spacing w:after="0"/>
              <w:jc w:val="center"/>
            </w:pPr>
            <w:r>
              <w:rPr>
                <w:rFonts w:cs="Calibri"/>
                <w:color w:val="000000"/>
                <w:sz w:val="20"/>
                <w:szCs w:val="20"/>
              </w:rPr>
              <w:t>0.00022</w:t>
            </w:r>
          </w:p>
        </w:tc>
        <w:tc>
          <w:tcPr>
            <w:tcW w:w="1276"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pStyle w:val="Tablenotes0"/>
              <w:spacing w:after="0"/>
              <w:jc w:val="center"/>
            </w:pPr>
            <w:r>
              <w:rPr>
                <w:rFonts w:cs="Calibri"/>
                <w:color w:val="000000"/>
                <w:sz w:val="20"/>
                <w:szCs w:val="20"/>
              </w:rPr>
              <w:t>0.00022</w:t>
            </w:r>
          </w:p>
        </w:tc>
        <w:tc>
          <w:tcPr>
            <w:tcW w:w="1366"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pStyle w:val="Tablenotes0"/>
              <w:spacing w:after="0"/>
              <w:jc w:val="center"/>
            </w:pPr>
            <w:r>
              <w:rPr>
                <w:rFonts w:cs="Calibri"/>
                <w:color w:val="000000"/>
                <w:sz w:val="20"/>
                <w:szCs w:val="20"/>
              </w:rPr>
              <w:t>0.00022</w:t>
            </w:r>
          </w:p>
        </w:tc>
      </w:tr>
      <w:tr w:rsidR="00804FF4"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pPr>
            <w:r w:rsidRPr="00E3331A">
              <w:rPr>
                <w:lang w:val="en-US"/>
              </w:rPr>
              <w:t>Infection probability</w:t>
            </w:r>
          </w:p>
        </w:tc>
        <w:tc>
          <w:tcPr>
            <w:tcW w:w="3911"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pPr>
            <w:r w:rsidRPr="00E3331A">
              <w:t xml:space="preserve">An infection annual probability of 0.0035, or 0.00007 per week for Corticosteroids patients, was taken from Blackhouse </w:t>
            </w:r>
            <w:r w:rsidR="00983BA7">
              <w:t xml:space="preserve">et al. </w:t>
            </w:r>
            <w:r w:rsidRPr="00E3331A">
              <w:t>(2010). The 5-year probability of fracture probability associated with this estimate is less than 2%.</w:t>
            </w:r>
          </w:p>
        </w:tc>
        <w:tc>
          <w:tcPr>
            <w:tcW w:w="1134"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pStyle w:val="Tablenotes0"/>
              <w:spacing w:after="0"/>
              <w:jc w:val="center"/>
            </w:pPr>
            <w:r>
              <w:rPr>
                <w:rFonts w:cs="Calibri"/>
                <w:color w:val="000000"/>
                <w:sz w:val="20"/>
                <w:szCs w:val="20"/>
              </w:rPr>
              <w:t>0.00007</w:t>
            </w:r>
          </w:p>
        </w:tc>
        <w:tc>
          <w:tcPr>
            <w:tcW w:w="1276"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pStyle w:val="Tablenotes0"/>
              <w:spacing w:after="0"/>
              <w:jc w:val="center"/>
            </w:pPr>
            <w:r>
              <w:rPr>
                <w:rFonts w:cs="Calibri"/>
                <w:color w:val="000000"/>
                <w:sz w:val="20"/>
                <w:szCs w:val="20"/>
              </w:rPr>
              <w:t>0.00007</w:t>
            </w:r>
          </w:p>
        </w:tc>
        <w:tc>
          <w:tcPr>
            <w:tcW w:w="1366"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pStyle w:val="Tablenotes0"/>
              <w:spacing w:after="0"/>
              <w:jc w:val="center"/>
            </w:pPr>
            <w:r>
              <w:rPr>
                <w:rFonts w:cs="Calibri"/>
                <w:color w:val="000000"/>
                <w:sz w:val="20"/>
                <w:szCs w:val="20"/>
              </w:rPr>
              <w:t>0.00007</w:t>
            </w:r>
          </w:p>
        </w:tc>
      </w:tr>
      <w:tr w:rsidR="00804FF4"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pPr>
            <w:r w:rsidRPr="00E3331A">
              <w:lastRenderedPageBreak/>
              <w:t>Ig mortality odds ratio</w:t>
            </w:r>
          </w:p>
        </w:tc>
        <w:tc>
          <w:tcPr>
            <w:tcW w:w="3911"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pPr>
            <w:r w:rsidRPr="00E3331A">
              <w:t xml:space="preserve">CIDP was not assumed to results in increased mortality. The ABS annual mortality rate for 55-year </w:t>
            </w:r>
            <w:r w:rsidR="00E810A5" w:rsidRPr="00E3331A">
              <w:t>old’s</w:t>
            </w:r>
            <w:r w:rsidRPr="00E3331A">
              <w:t xml:space="preserve"> in Australia in 2017 was 0.0045 for men and 0.0027 for women. These are converted to weekly values using a gender balance of 0.49.</w:t>
            </w:r>
          </w:p>
        </w:tc>
        <w:tc>
          <w:tcPr>
            <w:tcW w:w="1134" w:type="dxa"/>
            <w:tcBorders>
              <w:top w:val="single" w:sz="4" w:space="0" w:color="auto"/>
              <w:left w:val="single" w:sz="4" w:space="0" w:color="auto"/>
              <w:bottom w:val="single" w:sz="4" w:space="0" w:color="auto"/>
              <w:right w:val="single" w:sz="4" w:space="0" w:color="auto"/>
            </w:tcBorders>
            <w:vAlign w:val="center"/>
          </w:tcPr>
          <w:p w:rsidR="00804FF4" w:rsidRPr="00E3331A" w:rsidRDefault="00831648" w:rsidP="00304276">
            <w:pPr>
              <w:spacing w:after="0" w:line="240" w:lineRule="auto"/>
              <w:jc w:val="center"/>
              <w:rPr>
                <w:sz w:val="20"/>
              </w:rPr>
            </w:pPr>
            <w:r>
              <w:rPr>
                <w:rFonts w:ascii="Arial Narrow" w:hAnsi="Arial Narrow" w:cs="Calibri"/>
                <w:color w:val="000000"/>
                <w:sz w:val="20"/>
                <w:szCs w:val="20"/>
              </w:rPr>
              <w:t>1.0000</w:t>
            </w:r>
          </w:p>
        </w:tc>
        <w:tc>
          <w:tcPr>
            <w:tcW w:w="1276" w:type="dxa"/>
            <w:tcBorders>
              <w:top w:val="single" w:sz="4" w:space="0" w:color="auto"/>
              <w:left w:val="single" w:sz="4" w:space="0" w:color="auto"/>
              <w:bottom w:val="single" w:sz="4" w:space="0" w:color="auto"/>
              <w:right w:val="single" w:sz="4" w:space="0" w:color="auto"/>
            </w:tcBorders>
            <w:vAlign w:val="center"/>
          </w:tcPr>
          <w:p w:rsidR="00804FF4" w:rsidRPr="00E3331A" w:rsidRDefault="00831648" w:rsidP="00304276">
            <w:pPr>
              <w:spacing w:after="0" w:line="240" w:lineRule="auto"/>
              <w:jc w:val="center"/>
              <w:rPr>
                <w:sz w:val="20"/>
              </w:rPr>
            </w:pPr>
            <w:r>
              <w:rPr>
                <w:rFonts w:ascii="Arial Narrow" w:hAnsi="Arial Narrow" w:cs="Calibri"/>
                <w:color w:val="000000"/>
                <w:sz w:val="20"/>
                <w:szCs w:val="20"/>
              </w:rPr>
              <w:t>1.0000</w:t>
            </w:r>
          </w:p>
        </w:tc>
        <w:tc>
          <w:tcPr>
            <w:tcW w:w="1366" w:type="dxa"/>
            <w:tcBorders>
              <w:top w:val="single" w:sz="4" w:space="0" w:color="auto"/>
              <w:left w:val="single" w:sz="4" w:space="0" w:color="auto"/>
              <w:bottom w:val="single" w:sz="4" w:space="0" w:color="auto"/>
              <w:right w:val="single" w:sz="4" w:space="0" w:color="auto"/>
            </w:tcBorders>
            <w:vAlign w:val="center"/>
          </w:tcPr>
          <w:p w:rsidR="00804FF4" w:rsidRPr="00E3331A" w:rsidRDefault="00831648" w:rsidP="00304276">
            <w:pPr>
              <w:spacing w:after="0" w:line="240" w:lineRule="auto"/>
              <w:jc w:val="center"/>
              <w:rPr>
                <w:rFonts w:ascii="Arial Narrow" w:hAnsi="Arial Narrow" w:cs="Calibri"/>
                <w:sz w:val="20"/>
                <w:szCs w:val="20"/>
              </w:rPr>
            </w:pPr>
            <w:r>
              <w:rPr>
                <w:rFonts w:ascii="Arial Narrow" w:hAnsi="Arial Narrow" w:cs="Calibri"/>
                <w:color w:val="000000"/>
                <w:sz w:val="20"/>
                <w:szCs w:val="20"/>
              </w:rPr>
              <w:t>1.0000</w:t>
            </w:r>
          </w:p>
        </w:tc>
      </w:tr>
      <w:tr w:rsidR="00804FF4"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pPr>
            <w:r w:rsidRPr="00E3331A">
              <w:rPr>
                <w:lang w:val="en-US"/>
              </w:rPr>
              <w:t xml:space="preserve">Corticosteroids </w:t>
            </w:r>
            <w:r w:rsidRPr="00E3331A">
              <w:t>mortality odds ratio</w:t>
            </w:r>
          </w:p>
        </w:tc>
        <w:tc>
          <w:tcPr>
            <w:tcW w:w="3911"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pPr>
            <w:r w:rsidRPr="00E3331A">
              <w:t>CIDP was not assumed to result in increased mortality.</w:t>
            </w:r>
          </w:p>
        </w:tc>
        <w:tc>
          <w:tcPr>
            <w:tcW w:w="1134" w:type="dxa"/>
            <w:tcBorders>
              <w:top w:val="single" w:sz="4" w:space="0" w:color="auto"/>
              <w:left w:val="single" w:sz="4" w:space="0" w:color="auto"/>
              <w:bottom w:val="single" w:sz="4" w:space="0" w:color="auto"/>
              <w:right w:val="single" w:sz="4" w:space="0" w:color="auto"/>
            </w:tcBorders>
            <w:vAlign w:val="center"/>
          </w:tcPr>
          <w:p w:rsidR="00804FF4" w:rsidRPr="00E3331A" w:rsidRDefault="00831648" w:rsidP="00304276">
            <w:pPr>
              <w:pStyle w:val="Tablenotes0"/>
              <w:spacing w:after="0"/>
              <w:jc w:val="center"/>
            </w:pPr>
            <w:r>
              <w:rPr>
                <w:rFonts w:cs="Calibri"/>
                <w:color w:val="000000"/>
                <w:sz w:val="20"/>
                <w:szCs w:val="20"/>
              </w:rPr>
              <w:t>1.0000</w:t>
            </w:r>
          </w:p>
        </w:tc>
        <w:tc>
          <w:tcPr>
            <w:tcW w:w="1276" w:type="dxa"/>
            <w:tcBorders>
              <w:top w:val="single" w:sz="4" w:space="0" w:color="auto"/>
              <w:left w:val="single" w:sz="4" w:space="0" w:color="auto"/>
              <w:bottom w:val="single" w:sz="4" w:space="0" w:color="auto"/>
              <w:right w:val="single" w:sz="4" w:space="0" w:color="auto"/>
            </w:tcBorders>
            <w:vAlign w:val="center"/>
          </w:tcPr>
          <w:p w:rsidR="00804FF4" w:rsidRPr="00E3331A" w:rsidRDefault="00831648" w:rsidP="00304276">
            <w:pPr>
              <w:pStyle w:val="Tablenotes0"/>
              <w:spacing w:after="0"/>
              <w:jc w:val="center"/>
            </w:pPr>
            <w:r>
              <w:rPr>
                <w:rFonts w:cs="Calibri"/>
                <w:color w:val="000000"/>
                <w:sz w:val="20"/>
                <w:szCs w:val="20"/>
              </w:rPr>
              <w:t>1.0000</w:t>
            </w:r>
          </w:p>
        </w:tc>
        <w:tc>
          <w:tcPr>
            <w:tcW w:w="1366" w:type="dxa"/>
            <w:tcBorders>
              <w:top w:val="single" w:sz="4" w:space="0" w:color="auto"/>
              <w:left w:val="single" w:sz="4" w:space="0" w:color="auto"/>
              <w:bottom w:val="single" w:sz="4" w:space="0" w:color="auto"/>
              <w:right w:val="single" w:sz="4" w:space="0" w:color="auto"/>
            </w:tcBorders>
            <w:vAlign w:val="center"/>
          </w:tcPr>
          <w:p w:rsidR="00804FF4" w:rsidRPr="00E3331A" w:rsidRDefault="00831648" w:rsidP="00304276">
            <w:pPr>
              <w:pStyle w:val="Tablenotes0"/>
              <w:spacing w:after="0"/>
              <w:jc w:val="center"/>
            </w:pPr>
            <w:r>
              <w:rPr>
                <w:rFonts w:cs="Calibri"/>
                <w:color w:val="000000"/>
                <w:sz w:val="20"/>
                <w:szCs w:val="20"/>
              </w:rPr>
              <w:t>1.0000</w:t>
            </w:r>
          </w:p>
        </w:tc>
      </w:tr>
      <w:tr w:rsidR="00804FF4"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pPr>
            <w:r w:rsidRPr="00E3331A">
              <w:rPr>
                <w:lang w:val="en-US"/>
              </w:rPr>
              <w:t xml:space="preserve">Fracture </w:t>
            </w:r>
            <w:r w:rsidRPr="00E3331A">
              <w:t>mortality odds ratio</w:t>
            </w:r>
          </w:p>
        </w:tc>
        <w:tc>
          <w:tcPr>
            <w:tcW w:w="3911"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pPr>
            <w:r w:rsidRPr="00E3331A">
              <w:t xml:space="preserve">Blackhouse (2010) included an incremental mortality of 0.0127 for first-year fractures. This is included as an odds ratio of 1.0142 for </w:t>
            </w:r>
            <w:r w:rsidR="00E810A5" w:rsidRPr="00E3331A">
              <w:t>55-59-year</w:t>
            </w:r>
            <w:r w:rsidRPr="00E3331A">
              <w:t xml:space="preserve"> </w:t>
            </w:r>
            <w:r w:rsidR="00E810A5" w:rsidRPr="00E3331A">
              <w:t>old’s</w:t>
            </w:r>
            <w:r w:rsidRPr="00E3331A">
              <w:t xml:space="preserve"> and applied to weekly base mortality.</w:t>
            </w:r>
          </w:p>
        </w:tc>
        <w:tc>
          <w:tcPr>
            <w:tcW w:w="1134"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spacing w:after="0" w:line="240" w:lineRule="auto"/>
              <w:jc w:val="center"/>
              <w:rPr>
                <w:sz w:val="20"/>
              </w:rPr>
            </w:pPr>
            <w:r>
              <w:rPr>
                <w:rFonts w:ascii="Arial Narrow" w:hAnsi="Arial Narrow" w:cs="Calibri"/>
                <w:color w:val="000000"/>
                <w:sz w:val="20"/>
                <w:szCs w:val="20"/>
              </w:rPr>
              <w:t>1.01420</w:t>
            </w:r>
          </w:p>
        </w:tc>
        <w:tc>
          <w:tcPr>
            <w:tcW w:w="1276"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spacing w:after="0" w:line="240" w:lineRule="auto"/>
              <w:jc w:val="center"/>
              <w:rPr>
                <w:sz w:val="20"/>
              </w:rPr>
            </w:pPr>
            <w:r>
              <w:rPr>
                <w:rFonts w:ascii="Arial Narrow" w:hAnsi="Arial Narrow" w:cs="Calibri"/>
                <w:color w:val="000000"/>
                <w:sz w:val="20"/>
                <w:szCs w:val="20"/>
              </w:rPr>
              <w:t>1.01420</w:t>
            </w:r>
          </w:p>
        </w:tc>
        <w:tc>
          <w:tcPr>
            <w:tcW w:w="1366"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spacing w:after="0" w:line="240" w:lineRule="auto"/>
              <w:jc w:val="center"/>
              <w:rPr>
                <w:rFonts w:ascii="Arial Narrow" w:hAnsi="Arial Narrow" w:cs="Calibri"/>
                <w:sz w:val="20"/>
                <w:szCs w:val="20"/>
              </w:rPr>
            </w:pPr>
            <w:r>
              <w:rPr>
                <w:rFonts w:ascii="Arial Narrow" w:hAnsi="Arial Narrow" w:cs="Calibri"/>
                <w:color w:val="000000"/>
                <w:sz w:val="20"/>
                <w:szCs w:val="20"/>
              </w:rPr>
              <w:t>1.01420</w:t>
            </w:r>
          </w:p>
        </w:tc>
      </w:tr>
      <w:tr w:rsidR="00804FF4"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pPr>
            <w:r w:rsidRPr="00E3331A">
              <w:rPr>
                <w:lang w:val="en-US"/>
              </w:rPr>
              <w:t xml:space="preserve">Diabetes </w:t>
            </w:r>
            <w:r w:rsidRPr="00E3331A">
              <w:t>mortality odds ratio</w:t>
            </w:r>
          </w:p>
        </w:tc>
        <w:tc>
          <w:tcPr>
            <w:tcW w:w="3911"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pPr>
            <w:r w:rsidRPr="00E3331A">
              <w:t>Blackhouse (2010) included an incremental mortality of 0.001160 for first year diabetes for 55-59-year-olds. This is included as an odds ratio of 1.001160 and applied to weekly base mortality.</w:t>
            </w:r>
          </w:p>
        </w:tc>
        <w:tc>
          <w:tcPr>
            <w:tcW w:w="1134"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spacing w:after="0" w:line="240" w:lineRule="auto"/>
              <w:jc w:val="center"/>
              <w:rPr>
                <w:sz w:val="20"/>
              </w:rPr>
            </w:pPr>
            <w:r>
              <w:rPr>
                <w:rFonts w:ascii="Arial Narrow" w:hAnsi="Arial Narrow" w:cs="Calibri"/>
                <w:color w:val="000000"/>
                <w:sz w:val="20"/>
                <w:szCs w:val="20"/>
              </w:rPr>
              <w:t>1.00116</w:t>
            </w:r>
          </w:p>
        </w:tc>
        <w:tc>
          <w:tcPr>
            <w:tcW w:w="1276"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pStyle w:val="Tablenotes0"/>
              <w:spacing w:after="0"/>
              <w:jc w:val="center"/>
            </w:pPr>
            <w:r>
              <w:rPr>
                <w:rFonts w:cs="Calibri"/>
                <w:color w:val="000000"/>
                <w:sz w:val="20"/>
                <w:szCs w:val="20"/>
              </w:rPr>
              <w:t>1.00116</w:t>
            </w:r>
          </w:p>
        </w:tc>
        <w:tc>
          <w:tcPr>
            <w:tcW w:w="1366"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pStyle w:val="Tablenotes0"/>
              <w:spacing w:after="0"/>
              <w:jc w:val="center"/>
            </w:pPr>
            <w:r>
              <w:rPr>
                <w:rFonts w:cs="Calibri"/>
                <w:color w:val="000000"/>
                <w:sz w:val="20"/>
                <w:szCs w:val="20"/>
              </w:rPr>
              <w:t>1.00116</w:t>
            </w:r>
          </w:p>
        </w:tc>
      </w:tr>
      <w:tr w:rsidR="00804FF4"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pPr>
            <w:r w:rsidRPr="00E3331A">
              <w:rPr>
                <w:lang w:val="en-US"/>
              </w:rPr>
              <w:t xml:space="preserve">Glaucoma </w:t>
            </w:r>
            <w:r w:rsidRPr="00E3331A">
              <w:t>mortality odds ratio</w:t>
            </w:r>
          </w:p>
        </w:tc>
        <w:tc>
          <w:tcPr>
            <w:tcW w:w="3911"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pPr>
            <w:r w:rsidRPr="00E3331A">
              <w:t>Not assumed to result in increased mortality</w:t>
            </w:r>
          </w:p>
        </w:tc>
        <w:tc>
          <w:tcPr>
            <w:tcW w:w="1134" w:type="dxa"/>
            <w:tcBorders>
              <w:top w:val="single" w:sz="4" w:space="0" w:color="auto"/>
              <w:left w:val="single" w:sz="4" w:space="0" w:color="auto"/>
              <w:bottom w:val="single" w:sz="4" w:space="0" w:color="auto"/>
              <w:right w:val="single" w:sz="4" w:space="0" w:color="auto"/>
            </w:tcBorders>
            <w:vAlign w:val="center"/>
          </w:tcPr>
          <w:p w:rsidR="00804FF4" w:rsidRPr="00E3331A" w:rsidRDefault="00831648" w:rsidP="00304276">
            <w:pPr>
              <w:pStyle w:val="Tablenotes0"/>
              <w:spacing w:after="0"/>
              <w:jc w:val="center"/>
            </w:pPr>
            <w:r>
              <w:rPr>
                <w:rFonts w:cs="Calibri"/>
                <w:color w:val="000000"/>
                <w:sz w:val="20"/>
                <w:szCs w:val="20"/>
              </w:rPr>
              <w:t>1.0000</w:t>
            </w:r>
          </w:p>
        </w:tc>
        <w:tc>
          <w:tcPr>
            <w:tcW w:w="1276" w:type="dxa"/>
            <w:tcBorders>
              <w:top w:val="single" w:sz="4" w:space="0" w:color="auto"/>
              <w:left w:val="single" w:sz="4" w:space="0" w:color="auto"/>
              <w:bottom w:val="single" w:sz="4" w:space="0" w:color="auto"/>
              <w:right w:val="single" w:sz="4" w:space="0" w:color="auto"/>
            </w:tcBorders>
            <w:vAlign w:val="center"/>
          </w:tcPr>
          <w:p w:rsidR="00804FF4" w:rsidRPr="00E3331A" w:rsidRDefault="00831648" w:rsidP="00304276">
            <w:pPr>
              <w:pStyle w:val="Tablenotes0"/>
              <w:spacing w:after="0"/>
              <w:jc w:val="center"/>
            </w:pPr>
            <w:r>
              <w:rPr>
                <w:rFonts w:cs="Calibri"/>
                <w:color w:val="000000"/>
                <w:sz w:val="20"/>
                <w:szCs w:val="20"/>
              </w:rPr>
              <w:t>1.0000</w:t>
            </w:r>
          </w:p>
        </w:tc>
        <w:tc>
          <w:tcPr>
            <w:tcW w:w="1366" w:type="dxa"/>
            <w:tcBorders>
              <w:top w:val="single" w:sz="4" w:space="0" w:color="auto"/>
              <w:left w:val="single" w:sz="4" w:space="0" w:color="auto"/>
              <w:bottom w:val="single" w:sz="4" w:space="0" w:color="auto"/>
              <w:right w:val="single" w:sz="4" w:space="0" w:color="auto"/>
            </w:tcBorders>
            <w:vAlign w:val="center"/>
          </w:tcPr>
          <w:p w:rsidR="00804FF4" w:rsidRPr="00E3331A" w:rsidRDefault="00831648" w:rsidP="00304276">
            <w:pPr>
              <w:pStyle w:val="Tablenotes0"/>
              <w:spacing w:after="0"/>
              <w:jc w:val="center"/>
            </w:pPr>
            <w:r>
              <w:rPr>
                <w:rFonts w:cs="Calibri"/>
                <w:color w:val="000000"/>
                <w:sz w:val="20"/>
                <w:szCs w:val="20"/>
              </w:rPr>
              <w:t>1.0000</w:t>
            </w:r>
          </w:p>
        </w:tc>
      </w:tr>
      <w:tr w:rsidR="00804FF4"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pPr>
            <w:r w:rsidRPr="00E3331A">
              <w:rPr>
                <w:lang w:val="en-US"/>
              </w:rPr>
              <w:t xml:space="preserve">Cataract </w:t>
            </w:r>
            <w:r w:rsidRPr="00E3331A">
              <w:t>mortality odds ratio</w:t>
            </w:r>
          </w:p>
        </w:tc>
        <w:tc>
          <w:tcPr>
            <w:tcW w:w="3911"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pPr>
            <w:r w:rsidRPr="00E3331A">
              <w:t>Not assumed to result in increased mortality</w:t>
            </w:r>
          </w:p>
        </w:tc>
        <w:tc>
          <w:tcPr>
            <w:tcW w:w="1134" w:type="dxa"/>
            <w:tcBorders>
              <w:top w:val="single" w:sz="4" w:space="0" w:color="auto"/>
              <w:left w:val="single" w:sz="4" w:space="0" w:color="auto"/>
              <w:bottom w:val="single" w:sz="4" w:space="0" w:color="auto"/>
              <w:right w:val="single" w:sz="4" w:space="0" w:color="auto"/>
            </w:tcBorders>
            <w:vAlign w:val="center"/>
          </w:tcPr>
          <w:p w:rsidR="00804FF4" w:rsidRPr="00E3331A" w:rsidRDefault="00831648" w:rsidP="00304276">
            <w:pPr>
              <w:pStyle w:val="Tablenotes0"/>
              <w:spacing w:after="0"/>
              <w:jc w:val="center"/>
            </w:pPr>
            <w:r>
              <w:rPr>
                <w:rFonts w:cs="Calibri"/>
                <w:color w:val="000000"/>
                <w:sz w:val="20"/>
                <w:szCs w:val="20"/>
              </w:rPr>
              <w:t>1.0000</w:t>
            </w:r>
          </w:p>
        </w:tc>
        <w:tc>
          <w:tcPr>
            <w:tcW w:w="1276" w:type="dxa"/>
            <w:tcBorders>
              <w:top w:val="single" w:sz="4" w:space="0" w:color="auto"/>
              <w:left w:val="single" w:sz="4" w:space="0" w:color="auto"/>
              <w:bottom w:val="single" w:sz="4" w:space="0" w:color="auto"/>
              <w:right w:val="single" w:sz="4" w:space="0" w:color="auto"/>
            </w:tcBorders>
            <w:vAlign w:val="center"/>
          </w:tcPr>
          <w:p w:rsidR="00804FF4" w:rsidRPr="00E3331A" w:rsidRDefault="00831648" w:rsidP="00304276">
            <w:pPr>
              <w:pStyle w:val="Tablenotes0"/>
              <w:spacing w:after="0"/>
              <w:jc w:val="center"/>
            </w:pPr>
            <w:r>
              <w:rPr>
                <w:rFonts w:cs="Calibri"/>
                <w:color w:val="000000"/>
                <w:sz w:val="20"/>
                <w:szCs w:val="20"/>
              </w:rPr>
              <w:t>1.0000</w:t>
            </w:r>
          </w:p>
        </w:tc>
        <w:tc>
          <w:tcPr>
            <w:tcW w:w="1366" w:type="dxa"/>
            <w:tcBorders>
              <w:top w:val="single" w:sz="4" w:space="0" w:color="auto"/>
              <w:left w:val="single" w:sz="4" w:space="0" w:color="auto"/>
              <w:bottom w:val="single" w:sz="4" w:space="0" w:color="auto"/>
              <w:right w:val="single" w:sz="4" w:space="0" w:color="auto"/>
            </w:tcBorders>
            <w:vAlign w:val="center"/>
          </w:tcPr>
          <w:p w:rsidR="00804FF4" w:rsidRPr="00E3331A" w:rsidRDefault="00831648" w:rsidP="00304276">
            <w:pPr>
              <w:pStyle w:val="Tablenotes0"/>
              <w:spacing w:after="0"/>
              <w:jc w:val="center"/>
            </w:pPr>
            <w:r>
              <w:rPr>
                <w:rFonts w:cs="Calibri"/>
                <w:color w:val="000000"/>
                <w:sz w:val="20"/>
                <w:szCs w:val="20"/>
              </w:rPr>
              <w:t>1.0000</w:t>
            </w:r>
          </w:p>
        </w:tc>
      </w:tr>
      <w:tr w:rsidR="00804FF4"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pPr>
            <w:r w:rsidRPr="00E3331A">
              <w:rPr>
                <w:lang w:val="en-US"/>
              </w:rPr>
              <w:t xml:space="preserve">Infection </w:t>
            </w:r>
            <w:r w:rsidRPr="00E3331A">
              <w:t>mortality odds ratio</w:t>
            </w:r>
          </w:p>
        </w:tc>
        <w:tc>
          <w:tcPr>
            <w:tcW w:w="3911"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804FF4">
            <w:pPr>
              <w:pStyle w:val="Tablenotes0"/>
            </w:pPr>
            <w:r w:rsidRPr="00E3331A">
              <w:t xml:space="preserve">Blackhouse (2010) included an incremental mortality of 0.018 for </w:t>
            </w:r>
            <w:r w:rsidR="00E810A5" w:rsidRPr="00E3331A">
              <w:t>25-64-year</w:t>
            </w:r>
            <w:r w:rsidRPr="00E3331A">
              <w:t xml:space="preserve"> </w:t>
            </w:r>
            <w:r w:rsidR="00E810A5" w:rsidRPr="00E3331A">
              <w:t>old’s</w:t>
            </w:r>
            <w:r w:rsidRPr="00E3331A">
              <w:t xml:space="preserve"> in hospital. This is included as an odds ratio of 1.018 and applied to weekly base mortality.</w:t>
            </w:r>
          </w:p>
        </w:tc>
        <w:tc>
          <w:tcPr>
            <w:tcW w:w="1134"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spacing w:after="0" w:line="240" w:lineRule="auto"/>
              <w:jc w:val="center"/>
              <w:rPr>
                <w:sz w:val="20"/>
              </w:rPr>
            </w:pPr>
            <w:r>
              <w:rPr>
                <w:rFonts w:ascii="Arial Narrow" w:hAnsi="Arial Narrow" w:cs="Calibri"/>
                <w:color w:val="000000"/>
                <w:sz w:val="20"/>
                <w:szCs w:val="20"/>
              </w:rPr>
              <w:t>1.01800</w:t>
            </w:r>
          </w:p>
        </w:tc>
        <w:tc>
          <w:tcPr>
            <w:tcW w:w="1276"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spacing w:after="0" w:line="240" w:lineRule="auto"/>
              <w:jc w:val="center"/>
              <w:rPr>
                <w:sz w:val="20"/>
              </w:rPr>
            </w:pPr>
            <w:r>
              <w:rPr>
                <w:rFonts w:ascii="Arial Narrow" w:hAnsi="Arial Narrow" w:cs="Calibri"/>
                <w:color w:val="000000"/>
                <w:sz w:val="20"/>
                <w:szCs w:val="20"/>
              </w:rPr>
              <w:t>1.01800</w:t>
            </w:r>
          </w:p>
        </w:tc>
        <w:tc>
          <w:tcPr>
            <w:tcW w:w="1366" w:type="dxa"/>
            <w:tcBorders>
              <w:top w:val="single" w:sz="4" w:space="0" w:color="auto"/>
              <w:left w:val="single" w:sz="4" w:space="0" w:color="auto"/>
              <w:bottom w:val="single" w:sz="4" w:space="0" w:color="auto"/>
              <w:right w:val="single" w:sz="4" w:space="0" w:color="auto"/>
            </w:tcBorders>
            <w:vAlign w:val="center"/>
          </w:tcPr>
          <w:p w:rsidR="00804FF4" w:rsidRPr="00E3331A" w:rsidRDefault="00804FF4" w:rsidP="00304276">
            <w:pPr>
              <w:spacing w:after="0" w:line="240" w:lineRule="auto"/>
              <w:jc w:val="center"/>
              <w:rPr>
                <w:rFonts w:ascii="Arial Narrow" w:hAnsi="Arial Narrow" w:cs="Calibri"/>
                <w:sz w:val="20"/>
                <w:szCs w:val="20"/>
              </w:rPr>
            </w:pPr>
            <w:r>
              <w:rPr>
                <w:rFonts w:ascii="Arial Narrow" w:hAnsi="Arial Narrow" w:cs="Calibri"/>
                <w:color w:val="000000"/>
                <w:sz w:val="20"/>
                <w:szCs w:val="20"/>
              </w:rPr>
              <w:t>1.01800</w:t>
            </w:r>
          </w:p>
        </w:tc>
      </w:tr>
    </w:tbl>
    <w:p w:rsidR="007C32D3" w:rsidRPr="00E3331A" w:rsidRDefault="007C32D3" w:rsidP="007C32D3">
      <w:pPr>
        <w:pStyle w:val="Tablenotes1"/>
      </w:pPr>
      <w:r w:rsidRPr="00E3331A">
        <w:t>Abbreviations: AE= adverse event. CIDP = Chronic Inflammatory Demyelinating Polyneuropathy</w:t>
      </w:r>
    </w:p>
    <w:p w:rsidR="007C32D3" w:rsidRPr="00E3331A" w:rsidRDefault="007C32D3" w:rsidP="00BB6E4C">
      <w:pPr>
        <w:pStyle w:val="BodyTextSTD"/>
      </w:pPr>
    </w:p>
    <w:p w:rsidR="001F5B33" w:rsidRPr="00E3331A" w:rsidRDefault="001F5B33" w:rsidP="00BB6E4C">
      <w:pPr>
        <w:pStyle w:val="BodyTextSTD"/>
      </w:pPr>
      <w:r w:rsidRPr="00E3331A">
        <w:t xml:space="preserve">Background mortality rates by age were taken from the 2017 ABS life table and assumed a gender balance of 49% male. CIDP is not assumed to increase the risk of mortality. For example, a recent population study in Iceland determined the incidence, clinical characteristics and prognosis of idiopathic </w:t>
      </w:r>
      <w:r w:rsidR="002D3966" w:rsidRPr="00E3331A">
        <w:t>CIDP</w:t>
      </w:r>
      <w:r w:rsidRPr="00E3331A">
        <w:t xml:space="preserve"> during a 21-year period. </w:t>
      </w:r>
      <w:r w:rsidR="00847E44" w:rsidRPr="00E3331A">
        <w:t xml:space="preserve">In total, 19 </w:t>
      </w:r>
      <w:r w:rsidRPr="00E3331A">
        <w:t xml:space="preserve">individuals participated, with 14 </w:t>
      </w:r>
      <w:r w:rsidR="007C32D3" w:rsidRPr="00E3331A">
        <w:t xml:space="preserve">being </w:t>
      </w:r>
      <w:r w:rsidRPr="00E3331A">
        <w:t>men (74%). The mean age at diagnosis was 57</w:t>
      </w:r>
      <w:r w:rsidR="00847E44" w:rsidRPr="00E3331A">
        <w:t xml:space="preserve"> years</w:t>
      </w:r>
      <w:r w:rsidRPr="00E3331A">
        <w:t>. A standardi</w:t>
      </w:r>
      <w:r w:rsidR="00591599" w:rsidRPr="00E3331A">
        <w:t>s</w:t>
      </w:r>
      <w:r w:rsidRPr="00E3331A">
        <w:t>ed mortality ratio for the 21-year study period was estimated at 0.9</w:t>
      </w:r>
      <w:r w:rsidR="00847E44" w:rsidRPr="00E3331A">
        <w:t>,</w:t>
      </w:r>
      <w:r w:rsidRPr="00E3331A">
        <w:t xml:space="preserve"> which was not considered to differ from general population mortality (Hafsteinsdottir and Olafsson 2016). Annual ABS mortality age</w:t>
      </w:r>
      <w:r w:rsidR="00847E44" w:rsidRPr="00E3331A">
        <w:t xml:space="preserve"> </w:t>
      </w:r>
      <w:r w:rsidRPr="00E3331A">
        <w:t>rates are converted to weekly probabilities using -(LN(1-annual rate))/52. The increased risk of death from steroid adverse events w</w:t>
      </w:r>
      <w:r w:rsidR="00847E44" w:rsidRPr="00E3331A">
        <w:t>as</w:t>
      </w:r>
      <w:r w:rsidRPr="00E3331A">
        <w:t xml:space="preserve"> estimated in Blackhouse </w:t>
      </w:r>
      <w:r w:rsidR="00983BA7">
        <w:t xml:space="preserve">et al. </w:t>
      </w:r>
      <w:r w:rsidRPr="00E3331A">
        <w:t>(2010). The risks were applied as odds ratios for diabetes, fracture and infection</w:t>
      </w:r>
      <w:r w:rsidR="00847E44" w:rsidRPr="00E3331A">
        <w:t>,</w:t>
      </w:r>
      <w:r w:rsidRPr="00E3331A">
        <w:t xml:space="preserve"> and applied to Australian age-specific mortality from the ABS Australian 2017 life table. Weekly mortality rates are presented in</w:t>
      </w:r>
      <w:r w:rsidR="00E810A5">
        <w:t xml:space="preserve"> </w:t>
      </w:r>
      <w:r w:rsidR="0087749D" w:rsidRPr="00E3331A">
        <w:t xml:space="preserve">Table </w:t>
      </w:r>
      <w:r w:rsidR="0087749D">
        <w:rPr>
          <w:noProof/>
        </w:rPr>
        <w:t>52</w:t>
      </w:r>
      <w:r w:rsidRPr="00E3331A">
        <w:t>. No other adverse events are assumed to have increased mortality</w:t>
      </w:r>
    </w:p>
    <w:p w:rsidR="001F5B33" w:rsidRPr="00E3331A" w:rsidRDefault="001F5B33" w:rsidP="001F5B33">
      <w:pPr>
        <w:pStyle w:val="Heading3"/>
      </w:pPr>
      <w:bookmarkStart w:id="365" w:name="_Toc24103501"/>
      <w:r w:rsidRPr="00E3331A">
        <w:t>C.4. 4</w:t>
      </w:r>
      <w:r w:rsidRPr="00E3331A">
        <w:tab/>
        <w:t>Relationship of pre-modelling study to the economic evaluation</w:t>
      </w:r>
      <w:bookmarkEnd w:id="365"/>
    </w:p>
    <w:p w:rsidR="001F5B33" w:rsidRPr="00E3331A" w:rsidRDefault="001F5B33" w:rsidP="00BB6E4C">
      <w:pPr>
        <w:pStyle w:val="BodyTextSTD"/>
      </w:pPr>
      <w:r w:rsidRPr="00E3331A">
        <w:t xml:space="preserve">As noted, the economic modelling is split into two analyses. The first step is the trial analysis in which all costs and health outcomes are quantified within </w:t>
      </w:r>
      <w:r w:rsidR="00981867" w:rsidRPr="00E3331A">
        <w:t xml:space="preserve">six </w:t>
      </w:r>
      <w:r w:rsidRPr="00E3331A">
        <w:t xml:space="preserve">months. The extrapolated analysis covers </w:t>
      </w:r>
      <w:r w:rsidR="009856EC" w:rsidRPr="00E3331A">
        <w:t xml:space="preserve">10 </w:t>
      </w:r>
      <w:r w:rsidRPr="00E3331A">
        <w:t xml:space="preserve">years. Assumptions sourced from </w:t>
      </w:r>
      <w:r w:rsidR="00D77378" w:rsidRPr="00E3331A">
        <w:t>6-month</w:t>
      </w:r>
      <w:r w:rsidRPr="00E3331A">
        <w:t xml:space="preserve"> trials are supplemented with longer</w:t>
      </w:r>
      <w:r w:rsidR="00981867" w:rsidRPr="00E3331A">
        <w:t>-</w:t>
      </w:r>
      <w:r w:rsidRPr="00E3331A">
        <w:t xml:space="preserve">term one </w:t>
      </w:r>
      <w:r w:rsidRPr="00E3331A">
        <w:lastRenderedPageBreak/>
        <w:t>arm observational studies. Rates are converted to weekly equivalents. Given the uncertainties about this assumption, rates and odds ratios are subject to sensitivity analysis in Section D.</w:t>
      </w:r>
    </w:p>
    <w:p w:rsidR="001F5B33" w:rsidRPr="00E3331A" w:rsidRDefault="001F5B33" w:rsidP="003E4E1F">
      <w:pPr>
        <w:pStyle w:val="Heading2"/>
      </w:pPr>
      <w:bookmarkStart w:id="366" w:name="_Toc24103502"/>
      <w:r w:rsidRPr="00E3331A">
        <w:t>C.5 Relationship of each Pre-Modelling Study to the Economic Evaluation</w:t>
      </w:r>
      <w:bookmarkEnd w:id="366"/>
    </w:p>
    <w:p w:rsidR="001F5B33" w:rsidRPr="00E3331A" w:rsidRDefault="001F5B33" w:rsidP="00BB6E4C">
      <w:pPr>
        <w:pStyle w:val="BodyTextSTD"/>
      </w:pPr>
      <w:r w:rsidRPr="00E3331A">
        <w:t xml:space="preserve">Section C included three pre-modelling studies addressing issues related to applicability and extrapolation </w:t>
      </w:r>
      <w:r w:rsidR="00981867" w:rsidRPr="00E3331A">
        <w:t xml:space="preserve">that </w:t>
      </w:r>
      <w:r w:rsidRPr="00E3331A">
        <w:t xml:space="preserve">have implications for the economic model presented in Section D. A summary of the results and implications is provided in </w:t>
      </w:r>
      <w:r w:rsidR="006F35B9" w:rsidRPr="00E3331A">
        <w:t xml:space="preserve">Table </w:t>
      </w:r>
      <w:r w:rsidR="006F35B9">
        <w:rPr>
          <w:noProof/>
        </w:rPr>
        <w:t>53</w:t>
      </w:r>
      <w:r w:rsidRPr="00E3331A">
        <w:t>.</w:t>
      </w:r>
    </w:p>
    <w:p w:rsidR="001F5B33" w:rsidRPr="00E3331A" w:rsidRDefault="001F5B33" w:rsidP="001F5B33">
      <w:pPr>
        <w:pStyle w:val="Caption"/>
      </w:pPr>
      <w:bookmarkStart w:id="367" w:name="_Ref421019304"/>
      <w:bookmarkStart w:id="368" w:name="_Toc474318246"/>
      <w:bookmarkStart w:id="369" w:name="_Toc493000466"/>
      <w:bookmarkStart w:id="370" w:name="_Toc24103359"/>
      <w:bookmarkStart w:id="371" w:name="_Toc153967310"/>
      <w:bookmarkStart w:id="372" w:name="_Toc341796370"/>
      <w:r w:rsidRPr="00E3331A">
        <w:t xml:space="preserve">Table </w:t>
      </w:r>
      <w:r w:rsidR="006F35B9">
        <w:rPr>
          <w:noProof/>
        </w:rPr>
        <w:t>53</w:t>
      </w:r>
      <w:bookmarkEnd w:id="367"/>
      <w:r w:rsidR="000F080F" w:rsidRPr="00E3331A">
        <w:rPr>
          <w:noProof/>
        </w:rPr>
        <w:tab/>
      </w:r>
      <w:r w:rsidRPr="00E3331A">
        <w:t>Summary of results of pre-modelling studies and their uses in the economic evaluation</w:t>
      </w:r>
      <w:bookmarkEnd w:id="368"/>
      <w:bookmarkEnd w:id="369"/>
      <w:bookmarkEnd w:id="3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416"/>
        <w:gridCol w:w="1275"/>
        <w:gridCol w:w="1699"/>
        <w:gridCol w:w="1134"/>
        <w:gridCol w:w="2461"/>
        <w:gridCol w:w="1031"/>
      </w:tblGrid>
      <w:tr w:rsidR="006C2342" w:rsidRPr="00E3331A" w:rsidTr="00497E19">
        <w:trPr>
          <w:cantSplit/>
        </w:trPr>
        <w:tc>
          <w:tcPr>
            <w:tcW w:w="785" w:type="pct"/>
            <w:shd w:val="clear" w:color="auto" w:fill="D9D9D9"/>
            <w:vAlign w:val="bottom"/>
          </w:tcPr>
          <w:p w:rsidR="001F5B33" w:rsidRPr="00E3331A" w:rsidRDefault="001F5B33" w:rsidP="00493DDF">
            <w:pPr>
              <w:pStyle w:val="TableHeading"/>
            </w:pPr>
            <w:r w:rsidRPr="00E3331A">
              <w:t>Section</w:t>
            </w:r>
          </w:p>
        </w:tc>
        <w:tc>
          <w:tcPr>
            <w:tcW w:w="707" w:type="pct"/>
            <w:shd w:val="clear" w:color="auto" w:fill="D9D9D9"/>
            <w:vAlign w:val="bottom"/>
          </w:tcPr>
          <w:p w:rsidR="001F5B33" w:rsidRPr="00E3331A" w:rsidRDefault="001F5B33" w:rsidP="00493DDF">
            <w:pPr>
              <w:pStyle w:val="TableHeading"/>
            </w:pPr>
            <w:r w:rsidRPr="00E3331A">
              <w:t>Pre-modelling study</w:t>
            </w:r>
          </w:p>
        </w:tc>
        <w:tc>
          <w:tcPr>
            <w:tcW w:w="942" w:type="pct"/>
            <w:shd w:val="clear" w:color="auto" w:fill="D9D9D9"/>
            <w:vAlign w:val="bottom"/>
          </w:tcPr>
          <w:p w:rsidR="001F5B33" w:rsidRPr="00E3331A" w:rsidRDefault="001F5B33" w:rsidP="00493DDF">
            <w:pPr>
              <w:pStyle w:val="TableHeading"/>
            </w:pPr>
            <w:r w:rsidRPr="00E3331A">
              <w:t>Results used in Section D</w:t>
            </w:r>
          </w:p>
        </w:tc>
        <w:tc>
          <w:tcPr>
            <w:tcW w:w="629" w:type="pct"/>
            <w:shd w:val="clear" w:color="auto" w:fill="D9D9D9"/>
            <w:vAlign w:val="bottom"/>
          </w:tcPr>
          <w:p w:rsidR="001F5B33" w:rsidRPr="00E3331A" w:rsidRDefault="001F5B33" w:rsidP="00493DDF">
            <w:pPr>
              <w:pStyle w:val="TableHeading"/>
            </w:pPr>
            <w:r w:rsidRPr="00E3331A">
              <w:t>Cross-reference</w:t>
            </w:r>
          </w:p>
        </w:tc>
        <w:tc>
          <w:tcPr>
            <w:tcW w:w="1365" w:type="pct"/>
            <w:shd w:val="clear" w:color="auto" w:fill="D9D9D9"/>
            <w:vAlign w:val="bottom"/>
          </w:tcPr>
          <w:p w:rsidR="001F5B33" w:rsidRPr="00E3331A" w:rsidRDefault="001F5B33" w:rsidP="00493DDF">
            <w:pPr>
              <w:pStyle w:val="TableHeading"/>
            </w:pPr>
            <w:r w:rsidRPr="00E3331A">
              <w:t>Results used in sensitivity analyses</w:t>
            </w:r>
          </w:p>
        </w:tc>
        <w:tc>
          <w:tcPr>
            <w:tcW w:w="572" w:type="pct"/>
            <w:shd w:val="clear" w:color="auto" w:fill="D9D9D9"/>
            <w:vAlign w:val="bottom"/>
          </w:tcPr>
          <w:p w:rsidR="001F5B33" w:rsidRPr="00E3331A" w:rsidRDefault="001F5B33" w:rsidP="00493DDF">
            <w:pPr>
              <w:pStyle w:val="TableHeading"/>
            </w:pPr>
            <w:r w:rsidRPr="00E3331A">
              <w:t>Cross-reference</w:t>
            </w:r>
          </w:p>
        </w:tc>
      </w:tr>
      <w:tr w:rsidR="006C2342" w:rsidRPr="00E3331A" w:rsidTr="00497E19">
        <w:trPr>
          <w:cantSplit/>
        </w:trPr>
        <w:tc>
          <w:tcPr>
            <w:tcW w:w="785" w:type="pct"/>
            <w:vAlign w:val="center"/>
          </w:tcPr>
          <w:p w:rsidR="001F5B33" w:rsidRPr="00E3331A" w:rsidRDefault="001F5B33" w:rsidP="0037150F">
            <w:pPr>
              <w:pStyle w:val="Tablenotes0"/>
              <w:rPr>
                <w:sz w:val="20"/>
                <w:szCs w:val="20"/>
              </w:rPr>
            </w:pPr>
            <w:r w:rsidRPr="00E3331A">
              <w:rPr>
                <w:sz w:val="20"/>
                <w:szCs w:val="20"/>
              </w:rPr>
              <w:t>Applicability of the trial-based evidence to the NBA population</w:t>
            </w:r>
          </w:p>
        </w:tc>
        <w:tc>
          <w:tcPr>
            <w:tcW w:w="707" w:type="pct"/>
            <w:vAlign w:val="center"/>
          </w:tcPr>
          <w:p w:rsidR="001F5B33" w:rsidRPr="00E3331A" w:rsidRDefault="001F5B33" w:rsidP="0037150F">
            <w:pPr>
              <w:pStyle w:val="Tablenotes0"/>
              <w:rPr>
                <w:sz w:val="20"/>
                <w:szCs w:val="20"/>
              </w:rPr>
            </w:pPr>
            <w:r w:rsidRPr="00E3331A">
              <w:rPr>
                <w:sz w:val="20"/>
                <w:szCs w:val="20"/>
              </w:rPr>
              <w:t>Study C.2</w:t>
            </w:r>
          </w:p>
        </w:tc>
        <w:tc>
          <w:tcPr>
            <w:tcW w:w="942" w:type="pct"/>
            <w:vAlign w:val="center"/>
          </w:tcPr>
          <w:p w:rsidR="001F5B33" w:rsidRPr="00E3331A" w:rsidRDefault="001F5B33" w:rsidP="0037150F">
            <w:pPr>
              <w:pStyle w:val="Tablenotes0"/>
              <w:rPr>
                <w:sz w:val="20"/>
                <w:szCs w:val="20"/>
              </w:rPr>
            </w:pPr>
            <w:r w:rsidRPr="00E3331A">
              <w:rPr>
                <w:sz w:val="20"/>
                <w:szCs w:val="20"/>
              </w:rPr>
              <w:t xml:space="preserve">The population described in Section B is similar to that used in the economic model </w:t>
            </w:r>
          </w:p>
        </w:tc>
        <w:tc>
          <w:tcPr>
            <w:tcW w:w="629" w:type="pct"/>
            <w:vAlign w:val="center"/>
          </w:tcPr>
          <w:p w:rsidR="001F5B33" w:rsidRPr="00E3331A" w:rsidRDefault="001F5B33" w:rsidP="0037150F">
            <w:pPr>
              <w:pStyle w:val="Tablenotes0"/>
              <w:rPr>
                <w:sz w:val="20"/>
                <w:szCs w:val="20"/>
              </w:rPr>
            </w:pPr>
            <w:r w:rsidRPr="00E3331A">
              <w:rPr>
                <w:sz w:val="20"/>
                <w:szCs w:val="20"/>
              </w:rPr>
              <w:t>Section D.2.</w:t>
            </w:r>
          </w:p>
        </w:tc>
        <w:tc>
          <w:tcPr>
            <w:tcW w:w="1365" w:type="pct"/>
            <w:vAlign w:val="center"/>
          </w:tcPr>
          <w:p w:rsidR="001F5B33" w:rsidRPr="00E3331A" w:rsidRDefault="001F5B33" w:rsidP="0037150F">
            <w:pPr>
              <w:pStyle w:val="Tablenotes0"/>
              <w:rPr>
                <w:sz w:val="20"/>
                <w:szCs w:val="20"/>
              </w:rPr>
            </w:pPr>
            <w:r w:rsidRPr="00E3331A">
              <w:rPr>
                <w:sz w:val="20"/>
                <w:szCs w:val="20"/>
              </w:rPr>
              <w:t>Differing assumptions about steroid and Ig response rates are included given differences between trial and Australian Ig patient characteristics</w:t>
            </w:r>
          </w:p>
        </w:tc>
        <w:tc>
          <w:tcPr>
            <w:tcW w:w="572" w:type="pct"/>
            <w:vAlign w:val="center"/>
          </w:tcPr>
          <w:p w:rsidR="001F5B33" w:rsidRPr="00E3331A" w:rsidRDefault="001F5B33" w:rsidP="0037150F">
            <w:pPr>
              <w:pStyle w:val="Tablenotes0"/>
              <w:rPr>
                <w:sz w:val="20"/>
                <w:szCs w:val="20"/>
              </w:rPr>
            </w:pPr>
            <w:r w:rsidRPr="00E3331A">
              <w:rPr>
                <w:sz w:val="20"/>
                <w:szCs w:val="20"/>
              </w:rPr>
              <w:t>NA</w:t>
            </w:r>
          </w:p>
        </w:tc>
      </w:tr>
      <w:tr w:rsidR="006C2342" w:rsidRPr="00E3331A" w:rsidTr="00497E19">
        <w:trPr>
          <w:cantSplit/>
          <w:trHeight w:val="688"/>
        </w:trPr>
        <w:tc>
          <w:tcPr>
            <w:tcW w:w="785" w:type="pct"/>
            <w:vAlign w:val="center"/>
          </w:tcPr>
          <w:p w:rsidR="001F5B33" w:rsidRPr="00E3331A" w:rsidRDefault="001F5B33" w:rsidP="0037150F">
            <w:pPr>
              <w:pStyle w:val="Tablenotes0"/>
              <w:rPr>
                <w:sz w:val="20"/>
                <w:szCs w:val="20"/>
              </w:rPr>
            </w:pPr>
            <w:r w:rsidRPr="00E3331A">
              <w:rPr>
                <w:sz w:val="20"/>
                <w:szCs w:val="20"/>
              </w:rPr>
              <w:t>Selection of utilities</w:t>
            </w:r>
          </w:p>
        </w:tc>
        <w:tc>
          <w:tcPr>
            <w:tcW w:w="707" w:type="pct"/>
            <w:vAlign w:val="center"/>
          </w:tcPr>
          <w:p w:rsidR="001F5B33" w:rsidRPr="00E3331A" w:rsidRDefault="001F5B33" w:rsidP="0037150F">
            <w:pPr>
              <w:pStyle w:val="Tablenotes0"/>
              <w:rPr>
                <w:sz w:val="20"/>
                <w:szCs w:val="20"/>
              </w:rPr>
            </w:pPr>
            <w:r w:rsidRPr="00E3331A">
              <w:rPr>
                <w:sz w:val="20"/>
                <w:szCs w:val="20"/>
              </w:rPr>
              <w:t>Study C.3</w:t>
            </w:r>
          </w:p>
        </w:tc>
        <w:tc>
          <w:tcPr>
            <w:tcW w:w="942" w:type="pct"/>
            <w:vAlign w:val="center"/>
          </w:tcPr>
          <w:p w:rsidR="001F5B33" w:rsidRPr="00E3331A" w:rsidRDefault="001F5B33" w:rsidP="0037150F">
            <w:pPr>
              <w:pStyle w:val="Tablenotes0"/>
              <w:rPr>
                <w:sz w:val="20"/>
                <w:szCs w:val="20"/>
              </w:rPr>
            </w:pPr>
            <w:r w:rsidRPr="00E3331A">
              <w:rPr>
                <w:sz w:val="20"/>
                <w:szCs w:val="20"/>
              </w:rPr>
              <w:t xml:space="preserve">Utilities used in Blackhouse </w:t>
            </w:r>
            <w:r w:rsidR="00983BA7">
              <w:rPr>
                <w:sz w:val="20"/>
                <w:szCs w:val="20"/>
              </w:rPr>
              <w:t xml:space="preserve">et al. </w:t>
            </w:r>
            <w:r w:rsidRPr="00E3331A">
              <w:rPr>
                <w:sz w:val="20"/>
                <w:szCs w:val="20"/>
              </w:rPr>
              <w:t>(2010) are applied to the Australian model.</w:t>
            </w:r>
          </w:p>
        </w:tc>
        <w:tc>
          <w:tcPr>
            <w:tcW w:w="629" w:type="pct"/>
            <w:vAlign w:val="center"/>
          </w:tcPr>
          <w:p w:rsidR="001F5B33" w:rsidRPr="00E3331A" w:rsidRDefault="001F5B33" w:rsidP="0037150F">
            <w:pPr>
              <w:pStyle w:val="Tablenotes0"/>
              <w:rPr>
                <w:sz w:val="20"/>
                <w:szCs w:val="20"/>
              </w:rPr>
            </w:pPr>
            <w:r w:rsidRPr="00E3331A">
              <w:rPr>
                <w:sz w:val="20"/>
                <w:szCs w:val="20"/>
              </w:rPr>
              <w:t>Section D.4.1.</w:t>
            </w:r>
          </w:p>
        </w:tc>
        <w:tc>
          <w:tcPr>
            <w:tcW w:w="1365" w:type="pct"/>
            <w:vAlign w:val="center"/>
          </w:tcPr>
          <w:p w:rsidR="001F5B33" w:rsidRPr="00E3331A" w:rsidRDefault="00D577A0" w:rsidP="0037150F">
            <w:pPr>
              <w:pStyle w:val="Tablenotes0"/>
              <w:rPr>
                <w:sz w:val="20"/>
                <w:szCs w:val="20"/>
              </w:rPr>
            </w:pPr>
            <w:r w:rsidRPr="00E3331A">
              <w:rPr>
                <w:sz w:val="20"/>
                <w:szCs w:val="20"/>
              </w:rPr>
              <w:t>All utilities are subject to univariate sensitivity analysis</w:t>
            </w:r>
          </w:p>
        </w:tc>
        <w:tc>
          <w:tcPr>
            <w:tcW w:w="572" w:type="pct"/>
            <w:vAlign w:val="center"/>
          </w:tcPr>
          <w:p w:rsidR="001F5B33" w:rsidRPr="00E3331A" w:rsidRDefault="006C2342" w:rsidP="0037150F">
            <w:pPr>
              <w:pStyle w:val="Tablenotes0"/>
              <w:rPr>
                <w:sz w:val="20"/>
                <w:szCs w:val="20"/>
              </w:rPr>
            </w:pPr>
            <w:r w:rsidRPr="00E3331A">
              <w:rPr>
                <w:sz w:val="20"/>
                <w:szCs w:val="20"/>
              </w:rPr>
              <w:t>NA</w:t>
            </w:r>
          </w:p>
        </w:tc>
      </w:tr>
      <w:tr w:rsidR="006C2342" w:rsidRPr="00E3331A" w:rsidTr="00497E19">
        <w:trPr>
          <w:cantSplit/>
        </w:trPr>
        <w:tc>
          <w:tcPr>
            <w:tcW w:w="785" w:type="pct"/>
            <w:vAlign w:val="center"/>
          </w:tcPr>
          <w:p w:rsidR="001F5B33" w:rsidRPr="00E3331A" w:rsidRDefault="001F5B33" w:rsidP="0037150F">
            <w:pPr>
              <w:pStyle w:val="Tablenotes0"/>
              <w:rPr>
                <w:sz w:val="20"/>
                <w:szCs w:val="20"/>
              </w:rPr>
            </w:pPr>
            <w:r w:rsidRPr="00E3331A">
              <w:rPr>
                <w:sz w:val="20"/>
                <w:szCs w:val="20"/>
              </w:rPr>
              <w:t>Extrapolation of trial-based evidence</w:t>
            </w:r>
          </w:p>
        </w:tc>
        <w:tc>
          <w:tcPr>
            <w:tcW w:w="707" w:type="pct"/>
            <w:vAlign w:val="center"/>
          </w:tcPr>
          <w:p w:rsidR="001F5B33" w:rsidRPr="00E3331A" w:rsidRDefault="001F5B33" w:rsidP="0037150F">
            <w:pPr>
              <w:pStyle w:val="Tablenotes0"/>
              <w:rPr>
                <w:sz w:val="20"/>
                <w:szCs w:val="20"/>
              </w:rPr>
            </w:pPr>
            <w:r w:rsidRPr="00E3331A">
              <w:rPr>
                <w:sz w:val="20"/>
                <w:szCs w:val="20"/>
              </w:rPr>
              <w:t>Study C.4</w:t>
            </w:r>
          </w:p>
        </w:tc>
        <w:tc>
          <w:tcPr>
            <w:tcW w:w="942" w:type="pct"/>
            <w:vAlign w:val="center"/>
          </w:tcPr>
          <w:p w:rsidR="001F5B33" w:rsidRPr="00E3331A" w:rsidRDefault="006C2342" w:rsidP="0037150F">
            <w:pPr>
              <w:pStyle w:val="Tablenotes0"/>
              <w:rPr>
                <w:sz w:val="20"/>
                <w:szCs w:val="20"/>
              </w:rPr>
            </w:pPr>
            <w:r w:rsidRPr="00E3331A">
              <w:rPr>
                <w:sz w:val="20"/>
                <w:szCs w:val="20"/>
              </w:rPr>
              <w:t>W</w:t>
            </w:r>
            <w:r w:rsidR="001F5B33" w:rsidRPr="00E3331A">
              <w:rPr>
                <w:sz w:val="20"/>
                <w:szCs w:val="20"/>
              </w:rPr>
              <w:t xml:space="preserve">eekly probabilities are used in the 6 month and </w:t>
            </w:r>
            <w:r w:rsidR="00E810A5" w:rsidRPr="00E3331A">
              <w:rPr>
                <w:sz w:val="20"/>
                <w:szCs w:val="20"/>
              </w:rPr>
              <w:t>10-year</w:t>
            </w:r>
            <w:r w:rsidR="001F5B33" w:rsidRPr="00E3331A">
              <w:rPr>
                <w:sz w:val="20"/>
                <w:szCs w:val="20"/>
              </w:rPr>
              <w:t xml:space="preserve"> models.</w:t>
            </w:r>
          </w:p>
        </w:tc>
        <w:tc>
          <w:tcPr>
            <w:tcW w:w="629" w:type="pct"/>
            <w:vAlign w:val="center"/>
          </w:tcPr>
          <w:p w:rsidR="001F5B33" w:rsidRPr="00E3331A" w:rsidRDefault="001F5B33" w:rsidP="0037150F">
            <w:pPr>
              <w:pStyle w:val="Tablenotes0"/>
              <w:rPr>
                <w:sz w:val="20"/>
                <w:szCs w:val="20"/>
              </w:rPr>
            </w:pPr>
            <w:r w:rsidRPr="00E3331A">
              <w:rPr>
                <w:sz w:val="20"/>
                <w:szCs w:val="20"/>
              </w:rPr>
              <w:t>Section D.4.1.</w:t>
            </w:r>
          </w:p>
        </w:tc>
        <w:tc>
          <w:tcPr>
            <w:tcW w:w="1365" w:type="pct"/>
            <w:vAlign w:val="center"/>
          </w:tcPr>
          <w:p w:rsidR="001F5B33" w:rsidRPr="00E3331A" w:rsidRDefault="006C2342" w:rsidP="0037150F">
            <w:pPr>
              <w:pStyle w:val="Tablenotes0"/>
              <w:rPr>
                <w:sz w:val="20"/>
                <w:szCs w:val="20"/>
              </w:rPr>
            </w:pPr>
            <w:r w:rsidRPr="00E3331A">
              <w:rPr>
                <w:sz w:val="20"/>
                <w:szCs w:val="20"/>
              </w:rPr>
              <w:t>Response and relapse rates are subject to univariate sensitivity analysis. A multivariate analysis of steroid adverse event rates is included using the assumptions in Wilson et al.</w:t>
            </w:r>
          </w:p>
        </w:tc>
        <w:tc>
          <w:tcPr>
            <w:tcW w:w="572" w:type="pct"/>
            <w:vAlign w:val="center"/>
          </w:tcPr>
          <w:p w:rsidR="001F5B33" w:rsidRPr="00E3331A" w:rsidRDefault="001F5B33" w:rsidP="0037150F">
            <w:pPr>
              <w:pStyle w:val="Tablenotes0"/>
              <w:rPr>
                <w:sz w:val="20"/>
                <w:szCs w:val="20"/>
              </w:rPr>
            </w:pPr>
            <w:r w:rsidRPr="00E3331A">
              <w:rPr>
                <w:sz w:val="20"/>
                <w:szCs w:val="20"/>
              </w:rPr>
              <w:t>NA</w:t>
            </w:r>
          </w:p>
        </w:tc>
      </w:tr>
    </w:tbl>
    <w:bookmarkEnd w:id="371"/>
    <w:bookmarkEnd w:id="372"/>
    <w:p w:rsidR="001F5B33" w:rsidRPr="00E3331A" w:rsidRDefault="001F5B33" w:rsidP="0037150F">
      <w:pPr>
        <w:pStyle w:val="Tablenotes1"/>
      </w:pPr>
      <w:r w:rsidRPr="00E3331A">
        <w:rPr>
          <w:i/>
        </w:rPr>
        <w:t>Abbreviations:</w:t>
      </w:r>
      <w:r w:rsidRPr="00E3331A">
        <w:t xml:space="preserve"> NBA</w:t>
      </w:r>
      <w:r w:rsidR="000F080F" w:rsidRPr="00E3331A">
        <w:t xml:space="preserve"> = </w:t>
      </w:r>
      <w:r w:rsidRPr="00E3331A">
        <w:t>National Blood Authority; NA</w:t>
      </w:r>
      <w:r w:rsidR="000F080F" w:rsidRPr="00E3331A">
        <w:t xml:space="preserve"> = </w:t>
      </w:r>
      <w:r w:rsidRPr="00E3331A">
        <w:t>not applicable</w:t>
      </w:r>
    </w:p>
    <w:p w:rsidR="001F5B33" w:rsidRPr="00E3331A" w:rsidRDefault="001F5B33" w:rsidP="001F5B33"/>
    <w:p w:rsidR="001F5B33" w:rsidRPr="00E3331A" w:rsidRDefault="001F5B33" w:rsidP="001F5B33">
      <w:pPr>
        <w:pStyle w:val="Heading1"/>
      </w:pPr>
      <w:bookmarkStart w:id="373" w:name="_Toc24103503"/>
      <w:r w:rsidRPr="00E3331A">
        <w:lastRenderedPageBreak/>
        <w:t>Section D</w:t>
      </w:r>
      <w:r w:rsidRPr="00E3331A">
        <w:tab/>
        <w:t>Economic Evaluation</w:t>
      </w:r>
      <w:bookmarkEnd w:id="373"/>
    </w:p>
    <w:p w:rsidR="001F5B33" w:rsidRPr="00E3331A" w:rsidRDefault="001F5B33" w:rsidP="003E4E1F">
      <w:pPr>
        <w:pStyle w:val="Heading2"/>
        <w:numPr>
          <w:ilvl w:val="3"/>
          <w:numId w:val="10"/>
        </w:numPr>
      </w:pPr>
      <w:bookmarkStart w:id="374" w:name="_Toc24103504"/>
      <w:r w:rsidRPr="00E3331A">
        <w:t>Overview</w:t>
      </w:r>
      <w:bookmarkEnd w:id="374"/>
    </w:p>
    <w:p w:rsidR="00926264" w:rsidRPr="00E3331A" w:rsidRDefault="005571BE" w:rsidP="00BB6E4C">
      <w:pPr>
        <w:pStyle w:val="BodyTextSTD"/>
      </w:pPr>
      <w:r w:rsidRPr="00E3331A">
        <w:t>I</w:t>
      </w:r>
      <w:r w:rsidR="001F5B33" w:rsidRPr="00E3331A">
        <w:t>mmunomodulation therapy</w:t>
      </w:r>
      <w:r w:rsidR="00926264" w:rsidRPr="00E3331A">
        <w:t xml:space="preserve"> is claimed to have superior safety and non-inferior effectiveness</w:t>
      </w:r>
      <w:r w:rsidR="000F080F" w:rsidRPr="00E3331A">
        <w:t>,</w:t>
      </w:r>
      <w:r w:rsidR="00926264" w:rsidRPr="00E3331A">
        <w:t xml:space="preserve"> bas</w:t>
      </w:r>
      <w:r w:rsidR="000F080F" w:rsidRPr="00E3331A">
        <w:t>ed</w:t>
      </w:r>
      <w:r w:rsidR="00926264" w:rsidRPr="00E3331A">
        <w:t xml:space="preserve"> </w:t>
      </w:r>
      <w:r w:rsidR="000F080F" w:rsidRPr="00E3331A">
        <w:t>on</w:t>
      </w:r>
      <w:r w:rsidR="00926264" w:rsidRPr="00E3331A">
        <w:t xml:space="preserve"> two small, short-term clinical trials compar</w:t>
      </w:r>
      <w:r w:rsidR="000F080F" w:rsidRPr="00E3331A">
        <w:t>ing</w:t>
      </w:r>
      <w:r w:rsidR="00926264" w:rsidRPr="00E3331A">
        <w:t xml:space="preserve"> Ig to prednisolone and plasma exchange</w:t>
      </w:r>
      <w:r w:rsidR="001F5B33" w:rsidRPr="00E3331A">
        <w:t xml:space="preserve">. </w:t>
      </w:r>
      <w:r w:rsidR="000F080F" w:rsidRPr="00E3331A">
        <w:t xml:space="preserve">This Assessment </w:t>
      </w:r>
      <w:r w:rsidR="001F5B33" w:rsidRPr="00E3331A">
        <w:t xml:space="preserve">has undertaken </w:t>
      </w:r>
      <w:r w:rsidR="000F080F" w:rsidRPr="00E3331A">
        <w:t xml:space="preserve">an economic evaluation </w:t>
      </w:r>
      <w:r w:rsidR="001F5B33" w:rsidRPr="00E3331A">
        <w:t xml:space="preserve">using a cost-utility approach. </w:t>
      </w:r>
    </w:p>
    <w:p w:rsidR="001F5B33" w:rsidRPr="00E3331A" w:rsidRDefault="001F5B33" w:rsidP="00BB6E4C">
      <w:pPr>
        <w:pStyle w:val="BodyTextSTD"/>
      </w:pPr>
      <w:r w:rsidRPr="00E3331A">
        <w:t>The model estimates cost per year of life and cost per QALY as an incremental cost-effectiveness ratio (ICER). The model compares Ig with corticosteroids. Results of the economic model are presented in two steps</w:t>
      </w:r>
      <w:r w:rsidR="000F080F" w:rsidRPr="00E3331A">
        <w:t>:</w:t>
      </w:r>
      <w:r w:rsidRPr="00E3331A">
        <w:t xml:space="preserve"> </w:t>
      </w:r>
      <w:r w:rsidR="000F080F" w:rsidRPr="00E3331A">
        <w:t>t</w:t>
      </w:r>
      <w:r w:rsidRPr="00E3331A">
        <w:t xml:space="preserve">he first outlines cost-effectiveness results for </w:t>
      </w:r>
      <w:r w:rsidR="000F080F" w:rsidRPr="00E3331A">
        <w:t xml:space="preserve">six </w:t>
      </w:r>
      <w:r w:rsidRPr="00E3331A">
        <w:t xml:space="preserve">months, which corresponds </w:t>
      </w:r>
      <w:r w:rsidR="000F080F" w:rsidRPr="00E3331A">
        <w:t xml:space="preserve">to </w:t>
      </w:r>
      <w:r w:rsidRPr="00E3331A">
        <w:t xml:space="preserve">the length of follow-up of the largest </w:t>
      </w:r>
      <w:r w:rsidR="000F080F" w:rsidRPr="00E3331A">
        <w:t>RCT</w:t>
      </w:r>
      <w:r w:rsidRPr="00E3331A">
        <w:t xml:space="preserve"> </w:t>
      </w:r>
      <w:r w:rsidR="000F080F" w:rsidRPr="00E3331A">
        <w:t>(</w:t>
      </w:r>
      <w:r w:rsidRPr="00E3331A">
        <w:t>Hughes et al</w:t>
      </w:r>
      <w:r w:rsidR="000F080F" w:rsidRPr="00E3331A">
        <w:t xml:space="preserve">, </w:t>
      </w:r>
      <w:r w:rsidRPr="00E3331A">
        <w:t>2008)</w:t>
      </w:r>
      <w:r w:rsidR="000F080F" w:rsidRPr="00E3331A">
        <w:t xml:space="preserve">; the second step involves extrapolating data over a </w:t>
      </w:r>
      <w:r w:rsidR="005571BE" w:rsidRPr="00E3331A">
        <w:t>10</w:t>
      </w:r>
      <w:r w:rsidR="000F080F" w:rsidRPr="00E3331A">
        <w:t>-year period.</w:t>
      </w:r>
      <w:r w:rsidR="005571BE" w:rsidRPr="00E3331A">
        <w:t xml:space="preserve"> </w:t>
      </w:r>
    </w:p>
    <w:p w:rsidR="001F5B33" w:rsidRPr="00E3331A" w:rsidRDefault="001F5B33" w:rsidP="00BB6E4C">
      <w:pPr>
        <w:pStyle w:val="BodyTextSTD"/>
      </w:pPr>
      <w:r w:rsidRPr="00E3331A">
        <w:t>An average hypothetical cohort of 1</w:t>
      </w:r>
      <w:r w:rsidR="000F080F" w:rsidRPr="00E3331A">
        <w:t>,</w:t>
      </w:r>
      <w:r w:rsidRPr="00E3331A">
        <w:t xml:space="preserve">000 </w:t>
      </w:r>
      <w:r w:rsidR="000F080F" w:rsidRPr="00E3331A">
        <w:t xml:space="preserve">CIDP </w:t>
      </w:r>
      <w:r w:rsidRPr="00E3331A">
        <w:t>patients progress</w:t>
      </w:r>
      <w:r w:rsidR="000F080F" w:rsidRPr="00E3331A">
        <w:t>es</w:t>
      </w:r>
      <w:r w:rsidRPr="00E3331A">
        <w:t xml:space="preserve"> between </w:t>
      </w:r>
      <w:r w:rsidR="000F080F" w:rsidRPr="00E3331A">
        <w:t xml:space="preserve">treatments </w:t>
      </w:r>
      <w:r w:rsidRPr="00E3331A">
        <w:t xml:space="preserve">based on </w:t>
      </w:r>
      <w:r w:rsidR="005571BE" w:rsidRPr="00E3331A">
        <w:t xml:space="preserve">IV </w:t>
      </w:r>
      <w:r w:rsidRPr="00E3331A">
        <w:t>Ig</w:t>
      </w:r>
      <w:r w:rsidR="00926264" w:rsidRPr="00E3331A">
        <w:t xml:space="preserve"> and steroid</w:t>
      </w:r>
      <w:r w:rsidRPr="00E3331A">
        <w:t xml:space="preserve"> response rates </w:t>
      </w:r>
      <w:r w:rsidR="00926264" w:rsidRPr="00E3331A">
        <w:t xml:space="preserve">and adverse event rates </w:t>
      </w:r>
      <w:r w:rsidRPr="00E3331A">
        <w:t xml:space="preserve">within a cohort-based Markov model. Resource use is attached to each state using Ig product costs and MBS </w:t>
      </w:r>
      <w:r w:rsidR="005541CA" w:rsidRPr="00E3331A">
        <w:t>I</w:t>
      </w:r>
      <w:r w:rsidRPr="00E3331A">
        <w:t xml:space="preserve">tem costs for </w:t>
      </w:r>
      <w:r w:rsidR="005571BE" w:rsidRPr="00E3331A">
        <w:t xml:space="preserve">Ig </w:t>
      </w:r>
      <w:r w:rsidRPr="00E3331A">
        <w:t xml:space="preserve">therapy against corticosteroids. Plasma exchange, immunosuppressants and combinations of two or more therapies are also used to treat CIDP in Australia. The costs of immunosuppressants are included as costs for patients in the steroid non-responder state and for those who have experienced steroid AEs. Plasma exchange is included in a sensitivity analysis substituting for immunosuppressants to treat patients in the steroid non-responder state. </w:t>
      </w:r>
    </w:p>
    <w:p w:rsidR="001F5B33" w:rsidRPr="00E3331A" w:rsidRDefault="001F5B33" w:rsidP="003E4E1F">
      <w:pPr>
        <w:pStyle w:val="Heading2"/>
        <w:numPr>
          <w:ilvl w:val="3"/>
          <w:numId w:val="10"/>
        </w:numPr>
      </w:pPr>
      <w:bookmarkStart w:id="375" w:name="_Toc24103505"/>
      <w:r w:rsidRPr="00E3331A">
        <w:t>Populations and settings</w:t>
      </w:r>
      <w:bookmarkEnd w:id="375"/>
    </w:p>
    <w:p w:rsidR="001F5B33" w:rsidRPr="00E3331A" w:rsidRDefault="001F5B33" w:rsidP="001F5B33">
      <w:pPr>
        <w:pStyle w:val="Heading3"/>
      </w:pPr>
      <w:bookmarkStart w:id="376" w:name="_Toc24103506"/>
      <w:r w:rsidRPr="00E3331A">
        <w:t>D.2.</w:t>
      </w:r>
      <w:r w:rsidR="00096949" w:rsidRPr="00E3331A">
        <w:t>1</w:t>
      </w:r>
      <w:r w:rsidRPr="00E3331A">
        <w:t>.</w:t>
      </w:r>
      <w:r w:rsidRPr="00E3331A">
        <w:tab/>
        <w:t>Population</w:t>
      </w:r>
      <w:bookmarkEnd w:id="376"/>
    </w:p>
    <w:p w:rsidR="001F5B33" w:rsidRPr="00E3331A" w:rsidRDefault="001F5B33" w:rsidP="00BB6E4C">
      <w:pPr>
        <w:pStyle w:val="BodyTextSTD"/>
      </w:pPr>
      <w:r w:rsidRPr="00E3331A">
        <w:t xml:space="preserve">The modelled patient population is based on those </w:t>
      </w:r>
      <w:r w:rsidR="005E7332" w:rsidRPr="00E3331A">
        <w:t>of</w:t>
      </w:r>
      <w:r w:rsidRPr="00E3331A">
        <w:t xml:space="preserve"> Hughes </w:t>
      </w:r>
      <w:r w:rsidR="00983BA7">
        <w:t xml:space="preserve">et al. </w:t>
      </w:r>
      <w:r w:rsidRPr="00E3331A">
        <w:t xml:space="preserve">(2001, 2008). </w:t>
      </w:r>
      <w:r w:rsidR="005E7332" w:rsidRPr="00E3331A">
        <w:t>CIDP p</w:t>
      </w:r>
      <w:r w:rsidRPr="00E3331A">
        <w:t xml:space="preserve">atients currently eligible for Ig treatment in Australia should be confirmed with CIDP and have significant disability or compromised walking objectively measured by an ONLS score of at least two points and the MRC sum score, </w:t>
      </w:r>
      <w:r w:rsidR="005E7332" w:rsidRPr="00E3331A">
        <w:t xml:space="preserve">in addition to </w:t>
      </w:r>
      <w:r w:rsidRPr="00E3331A">
        <w:t xml:space="preserve">CIDP patients who </w:t>
      </w:r>
      <w:r w:rsidR="005E7332" w:rsidRPr="00E3331A">
        <w:t xml:space="preserve">have </w:t>
      </w:r>
      <w:r w:rsidRPr="00E3331A">
        <w:t>relapse</w:t>
      </w:r>
      <w:r w:rsidR="005E7332" w:rsidRPr="00E3331A">
        <w:t>d</w:t>
      </w:r>
      <w:r w:rsidRPr="00E3331A">
        <w:t xml:space="preserve"> within six months of commencing a trial off Ig therapy. Many of the exclusion criteria would apply in Australian clinical practice</w:t>
      </w:r>
      <w:r w:rsidR="005E7332" w:rsidRPr="00E3331A">
        <w:t xml:space="preserve"> (see </w:t>
      </w:r>
      <w:r w:rsidR="006F35B9" w:rsidRPr="00E3331A">
        <w:t xml:space="preserve">Table </w:t>
      </w:r>
      <w:r w:rsidR="006F35B9">
        <w:rPr>
          <w:noProof/>
        </w:rPr>
        <w:t>54</w:t>
      </w:r>
      <w:r w:rsidR="005E7332" w:rsidRPr="00E3331A">
        <w:t>)</w:t>
      </w:r>
      <w:r w:rsidRPr="00E3331A">
        <w:t>.</w:t>
      </w:r>
    </w:p>
    <w:p w:rsidR="001F5B33" w:rsidRPr="00E3331A" w:rsidRDefault="001F5B33" w:rsidP="001F5B33">
      <w:pPr>
        <w:pStyle w:val="Caption"/>
      </w:pPr>
      <w:bookmarkStart w:id="377" w:name="_Ref519170805"/>
      <w:bookmarkStart w:id="378" w:name="_Toc24103360"/>
      <w:r w:rsidRPr="00E3331A">
        <w:lastRenderedPageBreak/>
        <w:t xml:space="preserve">Table </w:t>
      </w:r>
      <w:r w:rsidR="006F35B9">
        <w:rPr>
          <w:noProof/>
        </w:rPr>
        <w:t>54</w:t>
      </w:r>
      <w:bookmarkEnd w:id="377"/>
      <w:r w:rsidR="005E7332" w:rsidRPr="00E3331A">
        <w:tab/>
      </w:r>
      <w:r w:rsidRPr="00E3331A">
        <w:t>Comparison between eligibility criteria in study and circumstances of use</w:t>
      </w:r>
      <w:bookmarkEnd w:id="378"/>
    </w:p>
    <w:tbl>
      <w:tblPr>
        <w:tblW w:w="5000" w:type="pct"/>
        <w:tblCellMar>
          <w:left w:w="0" w:type="dxa"/>
          <w:right w:w="0" w:type="dxa"/>
        </w:tblCellMar>
        <w:tblLook w:val="01E0" w:firstRow="1" w:lastRow="1" w:firstColumn="1" w:lastColumn="1" w:noHBand="0" w:noVBand="0"/>
      </w:tblPr>
      <w:tblGrid>
        <w:gridCol w:w="1211"/>
        <w:gridCol w:w="3884"/>
        <w:gridCol w:w="3913"/>
      </w:tblGrid>
      <w:tr w:rsidR="001F5B33" w:rsidRPr="00E3331A" w:rsidTr="00476A02">
        <w:trPr>
          <w:trHeight w:hRule="exact" w:val="706"/>
          <w:tblHeader/>
        </w:trPr>
        <w:tc>
          <w:tcPr>
            <w:tcW w:w="672" w:type="pct"/>
            <w:tcBorders>
              <w:top w:val="single" w:sz="7" w:space="0" w:color="000000"/>
              <w:left w:val="single" w:sz="7" w:space="0" w:color="000000"/>
              <w:bottom w:val="single" w:sz="7" w:space="0" w:color="000000"/>
              <w:right w:val="single" w:sz="7" w:space="0" w:color="000000"/>
            </w:tcBorders>
            <w:shd w:val="clear" w:color="auto" w:fill="D9D9D9"/>
            <w:vAlign w:val="center"/>
          </w:tcPr>
          <w:p w:rsidR="001F5B33" w:rsidRPr="00E3331A" w:rsidRDefault="001F5B33" w:rsidP="00493DDF">
            <w:pPr>
              <w:pStyle w:val="TableParagraph"/>
              <w:spacing w:line="224" w:lineRule="exact"/>
              <w:ind w:left="99"/>
              <w:jc w:val="center"/>
              <w:rPr>
                <w:rFonts w:ascii="Arial Narrow" w:eastAsia="Arial" w:hAnsi="Arial Narrow" w:cs="Arial"/>
                <w:sz w:val="20"/>
                <w:szCs w:val="20"/>
              </w:rPr>
            </w:pPr>
            <w:r w:rsidRPr="00E3331A">
              <w:rPr>
                <w:rFonts w:ascii="Arial Narrow" w:hAnsi="Arial Narrow"/>
                <w:b/>
                <w:sz w:val="20"/>
                <w:szCs w:val="20"/>
              </w:rPr>
              <w:t>Characteristic</w:t>
            </w:r>
          </w:p>
        </w:tc>
        <w:tc>
          <w:tcPr>
            <w:tcW w:w="2156" w:type="pct"/>
            <w:tcBorders>
              <w:top w:val="single" w:sz="7" w:space="0" w:color="000000"/>
              <w:left w:val="single" w:sz="7" w:space="0" w:color="000000"/>
              <w:bottom w:val="single" w:sz="7" w:space="0" w:color="000000"/>
              <w:right w:val="single" w:sz="7" w:space="0" w:color="000000"/>
            </w:tcBorders>
            <w:shd w:val="clear" w:color="auto" w:fill="D9D9D9"/>
            <w:vAlign w:val="center"/>
          </w:tcPr>
          <w:p w:rsidR="001F5B33" w:rsidRPr="00E3331A" w:rsidRDefault="001F5B33" w:rsidP="00493DDF">
            <w:pPr>
              <w:pStyle w:val="TableParagraph"/>
              <w:spacing w:line="224" w:lineRule="exact"/>
              <w:ind w:left="100"/>
              <w:jc w:val="center"/>
              <w:rPr>
                <w:rFonts w:ascii="Arial Narrow" w:eastAsia="Arial" w:hAnsi="Arial Narrow" w:cs="Arial"/>
                <w:sz w:val="20"/>
                <w:szCs w:val="20"/>
              </w:rPr>
            </w:pPr>
            <w:r w:rsidRPr="00E3331A">
              <w:rPr>
                <w:rFonts w:ascii="Arial Narrow" w:hAnsi="Arial Narrow"/>
                <w:b/>
                <w:sz w:val="20"/>
                <w:szCs w:val="20"/>
              </w:rPr>
              <w:t>Study</w:t>
            </w:r>
          </w:p>
        </w:tc>
        <w:tc>
          <w:tcPr>
            <w:tcW w:w="2173" w:type="pct"/>
            <w:tcBorders>
              <w:top w:val="single" w:sz="7" w:space="0" w:color="000000"/>
              <w:left w:val="single" w:sz="7" w:space="0" w:color="000000"/>
              <w:bottom w:val="single" w:sz="7" w:space="0" w:color="000000"/>
              <w:right w:val="single" w:sz="7" w:space="0" w:color="000000"/>
            </w:tcBorders>
            <w:shd w:val="clear" w:color="auto" w:fill="D9D9D9"/>
            <w:vAlign w:val="center"/>
          </w:tcPr>
          <w:p w:rsidR="001F5B33" w:rsidRPr="00E3331A" w:rsidRDefault="00E630F4" w:rsidP="00493DDF">
            <w:pPr>
              <w:pStyle w:val="TableParagraph"/>
              <w:spacing w:line="360" w:lineRule="auto"/>
              <w:ind w:left="99" w:right="374"/>
              <w:jc w:val="center"/>
              <w:rPr>
                <w:rFonts w:ascii="Arial Narrow" w:eastAsia="Arial" w:hAnsi="Arial Narrow" w:cs="Arial"/>
                <w:sz w:val="20"/>
                <w:szCs w:val="20"/>
              </w:rPr>
            </w:pPr>
            <w:r w:rsidRPr="00E3331A">
              <w:rPr>
                <w:rFonts w:ascii="Arial Narrow" w:eastAsia="Arial" w:hAnsi="Arial Narrow" w:cs="Arial"/>
                <w:sz w:val="20"/>
                <w:szCs w:val="20"/>
              </w:rPr>
              <w:t>Australian eligibility criteria</w:t>
            </w:r>
            <w:r w:rsidRPr="00E3331A" w:rsidDel="00E630F4">
              <w:rPr>
                <w:rFonts w:ascii="Arial Narrow" w:hAnsi="Arial Narrow"/>
                <w:b/>
                <w:spacing w:val="-1"/>
                <w:sz w:val="20"/>
                <w:szCs w:val="20"/>
              </w:rPr>
              <w:t xml:space="preserve"> </w:t>
            </w:r>
          </w:p>
        </w:tc>
      </w:tr>
      <w:tr w:rsidR="001F5B33" w:rsidRPr="00E3331A" w:rsidTr="00476A02">
        <w:trPr>
          <w:trHeight w:hRule="exact" w:val="7305"/>
        </w:trPr>
        <w:tc>
          <w:tcPr>
            <w:tcW w:w="672" w:type="pct"/>
            <w:tcBorders>
              <w:top w:val="single" w:sz="7" w:space="0" w:color="000000"/>
              <w:left w:val="single" w:sz="7" w:space="0" w:color="000000"/>
              <w:bottom w:val="single" w:sz="7" w:space="0" w:color="000000"/>
              <w:right w:val="single" w:sz="7" w:space="0" w:color="000000"/>
            </w:tcBorders>
            <w:vAlign w:val="center"/>
          </w:tcPr>
          <w:p w:rsidR="001F5B33" w:rsidRPr="00E3331A" w:rsidRDefault="001F5B33" w:rsidP="00493DDF">
            <w:pPr>
              <w:pStyle w:val="TableParagraph"/>
              <w:ind w:left="99" w:right="192"/>
              <w:jc w:val="center"/>
              <w:rPr>
                <w:rFonts w:ascii="Arial Narrow" w:eastAsia="Arial" w:hAnsi="Arial Narrow" w:cs="Arial"/>
                <w:b/>
                <w:sz w:val="20"/>
                <w:szCs w:val="20"/>
              </w:rPr>
            </w:pPr>
            <w:r w:rsidRPr="00E3331A">
              <w:rPr>
                <w:rFonts w:ascii="Arial Narrow" w:hAnsi="Arial Narrow"/>
                <w:b/>
                <w:sz w:val="20"/>
                <w:szCs w:val="20"/>
              </w:rPr>
              <w:t>Inclusion criteria</w:t>
            </w:r>
          </w:p>
        </w:tc>
        <w:tc>
          <w:tcPr>
            <w:tcW w:w="2156" w:type="pct"/>
            <w:tcBorders>
              <w:top w:val="single" w:sz="7" w:space="0" w:color="000000"/>
              <w:left w:val="single" w:sz="7" w:space="0" w:color="000000"/>
              <w:bottom w:val="single" w:sz="7" w:space="0" w:color="000000"/>
              <w:right w:val="single" w:sz="7" w:space="0" w:color="000000"/>
            </w:tcBorders>
          </w:tcPr>
          <w:p w:rsidR="001F5B33" w:rsidRPr="00E3331A" w:rsidRDefault="001F5B33" w:rsidP="00D52D49">
            <w:pPr>
              <w:pStyle w:val="TableParagraph"/>
              <w:spacing w:line="239" w:lineRule="auto"/>
              <w:ind w:left="100" w:right="328"/>
              <w:jc w:val="left"/>
              <w:rPr>
                <w:rFonts w:ascii="Arial Narrow" w:eastAsia="Arial" w:hAnsi="Arial Narrow" w:cs="Arial"/>
                <w:sz w:val="20"/>
                <w:szCs w:val="20"/>
              </w:rPr>
            </w:pPr>
            <w:r w:rsidRPr="00E3331A">
              <w:rPr>
                <w:rFonts w:ascii="Arial Narrow" w:eastAsia="Arial" w:hAnsi="Arial Narrow" w:cs="Arial"/>
                <w:sz w:val="20"/>
                <w:szCs w:val="20"/>
              </w:rPr>
              <w:t xml:space="preserve">Patients in Hughes </w:t>
            </w:r>
            <w:r w:rsidR="00983BA7">
              <w:rPr>
                <w:rFonts w:ascii="Arial Narrow" w:eastAsia="Arial" w:hAnsi="Arial Narrow" w:cs="Arial"/>
                <w:sz w:val="20"/>
                <w:szCs w:val="20"/>
              </w:rPr>
              <w:t xml:space="preserve">et al. </w:t>
            </w:r>
            <w:r w:rsidRPr="00E3331A">
              <w:rPr>
                <w:rFonts w:ascii="Arial Narrow" w:eastAsia="Arial" w:hAnsi="Arial Narrow" w:cs="Arial"/>
                <w:sz w:val="20"/>
                <w:szCs w:val="20"/>
              </w:rPr>
              <w:t xml:space="preserve">(2001) trial </w:t>
            </w:r>
            <w:r w:rsidR="00D77378" w:rsidRPr="00E3331A">
              <w:rPr>
                <w:rFonts w:ascii="Arial Narrow" w:eastAsia="Arial" w:hAnsi="Arial Narrow" w:cs="Arial"/>
                <w:sz w:val="20"/>
                <w:szCs w:val="20"/>
              </w:rPr>
              <w:t>drawn</w:t>
            </w:r>
            <w:r w:rsidRPr="00E3331A">
              <w:rPr>
                <w:rFonts w:ascii="Arial Narrow" w:eastAsia="Arial" w:hAnsi="Arial Narrow" w:cs="Arial"/>
                <w:sz w:val="20"/>
                <w:szCs w:val="20"/>
              </w:rPr>
              <w:t xml:space="preserve"> from </w:t>
            </w:r>
            <w:r w:rsidR="005E7332" w:rsidRPr="00E3331A">
              <w:rPr>
                <w:rFonts w:ascii="Arial Narrow" w:eastAsia="Arial" w:hAnsi="Arial Narrow" w:cs="Arial"/>
                <w:sz w:val="20"/>
                <w:szCs w:val="20"/>
              </w:rPr>
              <w:t xml:space="preserve">9 </w:t>
            </w:r>
            <w:r w:rsidRPr="00E3331A">
              <w:rPr>
                <w:rFonts w:ascii="Arial Narrow" w:eastAsia="Arial" w:hAnsi="Arial Narrow" w:cs="Arial"/>
                <w:sz w:val="20"/>
                <w:szCs w:val="20"/>
              </w:rPr>
              <w:t xml:space="preserve">European </w:t>
            </w:r>
            <w:r w:rsidR="00E810A5" w:rsidRPr="00E3331A">
              <w:rPr>
                <w:rFonts w:ascii="Arial Narrow" w:eastAsia="Arial" w:hAnsi="Arial Narrow" w:cs="Arial"/>
                <w:sz w:val="20"/>
                <w:szCs w:val="20"/>
              </w:rPr>
              <w:t>centers</w:t>
            </w:r>
            <w:r w:rsidRPr="00E3331A">
              <w:rPr>
                <w:rFonts w:ascii="Arial Narrow" w:eastAsia="Arial" w:hAnsi="Arial Narrow" w:cs="Arial"/>
                <w:sz w:val="20"/>
                <w:szCs w:val="20"/>
              </w:rPr>
              <w:t xml:space="preserve"> (the UK, Belgium, Italy, Spain, the Netherlands, Greece and Czech Republic) July 1998</w:t>
            </w:r>
            <w:r w:rsidR="005E7332" w:rsidRPr="00E3331A">
              <w:rPr>
                <w:rFonts w:ascii="Arial Narrow" w:eastAsia="Arial" w:hAnsi="Arial Narrow" w:cs="Arial"/>
                <w:sz w:val="20"/>
                <w:szCs w:val="20"/>
              </w:rPr>
              <w:t>-</w:t>
            </w:r>
            <w:r w:rsidRPr="00E3331A">
              <w:rPr>
                <w:rFonts w:ascii="Arial Narrow" w:eastAsia="Arial" w:hAnsi="Arial Narrow" w:cs="Arial"/>
                <w:sz w:val="20"/>
                <w:szCs w:val="20"/>
              </w:rPr>
              <w:t xml:space="preserve">November 1999. Patients had neurological examination and </w:t>
            </w:r>
            <w:r w:rsidR="00E810A5" w:rsidRPr="00E3331A">
              <w:rPr>
                <w:rFonts w:ascii="Arial Narrow" w:eastAsia="Arial" w:hAnsi="Arial Narrow" w:cs="Arial"/>
                <w:sz w:val="20"/>
                <w:szCs w:val="20"/>
              </w:rPr>
              <w:t>hematological</w:t>
            </w:r>
            <w:r w:rsidRPr="00E3331A">
              <w:rPr>
                <w:rFonts w:ascii="Arial Narrow" w:eastAsia="Arial" w:hAnsi="Arial Narrow" w:cs="Arial"/>
                <w:sz w:val="20"/>
                <w:szCs w:val="20"/>
              </w:rPr>
              <w:t xml:space="preserve"> and biochemical testing, including serum protein electrophoresis. Clinical diagnosis of CIDP included progressive or relapsing motor and sensory dysfunction of more than one limb over more than 2 months caused by neuropathy, reduced or absent tendon reflexes, along with neurophysiological criteria. The criteria incorporated significant physical disability in upper or lower limb function, and stable or worsening clinical condition. Similar criteria evident in Hughes </w:t>
            </w:r>
            <w:r w:rsidR="00983BA7">
              <w:rPr>
                <w:rFonts w:ascii="Arial Narrow" w:eastAsia="Arial" w:hAnsi="Arial Narrow" w:cs="Arial"/>
                <w:sz w:val="20"/>
                <w:szCs w:val="20"/>
              </w:rPr>
              <w:t xml:space="preserve">et al. </w:t>
            </w:r>
            <w:r w:rsidRPr="00E3331A">
              <w:rPr>
                <w:rFonts w:ascii="Arial Narrow" w:eastAsia="Arial" w:hAnsi="Arial Narrow" w:cs="Arial"/>
                <w:sz w:val="20"/>
                <w:szCs w:val="20"/>
              </w:rPr>
              <w:t xml:space="preserve">(2008), with patients recruited from North America, South America, Israel </w:t>
            </w:r>
            <w:r w:rsidR="00D52D49" w:rsidRPr="00E3331A">
              <w:rPr>
                <w:rFonts w:ascii="Arial Narrow" w:eastAsia="Arial" w:hAnsi="Arial Narrow" w:cs="Arial"/>
                <w:sz w:val="20"/>
                <w:szCs w:val="20"/>
              </w:rPr>
              <w:t>and</w:t>
            </w:r>
            <w:r w:rsidRPr="00E3331A">
              <w:rPr>
                <w:rFonts w:ascii="Arial Narrow" w:eastAsia="Arial" w:hAnsi="Arial Narrow" w:cs="Arial"/>
                <w:sz w:val="20"/>
                <w:szCs w:val="20"/>
              </w:rPr>
              <w:t xml:space="preserve"> Europe. Eligible patients had a diagnosis of CIDP, progressive or relapsing motor and sensory dysfunction of at least one limb resulting from neuropathy over the 2 months before study entry, and significant disability as defined by an overall INCAT disability score18 of 2–9. An INCAT disability score of 2 had to be exclusively from leg disability to be eligible. These criteria are similar to that for eligibility in Australia.</w:t>
            </w:r>
          </w:p>
        </w:tc>
        <w:tc>
          <w:tcPr>
            <w:tcW w:w="2173" w:type="pct"/>
            <w:tcBorders>
              <w:top w:val="single" w:sz="7" w:space="0" w:color="000000"/>
              <w:left w:val="single" w:sz="7" w:space="0" w:color="000000"/>
              <w:bottom w:val="single" w:sz="7" w:space="0" w:color="000000"/>
              <w:right w:val="single" w:sz="7" w:space="0" w:color="000000"/>
            </w:tcBorders>
          </w:tcPr>
          <w:p w:rsidR="001F5B33" w:rsidRPr="00E3331A" w:rsidRDefault="00D52D49" w:rsidP="00493DDF">
            <w:pPr>
              <w:pStyle w:val="TableParagraph"/>
              <w:spacing w:line="239" w:lineRule="auto"/>
              <w:ind w:left="99" w:right="296"/>
              <w:jc w:val="left"/>
              <w:rPr>
                <w:rFonts w:ascii="Arial Narrow" w:eastAsia="Arial" w:hAnsi="Arial Narrow" w:cs="Arial"/>
                <w:sz w:val="20"/>
                <w:szCs w:val="20"/>
              </w:rPr>
            </w:pPr>
            <w:r w:rsidRPr="00E3331A">
              <w:rPr>
                <w:rFonts w:ascii="Arial Narrow" w:eastAsia="Arial" w:hAnsi="Arial Narrow" w:cs="Arial"/>
                <w:sz w:val="20"/>
                <w:szCs w:val="20"/>
              </w:rPr>
              <w:t>C</w:t>
            </w:r>
            <w:r w:rsidR="001F5B33" w:rsidRPr="00E3331A">
              <w:rPr>
                <w:rFonts w:ascii="Arial Narrow" w:eastAsia="Arial" w:hAnsi="Arial Narrow" w:cs="Arial"/>
                <w:sz w:val="20"/>
                <w:szCs w:val="20"/>
              </w:rPr>
              <w:t xml:space="preserve">riteria for CIDP patients 10 years or older includes significant disability or compromised walking objectively measured by an ONLS score of at least two points, and MRC sum score. In children </w:t>
            </w:r>
            <w:r w:rsidRPr="00E3331A">
              <w:rPr>
                <w:rFonts w:ascii="Arial Narrow" w:eastAsia="Arial" w:hAnsi="Arial Narrow" w:cs="Arial"/>
                <w:sz w:val="20"/>
                <w:szCs w:val="20"/>
              </w:rPr>
              <w:t xml:space="preserve">younger </w:t>
            </w:r>
            <w:r w:rsidR="001F5B33" w:rsidRPr="00E3331A">
              <w:rPr>
                <w:rFonts w:ascii="Arial Narrow" w:eastAsia="Arial" w:hAnsi="Arial Narrow" w:cs="Arial"/>
                <w:sz w:val="20"/>
                <w:szCs w:val="20"/>
              </w:rPr>
              <w:t xml:space="preserve">than 10 </w:t>
            </w:r>
            <w:r w:rsidR="00D10A1E" w:rsidRPr="00E3331A">
              <w:rPr>
                <w:rFonts w:ascii="Arial Narrow" w:eastAsia="Arial" w:hAnsi="Arial Narrow" w:cs="Arial"/>
                <w:sz w:val="20"/>
                <w:szCs w:val="20"/>
              </w:rPr>
              <w:t>years’</w:t>
            </w:r>
            <w:r w:rsidR="001F5B33" w:rsidRPr="00E3331A">
              <w:rPr>
                <w:rFonts w:ascii="Arial Narrow" w:eastAsia="Arial" w:hAnsi="Arial Narrow" w:cs="Arial"/>
                <w:sz w:val="20"/>
                <w:szCs w:val="20"/>
              </w:rPr>
              <w:t xml:space="preserve"> significant disability or compromised walking measured by the 6MWT, and/or an MRS score of at least 2 points is required.</w:t>
            </w:r>
          </w:p>
          <w:p w:rsidR="001F5B33" w:rsidRPr="00E3331A" w:rsidRDefault="001F5B33" w:rsidP="00493DDF">
            <w:pPr>
              <w:pStyle w:val="TableParagraph"/>
              <w:spacing w:line="239" w:lineRule="auto"/>
              <w:ind w:left="99" w:right="296"/>
              <w:jc w:val="left"/>
              <w:rPr>
                <w:rFonts w:ascii="Arial Narrow" w:eastAsia="Arial" w:hAnsi="Arial Narrow" w:cs="Arial"/>
                <w:sz w:val="20"/>
                <w:szCs w:val="20"/>
              </w:rPr>
            </w:pPr>
          </w:p>
          <w:p w:rsidR="001F5B33" w:rsidRPr="00E3331A" w:rsidRDefault="001F5B33" w:rsidP="00493DDF">
            <w:pPr>
              <w:pStyle w:val="TableParagraph"/>
              <w:spacing w:line="239" w:lineRule="auto"/>
              <w:ind w:left="99" w:right="296"/>
              <w:jc w:val="left"/>
              <w:rPr>
                <w:rFonts w:ascii="Arial Narrow" w:eastAsia="Arial" w:hAnsi="Arial Narrow" w:cs="Arial"/>
                <w:sz w:val="20"/>
                <w:szCs w:val="20"/>
              </w:rPr>
            </w:pPr>
            <w:r w:rsidRPr="00E3331A">
              <w:rPr>
                <w:rFonts w:ascii="Arial Narrow" w:eastAsia="Arial" w:hAnsi="Arial Narrow" w:cs="Arial"/>
                <w:sz w:val="20"/>
                <w:szCs w:val="20"/>
              </w:rPr>
              <w:t xml:space="preserve">For patients over 10 years who relapse within </w:t>
            </w:r>
            <w:r w:rsidR="00D52D49" w:rsidRPr="00E3331A">
              <w:rPr>
                <w:rFonts w:ascii="Arial Narrow" w:eastAsia="Arial" w:hAnsi="Arial Narrow" w:cs="Arial"/>
                <w:sz w:val="20"/>
                <w:szCs w:val="20"/>
              </w:rPr>
              <w:t xml:space="preserve">6 </w:t>
            </w:r>
            <w:r w:rsidRPr="00E3331A">
              <w:rPr>
                <w:rFonts w:ascii="Arial Narrow" w:eastAsia="Arial" w:hAnsi="Arial Narrow" w:cs="Arial"/>
                <w:sz w:val="20"/>
                <w:szCs w:val="20"/>
              </w:rPr>
              <w:t xml:space="preserve">months of commencing a trial off Ig therapy, deterioration in disability as measured by an increase of at least </w:t>
            </w:r>
            <w:r w:rsidR="00D52D49" w:rsidRPr="00E3331A">
              <w:rPr>
                <w:rFonts w:ascii="Arial Narrow" w:eastAsia="Arial" w:hAnsi="Arial Narrow" w:cs="Arial"/>
                <w:sz w:val="20"/>
                <w:szCs w:val="20"/>
              </w:rPr>
              <w:t xml:space="preserve">1 </w:t>
            </w:r>
            <w:r w:rsidRPr="00E3331A">
              <w:rPr>
                <w:rFonts w:ascii="Arial Narrow" w:eastAsia="Arial" w:hAnsi="Arial Narrow" w:cs="Arial"/>
                <w:sz w:val="20"/>
                <w:szCs w:val="20"/>
              </w:rPr>
              <w:t xml:space="preserve">point in the Adjusted ONLS, or a reduction in the MRC sum score of at least </w:t>
            </w:r>
            <w:r w:rsidR="00D52D49" w:rsidRPr="00E3331A">
              <w:rPr>
                <w:rFonts w:ascii="Arial Narrow" w:eastAsia="Arial" w:hAnsi="Arial Narrow" w:cs="Arial"/>
                <w:sz w:val="20"/>
                <w:szCs w:val="20"/>
              </w:rPr>
              <w:t xml:space="preserve">3 </w:t>
            </w:r>
            <w:r w:rsidRPr="00E3331A">
              <w:rPr>
                <w:rFonts w:ascii="Arial Narrow" w:eastAsia="Arial" w:hAnsi="Arial Narrow" w:cs="Arial"/>
                <w:sz w:val="20"/>
                <w:szCs w:val="20"/>
              </w:rPr>
              <w:t xml:space="preserve">points, when compared to the review score before stopping previous treatment is required to access treatment. In a previously stable child less than 10 years of age, deterioration in disability as measured by a reduction in the 6MWT or an increase of at least </w:t>
            </w:r>
            <w:r w:rsidR="00D52D49" w:rsidRPr="00E3331A">
              <w:rPr>
                <w:rFonts w:ascii="Arial Narrow" w:eastAsia="Arial" w:hAnsi="Arial Narrow" w:cs="Arial"/>
                <w:sz w:val="20"/>
                <w:szCs w:val="20"/>
              </w:rPr>
              <w:t xml:space="preserve">1 </w:t>
            </w:r>
            <w:r w:rsidRPr="00E3331A">
              <w:rPr>
                <w:rFonts w:ascii="Arial Narrow" w:eastAsia="Arial" w:hAnsi="Arial Narrow" w:cs="Arial"/>
                <w:sz w:val="20"/>
                <w:szCs w:val="20"/>
              </w:rPr>
              <w:t xml:space="preserve">point in the MRS compared to the review score before stopping previous treatment is required. </w:t>
            </w:r>
          </w:p>
          <w:p w:rsidR="001F5B33" w:rsidRPr="00E3331A" w:rsidRDefault="001F5B33" w:rsidP="00493DDF">
            <w:pPr>
              <w:pStyle w:val="TableParagraph"/>
              <w:spacing w:line="239" w:lineRule="auto"/>
              <w:ind w:left="99" w:right="296"/>
              <w:jc w:val="left"/>
              <w:rPr>
                <w:rFonts w:ascii="Arial Narrow" w:eastAsia="Arial" w:hAnsi="Arial Narrow" w:cs="Arial"/>
                <w:sz w:val="20"/>
                <w:szCs w:val="20"/>
              </w:rPr>
            </w:pPr>
          </w:p>
        </w:tc>
      </w:tr>
    </w:tbl>
    <w:p w:rsidR="001F5B33" w:rsidRPr="00E3331A" w:rsidRDefault="001F5B33" w:rsidP="001F5B33"/>
    <w:p w:rsidR="001F5B33" w:rsidRPr="00E3331A" w:rsidRDefault="001F5B33" w:rsidP="001F5B33"/>
    <w:tbl>
      <w:tblPr>
        <w:tblW w:w="5000" w:type="pct"/>
        <w:tblCellMar>
          <w:left w:w="0" w:type="dxa"/>
          <w:right w:w="0" w:type="dxa"/>
        </w:tblCellMar>
        <w:tblLook w:val="01E0" w:firstRow="1" w:lastRow="1" w:firstColumn="1" w:lastColumn="1" w:noHBand="0" w:noVBand="0"/>
      </w:tblPr>
      <w:tblGrid>
        <w:gridCol w:w="1211"/>
        <w:gridCol w:w="3742"/>
        <w:gridCol w:w="142"/>
        <w:gridCol w:w="3913"/>
      </w:tblGrid>
      <w:tr w:rsidR="00476A02" w:rsidRPr="00E3331A" w:rsidTr="00476A02">
        <w:trPr>
          <w:trHeight w:hRule="exact" w:val="706"/>
          <w:tblHeader/>
        </w:trPr>
        <w:tc>
          <w:tcPr>
            <w:tcW w:w="672" w:type="pct"/>
            <w:tcBorders>
              <w:top w:val="single" w:sz="7" w:space="0" w:color="000000"/>
              <w:left w:val="single" w:sz="7" w:space="0" w:color="000000"/>
              <w:bottom w:val="single" w:sz="7" w:space="0" w:color="000000"/>
              <w:right w:val="single" w:sz="7" w:space="0" w:color="000000"/>
            </w:tcBorders>
            <w:shd w:val="clear" w:color="auto" w:fill="D9D9D9"/>
            <w:vAlign w:val="center"/>
          </w:tcPr>
          <w:p w:rsidR="00476A02" w:rsidRPr="00E3331A" w:rsidRDefault="00476A02" w:rsidP="00476A02">
            <w:pPr>
              <w:pStyle w:val="TableParagraph"/>
              <w:keepNext/>
              <w:spacing w:line="224" w:lineRule="exact"/>
              <w:ind w:left="99"/>
              <w:jc w:val="center"/>
              <w:rPr>
                <w:rFonts w:ascii="Arial Narrow" w:eastAsia="Arial" w:hAnsi="Arial Narrow" w:cs="Arial"/>
                <w:sz w:val="20"/>
                <w:szCs w:val="20"/>
              </w:rPr>
            </w:pPr>
            <w:r w:rsidRPr="00E3331A">
              <w:rPr>
                <w:rFonts w:ascii="Arial Narrow" w:hAnsi="Arial Narrow"/>
                <w:b/>
                <w:sz w:val="20"/>
                <w:szCs w:val="20"/>
              </w:rPr>
              <w:lastRenderedPageBreak/>
              <w:t>Characteristic</w:t>
            </w:r>
          </w:p>
        </w:tc>
        <w:tc>
          <w:tcPr>
            <w:tcW w:w="2156" w:type="pct"/>
            <w:gridSpan w:val="2"/>
            <w:tcBorders>
              <w:top w:val="single" w:sz="7" w:space="0" w:color="000000"/>
              <w:left w:val="single" w:sz="7" w:space="0" w:color="000000"/>
              <w:bottom w:val="single" w:sz="7" w:space="0" w:color="000000"/>
              <w:right w:val="single" w:sz="7" w:space="0" w:color="000000"/>
            </w:tcBorders>
            <w:shd w:val="clear" w:color="auto" w:fill="D9D9D9"/>
            <w:vAlign w:val="center"/>
          </w:tcPr>
          <w:p w:rsidR="00476A02" w:rsidRPr="00E3331A" w:rsidRDefault="00476A02" w:rsidP="00476A02">
            <w:pPr>
              <w:pStyle w:val="TableParagraph"/>
              <w:keepNext/>
              <w:spacing w:line="224" w:lineRule="exact"/>
              <w:ind w:left="100"/>
              <w:jc w:val="center"/>
              <w:rPr>
                <w:rFonts w:ascii="Arial Narrow" w:eastAsia="Arial" w:hAnsi="Arial Narrow" w:cs="Arial"/>
                <w:sz w:val="20"/>
                <w:szCs w:val="20"/>
              </w:rPr>
            </w:pPr>
            <w:r w:rsidRPr="00E3331A">
              <w:rPr>
                <w:rFonts w:ascii="Arial Narrow" w:hAnsi="Arial Narrow"/>
                <w:b/>
                <w:sz w:val="20"/>
                <w:szCs w:val="20"/>
              </w:rPr>
              <w:t>Study</w:t>
            </w:r>
          </w:p>
        </w:tc>
        <w:tc>
          <w:tcPr>
            <w:tcW w:w="2172" w:type="pct"/>
            <w:tcBorders>
              <w:top w:val="single" w:sz="7" w:space="0" w:color="000000"/>
              <w:left w:val="single" w:sz="7" w:space="0" w:color="000000"/>
              <w:bottom w:val="single" w:sz="7" w:space="0" w:color="000000"/>
              <w:right w:val="single" w:sz="7" w:space="0" w:color="000000"/>
            </w:tcBorders>
            <w:shd w:val="clear" w:color="auto" w:fill="D9D9D9"/>
            <w:vAlign w:val="center"/>
          </w:tcPr>
          <w:p w:rsidR="00476A02" w:rsidRPr="00E3331A" w:rsidRDefault="00E630F4" w:rsidP="00476A02">
            <w:pPr>
              <w:pStyle w:val="TableParagraph"/>
              <w:keepNext/>
              <w:spacing w:line="360" w:lineRule="auto"/>
              <w:ind w:left="99" w:right="374"/>
              <w:jc w:val="center"/>
              <w:rPr>
                <w:rFonts w:ascii="Arial Narrow" w:eastAsia="Arial" w:hAnsi="Arial Narrow" w:cs="Arial"/>
                <w:b/>
                <w:sz w:val="20"/>
                <w:szCs w:val="20"/>
              </w:rPr>
            </w:pPr>
            <w:r w:rsidRPr="00E3331A">
              <w:rPr>
                <w:rFonts w:ascii="Arial Narrow" w:eastAsia="Arial" w:hAnsi="Arial Narrow" w:cs="Arial"/>
                <w:b/>
                <w:sz w:val="20"/>
                <w:szCs w:val="20"/>
              </w:rPr>
              <w:t>Australian eligibility criteria</w:t>
            </w:r>
          </w:p>
        </w:tc>
      </w:tr>
      <w:tr w:rsidR="001F5B33" w:rsidRPr="00E3331A" w:rsidTr="00096949">
        <w:trPr>
          <w:trHeight w:hRule="exact" w:val="5687"/>
        </w:trPr>
        <w:tc>
          <w:tcPr>
            <w:tcW w:w="672" w:type="pct"/>
            <w:tcBorders>
              <w:top w:val="single" w:sz="7" w:space="0" w:color="000000"/>
              <w:left w:val="single" w:sz="7" w:space="0" w:color="000000"/>
              <w:bottom w:val="single" w:sz="8" w:space="0" w:color="000000"/>
              <w:right w:val="single" w:sz="7" w:space="0" w:color="000000"/>
            </w:tcBorders>
            <w:vAlign w:val="center"/>
          </w:tcPr>
          <w:p w:rsidR="001F5B33" w:rsidRPr="00E3331A" w:rsidRDefault="001F5B33" w:rsidP="00493DDF">
            <w:pPr>
              <w:pStyle w:val="TableParagraph"/>
              <w:ind w:left="99" w:right="102"/>
              <w:jc w:val="center"/>
              <w:rPr>
                <w:rFonts w:ascii="Arial Narrow" w:eastAsia="Arial" w:hAnsi="Arial Narrow" w:cs="Arial"/>
                <w:b/>
                <w:sz w:val="20"/>
                <w:szCs w:val="20"/>
              </w:rPr>
            </w:pPr>
            <w:r w:rsidRPr="00E3331A">
              <w:rPr>
                <w:rFonts w:ascii="Arial Narrow" w:hAnsi="Arial Narrow"/>
                <w:b/>
                <w:w w:val="95"/>
                <w:sz w:val="20"/>
                <w:szCs w:val="20"/>
              </w:rPr>
              <w:t>Exclusion criteria</w:t>
            </w:r>
          </w:p>
        </w:tc>
        <w:tc>
          <w:tcPr>
            <w:tcW w:w="4328" w:type="pct"/>
            <w:gridSpan w:val="3"/>
            <w:tcBorders>
              <w:top w:val="single" w:sz="7" w:space="0" w:color="000000"/>
              <w:left w:val="single" w:sz="7" w:space="0" w:color="000000"/>
              <w:bottom w:val="single" w:sz="8" w:space="0" w:color="000000"/>
              <w:right w:val="single" w:sz="7" w:space="0" w:color="000000"/>
            </w:tcBorders>
          </w:tcPr>
          <w:p w:rsidR="001F5B33" w:rsidRPr="00E3331A" w:rsidRDefault="001F5B33" w:rsidP="00493DDF">
            <w:pPr>
              <w:pStyle w:val="TableParagraph"/>
              <w:ind w:left="100" w:right="410"/>
              <w:jc w:val="left"/>
              <w:rPr>
                <w:rFonts w:ascii="Arial Narrow" w:eastAsia="Arial" w:hAnsi="Arial Narrow" w:cs="Arial"/>
                <w:sz w:val="20"/>
                <w:szCs w:val="20"/>
              </w:rPr>
            </w:pPr>
            <w:r w:rsidRPr="00E3331A">
              <w:rPr>
                <w:rFonts w:ascii="Arial Narrow" w:eastAsia="Arial" w:hAnsi="Arial Narrow" w:cs="Arial"/>
                <w:sz w:val="20"/>
                <w:szCs w:val="20"/>
              </w:rPr>
              <w:t xml:space="preserve">Hughes </w:t>
            </w:r>
            <w:r w:rsidR="00983BA7">
              <w:rPr>
                <w:rFonts w:ascii="Arial Narrow" w:eastAsia="Arial" w:hAnsi="Arial Narrow" w:cs="Arial"/>
                <w:sz w:val="20"/>
                <w:szCs w:val="20"/>
              </w:rPr>
              <w:t xml:space="preserve">et al. </w:t>
            </w:r>
            <w:r w:rsidRPr="00E3331A">
              <w:rPr>
                <w:rFonts w:ascii="Arial Narrow" w:eastAsia="Arial" w:hAnsi="Arial Narrow" w:cs="Arial"/>
                <w:sz w:val="20"/>
                <w:szCs w:val="20"/>
              </w:rPr>
              <w:t>(2001) excluded those who had associated systematic diseases that could be associated with neuropathy, were or planned to be pregnant, had concurrent medical conditions which could affect treatment, had significant respiratory impairment, had received IVIg, corticosteroids or plasma</w:t>
            </w:r>
            <w:r w:rsidR="00D45BCF" w:rsidRPr="00E3331A">
              <w:rPr>
                <w:rFonts w:ascii="Arial Narrow" w:eastAsia="Arial" w:hAnsi="Arial Narrow" w:cs="Arial"/>
                <w:sz w:val="20"/>
                <w:szCs w:val="20"/>
              </w:rPr>
              <w:t xml:space="preserve"> </w:t>
            </w:r>
            <w:r w:rsidRPr="00E3331A">
              <w:rPr>
                <w:rFonts w:ascii="Arial Narrow" w:eastAsia="Arial" w:hAnsi="Arial Narrow" w:cs="Arial"/>
                <w:sz w:val="20"/>
                <w:szCs w:val="20"/>
              </w:rPr>
              <w:t xml:space="preserve">exchange in the 6 weeks before treatment, were under the age of 18, met the criteria for multifocal motor neuropathy and had previously failed to respond to IVIg or corticosteroids. </w:t>
            </w:r>
          </w:p>
          <w:p w:rsidR="001F5B33" w:rsidRPr="00E3331A" w:rsidRDefault="001F5B33" w:rsidP="00493DDF">
            <w:pPr>
              <w:pStyle w:val="TableParagraph"/>
              <w:ind w:left="100" w:right="410"/>
              <w:jc w:val="left"/>
              <w:rPr>
                <w:rFonts w:ascii="Arial Narrow" w:eastAsia="Arial" w:hAnsi="Arial Narrow" w:cs="Arial"/>
                <w:sz w:val="20"/>
                <w:szCs w:val="20"/>
              </w:rPr>
            </w:pPr>
          </w:p>
          <w:p w:rsidR="001F5B33" w:rsidRPr="00E3331A" w:rsidRDefault="001F5B33" w:rsidP="00493DDF">
            <w:pPr>
              <w:pStyle w:val="TableParagraph"/>
              <w:ind w:left="99" w:right="476"/>
              <w:jc w:val="left"/>
              <w:rPr>
                <w:rFonts w:ascii="Arial Narrow" w:eastAsia="Arial" w:hAnsi="Arial Narrow" w:cs="Arial"/>
                <w:sz w:val="20"/>
                <w:szCs w:val="20"/>
              </w:rPr>
            </w:pPr>
            <w:r w:rsidRPr="00E3331A">
              <w:rPr>
                <w:rFonts w:ascii="Arial Narrow" w:eastAsia="Arial" w:hAnsi="Arial Narrow" w:cs="Arial"/>
                <w:sz w:val="20"/>
                <w:szCs w:val="20"/>
              </w:rPr>
              <w:t xml:space="preserve">Hughes </w:t>
            </w:r>
            <w:r w:rsidR="00983BA7">
              <w:rPr>
                <w:rFonts w:ascii="Arial Narrow" w:eastAsia="Arial" w:hAnsi="Arial Narrow" w:cs="Arial"/>
                <w:sz w:val="20"/>
                <w:szCs w:val="20"/>
              </w:rPr>
              <w:t xml:space="preserve">et al. </w:t>
            </w:r>
            <w:r w:rsidRPr="00E3331A">
              <w:rPr>
                <w:rFonts w:ascii="Arial Narrow" w:eastAsia="Arial" w:hAnsi="Arial Narrow" w:cs="Arial"/>
                <w:sz w:val="20"/>
                <w:szCs w:val="20"/>
              </w:rPr>
              <w:t xml:space="preserve">(2008) had similar exclusion criteria such as treatment with steroids (&gt;10mg/day prednisolone or equivalent), IVIg, or plasma exchange in the 3 months before study entry; use </w:t>
            </w:r>
            <w:r w:rsidR="00F24E42" w:rsidRPr="00E3331A">
              <w:rPr>
                <w:rFonts w:ascii="Arial Narrow" w:eastAsia="Arial" w:hAnsi="Arial Narrow" w:cs="Arial"/>
                <w:sz w:val="20"/>
                <w:szCs w:val="20"/>
              </w:rPr>
              <w:t xml:space="preserve">of </w:t>
            </w:r>
            <w:r w:rsidRPr="00E3331A">
              <w:rPr>
                <w:rFonts w:ascii="Arial Narrow" w:eastAsia="Arial" w:hAnsi="Arial Narrow" w:cs="Arial"/>
                <w:sz w:val="20"/>
                <w:szCs w:val="20"/>
              </w:rPr>
              <w:t xml:space="preserve">supplements in the previous month (omega-3 fatty acids have been reported to have anti-inflammatory properties); treatment with other immunomodulatory or immunosuppressive agents (interferon or azathioprine) in the previous 6 months; myelopathy or evidence of central demyelination; persistent neurological deficits from stroke, CNS trauma, or peripheral neuropathy from other causes (eg, diabetes mellitus, IgM </w:t>
            </w:r>
            <w:r w:rsidR="00E810A5" w:rsidRPr="00E3331A">
              <w:rPr>
                <w:rFonts w:ascii="Arial Narrow" w:eastAsia="Arial" w:hAnsi="Arial Narrow" w:cs="Arial"/>
                <w:sz w:val="20"/>
                <w:szCs w:val="20"/>
              </w:rPr>
              <w:t>paraproteinemia</w:t>
            </w:r>
            <w:r w:rsidRPr="00E3331A">
              <w:rPr>
                <w:rFonts w:ascii="Arial Narrow" w:eastAsia="Arial" w:hAnsi="Arial Narrow" w:cs="Arial"/>
                <w:sz w:val="20"/>
                <w:szCs w:val="20"/>
              </w:rPr>
              <w:t xml:space="preserve">, or </w:t>
            </w:r>
            <w:r w:rsidR="00E810A5" w:rsidRPr="00E3331A">
              <w:rPr>
                <w:rFonts w:ascii="Arial Narrow" w:eastAsia="Arial" w:hAnsi="Arial Narrow" w:cs="Arial"/>
                <w:sz w:val="20"/>
                <w:szCs w:val="20"/>
              </w:rPr>
              <w:t>uremic</w:t>
            </w:r>
            <w:r w:rsidRPr="00E3331A">
              <w:rPr>
                <w:rFonts w:ascii="Arial Narrow" w:eastAsia="Arial" w:hAnsi="Arial Narrow" w:cs="Arial"/>
                <w:sz w:val="20"/>
                <w:szCs w:val="20"/>
              </w:rPr>
              <w:t>, toxic, or familial neuropathy); a motor syndrome that fulfilled criteria for multifocal motor neuropathy with conduction block (ie, upper limb motor weakness without sensory deficit and with a 50% decrease in action potential amplitude or area on proximal compared with distal stimulation in motor nerves); and evidence of systemic disease that might cause neuropathy</w:t>
            </w:r>
            <w:r w:rsidR="00F24E42" w:rsidRPr="00E3331A">
              <w:rPr>
                <w:rFonts w:ascii="Arial Narrow" w:eastAsia="Arial" w:hAnsi="Arial Narrow" w:cs="Arial"/>
                <w:sz w:val="20"/>
                <w:szCs w:val="20"/>
              </w:rPr>
              <w:t>.</w:t>
            </w:r>
          </w:p>
          <w:p w:rsidR="001F5B33" w:rsidRPr="00E3331A" w:rsidRDefault="001F5B33" w:rsidP="00493DDF">
            <w:pPr>
              <w:pStyle w:val="TableParagraph"/>
              <w:ind w:left="99" w:right="476"/>
              <w:jc w:val="left"/>
              <w:rPr>
                <w:rFonts w:ascii="Arial Narrow" w:eastAsia="Arial" w:hAnsi="Arial Narrow" w:cs="Arial"/>
                <w:sz w:val="20"/>
                <w:szCs w:val="20"/>
              </w:rPr>
            </w:pPr>
          </w:p>
          <w:p w:rsidR="001F5B33" w:rsidRPr="00E3331A" w:rsidRDefault="001F5B33" w:rsidP="00493DDF">
            <w:pPr>
              <w:pStyle w:val="TableParagraph"/>
              <w:ind w:left="99" w:right="476"/>
              <w:jc w:val="left"/>
              <w:rPr>
                <w:rFonts w:ascii="Arial Narrow" w:eastAsia="Arial" w:hAnsi="Arial Narrow" w:cs="Arial"/>
                <w:sz w:val="20"/>
                <w:szCs w:val="20"/>
              </w:rPr>
            </w:pPr>
            <w:r w:rsidRPr="00E3331A">
              <w:rPr>
                <w:rFonts w:ascii="Arial Narrow" w:eastAsia="Arial" w:hAnsi="Arial Narrow" w:cs="Arial"/>
                <w:sz w:val="20"/>
                <w:szCs w:val="20"/>
              </w:rPr>
              <w:t>Many of these exclusions would apply in Australia, except those who had received IVIg, corticosteroids or plasma</w:t>
            </w:r>
            <w:r w:rsidR="00D45BCF" w:rsidRPr="00E3331A">
              <w:rPr>
                <w:rFonts w:ascii="Arial Narrow" w:eastAsia="Arial" w:hAnsi="Arial Narrow" w:cs="Arial"/>
                <w:sz w:val="20"/>
                <w:szCs w:val="20"/>
              </w:rPr>
              <w:t xml:space="preserve"> </w:t>
            </w:r>
            <w:r w:rsidRPr="00E3331A">
              <w:rPr>
                <w:rFonts w:ascii="Arial Narrow" w:eastAsia="Arial" w:hAnsi="Arial Narrow" w:cs="Arial"/>
                <w:sz w:val="20"/>
                <w:szCs w:val="20"/>
              </w:rPr>
              <w:t xml:space="preserve">exchange in the 6 weeks before treatment and had previously failed to respond to IVIg or corticosteroids would not be excluded. </w:t>
            </w:r>
          </w:p>
        </w:tc>
      </w:tr>
      <w:tr w:rsidR="001F5B33" w:rsidRPr="00E3331A" w:rsidTr="00096949">
        <w:trPr>
          <w:trHeight w:val="3789"/>
        </w:trPr>
        <w:tc>
          <w:tcPr>
            <w:tcW w:w="672" w:type="pct"/>
            <w:tcBorders>
              <w:top w:val="single" w:sz="8" w:space="0" w:color="000000"/>
              <w:left w:val="single" w:sz="8" w:space="0" w:color="000000"/>
              <w:bottom w:val="single" w:sz="8" w:space="0" w:color="000000"/>
              <w:right w:val="single" w:sz="8" w:space="0" w:color="000000"/>
            </w:tcBorders>
            <w:vAlign w:val="center"/>
          </w:tcPr>
          <w:p w:rsidR="001F5B33" w:rsidRPr="00E3331A" w:rsidRDefault="001F5B33" w:rsidP="00493DDF">
            <w:pPr>
              <w:pStyle w:val="TableParagraph"/>
              <w:spacing w:line="226" w:lineRule="exact"/>
              <w:ind w:left="99"/>
              <w:jc w:val="center"/>
              <w:rPr>
                <w:rFonts w:ascii="Arial Narrow" w:eastAsia="Arial" w:hAnsi="Arial Narrow" w:cs="Arial"/>
                <w:b/>
                <w:sz w:val="20"/>
                <w:szCs w:val="20"/>
              </w:rPr>
            </w:pPr>
            <w:r w:rsidRPr="00E3331A">
              <w:rPr>
                <w:rFonts w:ascii="Arial Narrow" w:hAnsi="Arial Narrow"/>
                <w:b/>
                <w:sz w:val="20"/>
                <w:szCs w:val="20"/>
              </w:rPr>
              <w:t>Dose</w:t>
            </w:r>
            <w:r w:rsidRPr="00E3331A">
              <w:rPr>
                <w:rFonts w:ascii="Arial Narrow" w:hAnsi="Arial Narrow"/>
                <w:b/>
                <w:spacing w:val="-13"/>
                <w:sz w:val="20"/>
                <w:szCs w:val="20"/>
              </w:rPr>
              <w:t xml:space="preserve"> </w:t>
            </w:r>
            <w:r w:rsidRPr="00E3331A">
              <w:rPr>
                <w:rFonts w:ascii="Arial Narrow" w:hAnsi="Arial Narrow"/>
                <w:b/>
                <w:sz w:val="20"/>
                <w:szCs w:val="20"/>
              </w:rPr>
              <w:t>regimen and frequency</w:t>
            </w:r>
          </w:p>
        </w:tc>
        <w:tc>
          <w:tcPr>
            <w:tcW w:w="2077" w:type="pct"/>
            <w:tcBorders>
              <w:top w:val="single" w:sz="8" w:space="0" w:color="000000"/>
              <w:left w:val="single" w:sz="8" w:space="0" w:color="000000"/>
              <w:bottom w:val="single" w:sz="8" w:space="0" w:color="000000"/>
              <w:right w:val="single" w:sz="8" w:space="0" w:color="000000"/>
            </w:tcBorders>
          </w:tcPr>
          <w:p w:rsidR="001F5B33" w:rsidRPr="00E3331A" w:rsidRDefault="001F5B33" w:rsidP="00493DDF">
            <w:pPr>
              <w:pStyle w:val="TableParagraph"/>
              <w:spacing w:line="229" w:lineRule="exact"/>
              <w:ind w:left="100"/>
              <w:jc w:val="left"/>
              <w:rPr>
                <w:rFonts w:ascii="Arial Narrow" w:eastAsia="Arial" w:hAnsi="Arial Narrow" w:cs="Arial"/>
                <w:sz w:val="20"/>
                <w:szCs w:val="20"/>
              </w:rPr>
            </w:pPr>
            <w:r w:rsidRPr="00E3331A">
              <w:rPr>
                <w:rFonts w:ascii="Arial Narrow" w:eastAsia="Arial" w:hAnsi="Arial Narrow" w:cs="Arial"/>
                <w:sz w:val="20"/>
                <w:szCs w:val="20"/>
              </w:rPr>
              <w:t xml:space="preserve">Hughes </w:t>
            </w:r>
            <w:r w:rsidR="00983BA7">
              <w:rPr>
                <w:rFonts w:ascii="Arial Narrow" w:eastAsia="Arial" w:hAnsi="Arial Narrow" w:cs="Arial"/>
                <w:sz w:val="20"/>
                <w:szCs w:val="20"/>
              </w:rPr>
              <w:t xml:space="preserve">et al. </w:t>
            </w:r>
            <w:r w:rsidRPr="00E3331A">
              <w:rPr>
                <w:rFonts w:ascii="Arial Narrow" w:eastAsia="Arial" w:hAnsi="Arial Narrow" w:cs="Arial"/>
                <w:sz w:val="20"/>
                <w:szCs w:val="20"/>
              </w:rPr>
              <w:t xml:space="preserve">(2001) trial included a first treatment period </w:t>
            </w:r>
            <w:r w:rsidR="00F24E42" w:rsidRPr="00E3331A">
              <w:rPr>
                <w:rFonts w:ascii="Arial Narrow" w:eastAsia="Arial" w:hAnsi="Arial Narrow" w:cs="Arial"/>
                <w:sz w:val="20"/>
                <w:szCs w:val="20"/>
              </w:rPr>
              <w:t xml:space="preserve">of </w:t>
            </w:r>
            <w:r w:rsidRPr="00E3331A">
              <w:rPr>
                <w:rFonts w:ascii="Arial Narrow" w:eastAsia="Arial" w:hAnsi="Arial Narrow" w:cs="Arial"/>
                <w:sz w:val="20"/>
                <w:szCs w:val="20"/>
              </w:rPr>
              <w:t>6 weeks, followed by a 4-week washout period, after which the second 6-week treatment period with the other intervention commenced. IVIg infusions were given as 1.0g/kg on 2 consecutive days or 2.0g/kg in 24 hours. The induction period is 4 months in Australia.</w:t>
            </w:r>
          </w:p>
          <w:p w:rsidR="001F5B33" w:rsidRPr="00E3331A" w:rsidRDefault="001F5B33" w:rsidP="00493DDF">
            <w:pPr>
              <w:pStyle w:val="TableParagraph"/>
              <w:spacing w:line="229" w:lineRule="exact"/>
              <w:ind w:left="100"/>
              <w:jc w:val="left"/>
              <w:rPr>
                <w:rFonts w:ascii="Arial Narrow" w:eastAsia="Arial" w:hAnsi="Arial Narrow" w:cs="Arial"/>
                <w:sz w:val="20"/>
                <w:szCs w:val="20"/>
              </w:rPr>
            </w:pPr>
          </w:p>
          <w:p w:rsidR="001F5B33" w:rsidRPr="00E3331A" w:rsidRDefault="001F5B33" w:rsidP="00493DDF">
            <w:pPr>
              <w:pStyle w:val="TableParagraph"/>
              <w:spacing w:line="229" w:lineRule="exact"/>
              <w:ind w:left="100"/>
              <w:jc w:val="left"/>
              <w:rPr>
                <w:rFonts w:ascii="Arial Narrow" w:eastAsia="Arial" w:hAnsi="Arial Narrow" w:cs="Arial"/>
                <w:sz w:val="20"/>
                <w:szCs w:val="20"/>
              </w:rPr>
            </w:pPr>
            <w:r w:rsidRPr="00E3331A">
              <w:rPr>
                <w:rFonts w:ascii="Arial Narrow" w:eastAsia="Arial" w:hAnsi="Arial Narrow" w:cs="Arial"/>
                <w:sz w:val="20"/>
                <w:szCs w:val="20"/>
              </w:rPr>
              <w:t xml:space="preserve">Hughes </w:t>
            </w:r>
            <w:r w:rsidR="00983BA7">
              <w:rPr>
                <w:rFonts w:ascii="Arial Narrow" w:eastAsia="Arial" w:hAnsi="Arial Narrow" w:cs="Arial"/>
                <w:sz w:val="20"/>
                <w:szCs w:val="20"/>
              </w:rPr>
              <w:t xml:space="preserve">et al. </w:t>
            </w:r>
            <w:r w:rsidRPr="00E3331A">
              <w:rPr>
                <w:rFonts w:ascii="Arial Narrow" w:eastAsia="Arial" w:hAnsi="Arial Narrow" w:cs="Arial"/>
                <w:sz w:val="20"/>
                <w:szCs w:val="20"/>
              </w:rPr>
              <w:t xml:space="preserve">(2008) ICE trial patients received a baseline loading dose of 2g/kg over 2–4 days and then a maintenance infusion of 1g/kg over 1–2 days every 3 weeks for up to 24 weeks. The dosage is </w:t>
            </w:r>
            <w:r w:rsidR="00E810A5" w:rsidRPr="00E3331A">
              <w:rPr>
                <w:rFonts w:ascii="Arial Narrow" w:eastAsia="Arial" w:hAnsi="Arial Narrow" w:cs="Arial"/>
                <w:sz w:val="20"/>
                <w:szCs w:val="20"/>
              </w:rPr>
              <w:t>similar;</w:t>
            </w:r>
            <w:r w:rsidRPr="00E3331A">
              <w:rPr>
                <w:rFonts w:ascii="Arial Narrow" w:eastAsia="Arial" w:hAnsi="Arial Narrow" w:cs="Arial"/>
                <w:sz w:val="20"/>
                <w:szCs w:val="20"/>
              </w:rPr>
              <w:t xml:space="preserve"> however, the 24-week initial phase is longer than the 4-month Australian induction phase</w:t>
            </w:r>
            <w:r w:rsidR="00F24E42" w:rsidRPr="00E3331A">
              <w:rPr>
                <w:rFonts w:ascii="Arial Narrow" w:eastAsia="Arial" w:hAnsi="Arial Narrow" w:cs="Arial"/>
                <w:sz w:val="20"/>
                <w:szCs w:val="20"/>
              </w:rPr>
              <w:t>.</w:t>
            </w:r>
          </w:p>
        </w:tc>
        <w:tc>
          <w:tcPr>
            <w:tcW w:w="2251" w:type="pct"/>
            <w:gridSpan w:val="2"/>
            <w:tcBorders>
              <w:top w:val="single" w:sz="8" w:space="0" w:color="000000"/>
              <w:left w:val="single" w:sz="8" w:space="0" w:color="000000"/>
              <w:bottom w:val="single" w:sz="8" w:space="0" w:color="000000"/>
              <w:right w:val="single" w:sz="8" w:space="0" w:color="000000"/>
            </w:tcBorders>
            <w:vAlign w:val="center"/>
          </w:tcPr>
          <w:p w:rsidR="001F5B33" w:rsidRPr="00E3331A" w:rsidRDefault="001F5B33" w:rsidP="00493DDF">
            <w:pPr>
              <w:pStyle w:val="TableParagraph"/>
              <w:spacing w:line="226" w:lineRule="exact"/>
              <w:ind w:left="99"/>
              <w:jc w:val="left"/>
              <w:rPr>
                <w:rFonts w:ascii="Arial Narrow" w:eastAsia="Arial" w:hAnsi="Arial Narrow" w:cs="Arial"/>
                <w:sz w:val="20"/>
                <w:szCs w:val="20"/>
              </w:rPr>
            </w:pPr>
            <w:r w:rsidRPr="00E3331A">
              <w:rPr>
                <w:rFonts w:ascii="Arial Narrow" w:eastAsia="Arial" w:hAnsi="Arial Narrow" w:cs="Arial"/>
                <w:sz w:val="20"/>
                <w:szCs w:val="20"/>
              </w:rPr>
              <w:t>Australian recommendations include an induction dose</w:t>
            </w:r>
            <w:r w:rsidR="00F24E42" w:rsidRPr="00E3331A">
              <w:rPr>
                <w:rFonts w:ascii="Arial Narrow" w:eastAsia="Arial" w:hAnsi="Arial Narrow" w:cs="Arial"/>
                <w:sz w:val="20"/>
                <w:szCs w:val="20"/>
              </w:rPr>
              <w:t xml:space="preserve"> of</w:t>
            </w:r>
            <w:r w:rsidRPr="00E3331A">
              <w:rPr>
                <w:rFonts w:ascii="Arial Narrow" w:eastAsia="Arial" w:hAnsi="Arial Narrow" w:cs="Arial"/>
                <w:sz w:val="20"/>
                <w:szCs w:val="20"/>
              </w:rPr>
              <w:t xml:space="preserve"> 2g/kg in 2 to 5 divided doses (access to a second initial dose should be a rare occurrence) followed by maintenance dosing of up to 0.4</w:t>
            </w:r>
            <w:r w:rsidR="00F24E42" w:rsidRPr="00E3331A">
              <w:rPr>
                <w:rFonts w:ascii="Arial Narrow" w:eastAsia="Arial" w:hAnsi="Arial Narrow" w:cs="Arial"/>
                <w:sz w:val="20"/>
                <w:szCs w:val="20"/>
              </w:rPr>
              <w:t>-</w:t>
            </w:r>
            <w:r w:rsidRPr="00E3331A">
              <w:rPr>
                <w:rFonts w:ascii="Arial Narrow" w:eastAsia="Arial" w:hAnsi="Arial Narrow" w:cs="Arial"/>
                <w:sz w:val="20"/>
                <w:szCs w:val="20"/>
              </w:rPr>
              <w:t>1g/kg, once every 2 to 6 weeks. The amount per dose should be titrated to the individual’s response and may be reduced while weaning. A maximum dose of 2g/kg may be given in any 4-week period</w:t>
            </w:r>
            <w:r w:rsidR="00F24E42" w:rsidRPr="00E3331A">
              <w:rPr>
                <w:rFonts w:ascii="Arial Narrow" w:eastAsia="Arial" w:hAnsi="Arial Narrow" w:cs="Arial"/>
                <w:sz w:val="20"/>
                <w:szCs w:val="20"/>
              </w:rPr>
              <w:t>.</w:t>
            </w:r>
          </w:p>
        </w:tc>
      </w:tr>
      <w:tr w:rsidR="001F5B33" w:rsidRPr="00E3331A" w:rsidTr="00096949">
        <w:trPr>
          <w:trHeight w:val="1920"/>
        </w:trPr>
        <w:tc>
          <w:tcPr>
            <w:tcW w:w="672" w:type="pct"/>
            <w:tcBorders>
              <w:top w:val="single" w:sz="8" w:space="0" w:color="000000"/>
              <w:left w:val="single" w:sz="8" w:space="0" w:color="000000"/>
              <w:bottom w:val="single" w:sz="4" w:space="0" w:color="auto"/>
              <w:right w:val="single" w:sz="8" w:space="0" w:color="000000"/>
            </w:tcBorders>
            <w:vAlign w:val="center"/>
          </w:tcPr>
          <w:p w:rsidR="001F5B33" w:rsidRPr="00E3331A" w:rsidRDefault="001F5B33" w:rsidP="00493DDF">
            <w:pPr>
              <w:pStyle w:val="TableParagraph"/>
              <w:spacing w:line="226" w:lineRule="exact"/>
              <w:ind w:left="99"/>
              <w:jc w:val="center"/>
              <w:rPr>
                <w:rFonts w:ascii="Arial Narrow" w:hAnsi="Arial Narrow"/>
                <w:b/>
                <w:sz w:val="20"/>
                <w:szCs w:val="20"/>
              </w:rPr>
            </w:pPr>
            <w:r w:rsidRPr="00E3331A">
              <w:rPr>
                <w:rFonts w:ascii="Arial Narrow" w:hAnsi="Arial Narrow"/>
                <w:b/>
                <w:sz w:val="20"/>
                <w:szCs w:val="20"/>
              </w:rPr>
              <w:t>Setting</w:t>
            </w:r>
          </w:p>
        </w:tc>
        <w:tc>
          <w:tcPr>
            <w:tcW w:w="2077" w:type="pct"/>
            <w:tcBorders>
              <w:top w:val="single" w:sz="8" w:space="0" w:color="000000"/>
              <w:left w:val="single" w:sz="8" w:space="0" w:color="000000"/>
              <w:bottom w:val="single" w:sz="4" w:space="0" w:color="auto"/>
              <w:right w:val="single" w:sz="8" w:space="0" w:color="000000"/>
            </w:tcBorders>
            <w:vAlign w:val="center"/>
          </w:tcPr>
          <w:p w:rsidR="001F5B33" w:rsidRPr="00E3331A" w:rsidRDefault="001F5B33" w:rsidP="00F24E42">
            <w:pPr>
              <w:pStyle w:val="TableParagraph"/>
              <w:spacing w:line="229" w:lineRule="exact"/>
              <w:ind w:left="100"/>
              <w:jc w:val="left"/>
              <w:rPr>
                <w:rFonts w:ascii="Arial Narrow" w:eastAsia="Arial" w:hAnsi="Arial Narrow" w:cs="Arial"/>
                <w:sz w:val="20"/>
                <w:szCs w:val="20"/>
              </w:rPr>
            </w:pPr>
            <w:r w:rsidRPr="00E3331A">
              <w:rPr>
                <w:rFonts w:ascii="Arial Narrow" w:eastAsia="Arial" w:hAnsi="Arial Narrow" w:cs="Arial"/>
                <w:sz w:val="20"/>
                <w:szCs w:val="20"/>
              </w:rPr>
              <w:t xml:space="preserve">Hughes </w:t>
            </w:r>
            <w:r w:rsidR="00983BA7">
              <w:rPr>
                <w:rFonts w:ascii="Arial Narrow" w:eastAsia="Arial" w:hAnsi="Arial Narrow" w:cs="Arial"/>
                <w:sz w:val="20"/>
                <w:szCs w:val="20"/>
              </w:rPr>
              <w:t xml:space="preserve">et al. </w:t>
            </w:r>
            <w:r w:rsidRPr="00E3331A">
              <w:rPr>
                <w:rFonts w:ascii="Arial Narrow" w:eastAsia="Arial" w:hAnsi="Arial Narrow" w:cs="Arial"/>
                <w:sz w:val="20"/>
                <w:szCs w:val="20"/>
              </w:rPr>
              <w:t>(2001, 2008) sourced patients from neurologists across European cent</w:t>
            </w:r>
            <w:r w:rsidR="00591599" w:rsidRPr="00E3331A">
              <w:rPr>
                <w:rFonts w:ascii="Arial Narrow" w:eastAsia="Arial" w:hAnsi="Arial Narrow" w:cs="Arial"/>
                <w:sz w:val="20"/>
                <w:szCs w:val="20"/>
              </w:rPr>
              <w:t>re</w:t>
            </w:r>
            <w:r w:rsidRPr="00E3331A">
              <w:rPr>
                <w:rFonts w:ascii="Arial Narrow" w:eastAsia="Arial" w:hAnsi="Arial Narrow" w:cs="Arial"/>
                <w:sz w:val="20"/>
                <w:szCs w:val="20"/>
              </w:rPr>
              <w:t>s (the UK, Belgium, Italy, Spain, the Netherlands, Greece and Czech Republic) July 1998</w:t>
            </w:r>
            <w:r w:rsidR="00F24E42" w:rsidRPr="00E3331A">
              <w:rPr>
                <w:rFonts w:ascii="Arial Narrow" w:eastAsia="Arial" w:hAnsi="Arial Narrow" w:cs="Arial"/>
                <w:sz w:val="20"/>
                <w:szCs w:val="20"/>
              </w:rPr>
              <w:t>-</w:t>
            </w:r>
            <w:r w:rsidRPr="00E3331A">
              <w:rPr>
                <w:rFonts w:ascii="Arial Narrow" w:eastAsia="Arial" w:hAnsi="Arial Narrow" w:cs="Arial"/>
                <w:sz w:val="20"/>
                <w:szCs w:val="20"/>
              </w:rPr>
              <w:t>November 1999.</w:t>
            </w:r>
            <w:r w:rsidR="00345C95" w:rsidRPr="00E3331A">
              <w:rPr>
                <w:rFonts w:ascii="Arial Narrow" w:eastAsia="Arial" w:hAnsi="Arial Narrow" w:cs="Arial"/>
                <w:sz w:val="20"/>
                <w:szCs w:val="20"/>
              </w:rPr>
              <w:t xml:space="preserve"> </w:t>
            </w:r>
          </w:p>
        </w:tc>
        <w:tc>
          <w:tcPr>
            <w:tcW w:w="2251" w:type="pct"/>
            <w:gridSpan w:val="2"/>
            <w:tcBorders>
              <w:top w:val="single" w:sz="8" w:space="0" w:color="000000"/>
              <w:left w:val="single" w:sz="8" w:space="0" w:color="000000"/>
              <w:bottom w:val="single" w:sz="4" w:space="0" w:color="auto"/>
              <w:right w:val="single" w:sz="8" w:space="0" w:color="000000"/>
            </w:tcBorders>
            <w:vAlign w:val="center"/>
          </w:tcPr>
          <w:p w:rsidR="001F5B33" w:rsidRPr="00E3331A" w:rsidRDefault="00F24E42" w:rsidP="00493DDF">
            <w:pPr>
              <w:pStyle w:val="TableParagraph"/>
              <w:spacing w:line="226" w:lineRule="exact"/>
              <w:ind w:left="99"/>
              <w:jc w:val="left"/>
              <w:rPr>
                <w:rFonts w:ascii="Arial Narrow" w:eastAsia="Arial" w:hAnsi="Arial Narrow" w:cs="Arial"/>
                <w:sz w:val="20"/>
                <w:szCs w:val="20"/>
              </w:rPr>
            </w:pPr>
            <w:r w:rsidRPr="00E3331A">
              <w:rPr>
                <w:rFonts w:ascii="Arial Narrow" w:eastAsia="Arial" w:hAnsi="Arial Narrow" w:cs="Arial"/>
                <w:sz w:val="20"/>
                <w:szCs w:val="20"/>
              </w:rPr>
              <w:t>I</w:t>
            </w:r>
            <w:r w:rsidR="001F5B33" w:rsidRPr="00E3331A">
              <w:rPr>
                <w:rFonts w:ascii="Arial Narrow" w:eastAsia="Arial" w:hAnsi="Arial Narrow" w:cs="Arial"/>
                <w:sz w:val="20"/>
                <w:szCs w:val="20"/>
              </w:rPr>
              <w:t>nfusion of IVIg in Australia is undertaken as an inpatient in private hospitals, inpatient public hospital (as a private patient), inpatient public hospital (as a public patient), outpatient clinic and private same-day infusion facilities unattached to a hospital. Most patients (approximately 75%), have IVIg delivered in a hospital setting as a day procedure</w:t>
            </w:r>
            <w:r w:rsidRPr="00E3331A">
              <w:rPr>
                <w:rFonts w:ascii="Arial Narrow" w:eastAsia="Arial" w:hAnsi="Arial Narrow" w:cs="Arial"/>
                <w:sz w:val="20"/>
                <w:szCs w:val="20"/>
              </w:rPr>
              <w:t>.</w:t>
            </w:r>
          </w:p>
        </w:tc>
      </w:tr>
    </w:tbl>
    <w:p w:rsidR="001F5B33" w:rsidRPr="00E3331A" w:rsidRDefault="001F5B33" w:rsidP="00BB6E4C">
      <w:pPr>
        <w:pStyle w:val="BodyTextSTD"/>
      </w:pPr>
    </w:p>
    <w:p w:rsidR="001F5B33" w:rsidRPr="00E3331A" w:rsidRDefault="001F5B33" w:rsidP="00BB6E4C">
      <w:pPr>
        <w:pStyle w:val="BodyTextSTD"/>
      </w:pPr>
      <w:r w:rsidRPr="00E3331A">
        <w:t xml:space="preserve">Patient age, exclusion criteria and disability score are reasonably well aligned in key trials and in Australian practice. As noted </w:t>
      </w:r>
      <w:r w:rsidR="00270A82" w:rsidRPr="00E3331A">
        <w:t xml:space="preserve">in </w:t>
      </w:r>
      <w:r w:rsidRPr="00E3331A">
        <w:t xml:space="preserve">Section C, the types of CIDP evident in trial participants is varied and there is limited data about the characteristics of eligible </w:t>
      </w:r>
      <w:r w:rsidR="00270A82" w:rsidRPr="00E3331A">
        <w:t xml:space="preserve">CIDP </w:t>
      </w:r>
      <w:r w:rsidRPr="00E3331A">
        <w:t xml:space="preserve">patients in Australia. Whether CIDP is </w:t>
      </w:r>
      <w:r w:rsidRPr="00E3331A">
        <w:lastRenderedPageBreak/>
        <w:t>progressive and re</w:t>
      </w:r>
      <w:r w:rsidR="00D45BCF" w:rsidRPr="00E3331A">
        <w:t>lapsing</w:t>
      </w:r>
      <w:r w:rsidRPr="00E3331A">
        <w:t xml:space="preserve"> has an impact on the type of economic model used to undertake the evaluation. Ig treatment needs to be costed </w:t>
      </w:r>
      <w:r w:rsidR="00270A82" w:rsidRPr="00E3331A">
        <w:t>over a</w:t>
      </w:r>
      <w:r w:rsidRPr="00E3331A">
        <w:t xml:space="preserve"> longer term for chronic forms of the disease, whereas monophasic treatment is short</w:t>
      </w:r>
      <w:r w:rsidR="00417823">
        <w:t>-</w:t>
      </w:r>
      <w:r w:rsidRPr="00E3331A">
        <w:t xml:space="preserve">term. Steroids </w:t>
      </w:r>
      <w:r w:rsidRPr="00E3331A">
        <w:rPr>
          <w:noProof/>
        </w:rPr>
        <w:t>or</w:t>
      </w:r>
      <w:r w:rsidRPr="00E3331A">
        <w:t xml:space="preserve"> IVIg </w:t>
      </w:r>
      <w:r w:rsidRPr="00E3331A">
        <w:rPr>
          <w:noProof/>
        </w:rPr>
        <w:t>are</w:t>
      </w:r>
      <w:r w:rsidRPr="00E3331A">
        <w:t xml:space="preserve"> recommended as </w:t>
      </w:r>
      <w:r w:rsidRPr="00E3331A">
        <w:rPr>
          <w:noProof/>
        </w:rPr>
        <w:t>first-line</w:t>
      </w:r>
      <w:r w:rsidRPr="00E3331A">
        <w:t xml:space="preserve"> treatment options for patients with moderate to severe disability (except for pure motor CIDP where only IVIg </w:t>
      </w:r>
      <w:r w:rsidRPr="00E3331A">
        <w:rPr>
          <w:noProof/>
        </w:rPr>
        <w:t>is recommended</w:t>
      </w:r>
      <w:r w:rsidRPr="00E3331A">
        <w:t xml:space="preserve">), although expert opinion sought during the drafting of this PICO Confirmation confirmed that IVIg is often a </w:t>
      </w:r>
      <w:r w:rsidR="00270A82" w:rsidRPr="00E3331A">
        <w:t xml:space="preserve">preferred </w:t>
      </w:r>
      <w:r w:rsidR="00D77378" w:rsidRPr="00E3331A">
        <w:t>first-choice</w:t>
      </w:r>
      <w:r w:rsidRPr="00E3331A">
        <w:t xml:space="preserve"> treatment option for patients with moderate </w:t>
      </w:r>
      <w:r w:rsidR="00270A82" w:rsidRPr="00E3331A">
        <w:t>to</w:t>
      </w:r>
      <w:r w:rsidRPr="00E3331A">
        <w:t xml:space="preserve"> severe CIDP in Australia. Participating patients in key trials had varying degrees of steroid resistance. Optimal treatment varies for resistant and non-resistant sub-groups, whereas trial results have been typically presented for comparator groups as a whole.</w:t>
      </w:r>
      <w:r w:rsidR="00345C95" w:rsidRPr="00E3331A">
        <w:t xml:space="preserve"> </w:t>
      </w:r>
      <w:r w:rsidRPr="00E3331A">
        <w:t>This issue, and its impact on economic model results, is discussed in Section D sensitivity analyses</w:t>
      </w:r>
    </w:p>
    <w:p w:rsidR="001F5B33" w:rsidRPr="00E3331A" w:rsidRDefault="001F5B33" w:rsidP="00476A02">
      <w:pPr>
        <w:pStyle w:val="Heading4"/>
      </w:pPr>
      <w:r w:rsidRPr="00E3331A">
        <w:t>Dose regimen and frequency</w:t>
      </w:r>
    </w:p>
    <w:p w:rsidR="00422FBC" w:rsidRPr="00E3331A" w:rsidRDefault="001F5B33" w:rsidP="00BB6E4C">
      <w:pPr>
        <w:pStyle w:val="BodyTextSTD"/>
      </w:pPr>
      <w:r w:rsidRPr="00E3331A">
        <w:t xml:space="preserve">The IVIg dose range permissible under governance arrangements is </w:t>
      </w:r>
      <w:r w:rsidRPr="00E3331A">
        <w:rPr>
          <w:noProof/>
        </w:rPr>
        <w:t>specified</w:t>
      </w:r>
      <w:r w:rsidRPr="00E3331A">
        <w:t xml:space="preserve"> in </w:t>
      </w:r>
      <w:r w:rsidR="005541CA" w:rsidRPr="00E3331A">
        <w:t>V</w:t>
      </w:r>
      <w:r w:rsidRPr="00E3331A">
        <w:t xml:space="preserve">ersion 3 of </w:t>
      </w:r>
      <w:r w:rsidR="001B576E">
        <w:rPr>
          <w:i/>
        </w:rPr>
        <w:t>T</w:t>
      </w:r>
      <w:r w:rsidRPr="00E3331A">
        <w:rPr>
          <w:i/>
        </w:rPr>
        <w:t>he</w:t>
      </w:r>
      <w:r w:rsidRPr="00E3331A">
        <w:t xml:space="preserve"> </w:t>
      </w:r>
      <w:r w:rsidRPr="00E3331A">
        <w:rPr>
          <w:i/>
        </w:rPr>
        <w:t>Criteria</w:t>
      </w:r>
      <w:r w:rsidRPr="00E3331A">
        <w:t xml:space="preserve"> </w:t>
      </w:r>
      <w:r w:rsidR="00F64AD0" w:rsidRPr="00E3331A">
        <w:t xml:space="preserve">both </w:t>
      </w:r>
      <w:r w:rsidRPr="00E3331A">
        <w:t xml:space="preserve">for patients commencing initial Ig treatment and </w:t>
      </w:r>
      <w:r w:rsidR="00E104CF" w:rsidRPr="00E3331A">
        <w:t xml:space="preserve">those </w:t>
      </w:r>
      <w:r w:rsidRPr="00E3331A">
        <w:t xml:space="preserve">who have relapsed within six months of a trial </w:t>
      </w:r>
      <w:r w:rsidRPr="00E3331A">
        <w:rPr>
          <w:noProof/>
        </w:rPr>
        <w:t>off</w:t>
      </w:r>
      <w:r w:rsidRPr="00E3331A">
        <w:t xml:space="preserve"> therapy. Th</w:t>
      </w:r>
      <w:r w:rsidR="00E104CF" w:rsidRPr="00E3331A">
        <w:t>e</w:t>
      </w:r>
      <w:r w:rsidRPr="00E3331A">
        <w:t xml:space="preserve"> </w:t>
      </w:r>
      <w:r w:rsidR="00E104CF" w:rsidRPr="00E3331A">
        <w:t xml:space="preserve">criteria specify </w:t>
      </w:r>
      <w:r w:rsidRPr="00E3331A">
        <w:t>an induction dose</w:t>
      </w:r>
      <w:r w:rsidR="00E104CF" w:rsidRPr="00E3331A">
        <w:t xml:space="preserve"> of</w:t>
      </w:r>
      <w:r w:rsidRPr="00E3331A">
        <w:t xml:space="preserve"> 2g/kg in 2 to 5 divided doses (access to a second initial dose should be a rare occurrence) and maintenance dose of up to 0.4 to 1g/kg, once every 2 to 6 weeks. </w:t>
      </w:r>
      <w:r w:rsidR="00AC4C89" w:rsidRPr="00E3331A">
        <w:t xml:space="preserve">Average Ig use per Australian CIDP patient was 497g in 2017-18. </w:t>
      </w:r>
      <w:r w:rsidRPr="00E3331A">
        <w:t xml:space="preserve">A maximum dose of 2g/kg may be given in any 4-week period. </w:t>
      </w:r>
      <w:r w:rsidR="00AC4C89" w:rsidRPr="00E3331A">
        <w:t xml:space="preserve">Based on an average Australian patient weight of 83kg, the maximum Ig per patient per year could be 1,992g. </w:t>
      </w:r>
    </w:p>
    <w:p w:rsidR="00AC4C89" w:rsidRPr="00E3331A" w:rsidRDefault="001F5B33" w:rsidP="00BB6E4C">
      <w:pPr>
        <w:pStyle w:val="BodyTextSTD"/>
      </w:pPr>
      <w:r w:rsidRPr="00E3331A">
        <w:t xml:space="preserve">The Hughes </w:t>
      </w:r>
      <w:r w:rsidR="00983BA7">
        <w:t xml:space="preserve">et al. </w:t>
      </w:r>
      <w:r w:rsidRPr="00E3331A">
        <w:t>(2008) ICE study was a response-conditional crossover trial provid</w:t>
      </w:r>
      <w:r w:rsidR="00E104CF" w:rsidRPr="00E3331A">
        <w:t>ing</w:t>
      </w:r>
      <w:r w:rsidRPr="00E3331A">
        <w:t xml:space="preserve"> </w:t>
      </w:r>
      <w:r w:rsidR="00E104CF" w:rsidRPr="00E3331A">
        <w:t>IV</w:t>
      </w:r>
      <w:r w:rsidRPr="00E3331A">
        <w:t xml:space="preserve">Ig or placebo. Patients received a baseline loading dose of 2g/kg over 2–4 days and then a maintenance infusion of 1g/kg over 1–2 days every 3 weeks for up to 24 weeks. </w:t>
      </w:r>
      <w:r w:rsidR="00AC4C89" w:rsidRPr="00E3331A">
        <w:t xml:space="preserve">This regimen was used as the basis for costing in the economic study </w:t>
      </w:r>
      <w:r w:rsidR="00E104CF" w:rsidRPr="00E3331A">
        <w:t xml:space="preserve">in Canada </w:t>
      </w:r>
      <w:r w:rsidR="00AC4C89" w:rsidRPr="00E3331A">
        <w:t xml:space="preserve">of Blackhouse </w:t>
      </w:r>
      <w:r w:rsidR="00983BA7">
        <w:t xml:space="preserve">et al. </w:t>
      </w:r>
      <w:r w:rsidR="00AC4C89" w:rsidRPr="00E3331A">
        <w:t>2010 (around 1,447g</w:t>
      </w:r>
      <w:r w:rsidR="00AC4C89" w:rsidRPr="00E3331A">
        <w:rPr>
          <w:rStyle w:val="FootnoteReference"/>
        </w:rPr>
        <w:footnoteReference w:id="27"/>
      </w:r>
      <w:r w:rsidR="00AC4C89" w:rsidRPr="00E3331A">
        <w:t xml:space="preserve"> in the first year). The model was developed for ch</w:t>
      </w:r>
      <w:r w:rsidR="00E104CF" w:rsidRPr="00E3331A">
        <w:t>ro</w:t>
      </w:r>
      <w:r w:rsidR="00AC4C89" w:rsidRPr="00E3331A">
        <w:t xml:space="preserve">nic CIDP patients assumed to receive Ig over the entire year. As noted earlier, the lower average Ig use per patient in Australia is partly a result of total Ig use being averaged across chronic, monophasic and relapse-remission patients. All of these patient sub-groups would not </w:t>
      </w:r>
      <w:r w:rsidR="00E104CF" w:rsidRPr="00E3331A">
        <w:t xml:space="preserve">use </w:t>
      </w:r>
      <w:r w:rsidR="00AC4C89" w:rsidRPr="00E3331A">
        <w:t xml:space="preserve">Ig for the entire year. </w:t>
      </w:r>
    </w:p>
    <w:p w:rsidR="00AC4C89" w:rsidRPr="00E3331A" w:rsidRDefault="00AC4C89" w:rsidP="00BB6E4C">
      <w:pPr>
        <w:pStyle w:val="BodyTextSTD"/>
      </w:pPr>
      <w:r w:rsidRPr="00E3331A">
        <w:t xml:space="preserve">Other factors such as more appropriate care as a consequence of the national Ig </w:t>
      </w:r>
      <w:r w:rsidR="009022FB" w:rsidRPr="00E3331A">
        <w:t>c</w:t>
      </w:r>
      <w:r w:rsidRPr="00E3331A">
        <w:t>riteria could also contribute to lower use per CIDP patient per year. Annual Ig use estimates of 497g and 1,</w:t>
      </w:r>
      <w:r w:rsidR="00EE1AFD" w:rsidRPr="00E3331A">
        <w:t>430</w:t>
      </w:r>
      <w:r w:rsidRPr="00E3331A">
        <w:t xml:space="preserve">g </w:t>
      </w:r>
      <w:r w:rsidR="009022FB" w:rsidRPr="00E3331A">
        <w:t xml:space="preserve">per patient </w:t>
      </w:r>
      <w:r w:rsidRPr="00E3331A">
        <w:t>per year are included in the trial and extrapolated analyses to examine the sensitivity of estimated ICER to the dosing assumption</w:t>
      </w:r>
      <w:r w:rsidR="009022FB" w:rsidRPr="00E3331A">
        <w:t>.</w:t>
      </w:r>
      <w:r w:rsidR="00C072EE" w:rsidRPr="00E3331A">
        <w:t xml:space="preserve"> The lower estimate is based on average annual Ig use per patient in Australia and the higher, a trial</w:t>
      </w:r>
      <w:r w:rsidR="00417823">
        <w:t>-</w:t>
      </w:r>
      <w:r w:rsidR="00C072EE" w:rsidRPr="00E3331A">
        <w:t>based dosing assumption.</w:t>
      </w:r>
    </w:p>
    <w:p w:rsidR="001F5B33" w:rsidRPr="00E3331A" w:rsidRDefault="001F5B33" w:rsidP="003840DD">
      <w:pPr>
        <w:pStyle w:val="BodyTextSTD"/>
      </w:pPr>
      <w:r w:rsidRPr="00E3331A">
        <w:rPr>
          <w:b/>
        </w:rPr>
        <w:lastRenderedPageBreak/>
        <w:t>D.2.2.</w:t>
      </w:r>
      <w:r w:rsidRPr="00E3331A">
        <w:rPr>
          <w:b/>
        </w:rPr>
        <w:tab/>
        <w:t>Settings</w:t>
      </w:r>
    </w:p>
    <w:p w:rsidR="001F5B33" w:rsidRPr="00E3331A" w:rsidRDefault="009022FB" w:rsidP="00BB6E4C">
      <w:pPr>
        <w:pStyle w:val="BodyTextSTD"/>
      </w:pPr>
      <w:r w:rsidRPr="00E3331A">
        <w:t>I</w:t>
      </w:r>
      <w:r w:rsidR="001F5B33" w:rsidRPr="00E3331A">
        <w:t>nfusion of IVIg for CIDP management in Australia is undertaken</w:t>
      </w:r>
      <w:r w:rsidRPr="00E3331A">
        <w:t xml:space="preserve"> in</w:t>
      </w:r>
      <w:r w:rsidR="001F5B33" w:rsidRPr="00E3331A">
        <w:t xml:space="preserve"> inpatient private hospitals, inpatient public hospital</w:t>
      </w:r>
      <w:r w:rsidRPr="00E3331A">
        <w:t>s</w:t>
      </w:r>
      <w:r w:rsidR="001F5B33" w:rsidRPr="00E3331A">
        <w:t xml:space="preserve"> (as </w:t>
      </w:r>
      <w:r w:rsidRPr="00E3331A">
        <w:t xml:space="preserve">either </w:t>
      </w:r>
      <w:r w:rsidR="001F5B33" w:rsidRPr="00E3331A">
        <w:t xml:space="preserve">a private </w:t>
      </w:r>
      <w:r w:rsidRPr="00E3331A">
        <w:t xml:space="preserve">or public </w:t>
      </w:r>
      <w:r w:rsidR="001F5B33" w:rsidRPr="00E3331A">
        <w:t>patient), outpatient clinic</w:t>
      </w:r>
      <w:r w:rsidRPr="00E3331A">
        <w:t>s</w:t>
      </w:r>
      <w:r w:rsidR="001F5B33" w:rsidRPr="00E3331A">
        <w:t xml:space="preserve"> and private same-day infusion facilities unattached to a hospital. Most patients (approximately 75%) have IVIg delivered in a hospital setting as a day procedure. Expert opinion in the PICO </w:t>
      </w:r>
      <w:r w:rsidRPr="00E3331A">
        <w:t xml:space="preserve">noted that </w:t>
      </w:r>
      <w:r w:rsidR="001F5B33" w:rsidRPr="00E3331A">
        <w:t xml:space="preserve">the most common setting for IVIg delivery is the public outpatient </w:t>
      </w:r>
      <w:r w:rsidRPr="00E3331A">
        <w:t>facility but</w:t>
      </w:r>
      <w:r w:rsidR="001F5B33" w:rsidRPr="00E3331A">
        <w:t xml:space="preserve"> patients are commonly admitted as a ‘same-day’ patient i.e. inpatient. Care of a CIDP patient is primarily managed by a neurologist. </w:t>
      </w:r>
    </w:p>
    <w:p w:rsidR="001F5B33" w:rsidRPr="00E3331A" w:rsidRDefault="001F5B33" w:rsidP="00BB6E4C">
      <w:pPr>
        <w:pStyle w:val="BodyTextSTD"/>
      </w:pPr>
      <w:r w:rsidRPr="00E3331A">
        <w:t>The economic model assumes an Australian health care setting, with the modelled population representing adults with CIDP and significant disability or compromised walking objectively measured by an ONLS score of at least two points, and the MRC sum score. Dosing follows the above Australian recommendations administered in an inpatient ‘same-day’ setting. IVIg infusion is generally initiated by a registered nurse</w:t>
      </w:r>
      <w:r w:rsidR="009022FB" w:rsidRPr="00E3331A">
        <w:t xml:space="preserve"> and a</w:t>
      </w:r>
      <w:r w:rsidRPr="00E3331A">
        <w:t xml:space="preserve"> patient must be monitored throughout the infusion by a registered or enrolled nurse. Analgesia or antihistamines may be required to manage reactions such as headaches, flushes or rashes. It is noted that patients could possibly be trained to self-infuse </w:t>
      </w:r>
      <w:r w:rsidR="009022FB" w:rsidRPr="00E3331A">
        <w:t>at</w:t>
      </w:r>
      <w:r w:rsidRPr="00E3331A">
        <w:t xml:space="preserve"> home, which would reduce administration costs. This possibility is included as a sensitivity analysis </w:t>
      </w:r>
      <w:r w:rsidR="009022FB" w:rsidRPr="00E3331A">
        <w:t xml:space="preserve">at the </w:t>
      </w:r>
      <w:r w:rsidRPr="00E3331A">
        <w:t>conclu</w:t>
      </w:r>
      <w:r w:rsidR="009022FB" w:rsidRPr="00E3331A">
        <w:t>sion of</w:t>
      </w:r>
      <w:r w:rsidRPr="00E3331A">
        <w:t xml:space="preserve"> Section D. It does not have a significant impact on the estimated </w:t>
      </w:r>
      <w:r w:rsidR="00D77378" w:rsidRPr="00E3331A">
        <w:t>ICER but</w:t>
      </w:r>
      <w:r w:rsidRPr="00E3331A">
        <w:t xml:space="preserve"> would potentially help with convenience and overall patient adherence. </w:t>
      </w:r>
    </w:p>
    <w:p w:rsidR="001F5B33" w:rsidRPr="00E3331A" w:rsidRDefault="001F5B33" w:rsidP="00BB6E4C">
      <w:pPr>
        <w:pStyle w:val="BodyTextSTD"/>
      </w:pPr>
      <w:r w:rsidRPr="00E3331A">
        <w:t xml:space="preserve">Corticosteroids are </w:t>
      </w:r>
      <w:r w:rsidRPr="00E3331A">
        <w:rPr>
          <w:noProof/>
        </w:rPr>
        <w:t>a first-line</w:t>
      </w:r>
      <w:r w:rsidRPr="00E3331A">
        <w:t xml:space="preserve"> treatment for CIDP</w:t>
      </w:r>
      <w:r w:rsidR="009022FB" w:rsidRPr="00E3331A">
        <w:t>.</w:t>
      </w:r>
      <w:r w:rsidRPr="00E3331A">
        <w:t xml:space="preserve"> </w:t>
      </w:r>
      <w:r w:rsidR="009022FB" w:rsidRPr="00E3331A">
        <w:t>T</w:t>
      </w:r>
      <w:r w:rsidRPr="00E3331A">
        <w:t>he PICO noted that 50</w:t>
      </w:r>
      <w:r w:rsidR="009022FB" w:rsidRPr="00E3331A">
        <w:t>%</w:t>
      </w:r>
      <w:r w:rsidRPr="00E3331A">
        <w:t xml:space="preserve"> of Australian patients not receiving Ig therapy will receive corticosteroids. Four glucocorticoids</w:t>
      </w:r>
      <w:r w:rsidR="009022FB" w:rsidRPr="00E3331A">
        <w:t>—</w:t>
      </w:r>
      <w:r w:rsidRPr="00E3331A">
        <w:t xml:space="preserve">prednisone, prednisolone, dexamethasone </w:t>
      </w:r>
      <w:r w:rsidRPr="00E3331A">
        <w:rPr>
          <w:noProof/>
        </w:rPr>
        <w:t>and</w:t>
      </w:r>
      <w:r w:rsidRPr="00E3331A">
        <w:t xml:space="preserve"> methylprednisolone</w:t>
      </w:r>
      <w:r w:rsidR="009022FB" w:rsidRPr="00E3331A">
        <w:t>—</w:t>
      </w:r>
      <w:r w:rsidRPr="00E3331A">
        <w:rPr>
          <w:noProof/>
        </w:rPr>
        <w:t>are used and listed</w:t>
      </w:r>
      <w:r w:rsidRPr="00E3331A">
        <w:t xml:space="preserve"> on the PBS</w:t>
      </w:r>
      <w:r w:rsidR="00350FD1" w:rsidRPr="00E3331A">
        <w:t xml:space="preserve"> but t</w:t>
      </w:r>
      <w:r w:rsidRPr="00E3331A">
        <w:t xml:space="preserve">here is a lack of consensus </w:t>
      </w:r>
      <w:r w:rsidR="00C86DE5" w:rsidRPr="00E3331A">
        <w:t>o</w:t>
      </w:r>
      <w:r w:rsidRPr="00E3331A">
        <w:t>n the optimum dosing regimen. Following the Canadian economic modelling</w:t>
      </w:r>
      <w:r w:rsidR="00C86DE5" w:rsidRPr="00E3331A">
        <w:t>,</w:t>
      </w:r>
      <w:r w:rsidRPr="00E3331A">
        <w:t xml:space="preserve"> an </w:t>
      </w:r>
      <w:r w:rsidR="00D77378" w:rsidRPr="00E3331A">
        <w:t>initial high dose</w:t>
      </w:r>
      <w:r w:rsidRPr="00E3331A">
        <w:t xml:space="preserve"> (e.g. prednisone at 40mg per day for two months) is included with a gradual reduction in dose</w:t>
      </w:r>
      <w:r w:rsidRPr="00E3331A">
        <w:rPr>
          <w:noProof/>
        </w:rPr>
        <w:t xml:space="preserve">. </w:t>
      </w:r>
      <w:r w:rsidRPr="00E3331A">
        <w:t>To estimate product costs</w:t>
      </w:r>
      <w:r w:rsidR="00C86DE5" w:rsidRPr="00E3331A">
        <w:t>,</w:t>
      </w:r>
      <w:r w:rsidRPr="00E3331A">
        <w:t xml:space="preserve"> </w:t>
      </w:r>
      <w:r w:rsidR="00AC4C89" w:rsidRPr="00E3331A">
        <w:t xml:space="preserve">current </w:t>
      </w:r>
      <w:r w:rsidRPr="00E3331A">
        <w:t xml:space="preserve">average </w:t>
      </w:r>
      <w:r w:rsidR="00AC4C89" w:rsidRPr="00E3331A">
        <w:t xml:space="preserve">Australian CIDP patient </w:t>
      </w:r>
      <w:r w:rsidRPr="00E3331A">
        <w:t xml:space="preserve">weight </w:t>
      </w:r>
      <w:r w:rsidR="00AC4C89" w:rsidRPr="00E3331A">
        <w:t>of 8</w:t>
      </w:r>
      <w:r w:rsidR="00C072EE" w:rsidRPr="00E3331A">
        <w:t>2.5</w:t>
      </w:r>
      <w:r w:rsidR="00AC4C89" w:rsidRPr="00E3331A">
        <w:t xml:space="preserve">kg is used. This weight is </w:t>
      </w:r>
      <w:r w:rsidR="00C86DE5" w:rsidRPr="00E3331A">
        <w:t xml:space="preserve">heavier </w:t>
      </w:r>
      <w:r w:rsidR="00AC4C89" w:rsidRPr="00E3331A">
        <w:t xml:space="preserve">than </w:t>
      </w:r>
      <w:r w:rsidR="00C86DE5" w:rsidRPr="00E3331A">
        <w:t xml:space="preserve">the figure of 75kg </w:t>
      </w:r>
      <w:r w:rsidR="00AC4C89" w:rsidRPr="00E3331A">
        <w:t>included in</w:t>
      </w:r>
      <w:r w:rsidRPr="00E3331A">
        <w:t xml:space="preserve"> the Hughes </w:t>
      </w:r>
      <w:r w:rsidR="00983BA7">
        <w:t xml:space="preserve">et al. </w:t>
      </w:r>
      <w:r w:rsidRPr="00E3331A">
        <w:t xml:space="preserve">(2001) study </w:t>
      </w:r>
      <w:r w:rsidR="00C86DE5" w:rsidRPr="00E3331A">
        <w:t xml:space="preserve">used </w:t>
      </w:r>
      <w:r w:rsidRPr="00E3331A">
        <w:t xml:space="preserve">by Backhouse </w:t>
      </w:r>
      <w:r w:rsidR="00983BA7">
        <w:t xml:space="preserve">et al. </w:t>
      </w:r>
      <w:r w:rsidRPr="00E3331A">
        <w:t>(2001).</w:t>
      </w:r>
    </w:p>
    <w:p w:rsidR="001F5B33" w:rsidRPr="00E3331A" w:rsidRDefault="001F5B33" w:rsidP="00BB6E4C">
      <w:pPr>
        <w:pStyle w:val="BodyTextSTD"/>
      </w:pPr>
      <w:r w:rsidRPr="00E3331A">
        <w:t xml:space="preserve">Ig product costs account for more than </w:t>
      </w:r>
      <w:r w:rsidR="00C072EE" w:rsidRPr="00E3331A">
        <w:t>8</w:t>
      </w:r>
      <w:r w:rsidRPr="00E3331A">
        <w:t xml:space="preserve">0% of the estimated resource use in the </w:t>
      </w:r>
      <w:r w:rsidR="00D10A1E" w:rsidRPr="00E3331A">
        <w:t>10</w:t>
      </w:r>
      <w:r w:rsidRPr="00E3331A">
        <w:t xml:space="preserve">-year model and </w:t>
      </w:r>
      <w:r w:rsidR="00C86DE5" w:rsidRPr="00E3331A">
        <w:t xml:space="preserve">are </w:t>
      </w:r>
      <w:r w:rsidRPr="00E3331A">
        <w:t xml:space="preserve">the key driver of the calculated ICER. Differences in costs are captured in the incremental cost per QALY calculation </w:t>
      </w:r>
      <w:r w:rsidR="00C86DE5" w:rsidRPr="00E3331A">
        <w:t xml:space="preserve">that </w:t>
      </w:r>
      <w:r w:rsidRPr="00E3331A">
        <w:t xml:space="preserve">summarised cost-effectiveness results. Long-term </w:t>
      </w:r>
      <w:r w:rsidR="00C86DE5" w:rsidRPr="00E3331A">
        <w:t xml:space="preserve">corticosteroid </w:t>
      </w:r>
      <w:r w:rsidRPr="00E3331A">
        <w:t xml:space="preserve">use is associated with </w:t>
      </w:r>
      <w:r w:rsidRPr="00E3331A">
        <w:rPr>
          <w:noProof/>
        </w:rPr>
        <w:t>a number of</w:t>
      </w:r>
      <w:r w:rsidRPr="00E3331A">
        <w:t xml:space="preserve"> potentially serious side effects </w:t>
      </w:r>
      <w:r w:rsidR="00C86DE5" w:rsidRPr="00E3331A">
        <w:t>(</w:t>
      </w:r>
      <w:r w:rsidRPr="00E3331A">
        <w:t>metabolic changes, increased susceptibility to infection, hypertension and impaired wound healing</w:t>
      </w:r>
      <w:r w:rsidR="00C86DE5" w:rsidRPr="00E3331A">
        <w:t>) making them</w:t>
      </w:r>
      <w:r w:rsidRPr="00E3331A">
        <w:t xml:space="preserve"> poorly suited to long-term continuous therapy</w:t>
      </w:r>
      <w:r w:rsidR="00C86DE5" w:rsidRPr="00E3331A">
        <w:t>,</w:t>
      </w:r>
      <w:r w:rsidRPr="00E3331A">
        <w:t xml:space="preserve"> hence the requirement for dose tapering and the development of pulse regimens. Corticosteroids </w:t>
      </w:r>
      <w:r w:rsidRPr="00E3331A">
        <w:rPr>
          <w:noProof/>
        </w:rPr>
        <w:t>are used</w:t>
      </w:r>
      <w:r w:rsidRPr="00E3331A">
        <w:t xml:space="preserve"> in conjunction with </w:t>
      </w:r>
      <w:r w:rsidRPr="00E3331A">
        <w:rPr>
          <w:noProof/>
        </w:rPr>
        <w:t>steroid-sparing</w:t>
      </w:r>
      <w:r w:rsidRPr="00E3331A">
        <w:t xml:space="preserve"> therapy in the form of immunosuppressants.</w:t>
      </w:r>
    </w:p>
    <w:p w:rsidR="001F5B33" w:rsidRPr="00E3331A" w:rsidRDefault="001F5B33" w:rsidP="003E4E1F">
      <w:pPr>
        <w:pStyle w:val="Heading2"/>
        <w:numPr>
          <w:ilvl w:val="3"/>
          <w:numId w:val="10"/>
        </w:numPr>
      </w:pPr>
      <w:bookmarkStart w:id="379" w:name="_Toc24103507"/>
      <w:r w:rsidRPr="00E3331A">
        <w:lastRenderedPageBreak/>
        <w:t>Structure and rationale of the economic evaluation</w:t>
      </w:r>
      <w:bookmarkEnd w:id="379"/>
    </w:p>
    <w:p w:rsidR="001F5B33" w:rsidRPr="00E3331A" w:rsidRDefault="001F5B33" w:rsidP="00476A02">
      <w:pPr>
        <w:pStyle w:val="BodyTextSTD"/>
      </w:pPr>
      <w:r w:rsidRPr="00E3331A">
        <w:t>A cost-utility analysis was undertaken to determine the value of Ig against steroids.</w:t>
      </w:r>
      <w:r w:rsidR="00345C95" w:rsidRPr="00E3331A">
        <w:t xml:space="preserve"> </w:t>
      </w:r>
      <w:r w:rsidRPr="00E3331A">
        <w:t>A summary of the key characteristics of the economic evaluation is given in</w:t>
      </w:r>
      <w:r w:rsidR="00D77378" w:rsidRPr="00E3331A">
        <w:t xml:space="preserve"> </w:t>
      </w:r>
      <w:r w:rsidR="006F35B9" w:rsidRPr="00E3331A">
        <w:t xml:space="preserve">Table </w:t>
      </w:r>
      <w:r w:rsidR="006F35B9">
        <w:rPr>
          <w:noProof/>
        </w:rPr>
        <w:t>55</w:t>
      </w:r>
      <w:r w:rsidRPr="00E3331A">
        <w:t>.</w:t>
      </w:r>
    </w:p>
    <w:p w:rsidR="001F5B33" w:rsidRPr="00E3331A" w:rsidRDefault="001F5B33" w:rsidP="001F5B33">
      <w:pPr>
        <w:pStyle w:val="Caption"/>
        <w:tabs>
          <w:tab w:val="left" w:pos="1134"/>
        </w:tabs>
        <w:ind w:left="1134" w:hanging="1134"/>
      </w:pPr>
      <w:bookmarkStart w:id="380" w:name="_Ref10195797"/>
      <w:bookmarkStart w:id="381" w:name="_Toc24103361"/>
      <w:r w:rsidRPr="00E3331A">
        <w:t xml:space="preserve">Table </w:t>
      </w:r>
      <w:r w:rsidR="006F35B9">
        <w:rPr>
          <w:noProof/>
        </w:rPr>
        <w:t>55</w:t>
      </w:r>
      <w:bookmarkEnd w:id="380"/>
      <w:r w:rsidRPr="00E3331A">
        <w:tab/>
        <w:t>Summary of the economic evaluation</w:t>
      </w:r>
      <w:bookmarkEnd w:id="381"/>
      <w:r w:rsidRPr="00E3331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327"/>
      </w:tblGrid>
      <w:tr w:rsidR="001F5B33" w:rsidRPr="00E3331A" w:rsidTr="0007007F">
        <w:trPr>
          <w:trHeight w:val="20"/>
        </w:trPr>
        <w:tc>
          <w:tcPr>
            <w:tcW w:w="1491" w:type="pct"/>
            <w:shd w:val="clear" w:color="auto" w:fill="D9D9D9"/>
          </w:tcPr>
          <w:p w:rsidR="001F5B33" w:rsidRPr="00E3331A" w:rsidRDefault="001F5B33" w:rsidP="00493DDF">
            <w:pPr>
              <w:pStyle w:val="Tabletext1"/>
              <w:rPr>
                <w:b/>
              </w:rPr>
            </w:pPr>
            <w:r w:rsidRPr="00E3331A">
              <w:rPr>
                <w:b/>
              </w:rPr>
              <w:t>Perspective</w:t>
            </w:r>
          </w:p>
        </w:tc>
        <w:tc>
          <w:tcPr>
            <w:tcW w:w="3509" w:type="pct"/>
          </w:tcPr>
          <w:p w:rsidR="001F5B33" w:rsidRPr="00E3331A" w:rsidRDefault="001F5B33" w:rsidP="00493DDF">
            <w:pPr>
              <w:pStyle w:val="Tabletext1"/>
            </w:pPr>
            <w:r w:rsidRPr="00E3331A">
              <w:t>This economic evaluation was conducted from the perspective of the Australian health system. It includes resource use supported by government and patients.</w:t>
            </w:r>
          </w:p>
        </w:tc>
      </w:tr>
      <w:tr w:rsidR="001F5B33" w:rsidRPr="00E3331A" w:rsidTr="0007007F">
        <w:trPr>
          <w:trHeight w:val="20"/>
        </w:trPr>
        <w:tc>
          <w:tcPr>
            <w:tcW w:w="1491" w:type="pct"/>
            <w:shd w:val="clear" w:color="auto" w:fill="D9D9D9"/>
          </w:tcPr>
          <w:p w:rsidR="001F5B33" w:rsidRPr="00E3331A" w:rsidRDefault="001F5B33" w:rsidP="00493DDF">
            <w:pPr>
              <w:pStyle w:val="Tabletext1"/>
              <w:rPr>
                <w:b/>
              </w:rPr>
            </w:pPr>
            <w:r w:rsidRPr="00E3331A">
              <w:rPr>
                <w:b/>
              </w:rPr>
              <w:t>Intervention</w:t>
            </w:r>
          </w:p>
        </w:tc>
        <w:tc>
          <w:tcPr>
            <w:tcW w:w="3509" w:type="pct"/>
          </w:tcPr>
          <w:p w:rsidR="001F5B33" w:rsidRPr="00E3331A" w:rsidRDefault="001F5B33" w:rsidP="00067F8C">
            <w:pPr>
              <w:pStyle w:val="Tablecontents"/>
              <w:numPr>
                <w:ilvl w:val="0"/>
                <w:numId w:val="37"/>
              </w:numPr>
            </w:pPr>
            <w:r w:rsidRPr="00E3331A">
              <w:rPr>
                <w:rFonts w:cs="Calibri"/>
              </w:rPr>
              <w:t>Intravenous Ig (IVIg)</w:t>
            </w:r>
          </w:p>
        </w:tc>
      </w:tr>
      <w:tr w:rsidR="001F5B33" w:rsidRPr="00E3331A" w:rsidTr="0007007F">
        <w:trPr>
          <w:trHeight w:val="20"/>
        </w:trPr>
        <w:tc>
          <w:tcPr>
            <w:tcW w:w="1491" w:type="pct"/>
            <w:shd w:val="clear" w:color="auto" w:fill="D9D9D9"/>
          </w:tcPr>
          <w:p w:rsidR="001F5B33" w:rsidRPr="00E3331A" w:rsidRDefault="001F5B33" w:rsidP="00493DDF">
            <w:pPr>
              <w:pStyle w:val="Tabletext1"/>
              <w:rPr>
                <w:b/>
              </w:rPr>
            </w:pPr>
            <w:r w:rsidRPr="00E3331A">
              <w:rPr>
                <w:b/>
              </w:rPr>
              <w:t>Comparator</w:t>
            </w:r>
          </w:p>
        </w:tc>
        <w:tc>
          <w:tcPr>
            <w:tcW w:w="3509" w:type="pct"/>
          </w:tcPr>
          <w:p w:rsidR="001F5B33" w:rsidRPr="00E3331A" w:rsidRDefault="001F5B33" w:rsidP="001F5B33">
            <w:pPr>
              <w:pStyle w:val="Tablecontents"/>
              <w:numPr>
                <w:ilvl w:val="0"/>
                <w:numId w:val="38"/>
              </w:numPr>
              <w:rPr>
                <w:rFonts w:cs="Calibri"/>
              </w:rPr>
            </w:pPr>
            <w:r w:rsidRPr="00E3331A">
              <w:rPr>
                <w:rFonts w:cs="Calibri"/>
              </w:rPr>
              <w:t>Corticosteroids</w:t>
            </w:r>
          </w:p>
        </w:tc>
      </w:tr>
      <w:tr w:rsidR="001F5B33" w:rsidRPr="00E3331A" w:rsidTr="0007007F">
        <w:trPr>
          <w:trHeight w:val="20"/>
        </w:trPr>
        <w:tc>
          <w:tcPr>
            <w:tcW w:w="1491" w:type="pct"/>
            <w:shd w:val="clear" w:color="auto" w:fill="D9D9D9"/>
          </w:tcPr>
          <w:p w:rsidR="001F5B33" w:rsidRPr="00E3331A" w:rsidRDefault="001F5B33" w:rsidP="00493DDF">
            <w:pPr>
              <w:pStyle w:val="Tabletext1"/>
              <w:rPr>
                <w:b/>
              </w:rPr>
            </w:pPr>
            <w:r w:rsidRPr="00E3331A">
              <w:rPr>
                <w:b/>
              </w:rPr>
              <w:t>Type of economic evaluation</w:t>
            </w:r>
          </w:p>
        </w:tc>
        <w:tc>
          <w:tcPr>
            <w:tcW w:w="3509" w:type="pct"/>
          </w:tcPr>
          <w:p w:rsidR="001F5B33" w:rsidRPr="00E3331A" w:rsidRDefault="001F5B33" w:rsidP="00493DDF">
            <w:pPr>
              <w:pStyle w:val="Tabletext1"/>
            </w:pPr>
            <w:r w:rsidRPr="00E3331A">
              <w:t>Cost-utility analysis</w:t>
            </w:r>
          </w:p>
        </w:tc>
      </w:tr>
      <w:tr w:rsidR="001F5B33" w:rsidRPr="00E3331A" w:rsidTr="0007007F">
        <w:trPr>
          <w:trHeight w:val="20"/>
        </w:trPr>
        <w:tc>
          <w:tcPr>
            <w:tcW w:w="1491" w:type="pct"/>
            <w:shd w:val="clear" w:color="auto" w:fill="D9D9D9"/>
          </w:tcPr>
          <w:p w:rsidR="001F5B33" w:rsidRPr="00E3331A" w:rsidRDefault="001F5B33" w:rsidP="00493DDF">
            <w:pPr>
              <w:pStyle w:val="Tabletext1"/>
              <w:rPr>
                <w:b/>
              </w:rPr>
            </w:pPr>
            <w:r w:rsidRPr="00E3331A">
              <w:rPr>
                <w:b/>
              </w:rPr>
              <w:t>Sources of evidence</w:t>
            </w:r>
          </w:p>
        </w:tc>
        <w:tc>
          <w:tcPr>
            <w:tcW w:w="3509" w:type="pct"/>
          </w:tcPr>
          <w:p w:rsidR="001F5B33" w:rsidRPr="00E3331A" w:rsidRDefault="001F5B33" w:rsidP="001F5B33">
            <w:pPr>
              <w:pStyle w:val="Tabletext1"/>
              <w:numPr>
                <w:ilvl w:val="0"/>
                <w:numId w:val="41"/>
              </w:numPr>
              <w:jc w:val="both"/>
            </w:pPr>
            <w:r w:rsidRPr="00E3331A">
              <w:t xml:space="preserve">Blackhouse </w:t>
            </w:r>
            <w:r w:rsidR="00983BA7">
              <w:t xml:space="preserve">et al. </w:t>
            </w:r>
            <w:r w:rsidRPr="00E3331A">
              <w:t>(2010) Cost-utility of Intravenous Immunoglobulin (IVIG) compared with corticosteroids for the treatment of C</w:t>
            </w:r>
            <w:r w:rsidR="002D3966" w:rsidRPr="00E3331A">
              <w:t>IDP</w:t>
            </w:r>
            <w:r w:rsidRPr="00E3331A">
              <w:t xml:space="preserve"> in Canada. </w:t>
            </w:r>
          </w:p>
          <w:p w:rsidR="001F5B33" w:rsidRPr="00E3331A" w:rsidRDefault="001F5B33" w:rsidP="001F5B33">
            <w:pPr>
              <w:pStyle w:val="Tabletext1"/>
              <w:numPr>
                <w:ilvl w:val="0"/>
                <w:numId w:val="40"/>
              </w:numPr>
              <w:jc w:val="both"/>
            </w:pPr>
            <w:r w:rsidRPr="00E3331A">
              <w:t>Trials outlined in Section B.</w:t>
            </w:r>
          </w:p>
          <w:p w:rsidR="001A1153" w:rsidRPr="00E3331A" w:rsidRDefault="001A1153" w:rsidP="001F5B33">
            <w:pPr>
              <w:pStyle w:val="Tabletext1"/>
              <w:numPr>
                <w:ilvl w:val="0"/>
                <w:numId w:val="40"/>
              </w:numPr>
              <w:jc w:val="both"/>
            </w:pPr>
            <w:r w:rsidRPr="00E3331A">
              <w:t xml:space="preserve">Clinical feedback during preparation of </w:t>
            </w:r>
            <w:r w:rsidR="00BE54F2">
              <w:t>C</w:t>
            </w:r>
            <w:r w:rsidRPr="00E3331A">
              <w:t xml:space="preserve">ontracted </w:t>
            </w:r>
            <w:r w:rsidR="00BE54F2">
              <w:t>A</w:t>
            </w:r>
            <w:r w:rsidRPr="00E3331A">
              <w:t>ssessment</w:t>
            </w:r>
            <w:r w:rsidR="000A1BD4">
              <w:t>.</w:t>
            </w:r>
          </w:p>
        </w:tc>
      </w:tr>
      <w:tr w:rsidR="001F5B33" w:rsidRPr="00E3331A" w:rsidTr="0007007F">
        <w:trPr>
          <w:trHeight w:val="20"/>
        </w:trPr>
        <w:tc>
          <w:tcPr>
            <w:tcW w:w="1491" w:type="pct"/>
            <w:shd w:val="clear" w:color="auto" w:fill="D9D9D9"/>
            <w:hideMark/>
          </w:tcPr>
          <w:p w:rsidR="001F5B33" w:rsidRPr="00E3331A" w:rsidRDefault="001F5B33" w:rsidP="00493DDF">
            <w:pPr>
              <w:pStyle w:val="Tabletext1"/>
              <w:rPr>
                <w:b/>
              </w:rPr>
            </w:pPr>
            <w:r w:rsidRPr="00E3331A">
              <w:rPr>
                <w:b/>
              </w:rPr>
              <w:t>Time horizon</w:t>
            </w:r>
          </w:p>
        </w:tc>
        <w:tc>
          <w:tcPr>
            <w:tcW w:w="3509" w:type="pct"/>
            <w:hideMark/>
          </w:tcPr>
          <w:p w:rsidR="001F5B33" w:rsidRPr="00E3331A" w:rsidRDefault="001F5B33" w:rsidP="00493DDF">
            <w:pPr>
              <w:pStyle w:val="Tabletext1"/>
            </w:pPr>
            <w:r w:rsidRPr="00E3331A">
              <w:t xml:space="preserve">6-month trial and </w:t>
            </w:r>
            <w:r w:rsidR="00D10A1E" w:rsidRPr="00E3331A">
              <w:t>10</w:t>
            </w:r>
            <w:r w:rsidRPr="00E3331A">
              <w:t>-year extrapolated time horizon</w:t>
            </w:r>
          </w:p>
          <w:p w:rsidR="001F5B33" w:rsidRPr="00E3331A" w:rsidRDefault="001F5B33" w:rsidP="00493DDF">
            <w:pPr>
              <w:pStyle w:val="Tabletext1"/>
            </w:pPr>
            <w:r w:rsidRPr="00E3331A">
              <w:t xml:space="preserve">Sensitivity analyses include a time horizon of </w:t>
            </w:r>
            <w:r w:rsidR="00D10A1E" w:rsidRPr="00E3331A">
              <w:t xml:space="preserve">5 </w:t>
            </w:r>
            <w:r w:rsidRPr="00E3331A">
              <w:t>years</w:t>
            </w:r>
          </w:p>
        </w:tc>
      </w:tr>
      <w:tr w:rsidR="001F5B33" w:rsidRPr="00E3331A" w:rsidTr="0007007F">
        <w:trPr>
          <w:trHeight w:val="20"/>
        </w:trPr>
        <w:tc>
          <w:tcPr>
            <w:tcW w:w="1491" w:type="pct"/>
            <w:shd w:val="clear" w:color="auto" w:fill="D9D9D9"/>
            <w:hideMark/>
          </w:tcPr>
          <w:p w:rsidR="001F5B33" w:rsidRPr="00E3331A" w:rsidRDefault="001F5B33" w:rsidP="00493DDF">
            <w:pPr>
              <w:pStyle w:val="Tabletext1"/>
              <w:rPr>
                <w:b/>
              </w:rPr>
            </w:pPr>
            <w:r w:rsidRPr="00E3331A">
              <w:rPr>
                <w:b/>
              </w:rPr>
              <w:t>Outcomes</w:t>
            </w:r>
          </w:p>
        </w:tc>
        <w:tc>
          <w:tcPr>
            <w:tcW w:w="3509" w:type="pct"/>
          </w:tcPr>
          <w:p w:rsidR="001F5B33" w:rsidRPr="00E3331A" w:rsidRDefault="001F5B33" w:rsidP="00493DDF">
            <w:pPr>
              <w:pStyle w:val="Tabletext1"/>
            </w:pPr>
            <w:r w:rsidRPr="00E3331A">
              <w:t>Quality-adjusted life</w:t>
            </w:r>
            <w:r w:rsidR="00D45BCF" w:rsidRPr="00E3331A">
              <w:t>-</w:t>
            </w:r>
            <w:r w:rsidRPr="00E3331A">
              <w:t xml:space="preserve">years (QALY) / life-years </w:t>
            </w:r>
            <w:r w:rsidR="00D10A1E" w:rsidRPr="00E3331A">
              <w:t>(LY)</w:t>
            </w:r>
          </w:p>
        </w:tc>
      </w:tr>
      <w:tr w:rsidR="001F5B33" w:rsidRPr="00E3331A" w:rsidTr="0007007F">
        <w:trPr>
          <w:trHeight w:val="20"/>
        </w:trPr>
        <w:tc>
          <w:tcPr>
            <w:tcW w:w="1491" w:type="pct"/>
            <w:shd w:val="clear" w:color="auto" w:fill="D9D9D9"/>
            <w:hideMark/>
          </w:tcPr>
          <w:p w:rsidR="001F5B33" w:rsidRPr="00E3331A" w:rsidRDefault="001F5B33" w:rsidP="00493DDF">
            <w:pPr>
              <w:pStyle w:val="Tabletext1"/>
              <w:rPr>
                <w:b/>
              </w:rPr>
            </w:pPr>
            <w:r w:rsidRPr="00E3331A">
              <w:rPr>
                <w:b/>
              </w:rPr>
              <w:t>Methods used to generate results</w:t>
            </w:r>
          </w:p>
        </w:tc>
        <w:tc>
          <w:tcPr>
            <w:tcW w:w="3509" w:type="pct"/>
          </w:tcPr>
          <w:p w:rsidR="001F5B33" w:rsidRPr="00E3331A" w:rsidRDefault="001F5B33" w:rsidP="00493DDF">
            <w:pPr>
              <w:pStyle w:val="Tabletext1"/>
            </w:pPr>
            <w:r w:rsidRPr="00E3331A">
              <w:t>Cohort expected value analysis</w:t>
            </w:r>
          </w:p>
        </w:tc>
      </w:tr>
      <w:tr w:rsidR="001F5B33" w:rsidRPr="00E3331A" w:rsidTr="0007007F">
        <w:trPr>
          <w:trHeight w:val="20"/>
        </w:trPr>
        <w:tc>
          <w:tcPr>
            <w:tcW w:w="1491" w:type="pct"/>
            <w:shd w:val="clear" w:color="auto" w:fill="D9D9D9"/>
          </w:tcPr>
          <w:p w:rsidR="001F5B33" w:rsidRPr="00E3331A" w:rsidRDefault="001F5B33" w:rsidP="00493DDF">
            <w:pPr>
              <w:pStyle w:val="Tabletext1"/>
              <w:rPr>
                <w:b/>
              </w:rPr>
            </w:pPr>
            <w:r w:rsidRPr="00E3331A">
              <w:rPr>
                <w:b/>
              </w:rPr>
              <w:t>Health states</w:t>
            </w:r>
          </w:p>
        </w:tc>
        <w:tc>
          <w:tcPr>
            <w:tcW w:w="3509" w:type="pct"/>
          </w:tcPr>
          <w:p w:rsidR="001F5B33" w:rsidRPr="00E3331A" w:rsidRDefault="001F5B33">
            <w:pPr>
              <w:pStyle w:val="Tabletext1"/>
              <w:numPr>
                <w:ilvl w:val="0"/>
                <w:numId w:val="39"/>
              </w:numPr>
              <w:jc w:val="both"/>
            </w:pPr>
            <w:r w:rsidRPr="00E3331A">
              <w:t xml:space="preserve">Ig </w:t>
            </w:r>
            <w:r w:rsidR="00AC4C89" w:rsidRPr="00E3331A">
              <w:t>(</w:t>
            </w:r>
            <w:r w:rsidRPr="00E3331A">
              <w:t xml:space="preserve">Initial </w:t>
            </w:r>
            <w:r w:rsidR="00886FD7" w:rsidRPr="00E3331A">
              <w:t>t</w:t>
            </w:r>
            <w:r w:rsidRPr="00E3331A">
              <w:t>reatment</w:t>
            </w:r>
            <w:r w:rsidR="00AC4C89" w:rsidRPr="00E3331A">
              <w:t xml:space="preserve"> and r</w:t>
            </w:r>
            <w:r w:rsidRPr="00E3331A">
              <w:t>esponder</w:t>
            </w:r>
            <w:r w:rsidR="00AC4C89" w:rsidRPr="00E3331A">
              <w:t>)</w:t>
            </w:r>
          </w:p>
          <w:p w:rsidR="001F5B33" w:rsidRPr="00E3331A" w:rsidRDefault="001F5B33" w:rsidP="001F5B33">
            <w:pPr>
              <w:pStyle w:val="Tabletext1"/>
              <w:numPr>
                <w:ilvl w:val="0"/>
                <w:numId w:val="39"/>
              </w:numPr>
              <w:jc w:val="both"/>
            </w:pPr>
            <w:r w:rsidRPr="00E3331A">
              <w:t>Corticosteroids (no adverse events)</w:t>
            </w:r>
          </w:p>
          <w:p w:rsidR="001F5B33" w:rsidRPr="00E3331A" w:rsidRDefault="001F5B33" w:rsidP="001F5B33">
            <w:pPr>
              <w:pStyle w:val="Tabletext1"/>
              <w:numPr>
                <w:ilvl w:val="0"/>
                <w:numId w:val="39"/>
              </w:numPr>
              <w:jc w:val="both"/>
            </w:pPr>
            <w:r w:rsidRPr="00E3331A">
              <w:t>Fracture</w:t>
            </w:r>
          </w:p>
          <w:p w:rsidR="001F5B33" w:rsidRPr="00E3331A" w:rsidRDefault="001F5B33" w:rsidP="001F5B33">
            <w:pPr>
              <w:pStyle w:val="Tabletext1"/>
              <w:numPr>
                <w:ilvl w:val="0"/>
                <w:numId w:val="39"/>
              </w:numPr>
              <w:jc w:val="both"/>
            </w:pPr>
            <w:r w:rsidRPr="00E3331A">
              <w:t>Diabetes</w:t>
            </w:r>
          </w:p>
          <w:p w:rsidR="001F5B33" w:rsidRPr="00E3331A" w:rsidRDefault="001F5B33" w:rsidP="001F5B33">
            <w:pPr>
              <w:pStyle w:val="Tabletext1"/>
              <w:numPr>
                <w:ilvl w:val="0"/>
                <w:numId w:val="39"/>
              </w:numPr>
              <w:jc w:val="both"/>
            </w:pPr>
            <w:r w:rsidRPr="00E3331A">
              <w:t>Glaucoma</w:t>
            </w:r>
          </w:p>
          <w:p w:rsidR="001F5B33" w:rsidRPr="00E3331A" w:rsidRDefault="001F5B33" w:rsidP="001F5B33">
            <w:pPr>
              <w:pStyle w:val="Tabletext1"/>
              <w:numPr>
                <w:ilvl w:val="0"/>
                <w:numId w:val="39"/>
              </w:numPr>
              <w:jc w:val="both"/>
            </w:pPr>
            <w:r w:rsidRPr="00E3331A">
              <w:t>Cataract</w:t>
            </w:r>
          </w:p>
          <w:p w:rsidR="001F5B33" w:rsidRPr="00E3331A" w:rsidRDefault="001F5B33" w:rsidP="001F5B33">
            <w:pPr>
              <w:pStyle w:val="Tabletext1"/>
              <w:numPr>
                <w:ilvl w:val="0"/>
                <w:numId w:val="39"/>
              </w:numPr>
              <w:jc w:val="both"/>
            </w:pPr>
            <w:r w:rsidRPr="00E3331A">
              <w:t>Infection</w:t>
            </w:r>
          </w:p>
          <w:p w:rsidR="00D10A1E" w:rsidRPr="00E3331A" w:rsidRDefault="001E2AF7" w:rsidP="00AC0ED4">
            <w:pPr>
              <w:pStyle w:val="Tabletext1"/>
              <w:numPr>
                <w:ilvl w:val="0"/>
                <w:numId w:val="39"/>
              </w:numPr>
              <w:jc w:val="both"/>
            </w:pPr>
            <w:r w:rsidRPr="001E2AF7">
              <w:t>Corticosteroid</w:t>
            </w:r>
            <w:r>
              <w:t xml:space="preserve"> Non</w:t>
            </w:r>
            <w:r w:rsidR="00B73E3D">
              <w:t>-Responder</w:t>
            </w:r>
            <w:r>
              <w:t xml:space="preserve"> + </w:t>
            </w:r>
            <w:r w:rsidR="00AC0ED4" w:rsidRPr="00AC0ED4">
              <w:t>Azathioprine</w:t>
            </w:r>
          </w:p>
          <w:p w:rsidR="00D10A1E" w:rsidRPr="00E3331A" w:rsidRDefault="00AC0ED4" w:rsidP="00AC0ED4">
            <w:pPr>
              <w:pStyle w:val="Tabletext1"/>
              <w:numPr>
                <w:ilvl w:val="0"/>
                <w:numId w:val="39"/>
              </w:numPr>
              <w:jc w:val="both"/>
            </w:pPr>
            <w:r w:rsidRPr="00AC0ED4">
              <w:t>Azathioprine</w:t>
            </w:r>
            <w:r w:rsidR="00D10A1E" w:rsidRPr="00E3331A">
              <w:t xml:space="preserve"> Non</w:t>
            </w:r>
            <w:r w:rsidR="00B73E3D">
              <w:t>-</w:t>
            </w:r>
            <w:r w:rsidR="00D10A1E" w:rsidRPr="00E3331A">
              <w:t>Responder</w:t>
            </w:r>
          </w:p>
          <w:p w:rsidR="00D10A1E" w:rsidRPr="00E3331A" w:rsidRDefault="00D10A1E" w:rsidP="001F5B33">
            <w:pPr>
              <w:pStyle w:val="Tabletext1"/>
              <w:numPr>
                <w:ilvl w:val="0"/>
                <w:numId w:val="39"/>
              </w:numPr>
              <w:jc w:val="both"/>
            </w:pPr>
            <w:r w:rsidRPr="00E3331A">
              <w:t>Disabled</w:t>
            </w:r>
          </w:p>
          <w:p w:rsidR="001F5B33" w:rsidRPr="00E3331A" w:rsidRDefault="001F5B33" w:rsidP="001F5B33">
            <w:pPr>
              <w:pStyle w:val="Tabletext1"/>
              <w:numPr>
                <w:ilvl w:val="0"/>
                <w:numId w:val="39"/>
              </w:numPr>
              <w:jc w:val="both"/>
            </w:pPr>
            <w:r w:rsidRPr="00E3331A">
              <w:t>Death</w:t>
            </w:r>
          </w:p>
        </w:tc>
      </w:tr>
      <w:tr w:rsidR="001F5B33" w:rsidRPr="00E3331A" w:rsidTr="0007007F">
        <w:trPr>
          <w:trHeight w:val="20"/>
        </w:trPr>
        <w:tc>
          <w:tcPr>
            <w:tcW w:w="1491" w:type="pct"/>
            <w:shd w:val="clear" w:color="auto" w:fill="D9D9D9"/>
            <w:hideMark/>
          </w:tcPr>
          <w:p w:rsidR="001F5B33" w:rsidRPr="00E3331A" w:rsidRDefault="001F5B33" w:rsidP="00493DDF">
            <w:pPr>
              <w:pStyle w:val="Tabletext1"/>
              <w:rPr>
                <w:b/>
              </w:rPr>
            </w:pPr>
            <w:r w:rsidRPr="00E3331A">
              <w:rPr>
                <w:b/>
              </w:rPr>
              <w:t>Cycle length</w:t>
            </w:r>
          </w:p>
        </w:tc>
        <w:tc>
          <w:tcPr>
            <w:tcW w:w="3509" w:type="pct"/>
          </w:tcPr>
          <w:p w:rsidR="001F5B33" w:rsidRPr="00E3331A" w:rsidRDefault="001F5B33" w:rsidP="00493DDF">
            <w:pPr>
              <w:pStyle w:val="Tabletext1"/>
            </w:pPr>
            <w:r w:rsidRPr="00E3331A">
              <w:t>1 week</w:t>
            </w:r>
          </w:p>
        </w:tc>
      </w:tr>
      <w:tr w:rsidR="001F5B33" w:rsidRPr="00E3331A" w:rsidTr="0007007F">
        <w:trPr>
          <w:trHeight w:val="20"/>
        </w:trPr>
        <w:tc>
          <w:tcPr>
            <w:tcW w:w="1491" w:type="pct"/>
            <w:shd w:val="clear" w:color="auto" w:fill="D9D9D9"/>
            <w:hideMark/>
          </w:tcPr>
          <w:p w:rsidR="001F5B33" w:rsidRPr="00E3331A" w:rsidRDefault="001F5B33" w:rsidP="00493DDF">
            <w:pPr>
              <w:pStyle w:val="Tabletext1"/>
              <w:rPr>
                <w:b/>
              </w:rPr>
            </w:pPr>
            <w:r w:rsidRPr="00E3331A">
              <w:rPr>
                <w:b/>
              </w:rPr>
              <w:t>Discount rate</w:t>
            </w:r>
          </w:p>
        </w:tc>
        <w:tc>
          <w:tcPr>
            <w:tcW w:w="3509" w:type="pct"/>
          </w:tcPr>
          <w:p w:rsidR="001F5B33" w:rsidRPr="00E3331A" w:rsidRDefault="001F5B33" w:rsidP="00493DDF">
            <w:pPr>
              <w:pStyle w:val="Tabletext1"/>
            </w:pPr>
            <w:r w:rsidRPr="00E3331A">
              <w:t>5% used for base and 0% and 7% sensitivity analyses</w:t>
            </w:r>
          </w:p>
        </w:tc>
      </w:tr>
      <w:tr w:rsidR="001F5B33" w:rsidRPr="00E3331A" w:rsidTr="0007007F">
        <w:trPr>
          <w:trHeight w:val="20"/>
        </w:trPr>
        <w:tc>
          <w:tcPr>
            <w:tcW w:w="1491" w:type="pct"/>
            <w:shd w:val="clear" w:color="auto" w:fill="D9D9D9"/>
            <w:hideMark/>
          </w:tcPr>
          <w:p w:rsidR="001F5B33" w:rsidRPr="00E3331A" w:rsidRDefault="001F5B33" w:rsidP="00493DDF">
            <w:pPr>
              <w:pStyle w:val="Tabletext1"/>
              <w:rPr>
                <w:b/>
              </w:rPr>
            </w:pPr>
            <w:r w:rsidRPr="00E3331A">
              <w:rPr>
                <w:b/>
              </w:rPr>
              <w:t>Software packages used</w:t>
            </w:r>
          </w:p>
        </w:tc>
        <w:tc>
          <w:tcPr>
            <w:tcW w:w="3509" w:type="pct"/>
          </w:tcPr>
          <w:p w:rsidR="001F5B33" w:rsidRPr="00E3331A" w:rsidRDefault="001F5B33" w:rsidP="00493DDF">
            <w:pPr>
              <w:pStyle w:val="Tabletext1"/>
            </w:pPr>
            <w:r w:rsidRPr="00E3331A">
              <w:t>Microsoft Excel 2010</w:t>
            </w:r>
          </w:p>
        </w:tc>
      </w:tr>
    </w:tbl>
    <w:p w:rsidR="001F5B33" w:rsidRPr="00E3331A" w:rsidRDefault="001F5B33" w:rsidP="0037150F">
      <w:pPr>
        <w:pStyle w:val="Tablenotes1"/>
      </w:pPr>
      <w:r w:rsidRPr="00E3331A">
        <w:t>Abbreviations: CIDP = Chronic Inflammatory Demyelinating Polyneuropathy, Ig = Immunoglobulin</w:t>
      </w:r>
      <w:r w:rsidR="00D10A1E" w:rsidRPr="00E3331A">
        <w:t xml:space="preserve">, LY= Life Years, QALY = Quality-adjusted life-years </w:t>
      </w:r>
    </w:p>
    <w:p w:rsidR="00AC4C89" w:rsidRPr="00E3331A" w:rsidRDefault="00AC4C89" w:rsidP="00BB6E4C">
      <w:pPr>
        <w:pStyle w:val="BodyTextSTD"/>
      </w:pPr>
    </w:p>
    <w:p w:rsidR="001F5B33" w:rsidRPr="00E3331A" w:rsidRDefault="001F5B33" w:rsidP="00BB6E4C">
      <w:pPr>
        <w:pStyle w:val="BodyTextSTD"/>
      </w:pPr>
      <w:r w:rsidRPr="00E3331A">
        <w:t>As noted, a stepped evaluation was undertaken. The first step captures costs and health outcomes over 6 months</w:t>
      </w:r>
      <w:r w:rsidR="0035405B" w:rsidRPr="00E3331A">
        <w:t>,</w:t>
      </w:r>
      <w:r w:rsidRPr="00E3331A">
        <w:t xml:space="preserve"> which aligns with the large Hughes </w:t>
      </w:r>
      <w:r w:rsidR="00983BA7">
        <w:t xml:space="preserve">et al. </w:t>
      </w:r>
      <w:r w:rsidRPr="00E3331A">
        <w:t>(2008) ICE trial involving 117 patients.</w:t>
      </w:r>
      <w:r w:rsidR="00345C95" w:rsidRPr="00E3331A">
        <w:t xml:space="preserve"> </w:t>
      </w:r>
      <w:r w:rsidR="00B45672" w:rsidRPr="00E3331A">
        <w:t>An ex</w:t>
      </w:r>
      <w:r w:rsidR="001A1153" w:rsidRPr="00E3331A">
        <w:t>trapolated analys</w:t>
      </w:r>
      <w:r w:rsidR="00B45672" w:rsidRPr="00E3331A">
        <w:t>i</w:t>
      </w:r>
      <w:r w:rsidR="001A1153" w:rsidRPr="00E3331A">
        <w:t xml:space="preserve">s </w:t>
      </w:r>
      <w:r w:rsidR="00B45672" w:rsidRPr="00E3331A">
        <w:t>is</w:t>
      </w:r>
      <w:r w:rsidR="001A1153" w:rsidRPr="00E3331A">
        <w:t xml:space="preserve"> undertaken over 10-years for scenarios where patients can transition too steroid and associated adverse event states (similar to the Canadia</w:t>
      </w:r>
      <w:r w:rsidR="00B45672" w:rsidRPr="00E3331A">
        <w:t xml:space="preserve">n Blackhouse </w:t>
      </w:r>
      <w:r w:rsidR="00983BA7">
        <w:t xml:space="preserve">et al. </w:t>
      </w:r>
      <w:r w:rsidR="00B45672" w:rsidRPr="00E3331A">
        <w:t xml:space="preserve">2010 study), then </w:t>
      </w:r>
      <w:r w:rsidR="001A1153" w:rsidRPr="00E3331A">
        <w:t>to second</w:t>
      </w:r>
      <w:r w:rsidR="00417823">
        <w:t>-</w:t>
      </w:r>
      <w:r w:rsidR="001A1153" w:rsidRPr="00E3331A">
        <w:t xml:space="preserve">line treatment and disability. </w:t>
      </w:r>
      <w:r w:rsidRPr="00E3331A">
        <w:t xml:space="preserve">Sensitivity analyses were conducted for </w:t>
      </w:r>
      <w:r w:rsidR="001A1153" w:rsidRPr="00E3331A">
        <w:t>key cost, transition and utility assumptions</w:t>
      </w:r>
      <w:r w:rsidRPr="00E3331A">
        <w:t>.</w:t>
      </w:r>
    </w:p>
    <w:p w:rsidR="001F5B33" w:rsidRPr="00E3331A" w:rsidRDefault="001F5B33" w:rsidP="001F5B33">
      <w:pPr>
        <w:pStyle w:val="Heading3"/>
      </w:pPr>
      <w:bookmarkStart w:id="382" w:name="_Ref492992949"/>
      <w:bookmarkStart w:id="383" w:name="_Ref492992954"/>
      <w:bookmarkStart w:id="384" w:name="_Toc24103508"/>
      <w:r w:rsidRPr="00E3331A">
        <w:lastRenderedPageBreak/>
        <w:t>D.3.1.</w:t>
      </w:r>
      <w:r w:rsidRPr="00E3331A">
        <w:tab/>
        <w:t>Literature review</w:t>
      </w:r>
      <w:bookmarkEnd w:id="382"/>
      <w:bookmarkEnd w:id="383"/>
      <w:bookmarkEnd w:id="384"/>
    </w:p>
    <w:p w:rsidR="001F5B33" w:rsidRPr="00E3331A" w:rsidRDefault="001F5B33" w:rsidP="00476A02">
      <w:pPr>
        <w:pStyle w:val="Heading4"/>
      </w:pPr>
      <w:r w:rsidRPr="00E3331A">
        <w:t xml:space="preserve">CIDP </w:t>
      </w:r>
      <w:r w:rsidR="001B576E">
        <w:t>e</w:t>
      </w:r>
      <w:r w:rsidRPr="00E3331A">
        <w:t xml:space="preserve">conomic </w:t>
      </w:r>
      <w:r w:rsidR="001B576E">
        <w:t>m</w:t>
      </w:r>
      <w:r w:rsidRPr="00E3331A">
        <w:t>odels</w:t>
      </w:r>
    </w:p>
    <w:p w:rsidR="001F5B33" w:rsidRPr="00E3331A" w:rsidRDefault="001F5B33" w:rsidP="00BB6E4C">
      <w:pPr>
        <w:pStyle w:val="BodyTextSTD"/>
      </w:pPr>
      <w:r w:rsidRPr="00E3331A">
        <w:t xml:space="preserve">A literature review was conducted </w:t>
      </w:r>
      <w:r w:rsidR="0035405B" w:rsidRPr="00E3331A">
        <w:t xml:space="preserve">in April 2019 </w:t>
      </w:r>
      <w:r w:rsidRPr="00E3331A">
        <w:t xml:space="preserve">using the search terms provided in </w:t>
      </w:r>
      <w:r w:rsidR="006F35B9" w:rsidRPr="00E3331A">
        <w:t xml:space="preserve">Table </w:t>
      </w:r>
      <w:r w:rsidR="006F35B9">
        <w:rPr>
          <w:noProof/>
        </w:rPr>
        <w:t>56</w:t>
      </w:r>
      <w:r w:rsidRPr="00E3331A">
        <w:t xml:space="preserve"> to identify cost-effectiveness studies for CIDP interventions. The search included E</w:t>
      </w:r>
      <w:r w:rsidR="00591599" w:rsidRPr="00E3331A">
        <w:t>mbase</w:t>
      </w:r>
      <w:r w:rsidRPr="00E3331A">
        <w:t xml:space="preserve"> (1947-), </w:t>
      </w:r>
      <w:r w:rsidR="0035405B" w:rsidRPr="00E3331A">
        <w:t>o</w:t>
      </w:r>
      <w:r w:rsidRPr="00E3331A">
        <w:t>ther HTA websites (</w:t>
      </w:r>
      <w:r w:rsidR="001A1153" w:rsidRPr="00E3331A">
        <w:t>C</w:t>
      </w:r>
      <w:r w:rsidR="00B73E3D">
        <w:t>ADTH</w:t>
      </w:r>
      <w:r w:rsidRPr="00E3331A">
        <w:t xml:space="preserve">, </w:t>
      </w:r>
      <w:r w:rsidR="001A1153" w:rsidRPr="00E3331A">
        <w:t>National Institute for Health and Care Excellence (</w:t>
      </w:r>
      <w:r w:rsidRPr="00E3331A">
        <w:t>NICE</w:t>
      </w:r>
      <w:r w:rsidR="001A1153" w:rsidRPr="00E3331A">
        <w:t>)</w:t>
      </w:r>
      <w:r w:rsidRPr="00E3331A">
        <w:t xml:space="preserve">) and the Cochrane Library. </w:t>
      </w:r>
    </w:p>
    <w:p w:rsidR="001F5B33" w:rsidRPr="00E3331A" w:rsidRDefault="001F5B33" w:rsidP="001F5B33">
      <w:pPr>
        <w:pStyle w:val="Caption"/>
      </w:pPr>
      <w:bookmarkStart w:id="385" w:name="_Ref459369730"/>
      <w:bookmarkStart w:id="386" w:name="_Toc474318249"/>
      <w:bookmarkStart w:id="387" w:name="_Toc493000468"/>
      <w:bookmarkStart w:id="388" w:name="_Toc24103362"/>
      <w:r w:rsidRPr="00E3331A">
        <w:t xml:space="preserve">Table </w:t>
      </w:r>
      <w:r w:rsidR="006F35B9">
        <w:rPr>
          <w:noProof/>
        </w:rPr>
        <w:t>56</w:t>
      </w:r>
      <w:bookmarkEnd w:id="385"/>
      <w:r w:rsidR="0035405B" w:rsidRPr="00E3331A">
        <w:rPr>
          <w:noProof/>
        </w:rPr>
        <w:tab/>
      </w:r>
      <w:r w:rsidRPr="00E3331A">
        <w:t>Search terms used</w:t>
      </w:r>
      <w:bookmarkEnd w:id="386"/>
      <w:bookmarkEnd w:id="387"/>
      <w:bookmarkEnd w:id="3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3"/>
        <w:gridCol w:w="6583"/>
      </w:tblGrid>
      <w:tr w:rsidR="001F5B33" w:rsidRPr="00E3331A" w:rsidTr="0007007F">
        <w:trPr>
          <w:tblHeader/>
        </w:trPr>
        <w:tc>
          <w:tcPr>
            <w:tcW w:w="1349" w:type="pct"/>
            <w:shd w:val="clear" w:color="auto" w:fill="D9D9D9"/>
          </w:tcPr>
          <w:p w:rsidR="001F5B33" w:rsidRPr="00E3331A" w:rsidRDefault="001F5B33" w:rsidP="00493DDF">
            <w:pPr>
              <w:pStyle w:val="Tabletext1"/>
              <w:keepNext/>
              <w:rPr>
                <w:b/>
              </w:rPr>
            </w:pPr>
            <w:r w:rsidRPr="00E3331A">
              <w:rPr>
                <w:b/>
              </w:rPr>
              <w:t>Element of clinical question</w:t>
            </w:r>
          </w:p>
        </w:tc>
        <w:tc>
          <w:tcPr>
            <w:tcW w:w="3651" w:type="pct"/>
            <w:shd w:val="clear" w:color="auto" w:fill="D9D9D9"/>
          </w:tcPr>
          <w:p w:rsidR="001F5B33" w:rsidRPr="00E3331A" w:rsidRDefault="001F5B33" w:rsidP="00493DDF">
            <w:pPr>
              <w:pStyle w:val="Tabletext1"/>
              <w:keepNext/>
              <w:rPr>
                <w:b/>
              </w:rPr>
            </w:pPr>
            <w:r w:rsidRPr="00E3331A">
              <w:rPr>
                <w:b/>
              </w:rPr>
              <w:t>Search terms</w:t>
            </w:r>
          </w:p>
        </w:tc>
      </w:tr>
      <w:tr w:rsidR="001F5B33" w:rsidRPr="00E3331A" w:rsidTr="00493DDF">
        <w:trPr>
          <w:trHeight w:val="479"/>
        </w:trPr>
        <w:tc>
          <w:tcPr>
            <w:tcW w:w="1349" w:type="pct"/>
            <w:vAlign w:val="center"/>
          </w:tcPr>
          <w:p w:rsidR="001F5B33" w:rsidRPr="00E3331A" w:rsidRDefault="001F5B33" w:rsidP="00493DDF">
            <w:pPr>
              <w:pStyle w:val="TableText"/>
              <w:rPr>
                <w:sz w:val="20"/>
              </w:rPr>
            </w:pPr>
            <w:r w:rsidRPr="00E3331A">
              <w:rPr>
                <w:sz w:val="20"/>
              </w:rPr>
              <w:t>Population</w:t>
            </w:r>
          </w:p>
        </w:tc>
        <w:tc>
          <w:tcPr>
            <w:tcW w:w="3651" w:type="pct"/>
            <w:vAlign w:val="center"/>
          </w:tcPr>
          <w:p w:rsidR="001F5B33" w:rsidRPr="00E3331A" w:rsidRDefault="001F5B33" w:rsidP="00493DDF">
            <w:pPr>
              <w:pStyle w:val="TableText"/>
              <w:rPr>
                <w:sz w:val="20"/>
                <w:szCs w:val="20"/>
              </w:rPr>
            </w:pPr>
            <w:r w:rsidRPr="00E3331A">
              <w:rPr>
                <w:sz w:val="20"/>
                <w:szCs w:val="20"/>
              </w:rPr>
              <w:t>[CIDP] OR [Chronic Inflammatory Demyelinating Polyneuropathy] OR [paraproteinemic demyelinating neuropathies] OR [PDN] OR [a sensorimotor neuropathy]</w:t>
            </w:r>
          </w:p>
        </w:tc>
      </w:tr>
      <w:tr w:rsidR="001F5B33" w:rsidRPr="00E3331A" w:rsidTr="00493DDF">
        <w:tc>
          <w:tcPr>
            <w:tcW w:w="1349" w:type="pct"/>
            <w:vAlign w:val="center"/>
          </w:tcPr>
          <w:p w:rsidR="001F5B33" w:rsidRPr="00E3331A" w:rsidRDefault="001F5B33" w:rsidP="00493DDF">
            <w:pPr>
              <w:pStyle w:val="TableText"/>
              <w:rPr>
                <w:sz w:val="20"/>
              </w:rPr>
            </w:pPr>
            <w:r w:rsidRPr="00E3331A">
              <w:rPr>
                <w:sz w:val="20"/>
              </w:rPr>
              <w:t>Intervention</w:t>
            </w:r>
          </w:p>
        </w:tc>
        <w:tc>
          <w:tcPr>
            <w:tcW w:w="3651" w:type="pct"/>
            <w:vAlign w:val="center"/>
          </w:tcPr>
          <w:p w:rsidR="001F5B33" w:rsidRPr="00E3331A" w:rsidRDefault="001F5B33" w:rsidP="00493DDF">
            <w:pPr>
              <w:pStyle w:val="TableText"/>
              <w:rPr>
                <w:sz w:val="20"/>
              </w:rPr>
            </w:pPr>
            <w:r w:rsidRPr="00E3331A">
              <w:rPr>
                <w:sz w:val="20"/>
              </w:rPr>
              <w:t>Not applicable</w:t>
            </w:r>
          </w:p>
        </w:tc>
      </w:tr>
      <w:tr w:rsidR="001F5B33" w:rsidRPr="00E3331A" w:rsidTr="00493DDF">
        <w:tc>
          <w:tcPr>
            <w:tcW w:w="1349" w:type="pct"/>
            <w:vAlign w:val="center"/>
          </w:tcPr>
          <w:p w:rsidR="001F5B33" w:rsidRPr="00E3331A" w:rsidRDefault="001F5B33" w:rsidP="00493DDF">
            <w:pPr>
              <w:pStyle w:val="TableText"/>
              <w:rPr>
                <w:sz w:val="20"/>
              </w:rPr>
            </w:pPr>
            <w:r w:rsidRPr="00E3331A">
              <w:rPr>
                <w:sz w:val="20"/>
              </w:rPr>
              <w:t>Comparator (if applicable)</w:t>
            </w:r>
          </w:p>
        </w:tc>
        <w:tc>
          <w:tcPr>
            <w:tcW w:w="3651" w:type="pct"/>
            <w:vAlign w:val="center"/>
          </w:tcPr>
          <w:p w:rsidR="001F5B33" w:rsidRPr="00E3331A" w:rsidRDefault="001F5B33" w:rsidP="00493DDF">
            <w:pPr>
              <w:pStyle w:val="TableText"/>
              <w:rPr>
                <w:sz w:val="20"/>
              </w:rPr>
            </w:pPr>
            <w:r w:rsidRPr="00E3331A">
              <w:rPr>
                <w:sz w:val="20"/>
              </w:rPr>
              <w:t>Not applicable</w:t>
            </w:r>
          </w:p>
        </w:tc>
      </w:tr>
      <w:tr w:rsidR="001F5B33" w:rsidRPr="00E3331A" w:rsidTr="00493DDF">
        <w:tc>
          <w:tcPr>
            <w:tcW w:w="1349" w:type="pct"/>
            <w:vAlign w:val="center"/>
          </w:tcPr>
          <w:p w:rsidR="001F5B33" w:rsidRPr="00E3331A" w:rsidRDefault="001F5B33" w:rsidP="00493DDF">
            <w:pPr>
              <w:pStyle w:val="TableText"/>
              <w:rPr>
                <w:sz w:val="20"/>
              </w:rPr>
            </w:pPr>
            <w:r w:rsidRPr="00E3331A">
              <w:rPr>
                <w:sz w:val="20"/>
              </w:rPr>
              <w:t>Outcomes (if applicable)</w:t>
            </w:r>
          </w:p>
        </w:tc>
        <w:tc>
          <w:tcPr>
            <w:tcW w:w="3651" w:type="pct"/>
            <w:vAlign w:val="center"/>
          </w:tcPr>
          <w:p w:rsidR="001F5B33" w:rsidRPr="00E3331A" w:rsidRDefault="001F5B33" w:rsidP="00493DDF">
            <w:pPr>
              <w:pStyle w:val="TableText"/>
              <w:rPr>
                <w:sz w:val="20"/>
              </w:rPr>
            </w:pPr>
            <w:r w:rsidRPr="00E3331A">
              <w:rPr>
                <w:sz w:val="20"/>
              </w:rPr>
              <w:t>Not applicable</w:t>
            </w:r>
          </w:p>
        </w:tc>
      </w:tr>
      <w:tr w:rsidR="001F5B33" w:rsidRPr="00E3331A" w:rsidTr="00493DDF">
        <w:tc>
          <w:tcPr>
            <w:tcW w:w="1349" w:type="pct"/>
            <w:vAlign w:val="center"/>
          </w:tcPr>
          <w:p w:rsidR="001F5B33" w:rsidRPr="00E3331A" w:rsidRDefault="001F5B33" w:rsidP="00493DDF">
            <w:pPr>
              <w:pStyle w:val="TableText"/>
              <w:rPr>
                <w:sz w:val="20"/>
              </w:rPr>
            </w:pPr>
            <w:r w:rsidRPr="00E3331A">
              <w:rPr>
                <w:sz w:val="20"/>
              </w:rPr>
              <w:t>Other</w:t>
            </w:r>
          </w:p>
        </w:tc>
        <w:tc>
          <w:tcPr>
            <w:tcW w:w="3651" w:type="pct"/>
            <w:vAlign w:val="center"/>
          </w:tcPr>
          <w:p w:rsidR="001F5B33" w:rsidRPr="00E3331A" w:rsidRDefault="001F5B33" w:rsidP="00B9475E">
            <w:pPr>
              <w:pStyle w:val="TableText"/>
              <w:rPr>
                <w:sz w:val="20"/>
              </w:rPr>
            </w:pPr>
            <w:r w:rsidRPr="00E3331A">
              <w:rPr>
                <w:sz w:val="20"/>
              </w:rPr>
              <w:t>Health economics OR economic aspect OR economics OR biomedical technology assessment OR economic evaluation OR health care cost OR technology assessment OR cost</w:t>
            </w:r>
            <w:r w:rsidR="00D45BCF" w:rsidRPr="00E3331A">
              <w:rPr>
                <w:sz w:val="20"/>
              </w:rPr>
              <w:t>-</w:t>
            </w:r>
            <w:r w:rsidRPr="00E3331A">
              <w:rPr>
                <w:sz w:val="20"/>
              </w:rPr>
              <w:t>effectiveness analysis OR cost minimisation analysis OR cost</w:t>
            </w:r>
            <w:r w:rsidR="00D45BCF" w:rsidRPr="00E3331A">
              <w:rPr>
                <w:sz w:val="20"/>
              </w:rPr>
              <w:t>-</w:t>
            </w:r>
            <w:r w:rsidRPr="00E3331A">
              <w:rPr>
                <w:sz w:val="20"/>
              </w:rPr>
              <w:t>minimi</w:t>
            </w:r>
            <w:r w:rsidR="00591599" w:rsidRPr="00E3331A">
              <w:rPr>
                <w:sz w:val="20"/>
              </w:rPr>
              <w:t>s</w:t>
            </w:r>
            <w:r w:rsidRPr="00E3331A">
              <w:rPr>
                <w:sz w:val="20"/>
              </w:rPr>
              <w:t>ation analysis OR cost</w:t>
            </w:r>
            <w:r w:rsidR="00D45BCF" w:rsidRPr="00E3331A">
              <w:rPr>
                <w:sz w:val="20"/>
              </w:rPr>
              <w:t>-</w:t>
            </w:r>
            <w:r w:rsidRPr="00E3331A">
              <w:rPr>
                <w:sz w:val="20"/>
              </w:rPr>
              <w:t>utility analysis</w:t>
            </w:r>
          </w:p>
        </w:tc>
      </w:tr>
      <w:tr w:rsidR="001F5B33" w:rsidRPr="00E3331A" w:rsidTr="00493DDF">
        <w:tc>
          <w:tcPr>
            <w:tcW w:w="1349" w:type="pct"/>
            <w:vAlign w:val="center"/>
          </w:tcPr>
          <w:p w:rsidR="001F5B33" w:rsidRPr="00E3331A" w:rsidRDefault="001F5B33" w:rsidP="00493DDF">
            <w:pPr>
              <w:pStyle w:val="TableText"/>
              <w:rPr>
                <w:sz w:val="20"/>
              </w:rPr>
            </w:pPr>
            <w:r w:rsidRPr="00E3331A">
              <w:rPr>
                <w:sz w:val="20"/>
              </w:rPr>
              <w:t>Limits</w:t>
            </w:r>
          </w:p>
        </w:tc>
        <w:tc>
          <w:tcPr>
            <w:tcW w:w="3651" w:type="pct"/>
            <w:vAlign w:val="center"/>
          </w:tcPr>
          <w:p w:rsidR="001F5B33" w:rsidRPr="00E3331A" w:rsidRDefault="001F5B33" w:rsidP="00493DDF">
            <w:pPr>
              <w:pStyle w:val="TableText"/>
              <w:rPr>
                <w:sz w:val="20"/>
              </w:rPr>
            </w:pPr>
            <w:r w:rsidRPr="00E3331A">
              <w:rPr>
                <w:sz w:val="20"/>
              </w:rPr>
              <w:t>English language</w:t>
            </w:r>
          </w:p>
          <w:p w:rsidR="001F5B33" w:rsidRPr="00E3331A" w:rsidRDefault="001F5B33" w:rsidP="00493DDF">
            <w:pPr>
              <w:pStyle w:val="TableText"/>
              <w:rPr>
                <w:sz w:val="20"/>
              </w:rPr>
            </w:pPr>
            <w:r w:rsidRPr="00E3331A">
              <w:rPr>
                <w:sz w:val="20"/>
              </w:rPr>
              <w:t>Remove duplicates</w:t>
            </w:r>
          </w:p>
          <w:p w:rsidR="001F5B33" w:rsidRPr="00E3331A" w:rsidRDefault="001F5B33" w:rsidP="00493DDF">
            <w:pPr>
              <w:pStyle w:val="TableText"/>
              <w:rPr>
                <w:sz w:val="20"/>
              </w:rPr>
            </w:pPr>
            <w:r w:rsidRPr="00E3331A">
              <w:rPr>
                <w:sz w:val="20"/>
              </w:rPr>
              <w:t>1990-2019</w:t>
            </w:r>
          </w:p>
        </w:tc>
      </w:tr>
    </w:tbl>
    <w:p w:rsidR="001F5B33" w:rsidRPr="00E3331A" w:rsidRDefault="001F5B33" w:rsidP="00BB6E4C">
      <w:pPr>
        <w:pStyle w:val="BodyTextSTD"/>
      </w:pPr>
    </w:p>
    <w:p w:rsidR="001F5B33" w:rsidRPr="00E3331A" w:rsidRDefault="001F5B33" w:rsidP="001F5B33">
      <w:pPr>
        <w:pStyle w:val="Caption"/>
      </w:pPr>
      <w:bookmarkStart w:id="389" w:name="_Ref462993860"/>
      <w:bookmarkStart w:id="390" w:name="_Toc474318250"/>
      <w:bookmarkStart w:id="391" w:name="_Toc493000469"/>
      <w:bookmarkStart w:id="392" w:name="_Toc24103363"/>
      <w:r w:rsidRPr="00E3331A">
        <w:t xml:space="preserve">Table </w:t>
      </w:r>
      <w:r w:rsidR="006F35B9">
        <w:rPr>
          <w:noProof/>
        </w:rPr>
        <w:t>57</w:t>
      </w:r>
      <w:bookmarkEnd w:id="389"/>
      <w:r w:rsidR="0035405B" w:rsidRPr="00E3331A">
        <w:rPr>
          <w:noProof/>
        </w:rPr>
        <w:tab/>
      </w:r>
      <w:r w:rsidRPr="00E3331A">
        <w:t>Summary of the process used to identify and select studies for the economic evaluation</w:t>
      </w:r>
      <w:bookmarkEnd w:id="390"/>
      <w:bookmarkEnd w:id="391"/>
      <w:bookmarkEnd w:id="3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2"/>
        <w:gridCol w:w="1374"/>
        <w:gridCol w:w="1374"/>
        <w:gridCol w:w="1506"/>
      </w:tblGrid>
      <w:tr w:rsidR="00281EC2" w:rsidRPr="00E3331A" w:rsidTr="0007007F">
        <w:trPr>
          <w:cantSplit/>
          <w:tblHeader/>
        </w:trPr>
        <w:tc>
          <w:tcPr>
            <w:tcW w:w="2641" w:type="pct"/>
            <w:shd w:val="clear" w:color="auto" w:fill="D9D9D9"/>
          </w:tcPr>
          <w:p w:rsidR="001F5B33" w:rsidRPr="00E3331A" w:rsidRDefault="001F5B33" w:rsidP="0007007F">
            <w:pPr>
              <w:pStyle w:val="Tabletext1"/>
              <w:keepNext/>
              <w:jc w:val="both"/>
              <w:rPr>
                <w:rFonts w:eastAsia="Calibri"/>
                <w:b/>
              </w:rPr>
            </w:pPr>
          </w:p>
        </w:tc>
        <w:tc>
          <w:tcPr>
            <w:tcW w:w="762" w:type="pct"/>
            <w:shd w:val="clear" w:color="auto" w:fill="D9D9D9"/>
          </w:tcPr>
          <w:p w:rsidR="001F5B33" w:rsidRPr="00E3331A" w:rsidRDefault="001F5B33" w:rsidP="0007007F">
            <w:pPr>
              <w:pStyle w:val="Tabletext1"/>
              <w:keepNext/>
              <w:jc w:val="center"/>
              <w:rPr>
                <w:rFonts w:eastAsia="Calibri"/>
                <w:b/>
              </w:rPr>
            </w:pPr>
            <w:r w:rsidRPr="00E3331A">
              <w:rPr>
                <w:rFonts w:eastAsia="Calibri"/>
                <w:b/>
              </w:rPr>
              <w:t>E</w:t>
            </w:r>
            <w:r w:rsidR="00591599" w:rsidRPr="00E3331A">
              <w:rPr>
                <w:rFonts w:eastAsia="Calibri"/>
                <w:b/>
              </w:rPr>
              <w:t>mbase</w:t>
            </w:r>
          </w:p>
          <w:p w:rsidR="001F5B33" w:rsidRPr="00E3331A" w:rsidRDefault="001F5B33" w:rsidP="0007007F">
            <w:pPr>
              <w:pStyle w:val="Tabletext1"/>
              <w:keepNext/>
              <w:jc w:val="center"/>
              <w:rPr>
                <w:rFonts w:eastAsia="Calibri"/>
                <w:b/>
              </w:rPr>
            </w:pPr>
            <w:r w:rsidRPr="00E3331A">
              <w:rPr>
                <w:rFonts w:eastAsia="Calibri"/>
                <w:b/>
              </w:rPr>
              <w:t>Global Health, MEDLINE, PyscInfo</w:t>
            </w:r>
          </w:p>
        </w:tc>
        <w:tc>
          <w:tcPr>
            <w:tcW w:w="762" w:type="pct"/>
            <w:shd w:val="clear" w:color="auto" w:fill="D9D9D9"/>
          </w:tcPr>
          <w:p w:rsidR="001F5B33" w:rsidRPr="00E3331A" w:rsidRDefault="001F5B33" w:rsidP="0007007F">
            <w:pPr>
              <w:pStyle w:val="Tabletext1"/>
              <w:keepNext/>
              <w:jc w:val="center"/>
              <w:rPr>
                <w:rFonts w:eastAsia="Calibri"/>
                <w:b/>
              </w:rPr>
            </w:pPr>
            <w:r w:rsidRPr="00E3331A">
              <w:rPr>
                <w:rFonts w:eastAsia="Calibri"/>
                <w:b/>
              </w:rPr>
              <w:t>Other HTA websites</w:t>
            </w:r>
            <w:r w:rsidRPr="00E3331A">
              <w:rPr>
                <w:rFonts w:eastAsia="Calibri"/>
                <w:b/>
                <w:vertAlign w:val="superscript"/>
              </w:rPr>
              <w:t>a</w:t>
            </w:r>
          </w:p>
        </w:tc>
        <w:tc>
          <w:tcPr>
            <w:tcW w:w="835" w:type="pct"/>
            <w:shd w:val="clear" w:color="auto" w:fill="D9D9D9"/>
          </w:tcPr>
          <w:p w:rsidR="001F5B33" w:rsidRPr="00E3331A" w:rsidRDefault="001F5B33" w:rsidP="0007007F">
            <w:pPr>
              <w:pStyle w:val="Tabletext1"/>
              <w:keepNext/>
              <w:jc w:val="center"/>
              <w:rPr>
                <w:rFonts w:eastAsia="Calibri"/>
                <w:b/>
              </w:rPr>
            </w:pPr>
            <w:r w:rsidRPr="00E3331A">
              <w:rPr>
                <w:rFonts w:eastAsia="Calibri"/>
                <w:b/>
              </w:rPr>
              <w:t>Cochrane Library</w:t>
            </w:r>
          </w:p>
        </w:tc>
      </w:tr>
      <w:tr w:rsidR="001F5B33" w:rsidRPr="00E3331A" w:rsidTr="0007007F">
        <w:trPr>
          <w:cantSplit/>
        </w:trPr>
        <w:tc>
          <w:tcPr>
            <w:tcW w:w="2641" w:type="pct"/>
            <w:shd w:val="clear" w:color="auto" w:fill="auto"/>
            <w:vAlign w:val="center"/>
          </w:tcPr>
          <w:p w:rsidR="001F5B33" w:rsidRPr="00E3331A" w:rsidRDefault="001F5B33" w:rsidP="0007007F">
            <w:pPr>
              <w:pStyle w:val="TableText"/>
              <w:jc w:val="both"/>
              <w:rPr>
                <w:rFonts w:eastAsia="Calibri"/>
                <w:sz w:val="20"/>
                <w:szCs w:val="20"/>
              </w:rPr>
            </w:pPr>
            <w:r w:rsidRPr="00E3331A">
              <w:rPr>
                <w:rFonts w:eastAsia="Calibri"/>
                <w:sz w:val="20"/>
                <w:szCs w:val="20"/>
              </w:rPr>
              <w:t>Number of titles and abstracts reviewed after search</w:t>
            </w:r>
          </w:p>
        </w:tc>
        <w:tc>
          <w:tcPr>
            <w:tcW w:w="762" w:type="pct"/>
            <w:shd w:val="clear" w:color="auto" w:fill="auto"/>
            <w:vAlign w:val="center"/>
          </w:tcPr>
          <w:p w:rsidR="001F5B33" w:rsidRPr="00E3331A" w:rsidRDefault="001F5B33" w:rsidP="0007007F">
            <w:pPr>
              <w:pStyle w:val="TableText"/>
              <w:jc w:val="center"/>
              <w:rPr>
                <w:rFonts w:eastAsia="Calibri"/>
                <w:sz w:val="20"/>
                <w:szCs w:val="20"/>
              </w:rPr>
            </w:pPr>
            <w:r w:rsidRPr="00E3331A">
              <w:rPr>
                <w:rFonts w:eastAsia="Calibri"/>
                <w:sz w:val="20"/>
                <w:szCs w:val="20"/>
              </w:rPr>
              <w:t>357</w:t>
            </w:r>
          </w:p>
        </w:tc>
        <w:tc>
          <w:tcPr>
            <w:tcW w:w="762" w:type="pct"/>
            <w:shd w:val="clear" w:color="auto" w:fill="auto"/>
            <w:vAlign w:val="center"/>
          </w:tcPr>
          <w:p w:rsidR="001F5B33" w:rsidRPr="00E3331A" w:rsidRDefault="001F5B33" w:rsidP="0007007F">
            <w:pPr>
              <w:pStyle w:val="TableText"/>
              <w:jc w:val="center"/>
              <w:rPr>
                <w:rFonts w:eastAsia="Calibri"/>
                <w:sz w:val="20"/>
                <w:szCs w:val="20"/>
              </w:rPr>
            </w:pPr>
            <w:r w:rsidRPr="00E3331A">
              <w:rPr>
                <w:rFonts w:eastAsia="Calibri"/>
                <w:sz w:val="20"/>
                <w:szCs w:val="20"/>
              </w:rPr>
              <w:t>2</w:t>
            </w:r>
          </w:p>
        </w:tc>
        <w:tc>
          <w:tcPr>
            <w:tcW w:w="835" w:type="pct"/>
            <w:shd w:val="clear" w:color="auto" w:fill="auto"/>
            <w:vAlign w:val="center"/>
          </w:tcPr>
          <w:p w:rsidR="001F5B33" w:rsidRPr="00E3331A" w:rsidRDefault="001F5B33" w:rsidP="0007007F">
            <w:pPr>
              <w:pStyle w:val="TableText"/>
              <w:jc w:val="center"/>
              <w:rPr>
                <w:rFonts w:eastAsia="Calibri"/>
                <w:sz w:val="20"/>
                <w:szCs w:val="20"/>
              </w:rPr>
            </w:pPr>
            <w:r w:rsidRPr="00E3331A">
              <w:rPr>
                <w:rFonts w:eastAsia="Calibri"/>
                <w:sz w:val="20"/>
                <w:szCs w:val="20"/>
              </w:rPr>
              <w:t>-</w:t>
            </w:r>
          </w:p>
        </w:tc>
      </w:tr>
      <w:tr w:rsidR="00281EC2" w:rsidRPr="00E3331A" w:rsidTr="0007007F">
        <w:trPr>
          <w:cantSplit/>
        </w:trPr>
        <w:tc>
          <w:tcPr>
            <w:tcW w:w="2641" w:type="pct"/>
            <w:tcBorders>
              <w:bottom w:val="single" w:sz="4" w:space="0" w:color="auto"/>
            </w:tcBorders>
            <w:shd w:val="clear" w:color="auto" w:fill="auto"/>
            <w:vAlign w:val="center"/>
          </w:tcPr>
          <w:p w:rsidR="001F5B33" w:rsidRPr="00E3331A" w:rsidRDefault="001F5B33" w:rsidP="0007007F">
            <w:pPr>
              <w:pStyle w:val="TableText"/>
              <w:jc w:val="both"/>
              <w:rPr>
                <w:rFonts w:eastAsia="Calibri"/>
                <w:sz w:val="20"/>
                <w:szCs w:val="20"/>
              </w:rPr>
            </w:pPr>
            <w:r w:rsidRPr="00E3331A">
              <w:rPr>
                <w:rFonts w:eastAsia="Calibri"/>
                <w:sz w:val="20"/>
                <w:szCs w:val="20"/>
              </w:rPr>
              <w:t>T</w:t>
            </w:r>
            <w:r w:rsidR="00B9475E" w:rsidRPr="00E3331A">
              <w:rPr>
                <w:rFonts w:eastAsia="Calibri"/>
                <w:sz w:val="20"/>
                <w:szCs w:val="20"/>
              </w:rPr>
              <w:t>otal</w:t>
            </w:r>
            <w:r w:rsidRPr="00E3331A">
              <w:rPr>
                <w:rFonts w:eastAsia="Calibri"/>
                <w:sz w:val="20"/>
                <w:szCs w:val="20"/>
              </w:rPr>
              <w:t xml:space="preserve"> number of exclusions </w:t>
            </w:r>
          </w:p>
        </w:tc>
        <w:tc>
          <w:tcPr>
            <w:tcW w:w="762" w:type="pct"/>
            <w:tcBorders>
              <w:bottom w:val="single" w:sz="4" w:space="0" w:color="auto"/>
            </w:tcBorders>
            <w:shd w:val="clear" w:color="auto" w:fill="auto"/>
            <w:vAlign w:val="center"/>
          </w:tcPr>
          <w:p w:rsidR="001F5B33" w:rsidRPr="00E3331A" w:rsidRDefault="001F5B33" w:rsidP="0007007F">
            <w:pPr>
              <w:pStyle w:val="TableText"/>
              <w:jc w:val="center"/>
              <w:rPr>
                <w:rFonts w:eastAsia="Calibri"/>
                <w:sz w:val="20"/>
                <w:szCs w:val="20"/>
              </w:rPr>
            </w:pPr>
            <w:r w:rsidRPr="00E3331A">
              <w:rPr>
                <w:rFonts w:eastAsia="Calibri"/>
                <w:sz w:val="20"/>
                <w:szCs w:val="20"/>
              </w:rPr>
              <w:t>345</w:t>
            </w:r>
          </w:p>
        </w:tc>
        <w:tc>
          <w:tcPr>
            <w:tcW w:w="762" w:type="pct"/>
            <w:tcBorders>
              <w:bottom w:val="single" w:sz="4" w:space="0" w:color="auto"/>
            </w:tcBorders>
            <w:shd w:val="clear" w:color="auto" w:fill="auto"/>
            <w:vAlign w:val="center"/>
          </w:tcPr>
          <w:p w:rsidR="001F5B33" w:rsidRPr="00E3331A" w:rsidRDefault="001F5B33" w:rsidP="0007007F">
            <w:pPr>
              <w:pStyle w:val="TableText"/>
              <w:jc w:val="center"/>
              <w:rPr>
                <w:rFonts w:eastAsia="Calibri"/>
                <w:sz w:val="20"/>
                <w:szCs w:val="20"/>
              </w:rPr>
            </w:pPr>
            <w:r w:rsidRPr="00E3331A">
              <w:rPr>
                <w:rFonts w:eastAsia="Calibri"/>
                <w:sz w:val="20"/>
                <w:szCs w:val="20"/>
              </w:rPr>
              <w:t>1</w:t>
            </w:r>
          </w:p>
        </w:tc>
        <w:tc>
          <w:tcPr>
            <w:tcW w:w="835" w:type="pct"/>
            <w:tcBorders>
              <w:bottom w:val="single" w:sz="4" w:space="0" w:color="auto"/>
            </w:tcBorders>
            <w:shd w:val="clear" w:color="auto" w:fill="auto"/>
            <w:vAlign w:val="center"/>
          </w:tcPr>
          <w:p w:rsidR="001F5B33" w:rsidRPr="00E3331A" w:rsidRDefault="001F5B33" w:rsidP="0007007F">
            <w:pPr>
              <w:pStyle w:val="TableText"/>
              <w:jc w:val="center"/>
              <w:rPr>
                <w:rFonts w:eastAsia="Calibri"/>
                <w:sz w:val="20"/>
                <w:szCs w:val="20"/>
              </w:rPr>
            </w:pPr>
            <w:r w:rsidRPr="00E3331A">
              <w:rPr>
                <w:rFonts w:eastAsia="Calibri"/>
                <w:sz w:val="20"/>
                <w:szCs w:val="20"/>
              </w:rPr>
              <w:t>-</w:t>
            </w:r>
          </w:p>
        </w:tc>
      </w:tr>
      <w:tr w:rsidR="00281EC2" w:rsidRPr="00E3331A" w:rsidDel="00B6604E" w:rsidTr="0007007F">
        <w:trPr>
          <w:cantSplit/>
        </w:trPr>
        <w:tc>
          <w:tcPr>
            <w:tcW w:w="2641" w:type="pct"/>
            <w:tcBorders>
              <w:bottom w:val="single" w:sz="4" w:space="0" w:color="auto"/>
              <w:right w:val="single" w:sz="4" w:space="0" w:color="auto"/>
            </w:tcBorders>
            <w:shd w:val="clear" w:color="auto" w:fill="auto"/>
            <w:vAlign w:val="center"/>
          </w:tcPr>
          <w:p w:rsidR="001F5B33" w:rsidRPr="00E3331A" w:rsidRDefault="001F5B33" w:rsidP="0007007F">
            <w:pPr>
              <w:pStyle w:val="TableText"/>
              <w:jc w:val="both"/>
              <w:rPr>
                <w:rFonts w:eastAsia="Calibri"/>
                <w:sz w:val="20"/>
                <w:szCs w:val="20"/>
              </w:rPr>
            </w:pPr>
            <w:r w:rsidRPr="00E3331A">
              <w:rPr>
                <w:rFonts w:eastAsia="Calibri"/>
                <w:sz w:val="20"/>
                <w:szCs w:val="20"/>
              </w:rPr>
              <w:t>Number of HTA reports/ cost-effectiveness outcomes reported</w:t>
            </w:r>
          </w:p>
        </w:tc>
        <w:tc>
          <w:tcPr>
            <w:tcW w:w="762" w:type="pct"/>
            <w:tcBorders>
              <w:left w:val="single" w:sz="4" w:space="0" w:color="auto"/>
              <w:bottom w:val="single" w:sz="4" w:space="0" w:color="auto"/>
              <w:right w:val="single" w:sz="4" w:space="0" w:color="auto"/>
            </w:tcBorders>
            <w:shd w:val="clear" w:color="auto" w:fill="auto"/>
            <w:vAlign w:val="center"/>
          </w:tcPr>
          <w:p w:rsidR="001F5B33" w:rsidRPr="00E3331A" w:rsidDel="00B6604E" w:rsidRDefault="001F5B33" w:rsidP="0007007F">
            <w:pPr>
              <w:pStyle w:val="TableText"/>
              <w:jc w:val="center"/>
              <w:rPr>
                <w:rFonts w:eastAsia="Calibri"/>
                <w:sz w:val="20"/>
                <w:szCs w:val="20"/>
              </w:rPr>
            </w:pPr>
            <w:r w:rsidRPr="00E3331A">
              <w:rPr>
                <w:rFonts w:eastAsia="Calibri"/>
                <w:sz w:val="20"/>
                <w:szCs w:val="20"/>
              </w:rPr>
              <w:t>12</w:t>
            </w:r>
          </w:p>
        </w:tc>
        <w:tc>
          <w:tcPr>
            <w:tcW w:w="762" w:type="pct"/>
            <w:tcBorders>
              <w:left w:val="single" w:sz="4" w:space="0" w:color="auto"/>
              <w:bottom w:val="single" w:sz="4" w:space="0" w:color="auto"/>
              <w:right w:val="single" w:sz="4" w:space="0" w:color="auto"/>
            </w:tcBorders>
            <w:shd w:val="clear" w:color="auto" w:fill="auto"/>
            <w:vAlign w:val="center"/>
          </w:tcPr>
          <w:p w:rsidR="001F5B33" w:rsidRPr="00E3331A" w:rsidDel="00B6604E" w:rsidRDefault="001F5B33" w:rsidP="0007007F">
            <w:pPr>
              <w:pStyle w:val="TableText"/>
              <w:jc w:val="center"/>
              <w:rPr>
                <w:rFonts w:eastAsia="Calibri"/>
                <w:sz w:val="20"/>
                <w:szCs w:val="20"/>
              </w:rPr>
            </w:pPr>
            <w:r w:rsidRPr="00E3331A">
              <w:rPr>
                <w:rFonts w:eastAsia="Calibri"/>
                <w:sz w:val="20"/>
                <w:szCs w:val="20"/>
              </w:rPr>
              <w:t>1</w:t>
            </w:r>
          </w:p>
        </w:tc>
        <w:tc>
          <w:tcPr>
            <w:tcW w:w="835" w:type="pct"/>
            <w:tcBorders>
              <w:left w:val="single" w:sz="4" w:space="0" w:color="auto"/>
              <w:bottom w:val="single" w:sz="4" w:space="0" w:color="auto"/>
            </w:tcBorders>
            <w:shd w:val="clear" w:color="auto" w:fill="auto"/>
            <w:vAlign w:val="center"/>
          </w:tcPr>
          <w:p w:rsidR="001F5B33" w:rsidRPr="00E3331A" w:rsidDel="00B6604E" w:rsidRDefault="001F5B33" w:rsidP="0007007F">
            <w:pPr>
              <w:pStyle w:val="TableText"/>
              <w:jc w:val="center"/>
              <w:rPr>
                <w:rFonts w:eastAsia="Calibri"/>
                <w:sz w:val="20"/>
                <w:szCs w:val="20"/>
              </w:rPr>
            </w:pPr>
            <w:r w:rsidRPr="00E3331A">
              <w:rPr>
                <w:rFonts w:eastAsia="Calibri"/>
                <w:sz w:val="20"/>
                <w:szCs w:val="20"/>
              </w:rPr>
              <w:t>-</w:t>
            </w:r>
          </w:p>
        </w:tc>
      </w:tr>
      <w:tr w:rsidR="00C27ECE" w:rsidRPr="00E3331A" w:rsidDel="00B6604E" w:rsidTr="00C27ECE">
        <w:trPr>
          <w:cantSplit/>
        </w:trPr>
        <w:tc>
          <w:tcPr>
            <w:tcW w:w="2641" w:type="pct"/>
            <w:tcBorders>
              <w:bottom w:val="single" w:sz="4" w:space="0" w:color="auto"/>
              <w:right w:val="single" w:sz="4" w:space="0" w:color="auto"/>
            </w:tcBorders>
            <w:shd w:val="clear" w:color="auto" w:fill="auto"/>
            <w:vAlign w:val="center"/>
          </w:tcPr>
          <w:p w:rsidR="00C27ECE" w:rsidRPr="00E3331A" w:rsidRDefault="00C27ECE" w:rsidP="0007007F">
            <w:pPr>
              <w:pStyle w:val="TableText"/>
              <w:jc w:val="both"/>
              <w:rPr>
                <w:rFonts w:eastAsia="Calibri"/>
                <w:sz w:val="20"/>
                <w:szCs w:val="20"/>
              </w:rPr>
            </w:pPr>
            <w:r w:rsidRPr="00E3331A">
              <w:rPr>
                <w:rFonts w:eastAsia="Calibri"/>
                <w:sz w:val="20"/>
                <w:szCs w:val="20"/>
              </w:rPr>
              <w:t>Consolidated number of studies excluding duplicates</w:t>
            </w:r>
          </w:p>
        </w:tc>
        <w:tc>
          <w:tcPr>
            <w:tcW w:w="2359" w:type="pct"/>
            <w:gridSpan w:val="3"/>
            <w:tcBorders>
              <w:left w:val="single" w:sz="4" w:space="0" w:color="auto"/>
              <w:bottom w:val="single" w:sz="4" w:space="0" w:color="auto"/>
            </w:tcBorders>
            <w:shd w:val="clear" w:color="auto" w:fill="auto"/>
            <w:vAlign w:val="center"/>
          </w:tcPr>
          <w:p w:rsidR="00C27ECE" w:rsidRPr="00E3331A" w:rsidRDefault="00C27ECE" w:rsidP="0007007F">
            <w:pPr>
              <w:pStyle w:val="TableText"/>
              <w:jc w:val="center"/>
              <w:rPr>
                <w:rFonts w:eastAsia="Calibri"/>
                <w:sz w:val="20"/>
                <w:szCs w:val="20"/>
              </w:rPr>
            </w:pPr>
            <w:r w:rsidRPr="00E3331A">
              <w:rPr>
                <w:rFonts w:eastAsia="Calibri"/>
                <w:sz w:val="20"/>
                <w:szCs w:val="20"/>
              </w:rPr>
              <w:t>12</w:t>
            </w:r>
          </w:p>
        </w:tc>
      </w:tr>
    </w:tbl>
    <w:p w:rsidR="00B9475E" w:rsidRPr="00E3331A" w:rsidRDefault="001F5B33" w:rsidP="0037150F">
      <w:pPr>
        <w:pStyle w:val="Tablenotes1"/>
      </w:pPr>
      <w:r w:rsidRPr="00E3331A">
        <w:rPr>
          <w:vertAlign w:val="superscript"/>
        </w:rPr>
        <w:t>a</w:t>
      </w:r>
      <w:r w:rsidRPr="00E3331A">
        <w:t xml:space="preserve"> HTA agencies included: NICE, CADTH</w:t>
      </w:r>
      <w:r w:rsidR="00B9475E" w:rsidRPr="00E3331A">
        <w:t>. 20 April 2019</w:t>
      </w:r>
    </w:p>
    <w:p w:rsidR="001F5B33" w:rsidRPr="00E3331A" w:rsidRDefault="001F5B33" w:rsidP="0037150F">
      <w:pPr>
        <w:pStyle w:val="Tablenotes1"/>
      </w:pPr>
    </w:p>
    <w:p w:rsidR="001F5B33" w:rsidRPr="00E3331A" w:rsidRDefault="001F5B33" w:rsidP="00BB6E4C">
      <w:pPr>
        <w:pStyle w:val="BodyTextSTD"/>
        <w:rPr>
          <w:lang w:val="en-US"/>
        </w:rPr>
      </w:pPr>
      <w:r w:rsidRPr="00E3331A">
        <w:t>Of 359 studies screened, only 12 published economic studies focusing on CIDP treatment interventions were identified</w:t>
      </w:r>
      <w:r w:rsidR="00B50244" w:rsidRPr="00E3331A">
        <w:t xml:space="preserve"> (listed in </w:t>
      </w:r>
      <w:r w:rsidR="006F35B9" w:rsidRPr="00E3331A">
        <w:t xml:space="preserve">Table </w:t>
      </w:r>
      <w:r w:rsidR="006F35B9">
        <w:rPr>
          <w:noProof/>
        </w:rPr>
        <w:t>58</w:t>
      </w:r>
      <w:r w:rsidR="00B50244" w:rsidRPr="00E3331A">
        <w:rPr>
          <w:lang w:val="en-US"/>
        </w:rPr>
        <w:t>)</w:t>
      </w:r>
      <w:r w:rsidRPr="00E3331A">
        <w:rPr>
          <w:lang w:val="en-US"/>
        </w:rPr>
        <w:t xml:space="preserve">. </w:t>
      </w:r>
      <w:r w:rsidR="00B50244" w:rsidRPr="00E3331A">
        <w:rPr>
          <w:lang w:val="en-US"/>
        </w:rPr>
        <w:t>S</w:t>
      </w:r>
      <w:r w:rsidRPr="00E3331A">
        <w:rPr>
          <w:lang w:val="en-US"/>
        </w:rPr>
        <w:t xml:space="preserve">ix </w:t>
      </w:r>
      <w:r w:rsidR="00B50244" w:rsidRPr="00E3331A">
        <w:rPr>
          <w:lang w:val="en-US"/>
        </w:rPr>
        <w:t xml:space="preserve">additional </w:t>
      </w:r>
      <w:r w:rsidRPr="00E3331A">
        <w:rPr>
          <w:lang w:val="en-US"/>
        </w:rPr>
        <w:t>studies were identified that covered CIDP management costs and utility</w:t>
      </w:r>
      <w:r w:rsidR="00B50244" w:rsidRPr="00E3331A">
        <w:rPr>
          <w:lang w:val="en-US"/>
        </w:rPr>
        <w:t>, and these</w:t>
      </w:r>
      <w:r w:rsidRPr="00E3331A">
        <w:rPr>
          <w:lang w:val="en-US"/>
        </w:rPr>
        <w:t xml:space="preserve"> were also included as ‘other economic</w:t>
      </w:r>
      <w:r w:rsidR="00DB6399" w:rsidRPr="00E3331A">
        <w:rPr>
          <w:lang w:val="en-US"/>
        </w:rPr>
        <w:t xml:space="preserve">’ </w:t>
      </w:r>
      <w:r w:rsidRPr="00E3331A">
        <w:rPr>
          <w:lang w:val="en-US"/>
        </w:rPr>
        <w:t>publications</w:t>
      </w:r>
      <w:r w:rsidR="00B50244" w:rsidRPr="00E3331A">
        <w:rPr>
          <w:lang w:val="en-US"/>
        </w:rPr>
        <w:t>.</w:t>
      </w:r>
    </w:p>
    <w:p w:rsidR="001F5B33" w:rsidRPr="00E3331A" w:rsidRDefault="001F5B33" w:rsidP="001F5B33">
      <w:pPr>
        <w:pStyle w:val="Caption"/>
      </w:pPr>
      <w:bookmarkStart w:id="393" w:name="_Ref462993886"/>
      <w:bookmarkStart w:id="394" w:name="_Toc474318251"/>
      <w:bookmarkStart w:id="395" w:name="_Toc493000470"/>
      <w:bookmarkStart w:id="396" w:name="_Toc24103364"/>
      <w:r w:rsidRPr="00E3331A">
        <w:lastRenderedPageBreak/>
        <w:t xml:space="preserve">Table </w:t>
      </w:r>
      <w:r w:rsidR="006F35B9">
        <w:rPr>
          <w:noProof/>
        </w:rPr>
        <w:t>58</w:t>
      </w:r>
      <w:bookmarkEnd w:id="393"/>
      <w:r w:rsidR="00B50244" w:rsidRPr="00E3331A">
        <w:tab/>
      </w:r>
      <w:bookmarkEnd w:id="394"/>
      <w:bookmarkEnd w:id="395"/>
      <w:r w:rsidRPr="00E3331A">
        <w:t>Economic models assessing CIDP treatment</w:t>
      </w:r>
      <w:bookmarkEnd w:id="3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514"/>
      </w:tblGrid>
      <w:tr w:rsidR="001F5B33" w:rsidRPr="00E3331A" w:rsidTr="0007007F">
        <w:trPr>
          <w:cantSplit/>
          <w:trHeight w:val="350"/>
          <w:tblHeader/>
        </w:trPr>
        <w:tc>
          <w:tcPr>
            <w:tcW w:w="833" w:type="pct"/>
            <w:shd w:val="clear" w:color="auto" w:fill="D9D9D9"/>
          </w:tcPr>
          <w:p w:rsidR="001F5B33" w:rsidRPr="00E3331A" w:rsidRDefault="001F5B33" w:rsidP="0007007F">
            <w:pPr>
              <w:pStyle w:val="Tabletext1"/>
              <w:keepNext/>
              <w:jc w:val="both"/>
              <w:rPr>
                <w:b/>
              </w:rPr>
            </w:pPr>
            <w:r w:rsidRPr="00E3331A">
              <w:rPr>
                <w:b/>
              </w:rPr>
              <w:t>Study</w:t>
            </w:r>
          </w:p>
        </w:tc>
        <w:tc>
          <w:tcPr>
            <w:tcW w:w="4167" w:type="pct"/>
            <w:shd w:val="clear" w:color="auto" w:fill="D9D9D9"/>
          </w:tcPr>
          <w:p w:rsidR="001F5B33" w:rsidRPr="00E3331A" w:rsidRDefault="001F5B33" w:rsidP="0007007F">
            <w:pPr>
              <w:pStyle w:val="Tabletext1"/>
              <w:keepNext/>
              <w:jc w:val="both"/>
              <w:rPr>
                <w:b/>
              </w:rPr>
            </w:pPr>
            <w:r w:rsidRPr="00E3331A">
              <w:rPr>
                <w:b/>
              </w:rPr>
              <w:t>Reference</w:t>
            </w:r>
          </w:p>
        </w:tc>
      </w:tr>
      <w:tr w:rsidR="001F5B33" w:rsidRPr="00E3331A" w:rsidTr="0007007F">
        <w:trPr>
          <w:cantSplit/>
          <w:trHeight w:val="566"/>
        </w:trPr>
        <w:tc>
          <w:tcPr>
            <w:tcW w:w="5000" w:type="pct"/>
            <w:gridSpan w:val="2"/>
            <w:shd w:val="clear" w:color="auto" w:fill="D9D9D9"/>
            <w:vAlign w:val="center"/>
          </w:tcPr>
          <w:p w:rsidR="001F5B33" w:rsidRPr="00E3331A" w:rsidRDefault="001F5B33" w:rsidP="0007007F">
            <w:pPr>
              <w:pStyle w:val="TableText"/>
              <w:jc w:val="both"/>
              <w:rPr>
                <w:b/>
                <w:sz w:val="20"/>
              </w:rPr>
            </w:pPr>
            <w:r w:rsidRPr="00E3331A">
              <w:rPr>
                <w:b/>
                <w:sz w:val="20"/>
              </w:rPr>
              <w:t>Published economic models assessing CIDP treatment</w:t>
            </w:r>
          </w:p>
        </w:tc>
      </w:tr>
      <w:tr w:rsidR="001F5B33" w:rsidRPr="00E3331A" w:rsidTr="0007007F">
        <w:trPr>
          <w:cantSplit/>
          <w:trHeight w:val="566"/>
        </w:trPr>
        <w:tc>
          <w:tcPr>
            <w:tcW w:w="833" w:type="pct"/>
            <w:shd w:val="clear" w:color="auto" w:fill="auto"/>
            <w:vAlign w:val="center"/>
          </w:tcPr>
          <w:p w:rsidR="001F5B33" w:rsidRPr="00E3331A" w:rsidRDefault="001F5B33" w:rsidP="00493DDF">
            <w:pPr>
              <w:pStyle w:val="TableText"/>
              <w:rPr>
                <w:sz w:val="20"/>
              </w:rPr>
            </w:pPr>
            <w:r w:rsidRPr="00E3331A">
              <w:rPr>
                <w:sz w:val="20"/>
              </w:rPr>
              <w:t xml:space="preserve">Blackhouse </w:t>
            </w:r>
            <w:r w:rsidR="00983BA7">
              <w:rPr>
                <w:sz w:val="20"/>
              </w:rPr>
              <w:t xml:space="preserve">et al. </w:t>
            </w:r>
            <w:r w:rsidRPr="00E3331A">
              <w:rPr>
                <w:sz w:val="20"/>
              </w:rPr>
              <w:t>(2010)</w:t>
            </w:r>
          </w:p>
        </w:tc>
        <w:tc>
          <w:tcPr>
            <w:tcW w:w="4167" w:type="pct"/>
            <w:shd w:val="clear" w:color="auto" w:fill="auto"/>
            <w:vAlign w:val="center"/>
          </w:tcPr>
          <w:p w:rsidR="001F5B33" w:rsidRPr="00E3331A" w:rsidRDefault="001F5B33" w:rsidP="00493DDF">
            <w:pPr>
              <w:pStyle w:val="TableText"/>
              <w:rPr>
                <w:sz w:val="20"/>
              </w:rPr>
            </w:pPr>
            <w:r w:rsidRPr="00E3331A">
              <w:rPr>
                <w:sz w:val="20"/>
              </w:rPr>
              <w:t>Cost-utility of Intravenous Immunoglobulin (IVIG) compared with corticosteroids for the treatment of Chronic Inflammatory Demyelinating Polyneuropathy (CIDP) in Canada. Cost</w:t>
            </w:r>
            <w:r w:rsidR="00D45BCF" w:rsidRPr="00E3331A">
              <w:rPr>
                <w:sz w:val="20"/>
              </w:rPr>
              <w:t>-</w:t>
            </w:r>
            <w:r w:rsidRPr="00E3331A">
              <w:rPr>
                <w:sz w:val="20"/>
              </w:rPr>
              <w:t>Effectiveness and Resource Allocation 2010, 8:14</w:t>
            </w:r>
          </w:p>
        </w:tc>
      </w:tr>
      <w:tr w:rsidR="001F5B33" w:rsidRPr="00E3331A" w:rsidTr="0007007F">
        <w:trPr>
          <w:cantSplit/>
          <w:trHeight w:val="566"/>
        </w:trPr>
        <w:tc>
          <w:tcPr>
            <w:tcW w:w="833" w:type="pct"/>
            <w:shd w:val="clear" w:color="auto" w:fill="auto"/>
            <w:vAlign w:val="center"/>
          </w:tcPr>
          <w:p w:rsidR="001F5B33" w:rsidRPr="00E3331A" w:rsidRDefault="001F5B33" w:rsidP="00493DDF">
            <w:pPr>
              <w:pStyle w:val="TableText"/>
              <w:rPr>
                <w:sz w:val="20"/>
              </w:rPr>
            </w:pPr>
            <w:r w:rsidRPr="00E3331A">
              <w:rPr>
                <w:sz w:val="20"/>
              </w:rPr>
              <w:t xml:space="preserve">McCrone </w:t>
            </w:r>
            <w:r w:rsidR="00983BA7">
              <w:rPr>
                <w:sz w:val="20"/>
              </w:rPr>
              <w:t xml:space="preserve">et al. </w:t>
            </w:r>
            <w:r w:rsidRPr="00E3331A">
              <w:rPr>
                <w:sz w:val="20"/>
              </w:rPr>
              <w:t>(2003)</w:t>
            </w:r>
          </w:p>
        </w:tc>
        <w:tc>
          <w:tcPr>
            <w:tcW w:w="4167" w:type="pct"/>
            <w:shd w:val="clear" w:color="auto" w:fill="auto"/>
            <w:vAlign w:val="center"/>
          </w:tcPr>
          <w:p w:rsidR="001F5B33" w:rsidRPr="00E3331A" w:rsidRDefault="001F5B33" w:rsidP="00493DDF">
            <w:pPr>
              <w:pStyle w:val="TableText"/>
              <w:rPr>
                <w:sz w:val="20"/>
              </w:rPr>
            </w:pPr>
            <w:r w:rsidRPr="00E3331A">
              <w:rPr>
                <w:sz w:val="20"/>
              </w:rPr>
              <w:t>Cost-utility analysis of intravenous immunoglobulin and prednisolone for chronic inflammatory demyelinating polyradiculoneuropathy. Eur J Neurol, 10:687-694</w:t>
            </w:r>
          </w:p>
        </w:tc>
      </w:tr>
      <w:tr w:rsidR="001F5B33" w:rsidRPr="00E3331A" w:rsidTr="0007007F">
        <w:trPr>
          <w:cantSplit/>
          <w:trHeight w:val="566"/>
        </w:trPr>
        <w:tc>
          <w:tcPr>
            <w:tcW w:w="833" w:type="pct"/>
            <w:shd w:val="clear" w:color="auto" w:fill="auto"/>
            <w:vAlign w:val="center"/>
          </w:tcPr>
          <w:p w:rsidR="001F5B33" w:rsidRPr="00E3331A" w:rsidRDefault="001F5B33" w:rsidP="00493DDF">
            <w:pPr>
              <w:pStyle w:val="TableText"/>
              <w:rPr>
                <w:sz w:val="20"/>
              </w:rPr>
            </w:pPr>
            <w:r w:rsidRPr="00E3331A">
              <w:rPr>
                <w:sz w:val="20"/>
              </w:rPr>
              <w:t xml:space="preserve">Bamrungsawad </w:t>
            </w:r>
            <w:r w:rsidR="00983BA7">
              <w:rPr>
                <w:sz w:val="20"/>
              </w:rPr>
              <w:t xml:space="preserve">et al. </w:t>
            </w:r>
            <w:r w:rsidRPr="00E3331A">
              <w:rPr>
                <w:sz w:val="20"/>
              </w:rPr>
              <w:t>(2016)</w:t>
            </w:r>
          </w:p>
        </w:tc>
        <w:tc>
          <w:tcPr>
            <w:tcW w:w="4167" w:type="pct"/>
            <w:shd w:val="clear" w:color="auto" w:fill="auto"/>
            <w:vAlign w:val="center"/>
          </w:tcPr>
          <w:p w:rsidR="001F5B33" w:rsidRPr="00E3331A" w:rsidRDefault="001F5B33" w:rsidP="00493DDF">
            <w:pPr>
              <w:pStyle w:val="TableText"/>
              <w:rPr>
                <w:sz w:val="20"/>
              </w:rPr>
            </w:pPr>
            <w:r w:rsidRPr="00E3331A">
              <w:rPr>
                <w:sz w:val="20"/>
              </w:rPr>
              <w:t>Economic Evaluation of Intravenous Immunoglobulin plus Corticosteroids for the Treatment of Steroid-Resistant Chronic Inflammatory Demyelinating Polyradiculoneuropathy in Thailand. Clin Drug Investig</w:t>
            </w:r>
            <w:r w:rsidR="001A1153" w:rsidRPr="00E3331A">
              <w:rPr>
                <w:sz w:val="20"/>
              </w:rPr>
              <w:t xml:space="preserve">, </w:t>
            </w:r>
            <w:r w:rsidRPr="00E3331A">
              <w:rPr>
                <w:sz w:val="20"/>
              </w:rPr>
              <w:t>36:557–566</w:t>
            </w:r>
          </w:p>
        </w:tc>
      </w:tr>
      <w:tr w:rsidR="001F5B33" w:rsidRPr="00E3331A" w:rsidTr="0007007F">
        <w:trPr>
          <w:cantSplit/>
          <w:trHeight w:val="566"/>
        </w:trPr>
        <w:tc>
          <w:tcPr>
            <w:tcW w:w="833" w:type="pct"/>
            <w:shd w:val="clear" w:color="auto" w:fill="auto"/>
            <w:vAlign w:val="center"/>
          </w:tcPr>
          <w:p w:rsidR="001F5B33" w:rsidRPr="00E3331A" w:rsidRDefault="001F5B33" w:rsidP="00493DDF">
            <w:pPr>
              <w:pStyle w:val="TableText"/>
              <w:rPr>
                <w:sz w:val="20"/>
              </w:rPr>
            </w:pPr>
            <w:r w:rsidRPr="00E3331A">
              <w:rPr>
                <w:sz w:val="20"/>
              </w:rPr>
              <w:t>Cocito (2012)</w:t>
            </w:r>
          </w:p>
        </w:tc>
        <w:tc>
          <w:tcPr>
            <w:tcW w:w="4167" w:type="pct"/>
            <w:shd w:val="clear" w:color="auto" w:fill="auto"/>
            <w:vAlign w:val="center"/>
          </w:tcPr>
          <w:p w:rsidR="001F5B33" w:rsidRPr="00E3331A" w:rsidRDefault="001F5B33" w:rsidP="00493DDF">
            <w:pPr>
              <w:pStyle w:val="TableText"/>
              <w:rPr>
                <w:sz w:val="20"/>
              </w:rPr>
            </w:pPr>
            <w:r w:rsidRPr="00E3331A">
              <w:rPr>
                <w:sz w:val="20"/>
              </w:rPr>
              <w:t xml:space="preserve">Economic and quality of life evaluation of different modalities of immunoglobulin therapy in chronic dysimmune neuropathies. Journal of the Peripheral Nervous System 17:426–428 </w:t>
            </w:r>
          </w:p>
        </w:tc>
      </w:tr>
      <w:tr w:rsidR="001F5B33" w:rsidRPr="00E3331A" w:rsidTr="0007007F">
        <w:trPr>
          <w:cantSplit/>
          <w:trHeight w:val="566"/>
        </w:trPr>
        <w:tc>
          <w:tcPr>
            <w:tcW w:w="833" w:type="pct"/>
            <w:shd w:val="clear" w:color="auto" w:fill="auto"/>
            <w:vAlign w:val="center"/>
          </w:tcPr>
          <w:p w:rsidR="001F5B33" w:rsidRPr="00E3331A" w:rsidRDefault="001F5B33" w:rsidP="00493DDF">
            <w:pPr>
              <w:pStyle w:val="TableText"/>
              <w:rPr>
                <w:sz w:val="20"/>
              </w:rPr>
            </w:pPr>
            <w:r w:rsidRPr="00E3331A">
              <w:rPr>
                <w:sz w:val="20"/>
              </w:rPr>
              <w:t xml:space="preserve">Cats </w:t>
            </w:r>
            <w:r w:rsidR="00983BA7">
              <w:rPr>
                <w:sz w:val="20"/>
              </w:rPr>
              <w:t xml:space="preserve">et al. </w:t>
            </w:r>
            <w:r w:rsidRPr="00E3331A">
              <w:rPr>
                <w:sz w:val="20"/>
              </w:rPr>
              <w:t>(2011)</w:t>
            </w:r>
          </w:p>
        </w:tc>
        <w:tc>
          <w:tcPr>
            <w:tcW w:w="4167" w:type="pct"/>
            <w:shd w:val="clear" w:color="auto" w:fill="auto"/>
            <w:vAlign w:val="center"/>
          </w:tcPr>
          <w:p w:rsidR="001F5B33" w:rsidRPr="00E3331A" w:rsidRDefault="001F5B33" w:rsidP="00493DDF">
            <w:pPr>
              <w:pStyle w:val="TableText"/>
              <w:rPr>
                <w:sz w:val="20"/>
              </w:rPr>
            </w:pPr>
            <w:r w:rsidRPr="00E3331A">
              <w:rPr>
                <w:sz w:val="20"/>
              </w:rPr>
              <w:t>Home-based IVIg treatment is convenient and time-saving in patients with multifocal motor neuropathy. J Peripher Nerv Syst 16:147–149</w:t>
            </w:r>
          </w:p>
        </w:tc>
      </w:tr>
      <w:tr w:rsidR="001F5B33" w:rsidRPr="00E3331A" w:rsidTr="0007007F">
        <w:trPr>
          <w:cantSplit/>
          <w:trHeight w:val="566"/>
        </w:trPr>
        <w:tc>
          <w:tcPr>
            <w:tcW w:w="833" w:type="pct"/>
            <w:shd w:val="clear" w:color="auto" w:fill="auto"/>
            <w:vAlign w:val="center"/>
          </w:tcPr>
          <w:p w:rsidR="001F5B33" w:rsidRPr="00E3331A" w:rsidRDefault="001F5B33" w:rsidP="00493DDF">
            <w:pPr>
              <w:pStyle w:val="TableText"/>
              <w:rPr>
                <w:sz w:val="20"/>
              </w:rPr>
            </w:pPr>
            <w:r w:rsidRPr="00E3331A">
              <w:rPr>
                <w:sz w:val="20"/>
              </w:rPr>
              <w:t xml:space="preserve">Membe </w:t>
            </w:r>
            <w:r w:rsidR="00983BA7">
              <w:rPr>
                <w:sz w:val="20"/>
              </w:rPr>
              <w:t xml:space="preserve">et al. </w:t>
            </w:r>
            <w:r w:rsidRPr="00E3331A">
              <w:rPr>
                <w:sz w:val="20"/>
              </w:rPr>
              <w:t>(2008)</w:t>
            </w:r>
          </w:p>
        </w:tc>
        <w:tc>
          <w:tcPr>
            <w:tcW w:w="4167" w:type="pct"/>
            <w:shd w:val="clear" w:color="auto" w:fill="auto"/>
            <w:vAlign w:val="center"/>
          </w:tcPr>
          <w:p w:rsidR="001F5B33" w:rsidRPr="00E3331A" w:rsidRDefault="001F5B33" w:rsidP="00493DDF">
            <w:pPr>
              <w:pStyle w:val="TableText"/>
              <w:rPr>
                <w:sz w:val="20"/>
              </w:rPr>
            </w:pPr>
            <w:r w:rsidRPr="00E3331A">
              <w:rPr>
                <w:sz w:val="20"/>
              </w:rPr>
              <w:t>Economic assessment of different modalities of immunoglobulin replacement therapy. Immunol Allergy Clin North Am 28:861–874</w:t>
            </w:r>
          </w:p>
        </w:tc>
      </w:tr>
      <w:tr w:rsidR="001F5B33" w:rsidRPr="00E3331A" w:rsidTr="0007007F">
        <w:trPr>
          <w:cantSplit/>
          <w:trHeight w:val="566"/>
        </w:trPr>
        <w:tc>
          <w:tcPr>
            <w:tcW w:w="833" w:type="pct"/>
            <w:shd w:val="clear" w:color="auto" w:fill="auto"/>
            <w:vAlign w:val="center"/>
          </w:tcPr>
          <w:p w:rsidR="001F5B33" w:rsidRPr="00E3331A" w:rsidRDefault="001F5B33" w:rsidP="00493DDF">
            <w:pPr>
              <w:pStyle w:val="TableText"/>
              <w:rPr>
                <w:sz w:val="20"/>
              </w:rPr>
            </w:pPr>
            <w:r w:rsidRPr="00E3331A">
              <w:rPr>
                <w:sz w:val="20"/>
              </w:rPr>
              <w:t xml:space="preserve">Lazzaro </w:t>
            </w:r>
            <w:r w:rsidR="00983BA7">
              <w:rPr>
                <w:sz w:val="20"/>
              </w:rPr>
              <w:t xml:space="preserve">et al. </w:t>
            </w:r>
            <w:r w:rsidRPr="00E3331A">
              <w:rPr>
                <w:sz w:val="20"/>
              </w:rPr>
              <w:t>(2014)</w:t>
            </w:r>
          </w:p>
        </w:tc>
        <w:tc>
          <w:tcPr>
            <w:tcW w:w="4167" w:type="pct"/>
            <w:shd w:val="clear" w:color="auto" w:fill="auto"/>
            <w:vAlign w:val="center"/>
          </w:tcPr>
          <w:p w:rsidR="001F5B33" w:rsidRPr="00E3331A" w:rsidRDefault="001F5B33" w:rsidP="00493DDF">
            <w:pPr>
              <w:pStyle w:val="TableText"/>
              <w:rPr>
                <w:sz w:val="20"/>
              </w:rPr>
            </w:pPr>
            <w:r w:rsidRPr="00E3331A">
              <w:rPr>
                <w:sz w:val="20"/>
              </w:rPr>
              <w:t xml:space="preserve">Subcutaneous vs intravenous administration of immunoglobulin in chronic inflammatory demyelinating polyneuropathy: </w:t>
            </w:r>
            <w:r w:rsidR="000B6871" w:rsidRPr="00E3331A">
              <w:rPr>
                <w:sz w:val="20"/>
              </w:rPr>
              <w:t>An</w:t>
            </w:r>
            <w:r w:rsidRPr="00E3331A">
              <w:rPr>
                <w:sz w:val="20"/>
              </w:rPr>
              <w:t xml:space="preserve"> Italian cost-minimi</w:t>
            </w:r>
            <w:r w:rsidR="00591599" w:rsidRPr="00E3331A">
              <w:rPr>
                <w:sz w:val="20"/>
              </w:rPr>
              <w:t>s</w:t>
            </w:r>
            <w:r w:rsidRPr="00E3331A">
              <w:rPr>
                <w:sz w:val="20"/>
              </w:rPr>
              <w:t>ation analysis. Neurol Sci 35:1023–1034</w:t>
            </w:r>
          </w:p>
        </w:tc>
      </w:tr>
      <w:tr w:rsidR="001F5B33" w:rsidRPr="00E3331A" w:rsidTr="0007007F">
        <w:trPr>
          <w:cantSplit/>
          <w:trHeight w:val="566"/>
        </w:trPr>
        <w:tc>
          <w:tcPr>
            <w:tcW w:w="833" w:type="pct"/>
            <w:shd w:val="clear" w:color="auto" w:fill="auto"/>
            <w:vAlign w:val="center"/>
          </w:tcPr>
          <w:p w:rsidR="001F5B33" w:rsidRPr="00E3331A" w:rsidRDefault="001F5B33" w:rsidP="00493DDF">
            <w:pPr>
              <w:pStyle w:val="TableText"/>
              <w:rPr>
                <w:sz w:val="20"/>
              </w:rPr>
            </w:pPr>
            <w:r w:rsidRPr="00E3331A">
              <w:rPr>
                <w:sz w:val="20"/>
              </w:rPr>
              <w:t>Markvardsen and</w:t>
            </w:r>
            <w:r w:rsidRPr="00E3331A">
              <w:rPr>
                <w:rFonts w:ascii="Tahoma" w:hAnsi="Tahoma"/>
                <w:sz w:val="20"/>
              </w:rPr>
              <w:t xml:space="preserve"> </w:t>
            </w:r>
            <w:r w:rsidRPr="00E3331A">
              <w:rPr>
                <w:sz w:val="20"/>
              </w:rPr>
              <w:t>Harbo (2017)</w:t>
            </w:r>
          </w:p>
        </w:tc>
        <w:tc>
          <w:tcPr>
            <w:tcW w:w="4167" w:type="pct"/>
            <w:shd w:val="clear" w:color="auto" w:fill="auto"/>
            <w:vAlign w:val="center"/>
          </w:tcPr>
          <w:p w:rsidR="001F5B33" w:rsidRPr="00E3331A" w:rsidRDefault="001F5B33" w:rsidP="00493DDF">
            <w:pPr>
              <w:pStyle w:val="TableText"/>
              <w:rPr>
                <w:sz w:val="20"/>
              </w:rPr>
            </w:pPr>
            <w:r w:rsidRPr="00E3331A">
              <w:rPr>
                <w:sz w:val="20"/>
              </w:rPr>
              <w:t>Subcutaneous immunoglobulin treatment in CIDP and MMN. Efficacy, treatment satisfaction and costs</w:t>
            </w:r>
            <w:r w:rsidRPr="00E3331A">
              <w:t xml:space="preserve"> </w:t>
            </w:r>
            <w:r w:rsidRPr="00E3331A">
              <w:rPr>
                <w:sz w:val="20"/>
              </w:rPr>
              <w:t>Journal of the Neurological Sciences 378</w:t>
            </w:r>
            <w:r w:rsidR="001A1153" w:rsidRPr="00E3331A">
              <w:rPr>
                <w:sz w:val="20"/>
              </w:rPr>
              <w:t>,</w:t>
            </w:r>
            <w:r w:rsidRPr="00E3331A">
              <w:rPr>
                <w:sz w:val="20"/>
              </w:rPr>
              <w:t xml:space="preserve"> 19–25</w:t>
            </w:r>
          </w:p>
        </w:tc>
      </w:tr>
      <w:tr w:rsidR="001F5B33" w:rsidRPr="00E3331A" w:rsidTr="0007007F">
        <w:trPr>
          <w:cantSplit/>
          <w:trHeight w:val="566"/>
        </w:trPr>
        <w:tc>
          <w:tcPr>
            <w:tcW w:w="833" w:type="pct"/>
            <w:shd w:val="clear" w:color="auto" w:fill="auto"/>
            <w:vAlign w:val="center"/>
          </w:tcPr>
          <w:p w:rsidR="001F5B33" w:rsidRPr="00E3331A" w:rsidRDefault="001F5B33" w:rsidP="00493DDF">
            <w:pPr>
              <w:pStyle w:val="TableText"/>
              <w:rPr>
                <w:sz w:val="20"/>
              </w:rPr>
            </w:pPr>
            <w:r w:rsidRPr="00E3331A">
              <w:rPr>
                <w:sz w:val="20"/>
              </w:rPr>
              <w:t>Hadden and Marreno (2015)</w:t>
            </w:r>
          </w:p>
        </w:tc>
        <w:tc>
          <w:tcPr>
            <w:tcW w:w="4167" w:type="pct"/>
            <w:shd w:val="clear" w:color="auto" w:fill="auto"/>
            <w:vAlign w:val="center"/>
          </w:tcPr>
          <w:p w:rsidR="001F5B33" w:rsidRPr="00E3331A" w:rsidRDefault="001F5B33">
            <w:pPr>
              <w:pStyle w:val="TableText"/>
              <w:rPr>
                <w:sz w:val="20"/>
              </w:rPr>
            </w:pPr>
            <w:r w:rsidRPr="00E3331A">
              <w:rPr>
                <w:sz w:val="20"/>
              </w:rPr>
              <w:t>Switch from intravenous to subcutaneous immunoglobulin in CIDP</w:t>
            </w:r>
            <w:r w:rsidR="001A1153" w:rsidRPr="00E3331A">
              <w:rPr>
                <w:sz w:val="20"/>
              </w:rPr>
              <w:t xml:space="preserve"> </w:t>
            </w:r>
            <w:r w:rsidRPr="00E3331A">
              <w:rPr>
                <w:sz w:val="20"/>
              </w:rPr>
              <w:t>and MNN: improved tolerability and patient satisfaction. Ther Adv Neurol Disord. 8(1):14-19</w:t>
            </w:r>
          </w:p>
        </w:tc>
      </w:tr>
      <w:tr w:rsidR="001F5B33" w:rsidRPr="00E3331A" w:rsidTr="0007007F">
        <w:trPr>
          <w:cantSplit/>
          <w:trHeight w:val="566"/>
        </w:trPr>
        <w:tc>
          <w:tcPr>
            <w:tcW w:w="833" w:type="pct"/>
            <w:shd w:val="clear" w:color="auto" w:fill="auto"/>
            <w:vAlign w:val="center"/>
          </w:tcPr>
          <w:p w:rsidR="001F5B33" w:rsidRPr="00E3331A" w:rsidRDefault="001F5B33" w:rsidP="00493DDF">
            <w:pPr>
              <w:pStyle w:val="TableText"/>
              <w:rPr>
                <w:sz w:val="20"/>
              </w:rPr>
            </w:pPr>
            <w:r w:rsidRPr="00E3331A">
              <w:rPr>
                <w:sz w:val="20"/>
              </w:rPr>
              <w:t xml:space="preserve">Le Masson </w:t>
            </w:r>
            <w:r w:rsidR="00983BA7">
              <w:rPr>
                <w:sz w:val="20"/>
              </w:rPr>
              <w:t xml:space="preserve">et al. </w:t>
            </w:r>
            <w:r w:rsidRPr="00E3331A">
              <w:rPr>
                <w:sz w:val="20"/>
              </w:rPr>
              <w:t>(2018)</w:t>
            </w:r>
          </w:p>
        </w:tc>
        <w:tc>
          <w:tcPr>
            <w:tcW w:w="4167" w:type="pct"/>
            <w:shd w:val="clear" w:color="auto" w:fill="auto"/>
            <w:vAlign w:val="center"/>
          </w:tcPr>
          <w:p w:rsidR="001F5B33" w:rsidRPr="00E3331A" w:rsidRDefault="001F5B33" w:rsidP="00493DDF">
            <w:pPr>
              <w:pStyle w:val="TableText"/>
              <w:rPr>
                <w:sz w:val="20"/>
              </w:rPr>
            </w:pPr>
            <w:r w:rsidRPr="00E3331A">
              <w:rPr>
                <w:sz w:val="20"/>
              </w:rPr>
              <w:t>Home versus hospital immunoglobulin treatment for autoimmune neuropathies: a cost</w:t>
            </w:r>
            <w:r w:rsidR="00D45BCF" w:rsidRPr="00E3331A">
              <w:rPr>
                <w:sz w:val="20"/>
              </w:rPr>
              <w:t>-</w:t>
            </w:r>
            <w:r w:rsidRPr="00E3331A">
              <w:rPr>
                <w:sz w:val="20"/>
              </w:rPr>
              <w:t>minimi</w:t>
            </w:r>
            <w:r w:rsidR="00591599" w:rsidRPr="00E3331A">
              <w:rPr>
                <w:sz w:val="20"/>
              </w:rPr>
              <w:t>s</w:t>
            </w:r>
            <w:r w:rsidRPr="00E3331A">
              <w:rPr>
                <w:sz w:val="20"/>
              </w:rPr>
              <w:t>ation analysis. Brain Behav. 8(2):</w:t>
            </w:r>
            <w:r w:rsidR="00FF1422" w:rsidRPr="00E3331A">
              <w:rPr>
                <w:sz w:val="20"/>
              </w:rPr>
              <w:t xml:space="preserve"> </w:t>
            </w:r>
            <w:r w:rsidRPr="00E3331A">
              <w:rPr>
                <w:sz w:val="20"/>
              </w:rPr>
              <w:t>e00923</w:t>
            </w:r>
          </w:p>
        </w:tc>
      </w:tr>
      <w:tr w:rsidR="001F5B33" w:rsidRPr="00E3331A" w:rsidTr="0007007F">
        <w:trPr>
          <w:cantSplit/>
          <w:trHeight w:val="566"/>
        </w:trPr>
        <w:tc>
          <w:tcPr>
            <w:tcW w:w="833" w:type="pct"/>
            <w:shd w:val="clear" w:color="auto" w:fill="auto"/>
            <w:vAlign w:val="center"/>
          </w:tcPr>
          <w:p w:rsidR="001F5B33" w:rsidRPr="00E3331A" w:rsidRDefault="001F5B33" w:rsidP="00493DDF">
            <w:pPr>
              <w:pStyle w:val="TableText"/>
              <w:rPr>
                <w:sz w:val="20"/>
              </w:rPr>
            </w:pPr>
            <w:r w:rsidRPr="00E3331A">
              <w:rPr>
                <w:sz w:val="20"/>
              </w:rPr>
              <w:t>Rajabally and Afzal (2019)</w:t>
            </w:r>
          </w:p>
        </w:tc>
        <w:tc>
          <w:tcPr>
            <w:tcW w:w="4167" w:type="pct"/>
            <w:shd w:val="clear" w:color="auto" w:fill="auto"/>
            <w:vAlign w:val="center"/>
          </w:tcPr>
          <w:p w:rsidR="001F5B33" w:rsidRPr="00E3331A" w:rsidRDefault="001F5B33" w:rsidP="00493DDF">
            <w:pPr>
              <w:pStyle w:val="TableText"/>
              <w:rPr>
                <w:sz w:val="20"/>
              </w:rPr>
            </w:pPr>
            <w:r w:rsidRPr="00E3331A">
              <w:rPr>
                <w:sz w:val="20"/>
              </w:rPr>
              <w:t>Clinical and economic comparison of an individualised immunoglobulin protocol vs. standard dosing for chronic inflammatory demyelinating polyneuropathy. Journal of Neurology</w:t>
            </w:r>
            <w:r w:rsidR="000B6871" w:rsidRPr="00E3331A">
              <w:rPr>
                <w:sz w:val="20"/>
              </w:rPr>
              <w:t>,</w:t>
            </w:r>
            <w:r w:rsidRPr="00E3331A">
              <w:rPr>
                <w:sz w:val="20"/>
              </w:rPr>
              <w:t xml:space="preserve"> 266:461–467</w:t>
            </w:r>
          </w:p>
        </w:tc>
      </w:tr>
      <w:tr w:rsidR="001F5B33" w:rsidRPr="00E3331A" w:rsidTr="0007007F">
        <w:trPr>
          <w:cantSplit/>
          <w:trHeight w:val="566"/>
        </w:trPr>
        <w:tc>
          <w:tcPr>
            <w:tcW w:w="833" w:type="pct"/>
            <w:shd w:val="clear" w:color="auto" w:fill="auto"/>
            <w:vAlign w:val="center"/>
          </w:tcPr>
          <w:p w:rsidR="001F5B33" w:rsidRPr="00E3331A" w:rsidRDefault="001F5B33" w:rsidP="00493DDF">
            <w:pPr>
              <w:pStyle w:val="TableText"/>
              <w:rPr>
                <w:sz w:val="20"/>
              </w:rPr>
            </w:pPr>
            <w:r w:rsidRPr="00E3331A">
              <w:rPr>
                <w:sz w:val="20"/>
              </w:rPr>
              <w:t xml:space="preserve">Högy </w:t>
            </w:r>
            <w:r w:rsidR="00983BA7">
              <w:rPr>
                <w:sz w:val="20"/>
              </w:rPr>
              <w:t xml:space="preserve">et al. </w:t>
            </w:r>
            <w:r w:rsidRPr="00E3331A">
              <w:rPr>
                <w:sz w:val="20"/>
              </w:rPr>
              <w:t>(2005)</w:t>
            </w:r>
          </w:p>
        </w:tc>
        <w:tc>
          <w:tcPr>
            <w:tcW w:w="4167" w:type="pct"/>
            <w:shd w:val="clear" w:color="auto" w:fill="auto"/>
            <w:vAlign w:val="center"/>
          </w:tcPr>
          <w:p w:rsidR="001F5B33" w:rsidRPr="00E3331A" w:rsidRDefault="001F5B33" w:rsidP="00493DDF">
            <w:pPr>
              <w:pStyle w:val="TableText"/>
              <w:rPr>
                <w:sz w:val="20"/>
              </w:rPr>
            </w:pPr>
            <w:r w:rsidRPr="00E3331A">
              <w:rPr>
                <w:sz w:val="20"/>
              </w:rPr>
              <w:t>Pharmacoeconomic evaluation of immunoglobulin treatment in patients with antibody deficiencies from the perspective of the German statutory health insurance.</w:t>
            </w:r>
            <w:r w:rsidRPr="00E3331A">
              <w:t xml:space="preserve"> </w:t>
            </w:r>
            <w:r w:rsidRPr="00E3331A">
              <w:rPr>
                <w:sz w:val="20"/>
              </w:rPr>
              <w:t>Eur J Health Econ. Mar;6(1):24-9.</w:t>
            </w:r>
          </w:p>
        </w:tc>
      </w:tr>
    </w:tbl>
    <w:p w:rsidR="001F5B33" w:rsidRPr="00E3331A" w:rsidRDefault="001F5B33" w:rsidP="001F5B3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514"/>
      </w:tblGrid>
      <w:tr w:rsidR="001F5B33" w:rsidRPr="00E3331A" w:rsidTr="0007007F">
        <w:trPr>
          <w:cantSplit/>
          <w:trHeight w:val="566"/>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F5B33" w:rsidRPr="00E3331A" w:rsidRDefault="001F5B33" w:rsidP="0007007F">
            <w:pPr>
              <w:pStyle w:val="TableText"/>
              <w:jc w:val="both"/>
              <w:rPr>
                <w:b/>
                <w:sz w:val="20"/>
              </w:rPr>
            </w:pPr>
            <w:r w:rsidRPr="00E3331A">
              <w:rPr>
                <w:b/>
                <w:sz w:val="20"/>
              </w:rPr>
              <w:lastRenderedPageBreak/>
              <w:t>Other economic studies</w:t>
            </w:r>
          </w:p>
        </w:tc>
      </w:tr>
      <w:tr w:rsidR="001F5B33" w:rsidRPr="00E3331A" w:rsidTr="0007007F">
        <w:trPr>
          <w:cantSplit/>
          <w:trHeight w:val="566"/>
        </w:trPr>
        <w:tc>
          <w:tcPr>
            <w:tcW w:w="833" w:type="pct"/>
            <w:shd w:val="clear" w:color="auto" w:fill="auto"/>
            <w:vAlign w:val="center"/>
          </w:tcPr>
          <w:p w:rsidR="001F5B33" w:rsidRPr="00E3331A" w:rsidRDefault="001F5B33" w:rsidP="00493DDF">
            <w:pPr>
              <w:pStyle w:val="TableText"/>
              <w:rPr>
                <w:sz w:val="20"/>
              </w:rPr>
            </w:pPr>
            <w:r w:rsidRPr="00E3331A">
              <w:rPr>
                <w:sz w:val="20"/>
              </w:rPr>
              <w:t xml:space="preserve">Divino </w:t>
            </w:r>
            <w:r w:rsidR="00983BA7">
              <w:rPr>
                <w:sz w:val="20"/>
              </w:rPr>
              <w:t xml:space="preserve">et al. </w:t>
            </w:r>
            <w:r w:rsidRPr="00E3331A">
              <w:rPr>
                <w:sz w:val="20"/>
              </w:rPr>
              <w:t>(2018)</w:t>
            </w:r>
          </w:p>
        </w:tc>
        <w:tc>
          <w:tcPr>
            <w:tcW w:w="4167" w:type="pct"/>
            <w:shd w:val="clear" w:color="auto" w:fill="auto"/>
            <w:vAlign w:val="center"/>
          </w:tcPr>
          <w:p w:rsidR="001F5B33" w:rsidRPr="00E3331A" w:rsidRDefault="001F5B33" w:rsidP="00493DDF">
            <w:pPr>
              <w:pStyle w:val="TableText"/>
              <w:rPr>
                <w:sz w:val="20"/>
              </w:rPr>
            </w:pPr>
            <w:r w:rsidRPr="00E3331A">
              <w:rPr>
                <w:sz w:val="20"/>
              </w:rPr>
              <w:t>The economic burden of CIDP in the United States: A case-control study. PLoS ONE 13(10): e0206205. https://doi.org/10.1371/journal.pone.0206205</w:t>
            </w:r>
          </w:p>
        </w:tc>
      </w:tr>
      <w:tr w:rsidR="001F5B33" w:rsidRPr="00E3331A" w:rsidTr="0007007F">
        <w:trPr>
          <w:cantSplit/>
          <w:trHeight w:val="566"/>
        </w:trPr>
        <w:tc>
          <w:tcPr>
            <w:tcW w:w="833" w:type="pct"/>
            <w:shd w:val="clear" w:color="auto" w:fill="auto"/>
            <w:vAlign w:val="center"/>
          </w:tcPr>
          <w:p w:rsidR="001F5B33" w:rsidRPr="00E3331A" w:rsidRDefault="001F5B33" w:rsidP="00493DDF">
            <w:pPr>
              <w:pStyle w:val="TableText"/>
              <w:rPr>
                <w:sz w:val="20"/>
              </w:rPr>
            </w:pPr>
            <w:r w:rsidRPr="00E3331A">
              <w:rPr>
                <w:sz w:val="20"/>
              </w:rPr>
              <w:t xml:space="preserve">Mahdi-Rogers </w:t>
            </w:r>
            <w:r w:rsidR="00983BA7">
              <w:rPr>
                <w:sz w:val="20"/>
              </w:rPr>
              <w:t xml:space="preserve">et al. </w:t>
            </w:r>
            <w:r w:rsidRPr="00E3331A">
              <w:rPr>
                <w:sz w:val="20"/>
              </w:rPr>
              <w:t>(2014)</w:t>
            </w:r>
          </w:p>
        </w:tc>
        <w:tc>
          <w:tcPr>
            <w:tcW w:w="4167" w:type="pct"/>
            <w:shd w:val="clear" w:color="auto" w:fill="auto"/>
            <w:vAlign w:val="center"/>
          </w:tcPr>
          <w:p w:rsidR="001F5B33" w:rsidRPr="00E3331A" w:rsidRDefault="001F5B33" w:rsidP="00493DDF">
            <w:pPr>
              <w:pStyle w:val="TableText"/>
              <w:rPr>
                <w:sz w:val="20"/>
              </w:rPr>
            </w:pPr>
            <w:r w:rsidRPr="00E3331A">
              <w:rPr>
                <w:sz w:val="20"/>
              </w:rPr>
              <w:t>Economic costs and quality of life in chronic inflammatory neuropathies in southeast England. European Journal of Neurology, 21: 34–39</w:t>
            </w:r>
          </w:p>
        </w:tc>
      </w:tr>
      <w:tr w:rsidR="001F5B33" w:rsidRPr="00E3331A" w:rsidTr="0007007F">
        <w:trPr>
          <w:cantSplit/>
          <w:trHeight w:val="566"/>
        </w:trPr>
        <w:tc>
          <w:tcPr>
            <w:tcW w:w="833" w:type="pct"/>
            <w:shd w:val="clear" w:color="auto" w:fill="auto"/>
            <w:vAlign w:val="center"/>
          </w:tcPr>
          <w:p w:rsidR="001F5B33" w:rsidRPr="00E3331A" w:rsidRDefault="001F5B33" w:rsidP="00493DDF">
            <w:pPr>
              <w:pStyle w:val="TableText"/>
              <w:rPr>
                <w:sz w:val="20"/>
              </w:rPr>
            </w:pPr>
            <w:r w:rsidRPr="00E3331A">
              <w:rPr>
                <w:sz w:val="20"/>
              </w:rPr>
              <w:t xml:space="preserve">Mengel </w:t>
            </w:r>
            <w:r w:rsidR="00983BA7">
              <w:rPr>
                <w:sz w:val="20"/>
              </w:rPr>
              <w:t xml:space="preserve">et al. </w:t>
            </w:r>
            <w:r w:rsidRPr="00E3331A">
              <w:rPr>
                <w:sz w:val="20"/>
              </w:rPr>
              <w:t>(2018)</w:t>
            </w:r>
          </w:p>
        </w:tc>
        <w:tc>
          <w:tcPr>
            <w:tcW w:w="4167" w:type="pct"/>
            <w:shd w:val="clear" w:color="auto" w:fill="auto"/>
            <w:vAlign w:val="center"/>
          </w:tcPr>
          <w:p w:rsidR="001F5B33" w:rsidRPr="00E3331A" w:rsidRDefault="001F5B33" w:rsidP="00493DDF">
            <w:pPr>
              <w:pStyle w:val="TableText"/>
              <w:rPr>
                <w:sz w:val="20"/>
              </w:rPr>
            </w:pPr>
            <w:r w:rsidRPr="00E3331A">
              <w:rPr>
                <w:sz w:val="20"/>
              </w:rPr>
              <w:t>Costs of illness in chronic inflammatory demyelinating polyneuropathy in Germany, Muscle Nerve. Nov;</w:t>
            </w:r>
            <w:r w:rsidR="001F40A7" w:rsidRPr="00E3331A">
              <w:rPr>
                <w:sz w:val="20"/>
              </w:rPr>
              <w:t xml:space="preserve"> </w:t>
            </w:r>
            <w:r w:rsidRPr="00E3331A">
              <w:rPr>
                <w:sz w:val="20"/>
              </w:rPr>
              <w:t>58(5):681-687.</w:t>
            </w:r>
          </w:p>
        </w:tc>
      </w:tr>
      <w:tr w:rsidR="001F5B33" w:rsidRPr="00E3331A" w:rsidTr="0007007F">
        <w:trPr>
          <w:cantSplit/>
          <w:trHeight w:val="566"/>
        </w:trPr>
        <w:tc>
          <w:tcPr>
            <w:tcW w:w="833" w:type="pct"/>
            <w:shd w:val="clear" w:color="auto" w:fill="auto"/>
            <w:vAlign w:val="center"/>
          </w:tcPr>
          <w:p w:rsidR="001F5B33" w:rsidRPr="00E3331A" w:rsidRDefault="001F5B33" w:rsidP="00493DDF">
            <w:pPr>
              <w:pStyle w:val="TableText"/>
              <w:rPr>
                <w:sz w:val="20"/>
              </w:rPr>
            </w:pPr>
            <w:r w:rsidRPr="00E3331A">
              <w:rPr>
                <w:sz w:val="20"/>
              </w:rPr>
              <w:t>Owens (2018)</w:t>
            </w:r>
          </w:p>
        </w:tc>
        <w:tc>
          <w:tcPr>
            <w:tcW w:w="4167" w:type="pct"/>
            <w:shd w:val="clear" w:color="auto" w:fill="auto"/>
            <w:vAlign w:val="center"/>
          </w:tcPr>
          <w:p w:rsidR="001F5B33" w:rsidRPr="00E3331A" w:rsidRDefault="001F5B33" w:rsidP="00493DDF">
            <w:pPr>
              <w:pStyle w:val="TableText"/>
              <w:rPr>
                <w:sz w:val="20"/>
              </w:rPr>
            </w:pPr>
            <w:r w:rsidRPr="00E3331A">
              <w:rPr>
                <w:sz w:val="20"/>
              </w:rPr>
              <w:t>The economic burden and managed care implications of chronic inflammatory demyelinating polyneuropathy. Am J Manag Care. 24:</w:t>
            </w:r>
            <w:r w:rsidR="000B6871" w:rsidRPr="00E3331A">
              <w:rPr>
                <w:sz w:val="20"/>
              </w:rPr>
              <w:t xml:space="preserve"> </w:t>
            </w:r>
            <w:r w:rsidRPr="00E3331A">
              <w:rPr>
                <w:sz w:val="20"/>
              </w:rPr>
              <w:t>S380-S384</w:t>
            </w:r>
          </w:p>
        </w:tc>
      </w:tr>
      <w:tr w:rsidR="001F5B33" w:rsidRPr="00E3331A" w:rsidTr="0007007F">
        <w:trPr>
          <w:cantSplit/>
          <w:trHeight w:val="566"/>
        </w:trPr>
        <w:tc>
          <w:tcPr>
            <w:tcW w:w="833" w:type="pct"/>
            <w:shd w:val="clear" w:color="auto" w:fill="auto"/>
            <w:vAlign w:val="center"/>
          </w:tcPr>
          <w:p w:rsidR="001F5B33" w:rsidRPr="00E3331A" w:rsidRDefault="001F5B33" w:rsidP="00493DDF">
            <w:pPr>
              <w:pStyle w:val="TableText"/>
              <w:rPr>
                <w:sz w:val="20"/>
              </w:rPr>
            </w:pPr>
            <w:r w:rsidRPr="00E3331A">
              <w:rPr>
                <w:sz w:val="20"/>
              </w:rPr>
              <w:t>Suryavanshi and Khanna (2016)</w:t>
            </w:r>
          </w:p>
        </w:tc>
        <w:tc>
          <w:tcPr>
            <w:tcW w:w="4167" w:type="pct"/>
            <w:shd w:val="clear" w:color="auto" w:fill="auto"/>
            <w:vAlign w:val="center"/>
          </w:tcPr>
          <w:p w:rsidR="001F5B33" w:rsidRPr="00E3331A" w:rsidRDefault="001F5B33" w:rsidP="00493DDF">
            <w:pPr>
              <w:pStyle w:val="TableText"/>
              <w:rPr>
                <w:sz w:val="20"/>
              </w:rPr>
            </w:pPr>
            <w:r w:rsidRPr="00E3331A">
              <w:rPr>
                <w:sz w:val="20"/>
              </w:rPr>
              <w:t>Hospitali</w:t>
            </w:r>
            <w:r w:rsidR="00591599" w:rsidRPr="00E3331A">
              <w:rPr>
                <w:sz w:val="20"/>
              </w:rPr>
              <w:t>s</w:t>
            </w:r>
            <w:r w:rsidRPr="00E3331A">
              <w:rPr>
                <w:sz w:val="20"/>
              </w:rPr>
              <w:t>ation burden associated with chronic inflammatory demyelinating polyneuropathy in the United States. Value Health. 19(3):</w:t>
            </w:r>
            <w:r w:rsidR="000B6871" w:rsidRPr="00E3331A">
              <w:rPr>
                <w:sz w:val="20"/>
              </w:rPr>
              <w:t xml:space="preserve"> </w:t>
            </w:r>
            <w:r w:rsidRPr="00E3331A">
              <w:rPr>
                <w:sz w:val="20"/>
              </w:rPr>
              <w:t>A60-A61</w:t>
            </w:r>
          </w:p>
        </w:tc>
      </w:tr>
      <w:tr w:rsidR="001F5B33" w:rsidRPr="00E3331A" w:rsidTr="0007007F">
        <w:trPr>
          <w:cantSplit/>
          <w:trHeight w:val="566"/>
        </w:trPr>
        <w:tc>
          <w:tcPr>
            <w:tcW w:w="833" w:type="pct"/>
            <w:shd w:val="clear" w:color="auto" w:fill="auto"/>
            <w:vAlign w:val="center"/>
          </w:tcPr>
          <w:p w:rsidR="001F5B33" w:rsidRPr="00E3331A" w:rsidRDefault="001F5B33" w:rsidP="00493DDF">
            <w:pPr>
              <w:pStyle w:val="TableText"/>
              <w:rPr>
                <w:sz w:val="20"/>
              </w:rPr>
            </w:pPr>
            <w:r w:rsidRPr="00E3331A">
              <w:rPr>
                <w:sz w:val="20"/>
              </w:rPr>
              <w:t>Guptil</w:t>
            </w:r>
            <w:r w:rsidR="00591599" w:rsidRPr="00E3331A">
              <w:rPr>
                <w:sz w:val="20"/>
              </w:rPr>
              <w:t>l</w:t>
            </w:r>
            <w:r w:rsidRPr="00E3331A">
              <w:rPr>
                <w:sz w:val="20"/>
              </w:rPr>
              <w:t xml:space="preserve"> </w:t>
            </w:r>
            <w:r w:rsidR="00983BA7">
              <w:rPr>
                <w:sz w:val="20"/>
              </w:rPr>
              <w:t xml:space="preserve">et al. </w:t>
            </w:r>
            <w:r w:rsidRPr="00E3331A">
              <w:rPr>
                <w:sz w:val="20"/>
              </w:rPr>
              <w:t>(2014)</w:t>
            </w:r>
          </w:p>
        </w:tc>
        <w:tc>
          <w:tcPr>
            <w:tcW w:w="4167" w:type="pct"/>
            <w:shd w:val="clear" w:color="auto" w:fill="auto"/>
            <w:vAlign w:val="center"/>
          </w:tcPr>
          <w:p w:rsidR="001F5B33" w:rsidRPr="00E3331A" w:rsidRDefault="001F5B33">
            <w:pPr>
              <w:pStyle w:val="TableText"/>
              <w:rPr>
                <w:sz w:val="20"/>
              </w:rPr>
            </w:pPr>
            <w:r w:rsidRPr="00E3331A">
              <w:rPr>
                <w:sz w:val="20"/>
              </w:rPr>
              <w:t>Patient demographics and health plan</w:t>
            </w:r>
            <w:r w:rsidR="00D45BCF" w:rsidRPr="00E3331A">
              <w:rPr>
                <w:sz w:val="20"/>
              </w:rPr>
              <w:t>-</w:t>
            </w:r>
            <w:r w:rsidRPr="00E3331A">
              <w:rPr>
                <w:sz w:val="20"/>
              </w:rPr>
              <w:t>paid costs in chronic</w:t>
            </w:r>
            <w:r w:rsidR="000B6871" w:rsidRPr="00E3331A">
              <w:rPr>
                <w:sz w:val="20"/>
              </w:rPr>
              <w:t xml:space="preserve"> </w:t>
            </w:r>
            <w:r w:rsidRPr="00E3331A">
              <w:rPr>
                <w:sz w:val="20"/>
              </w:rPr>
              <w:t>inflammatory demyelinating polyneuropathy. Muscle Nerve. 50(1):</w:t>
            </w:r>
            <w:r w:rsidR="000B6871" w:rsidRPr="00E3331A">
              <w:rPr>
                <w:sz w:val="20"/>
              </w:rPr>
              <w:t xml:space="preserve"> </w:t>
            </w:r>
            <w:r w:rsidRPr="00E3331A">
              <w:rPr>
                <w:sz w:val="20"/>
              </w:rPr>
              <w:t xml:space="preserve">47-51. </w:t>
            </w:r>
          </w:p>
        </w:tc>
      </w:tr>
    </w:tbl>
    <w:p w:rsidR="001F5B33" w:rsidRPr="00E3331A" w:rsidRDefault="001F5B33" w:rsidP="0037150F">
      <w:pPr>
        <w:pStyle w:val="Tablenotes1"/>
      </w:pPr>
    </w:p>
    <w:p w:rsidR="00C84382" w:rsidRDefault="00C84382" w:rsidP="00C84382">
      <w:pPr>
        <w:pStyle w:val="Heading5"/>
      </w:pPr>
      <w:r>
        <w:t>Description of the studies</w:t>
      </w:r>
    </w:p>
    <w:p w:rsidR="001F5B33" w:rsidRPr="00E3331A" w:rsidRDefault="001F5B33" w:rsidP="00476A02">
      <w:pPr>
        <w:pStyle w:val="Heading6"/>
      </w:pPr>
      <w:r w:rsidRPr="00E3331A">
        <w:t xml:space="preserve">Blackhouse </w:t>
      </w:r>
      <w:r w:rsidR="00983BA7">
        <w:t xml:space="preserve">et al. </w:t>
      </w:r>
      <w:r w:rsidRPr="00E3331A">
        <w:t>(2010)</w:t>
      </w:r>
    </w:p>
    <w:p w:rsidR="001F5B33" w:rsidRPr="00E3331A" w:rsidRDefault="001F5B33" w:rsidP="00BB6E4C">
      <w:pPr>
        <w:pStyle w:val="BodyTextSTD"/>
      </w:pPr>
      <w:r w:rsidRPr="00E3331A">
        <w:t>The objective of the Blackhouse</w:t>
      </w:r>
      <w:r w:rsidR="001F40A7" w:rsidRPr="00E3331A">
        <w:t xml:space="preserve"> </w:t>
      </w:r>
      <w:r w:rsidR="00983BA7">
        <w:t xml:space="preserve">et al. </w:t>
      </w:r>
      <w:r w:rsidR="00477166" w:rsidRPr="00E3331A">
        <w:t>(</w:t>
      </w:r>
      <w:r w:rsidRPr="00E3331A">
        <w:t>2010</w:t>
      </w:r>
      <w:r w:rsidR="00477166" w:rsidRPr="00E3331A">
        <w:t>)</w:t>
      </w:r>
      <w:r w:rsidRPr="00E3331A">
        <w:t xml:space="preserve"> study was to estimate the cost-effectiveness of IVIg compared to corticosteroid treatment of CIDP in Canada. A Markov model was developed to calculate costs and QALYs over </w:t>
      </w:r>
      <w:r w:rsidR="001F40A7" w:rsidRPr="00E3331A">
        <w:t xml:space="preserve">five </w:t>
      </w:r>
      <w:r w:rsidRPr="00E3331A">
        <w:t xml:space="preserve">years of treatment. The analysis assumed a patient starting age of 54 years and weight of 75kg. The model included 12-week cycles. Patients on the Ig arm entered the model for Ig induction treatment, with those responding either continuing to respond or relapsing </w:t>
      </w:r>
      <w:r w:rsidR="001F40A7" w:rsidRPr="00E3331A">
        <w:t xml:space="preserve">in </w:t>
      </w:r>
      <w:r w:rsidRPr="00E3331A">
        <w:t xml:space="preserve">each 12-week cycle. </w:t>
      </w:r>
    </w:p>
    <w:p w:rsidR="001F5B33" w:rsidRPr="00E3331A" w:rsidRDefault="001F5B33" w:rsidP="00BB6E4C">
      <w:pPr>
        <w:pStyle w:val="BodyTextSTD"/>
      </w:pPr>
      <w:r w:rsidRPr="00E3331A">
        <w:t xml:space="preserve">Non-responding Ig patients were assumed to utilise corticosteroids, where they were at risk of AEs </w:t>
      </w:r>
      <w:r w:rsidR="001F40A7" w:rsidRPr="00E3331A">
        <w:t>in each cycle</w:t>
      </w:r>
      <w:r w:rsidR="001F40A7" w:rsidRPr="00E3331A" w:rsidDel="001F40A7">
        <w:t xml:space="preserve"> </w:t>
      </w:r>
      <w:r w:rsidRPr="00E3331A">
        <w:t>includ</w:t>
      </w:r>
      <w:r w:rsidR="001F40A7" w:rsidRPr="00E3331A">
        <w:t>ing</w:t>
      </w:r>
      <w:r w:rsidRPr="00E3331A">
        <w:t xml:space="preserve"> fracture, diabetes, glaucoma, cataract and serious infection. Patients were assumed to have AEs for </w:t>
      </w:r>
      <w:r w:rsidR="001F40A7" w:rsidRPr="00E3331A">
        <w:t xml:space="preserve">one </w:t>
      </w:r>
      <w:r w:rsidRPr="00E3331A">
        <w:t>year prior to discovery, at which point corticosteroids were stopped and HbA1</w:t>
      </w:r>
      <w:r w:rsidR="005541CA" w:rsidRPr="00E3331A">
        <w:t>c</w:t>
      </w:r>
      <w:r w:rsidRPr="00E3331A">
        <w:t xml:space="preserve"> (diabetes) or elevated intraocular pressure (glaucoma) normalised. Diabetes and fracture had increased mortality risks, while the other steroid AEs were not assumed to impact patient mortality risk.</w:t>
      </w:r>
    </w:p>
    <w:p w:rsidR="001F5B33" w:rsidRPr="00E3331A" w:rsidRDefault="001F5B33" w:rsidP="00BB6E4C">
      <w:pPr>
        <w:pStyle w:val="BodyTextSTD"/>
        <w:rPr>
          <w:color w:val="000000"/>
          <w:u w:val="single"/>
        </w:rPr>
      </w:pPr>
      <w:r w:rsidRPr="00E3331A">
        <w:t xml:space="preserve">The key health benefit was the inclusion of the 0.12 (p = 0.07) utility gain from Ig over corticosteroids reported by McCrone </w:t>
      </w:r>
      <w:r w:rsidR="00983BA7">
        <w:t xml:space="preserve">et al. </w:t>
      </w:r>
      <w:r w:rsidRPr="00E3331A">
        <w:t>(2003)</w:t>
      </w:r>
      <w:r w:rsidR="00C25D27" w:rsidRPr="00E3331A">
        <w:t>,</w:t>
      </w:r>
      <w:r w:rsidRPr="00E3331A">
        <w:t xml:space="preserve"> which was measured over a 6-week treatment period. Incremental costs and QALYs of Ig treatment compared to corticosteroids were $124,065 and 0.177, resulting in an ICER of $687,287. The frequency and dosing of Ig had a large impact on model results. The annual Ig maintenance cost was over $70</w:t>
      </w:r>
      <w:r w:rsidR="00C25D27" w:rsidRPr="00E3331A">
        <w:t xml:space="preserve">,000, </w:t>
      </w:r>
      <w:r w:rsidRPr="00E3331A">
        <w:t>which is higher than that in Australia and reflects greater per patient dosing. The NBA 2016 reported average Ig use per patient in Australia of 437g to 476g between 2012-2016. Based on a cost of $</w:t>
      </w:r>
      <w:r w:rsidR="007F2119" w:rsidRPr="00E3331A">
        <w:t>60.41</w:t>
      </w:r>
      <w:r w:rsidRPr="00E3331A">
        <w:t xml:space="preserve"> per gram Ig costs are less than $30</w:t>
      </w:r>
      <w:r w:rsidR="00C25D27" w:rsidRPr="00E3331A">
        <w:t xml:space="preserve">,000 </w:t>
      </w:r>
      <w:r w:rsidRPr="00E3331A">
        <w:t>per year.</w:t>
      </w:r>
    </w:p>
    <w:p w:rsidR="001F5B33" w:rsidRPr="00E3331A" w:rsidRDefault="001F5B33" w:rsidP="00476A02">
      <w:pPr>
        <w:pStyle w:val="Heading6"/>
      </w:pPr>
      <w:r w:rsidRPr="00E3331A">
        <w:lastRenderedPageBreak/>
        <w:t xml:space="preserve">McCrone </w:t>
      </w:r>
      <w:r w:rsidR="00983BA7">
        <w:t xml:space="preserve">et al. </w:t>
      </w:r>
      <w:r w:rsidRPr="00E3331A">
        <w:t>(2003)</w:t>
      </w:r>
    </w:p>
    <w:p w:rsidR="001F5B33" w:rsidRPr="00E3331A" w:rsidRDefault="001F5B33" w:rsidP="00BB6E4C">
      <w:pPr>
        <w:pStyle w:val="BodyTextSTD"/>
      </w:pPr>
      <w:r w:rsidRPr="00E3331A">
        <w:t xml:space="preserve">This economic study estimated the incremental cost-effectiveness analysis of IVIg over prednisolone for CIDP treatment using data in Hughes </w:t>
      </w:r>
      <w:r w:rsidR="00983BA7">
        <w:t xml:space="preserve">et al. </w:t>
      </w:r>
      <w:r w:rsidRPr="00E3331A">
        <w:t xml:space="preserve">(2001). The regimen for prednisolone was 60mg per day during the first 2 weeks, 40mg per day in week three, 30mg per day in week four, 20mg per day in week five and 10mg per day in week six. A similar prednisolone regimen could be expected in Australia, although there is no standard regimen. The costs of treatment on each arm are outlined in </w:t>
      </w:r>
      <w:r w:rsidR="006F35B9" w:rsidRPr="00E3331A">
        <w:t xml:space="preserve">Table </w:t>
      </w:r>
      <w:r w:rsidR="006F35B9">
        <w:rPr>
          <w:noProof/>
        </w:rPr>
        <w:t>59</w:t>
      </w:r>
      <w:r w:rsidRPr="00E3331A">
        <w:t xml:space="preserve">. Prednisolone patient costs were largely inpatient care (71%), while </w:t>
      </w:r>
      <w:r w:rsidR="004D2527" w:rsidRPr="00E3331A">
        <w:t xml:space="preserve">Ig accounted for most of the cost (91%) </w:t>
      </w:r>
      <w:r w:rsidRPr="00E3331A">
        <w:t>for the IVIg group.</w:t>
      </w:r>
      <w:r w:rsidR="00D77378" w:rsidRPr="00E3331A">
        <w:t xml:space="preserve"> </w:t>
      </w:r>
      <w:r w:rsidRPr="00E3331A">
        <w:t>The cost difference between the two treatments was estimated to be $3,754 over the 6-week period.</w:t>
      </w:r>
    </w:p>
    <w:p w:rsidR="001F5B33" w:rsidRPr="00E3331A" w:rsidRDefault="001F5B33" w:rsidP="001F5B33">
      <w:pPr>
        <w:pStyle w:val="Caption"/>
      </w:pPr>
      <w:bookmarkStart w:id="397" w:name="_Ref8135937"/>
      <w:bookmarkStart w:id="398" w:name="_Toc24103365"/>
      <w:r w:rsidRPr="00E3331A">
        <w:t xml:space="preserve">Table </w:t>
      </w:r>
      <w:r w:rsidR="006F35B9">
        <w:rPr>
          <w:noProof/>
        </w:rPr>
        <w:t>59</w:t>
      </w:r>
      <w:bookmarkEnd w:id="397"/>
      <w:r w:rsidR="004D2527" w:rsidRPr="00E3331A">
        <w:tab/>
      </w:r>
      <w:r w:rsidRPr="00E3331A">
        <w:t>Six-week cost (</w:t>
      </w:r>
      <w:r w:rsidR="009F17CA" w:rsidRPr="00E3331A">
        <w:t xml:space="preserve">€, </w:t>
      </w:r>
      <w:r w:rsidRPr="00E3331A">
        <w:t>2000-01 prices) of services at baseline and during first treatment period</w:t>
      </w:r>
      <w:bookmarkEnd w:id="3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1369"/>
        <w:gridCol w:w="1246"/>
        <w:gridCol w:w="1369"/>
        <w:gridCol w:w="1331"/>
      </w:tblGrid>
      <w:tr w:rsidR="00C27ECE" w:rsidRPr="00E3331A" w:rsidTr="00C27ECE">
        <w:trPr>
          <w:trHeight w:val="634"/>
        </w:trPr>
        <w:tc>
          <w:tcPr>
            <w:tcW w:w="3807" w:type="dxa"/>
            <w:vMerge w:val="restart"/>
            <w:shd w:val="clear" w:color="auto" w:fill="auto"/>
            <w:vAlign w:val="center"/>
          </w:tcPr>
          <w:p w:rsidR="00C27ECE" w:rsidRPr="00E3331A" w:rsidRDefault="00C27ECE" w:rsidP="00D77378">
            <w:pPr>
              <w:pStyle w:val="Tableheading1"/>
            </w:pPr>
            <w:r w:rsidRPr="00E3331A">
              <w:t>Cost component</w:t>
            </w:r>
          </w:p>
        </w:tc>
        <w:tc>
          <w:tcPr>
            <w:tcW w:w="2560" w:type="dxa"/>
            <w:gridSpan w:val="2"/>
            <w:shd w:val="clear" w:color="auto" w:fill="auto"/>
            <w:vAlign w:val="center"/>
          </w:tcPr>
          <w:p w:rsidR="00C27ECE" w:rsidRPr="00E3331A" w:rsidRDefault="00C27ECE" w:rsidP="00D77378">
            <w:pPr>
              <w:pStyle w:val="Tableheading1"/>
            </w:pPr>
            <w:r w:rsidRPr="00E3331A">
              <w:t>Baseline</w:t>
            </w:r>
          </w:p>
        </w:tc>
        <w:tc>
          <w:tcPr>
            <w:tcW w:w="2649" w:type="dxa"/>
            <w:gridSpan w:val="2"/>
            <w:shd w:val="clear" w:color="auto" w:fill="auto"/>
            <w:vAlign w:val="center"/>
          </w:tcPr>
          <w:p w:rsidR="00C27ECE" w:rsidRPr="00E3331A" w:rsidRDefault="00C27ECE" w:rsidP="00D77378">
            <w:pPr>
              <w:pStyle w:val="Tableheading1"/>
            </w:pPr>
            <w:r w:rsidRPr="00E3331A">
              <w:t>First treatment period</w:t>
            </w:r>
          </w:p>
        </w:tc>
      </w:tr>
      <w:tr w:rsidR="00C27ECE" w:rsidRPr="00E3331A" w:rsidTr="00C27ECE">
        <w:trPr>
          <w:trHeight w:val="274"/>
        </w:trPr>
        <w:tc>
          <w:tcPr>
            <w:tcW w:w="3807" w:type="dxa"/>
            <w:vMerge/>
            <w:shd w:val="clear" w:color="auto" w:fill="auto"/>
          </w:tcPr>
          <w:p w:rsidR="00C27ECE" w:rsidRPr="00E3331A" w:rsidRDefault="00C27ECE" w:rsidP="00D77378">
            <w:pPr>
              <w:pStyle w:val="Tablecontents"/>
              <w:rPr>
                <w:w w:val="105"/>
              </w:rPr>
            </w:pPr>
          </w:p>
        </w:tc>
        <w:tc>
          <w:tcPr>
            <w:tcW w:w="1288" w:type="dxa"/>
            <w:shd w:val="clear" w:color="auto" w:fill="auto"/>
            <w:vAlign w:val="center"/>
          </w:tcPr>
          <w:p w:rsidR="00C27ECE" w:rsidRPr="00C27ECE" w:rsidRDefault="00C27ECE" w:rsidP="00D77378">
            <w:pPr>
              <w:pStyle w:val="Tablecontents"/>
              <w:rPr>
                <w:b/>
                <w:w w:val="105"/>
              </w:rPr>
            </w:pPr>
            <w:r w:rsidRPr="00C27ECE">
              <w:rPr>
                <w:b/>
              </w:rPr>
              <w:t>Prednisolone</w:t>
            </w:r>
            <w:r w:rsidRPr="00C27ECE">
              <w:rPr>
                <w:b/>
                <w:w w:val="105"/>
              </w:rPr>
              <w:t xml:space="preserve"> </w:t>
            </w:r>
          </w:p>
          <w:p w:rsidR="00C27ECE" w:rsidRPr="00C27ECE" w:rsidRDefault="00C27ECE" w:rsidP="00D77378">
            <w:pPr>
              <w:pStyle w:val="Tablecontents"/>
              <w:rPr>
                <w:b/>
              </w:rPr>
            </w:pPr>
            <w:r w:rsidRPr="00C27ECE">
              <w:rPr>
                <w:b/>
              </w:rPr>
              <w:t>(</w:t>
            </w:r>
            <w:r w:rsidRPr="00C27ECE">
              <w:rPr>
                <w:b/>
                <w:i/>
              </w:rPr>
              <w:t>n</w:t>
            </w:r>
            <w:r w:rsidRPr="00C27ECE">
              <w:rPr>
                <w:b/>
                <w:i/>
                <w:spacing w:val="4"/>
              </w:rPr>
              <w:t xml:space="preserve"> </w:t>
            </w:r>
            <w:r w:rsidRPr="00C27ECE">
              <w:rPr>
                <w:b/>
              </w:rPr>
              <w:t>=</w:t>
            </w:r>
            <w:r w:rsidRPr="00C27ECE">
              <w:rPr>
                <w:b/>
                <w:spacing w:val="1"/>
              </w:rPr>
              <w:t xml:space="preserve"> </w:t>
            </w:r>
            <w:r w:rsidRPr="00C27ECE">
              <w:rPr>
                <w:b/>
              </w:rPr>
              <w:t>13)</w:t>
            </w:r>
          </w:p>
        </w:tc>
        <w:tc>
          <w:tcPr>
            <w:tcW w:w="1272" w:type="dxa"/>
            <w:shd w:val="clear" w:color="auto" w:fill="auto"/>
            <w:vAlign w:val="center"/>
          </w:tcPr>
          <w:p w:rsidR="00C27ECE" w:rsidRPr="00C27ECE" w:rsidRDefault="00C27ECE" w:rsidP="00D77378">
            <w:pPr>
              <w:pStyle w:val="Tablecontents"/>
              <w:rPr>
                <w:b/>
                <w:w w:val="105"/>
              </w:rPr>
            </w:pPr>
            <w:r w:rsidRPr="00C27ECE">
              <w:rPr>
                <w:b/>
                <w:w w:val="105"/>
              </w:rPr>
              <w:t xml:space="preserve">IVIg </w:t>
            </w:r>
          </w:p>
          <w:p w:rsidR="00C27ECE" w:rsidRPr="00C27ECE" w:rsidRDefault="00C27ECE" w:rsidP="00D77378">
            <w:pPr>
              <w:pStyle w:val="Tablecontents"/>
              <w:rPr>
                <w:b/>
              </w:rPr>
            </w:pPr>
            <w:r w:rsidRPr="00C27ECE">
              <w:rPr>
                <w:b/>
              </w:rPr>
              <w:t>(</w:t>
            </w:r>
            <w:r w:rsidRPr="00C27ECE">
              <w:rPr>
                <w:b/>
                <w:i/>
              </w:rPr>
              <w:t>n</w:t>
            </w:r>
            <w:r w:rsidRPr="00C27ECE">
              <w:rPr>
                <w:b/>
                <w:i/>
                <w:spacing w:val="4"/>
              </w:rPr>
              <w:t xml:space="preserve"> </w:t>
            </w:r>
            <w:r w:rsidRPr="00C27ECE">
              <w:rPr>
                <w:b/>
              </w:rPr>
              <w:t>=</w:t>
            </w:r>
            <w:r w:rsidRPr="00C27ECE">
              <w:rPr>
                <w:b/>
                <w:spacing w:val="1"/>
              </w:rPr>
              <w:t xml:space="preserve"> </w:t>
            </w:r>
            <w:r w:rsidRPr="00C27ECE">
              <w:rPr>
                <w:b/>
              </w:rPr>
              <w:t>12)</w:t>
            </w:r>
          </w:p>
        </w:tc>
        <w:tc>
          <w:tcPr>
            <w:tcW w:w="1288" w:type="dxa"/>
            <w:shd w:val="clear" w:color="auto" w:fill="auto"/>
            <w:vAlign w:val="center"/>
          </w:tcPr>
          <w:p w:rsidR="00C27ECE" w:rsidRPr="00C27ECE" w:rsidRDefault="00C27ECE" w:rsidP="00D77378">
            <w:pPr>
              <w:pStyle w:val="Tablecontents"/>
              <w:rPr>
                <w:b/>
                <w:w w:val="105"/>
              </w:rPr>
            </w:pPr>
            <w:r w:rsidRPr="00C27ECE">
              <w:rPr>
                <w:b/>
              </w:rPr>
              <w:t>Prednisolone</w:t>
            </w:r>
            <w:r w:rsidRPr="00C27ECE">
              <w:rPr>
                <w:b/>
                <w:w w:val="105"/>
              </w:rPr>
              <w:t xml:space="preserve"> </w:t>
            </w:r>
          </w:p>
          <w:p w:rsidR="00C27ECE" w:rsidRPr="00C27ECE" w:rsidRDefault="00C27ECE" w:rsidP="00D77378">
            <w:pPr>
              <w:pStyle w:val="Tablecontents"/>
              <w:rPr>
                <w:b/>
              </w:rPr>
            </w:pPr>
            <w:r w:rsidRPr="00C27ECE">
              <w:rPr>
                <w:b/>
              </w:rPr>
              <w:t>(</w:t>
            </w:r>
            <w:r w:rsidRPr="00C27ECE">
              <w:rPr>
                <w:b/>
                <w:i/>
              </w:rPr>
              <w:t>n</w:t>
            </w:r>
            <w:r w:rsidRPr="00C27ECE">
              <w:rPr>
                <w:b/>
                <w:i/>
                <w:spacing w:val="4"/>
              </w:rPr>
              <w:t xml:space="preserve"> </w:t>
            </w:r>
            <w:r w:rsidRPr="00C27ECE">
              <w:rPr>
                <w:b/>
              </w:rPr>
              <w:t>=</w:t>
            </w:r>
            <w:r w:rsidRPr="00C27ECE">
              <w:rPr>
                <w:b/>
                <w:spacing w:val="1"/>
              </w:rPr>
              <w:t xml:space="preserve"> </w:t>
            </w:r>
            <w:r w:rsidRPr="00C27ECE">
              <w:rPr>
                <w:b/>
              </w:rPr>
              <w:t>13)</w:t>
            </w:r>
          </w:p>
        </w:tc>
        <w:tc>
          <w:tcPr>
            <w:tcW w:w="1361" w:type="dxa"/>
            <w:shd w:val="clear" w:color="auto" w:fill="auto"/>
            <w:vAlign w:val="center"/>
          </w:tcPr>
          <w:p w:rsidR="00C27ECE" w:rsidRPr="00C27ECE" w:rsidRDefault="00C27ECE" w:rsidP="00D77378">
            <w:pPr>
              <w:pStyle w:val="Tablecontents"/>
              <w:rPr>
                <w:b/>
                <w:w w:val="105"/>
              </w:rPr>
            </w:pPr>
            <w:r w:rsidRPr="00C27ECE">
              <w:rPr>
                <w:b/>
                <w:w w:val="105"/>
              </w:rPr>
              <w:t xml:space="preserve">IVIg </w:t>
            </w:r>
          </w:p>
          <w:p w:rsidR="00C27ECE" w:rsidRPr="00C27ECE" w:rsidRDefault="00C27ECE" w:rsidP="00D77378">
            <w:pPr>
              <w:pStyle w:val="Tablecontents"/>
              <w:rPr>
                <w:b/>
              </w:rPr>
            </w:pPr>
            <w:r w:rsidRPr="00C27ECE">
              <w:rPr>
                <w:b/>
              </w:rPr>
              <w:t>(</w:t>
            </w:r>
            <w:r w:rsidRPr="00C27ECE">
              <w:rPr>
                <w:b/>
                <w:i/>
              </w:rPr>
              <w:t>n</w:t>
            </w:r>
            <w:r w:rsidRPr="00C27ECE">
              <w:rPr>
                <w:b/>
                <w:i/>
                <w:spacing w:val="4"/>
              </w:rPr>
              <w:t xml:space="preserve"> </w:t>
            </w:r>
            <w:r w:rsidRPr="00C27ECE">
              <w:rPr>
                <w:b/>
              </w:rPr>
              <w:t>=</w:t>
            </w:r>
            <w:r w:rsidRPr="00C27ECE">
              <w:rPr>
                <w:b/>
                <w:spacing w:val="1"/>
              </w:rPr>
              <w:t xml:space="preserve"> </w:t>
            </w:r>
            <w:r w:rsidRPr="00C27ECE">
              <w:rPr>
                <w:b/>
              </w:rPr>
              <w:t>12)</w:t>
            </w:r>
          </w:p>
        </w:tc>
      </w:tr>
      <w:tr w:rsidR="00281EC2" w:rsidRPr="00E3331A" w:rsidTr="00C27ECE">
        <w:trPr>
          <w:trHeight w:val="274"/>
        </w:trPr>
        <w:tc>
          <w:tcPr>
            <w:tcW w:w="3807" w:type="dxa"/>
            <w:shd w:val="clear" w:color="auto" w:fill="auto"/>
          </w:tcPr>
          <w:p w:rsidR="001F5B33" w:rsidRPr="00E3331A" w:rsidRDefault="001F5B33" w:rsidP="00D77378">
            <w:pPr>
              <w:pStyle w:val="Tablecontents"/>
              <w:rPr>
                <w:b/>
                <w:w w:val="105"/>
              </w:rPr>
            </w:pPr>
            <w:r w:rsidRPr="00E3331A">
              <w:rPr>
                <w:w w:val="105"/>
              </w:rPr>
              <w:t>Inpatient</w:t>
            </w:r>
          </w:p>
        </w:tc>
        <w:tc>
          <w:tcPr>
            <w:tcW w:w="1288" w:type="dxa"/>
            <w:shd w:val="clear" w:color="auto" w:fill="auto"/>
            <w:vAlign w:val="center"/>
          </w:tcPr>
          <w:p w:rsidR="001F5B33" w:rsidRPr="00E3331A" w:rsidRDefault="001F5B33" w:rsidP="00D77378">
            <w:pPr>
              <w:pStyle w:val="Tablecontents"/>
            </w:pPr>
            <w:r w:rsidRPr="00E3331A">
              <w:t>826</w:t>
            </w:r>
          </w:p>
        </w:tc>
        <w:tc>
          <w:tcPr>
            <w:tcW w:w="1272" w:type="dxa"/>
            <w:shd w:val="clear" w:color="auto" w:fill="auto"/>
            <w:vAlign w:val="center"/>
          </w:tcPr>
          <w:p w:rsidR="001F5B33" w:rsidRPr="00E3331A" w:rsidRDefault="001F5B33" w:rsidP="00D77378">
            <w:pPr>
              <w:pStyle w:val="Tablecontents"/>
            </w:pPr>
            <w:r w:rsidRPr="00E3331A">
              <w:t>608</w:t>
            </w:r>
          </w:p>
        </w:tc>
        <w:tc>
          <w:tcPr>
            <w:tcW w:w="1288" w:type="dxa"/>
            <w:shd w:val="clear" w:color="auto" w:fill="auto"/>
            <w:vAlign w:val="center"/>
          </w:tcPr>
          <w:p w:rsidR="001F5B33" w:rsidRPr="00E3331A" w:rsidRDefault="001F5B33" w:rsidP="00D77378">
            <w:pPr>
              <w:pStyle w:val="Tablecontents"/>
            </w:pPr>
            <w:r w:rsidRPr="00E3331A">
              <w:t>929</w:t>
            </w:r>
          </w:p>
        </w:tc>
        <w:tc>
          <w:tcPr>
            <w:tcW w:w="1361" w:type="dxa"/>
            <w:shd w:val="clear" w:color="auto" w:fill="auto"/>
            <w:vAlign w:val="center"/>
          </w:tcPr>
          <w:p w:rsidR="001F5B33" w:rsidRPr="00E3331A" w:rsidRDefault="001F5B33" w:rsidP="00D77378">
            <w:pPr>
              <w:pStyle w:val="Tablecontents"/>
            </w:pPr>
            <w:r w:rsidRPr="00E3331A">
              <w:t>0</w:t>
            </w:r>
          </w:p>
        </w:tc>
      </w:tr>
      <w:tr w:rsidR="00281EC2" w:rsidRPr="00E3331A" w:rsidTr="00C27ECE">
        <w:tc>
          <w:tcPr>
            <w:tcW w:w="3807" w:type="dxa"/>
            <w:shd w:val="clear" w:color="auto" w:fill="auto"/>
          </w:tcPr>
          <w:p w:rsidR="001F5B33" w:rsidRPr="00E3331A" w:rsidRDefault="001F5B33" w:rsidP="00D77378">
            <w:pPr>
              <w:pStyle w:val="Tablecontents"/>
            </w:pPr>
            <w:r w:rsidRPr="00E3331A">
              <w:rPr>
                <w:w w:val="105"/>
              </w:rPr>
              <w:t>Day</w:t>
            </w:r>
            <w:r w:rsidRPr="00E3331A">
              <w:rPr>
                <w:spacing w:val="31"/>
                <w:w w:val="105"/>
              </w:rPr>
              <w:t xml:space="preserve"> </w:t>
            </w:r>
            <w:r w:rsidRPr="00E3331A">
              <w:rPr>
                <w:w w:val="105"/>
              </w:rPr>
              <w:t>patient</w:t>
            </w:r>
          </w:p>
        </w:tc>
        <w:tc>
          <w:tcPr>
            <w:tcW w:w="1288" w:type="dxa"/>
            <w:shd w:val="clear" w:color="auto" w:fill="auto"/>
          </w:tcPr>
          <w:p w:rsidR="001F5B33" w:rsidRPr="00E3331A" w:rsidRDefault="001F5B33" w:rsidP="00D77378">
            <w:pPr>
              <w:pStyle w:val="Tablecontents"/>
            </w:pPr>
            <w:r w:rsidRPr="00E3331A">
              <w:t>166</w:t>
            </w:r>
          </w:p>
        </w:tc>
        <w:tc>
          <w:tcPr>
            <w:tcW w:w="1272" w:type="dxa"/>
            <w:shd w:val="clear" w:color="auto" w:fill="auto"/>
          </w:tcPr>
          <w:p w:rsidR="001F5B33" w:rsidRPr="00E3331A" w:rsidRDefault="001F5B33" w:rsidP="00D77378">
            <w:pPr>
              <w:pStyle w:val="Tablecontents"/>
            </w:pPr>
            <w:r w:rsidRPr="00E3331A">
              <w:t>102</w:t>
            </w:r>
          </w:p>
        </w:tc>
        <w:tc>
          <w:tcPr>
            <w:tcW w:w="1288" w:type="dxa"/>
            <w:shd w:val="clear" w:color="auto" w:fill="auto"/>
          </w:tcPr>
          <w:p w:rsidR="001F5B33" w:rsidRPr="00E3331A" w:rsidRDefault="001F5B33" w:rsidP="00D77378">
            <w:pPr>
              <w:pStyle w:val="Tablecontents"/>
            </w:pPr>
            <w:r w:rsidRPr="00E3331A">
              <w:t>0</w:t>
            </w:r>
          </w:p>
        </w:tc>
        <w:tc>
          <w:tcPr>
            <w:tcW w:w="1361" w:type="dxa"/>
            <w:shd w:val="clear" w:color="auto" w:fill="auto"/>
          </w:tcPr>
          <w:p w:rsidR="001F5B33" w:rsidRPr="00E3331A" w:rsidRDefault="001F5B33" w:rsidP="00D77378">
            <w:pPr>
              <w:pStyle w:val="Tablecontents"/>
            </w:pPr>
            <w:r w:rsidRPr="00E3331A">
              <w:t>0</w:t>
            </w:r>
          </w:p>
        </w:tc>
      </w:tr>
      <w:tr w:rsidR="00281EC2" w:rsidRPr="00E3331A" w:rsidTr="00C27ECE">
        <w:tc>
          <w:tcPr>
            <w:tcW w:w="3807" w:type="dxa"/>
            <w:shd w:val="clear" w:color="auto" w:fill="auto"/>
          </w:tcPr>
          <w:p w:rsidR="001F5B33" w:rsidRPr="00E3331A" w:rsidRDefault="001F5B33" w:rsidP="00D77378">
            <w:pPr>
              <w:pStyle w:val="Tablecontents"/>
            </w:pPr>
            <w:r w:rsidRPr="00E3331A">
              <w:t>Outpatient</w:t>
            </w:r>
          </w:p>
        </w:tc>
        <w:tc>
          <w:tcPr>
            <w:tcW w:w="1288" w:type="dxa"/>
            <w:shd w:val="clear" w:color="auto" w:fill="auto"/>
          </w:tcPr>
          <w:p w:rsidR="001F5B33" w:rsidRPr="00E3331A" w:rsidRDefault="001F5B33" w:rsidP="00D77378">
            <w:pPr>
              <w:pStyle w:val="Tablecontents"/>
            </w:pPr>
            <w:r w:rsidRPr="00E3331A">
              <w:t>120</w:t>
            </w:r>
          </w:p>
        </w:tc>
        <w:tc>
          <w:tcPr>
            <w:tcW w:w="1272" w:type="dxa"/>
            <w:shd w:val="clear" w:color="auto" w:fill="auto"/>
          </w:tcPr>
          <w:p w:rsidR="001F5B33" w:rsidRPr="00E3331A" w:rsidRDefault="001F5B33" w:rsidP="00D77378">
            <w:pPr>
              <w:pStyle w:val="Tablecontents"/>
            </w:pPr>
            <w:r w:rsidRPr="00E3331A">
              <w:t>98</w:t>
            </w:r>
          </w:p>
        </w:tc>
        <w:tc>
          <w:tcPr>
            <w:tcW w:w="1288" w:type="dxa"/>
            <w:shd w:val="clear" w:color="auto" w:fill="auto"/>
          </w:tcPr>
          <w:p w:rsidR="001F5B33" w:rsidRPr="00E3331A" w:rsidRDefault="001F5B33" w:rsidP="00D77378">
            <w:pPr>
              <w:pStyle w:val="Tablecontents"/>
            </w:pPr>
            <w:r w:rsidRPr="00E3331A">
              <w:t>62</w:t>
            </w:r>
          </w:p>
        </w:tc>
        <w:tc>
          <w:tcPr>
            <w:tcW w:w="1361" w:type="dxa"/>
            <w:shd w:val="clear" w:color="auto" w:fill="auto"/>
          </w:tcPr>
          <w:p w:rsidR="001F5B33" w:rsidRPr="00E3331A" w:rsidRDefault="001F5B33" w:rsidP="00D77378">
            <w:pPr>
              <w:pStyle w:val="Tablecontents"/>
            </w:pPr>
            <w:r w:rsidRPr="00E3331A">
              <w:t>129</w:t>
            </w:r>
          </w:p>
        </w:tc>
      </w:tr>
      <w:tr w:rsidR="00281EC2" w:rsidRPr="00E3331A" w:rsidTr="00C27ECE">
        <w:tc>
          <w:tcPr>
            <w:tcW w:w="3807" w:type="dxa"/>
            <w:shd w:val="clear" w:color="auto" w:fill="auto"/>
          </w:tcPr>
          <w:p w:rsidR="001F5B33" w:rsidRPr="00E3331A" w:rsidRDefault="001F5B33" w:rsidP="00D77378">
            <w:pPr>
              <w:pStyle w:val="Tablecontents"/>
            </w:pPr>
            <w:r w:rsidRPr="00E3331A">
              <w:rPr>
                <w:w w:val="105"/>
              </w:rPr>
              <w:t>Other</w:t>
            </w:r>
            <w:r w:rsidRPr="00E3331A">
              <w:rPr>
                <w:spacing w:val="19"/>
                <w:w w:val="105"/>
              </w:rPr>
              <w:t xml:space="preserve"> </w:t>
            </w:r>
            <w:r w:rsidRPr="00E3331A">
              <w:rPr>
                <w:w w:val="105"/>
              </w:rPr>
              <w:t>workers</w:t>
            </w:r>
          </w:p>
        </w:tc>
        <w:tc>
          <w:tcPr>
            <w:tcW w:w="1288" w:type="dxa"/>
            <w:shd w:val="clear" w:color="auto" w:fill="auto"/>
          </w:tcPr>
          <w:p w:rsidR="001F5B33" w:rsidRPr="00E3331A" w:rsidRDefault="001F5B33" w:rsidP="00D77378">
            <w:pPr>
              <w:pStyle w:val="Tablecontents"/>
            </w:pPr>
            <w:r w:rsidRPr="00E3331A">
              <w:t>462</w:t>
            </w:r>
          </w:p>
        </w:tc>
        <w:tc>
          <w:tcPr>
            <w:tcW w:w="1272" w:type="dxa"/>
            <w:shd w:val="clear" w:color="auto" w:fill="auto"/>
          </w:tcPr>
          <w:p w:rsidR="001F5B33" w:rsidRPr="00E3331A" w:rsidRDefault="001F5B33" w:rsidP="00D77378">
            <w:pPr>
              <w:pStyle w:val="Tablecontents"/>
            </w:pPr>
            <w:r w:rsidRPr="00E3331A">
              <w:t>30</w:t>
            </w:r>
          </w:p>
        </w:tc>
        <w:tc>
          <w:tcPr>
            <w:tcW w:w="1288" w:type="dxa"/>
            <w:shd w:val="clear" w:color="auto" w:fill="auto"/>
          </w:tcPr>
          <w:p w:rsidR="001F5B33" w:rsidRPr="00E3331A" w:rsidRDefault="001F5B33" w:rsidP="00D77378">
            <w:pPr>
              <w:pStyle w:val="Tablecontents"/>
            </w:pPr>
            <w:r w:rsidRPr="00E3331A">
              <w:t>173</w:t>
            </w:r>
          </w:p>
        </w:tc>
        <w:tc>
          <w:tcPr>
            <w:tcW w:w="1361" w:type="dxa"/>
            <w:shd w:val="clear" w:color="auto" w:fill="auto"/>
          </w:tcPr>
          <w:p w:rsidR="001F5B33" w:rsidRPr="00E3331A" w:rsidRDefault="001F5B33" w:rsidP="00D77378">
            <w:pPr>
              <w:pStyle w:val="Tablecontents"/>
            </w:pPr>
            <w:r w:rsidRPr="00E3331A">
              <w:t>0.3</w:t>
            </w:r>
          </w:p>
        </w:tc>
      </w:tr>
      <w:tr w:rsidR="00281EC2" w:rsidRPr="00E3331A" w:rsidTr="00C27ECE">
        <w:tc>
          <w:tcPr>
            <w:tcW w:w="3807" w:type="dxa"/>
            <w:shd w:val="clear" w:color="auto" w:fill="auto"/>
          </w:tcPr>
          <w:p w:rsidR="001F5B33" w:rsidRPr="00E3331A" w:rsidRDefault="001F5B33" w:rsidP="00D77378">
            <w:pPr>
              <w:pStyle w:val="Tablecontents"/>
            </w:pPr>
            <w:r w:rsidRPr="00E3331A">
              <w:t>Informal care</w:t>
            </w:r>
          </w:p>
        </w:tc>
        <w:tc>
          <w:tcPr>
            <w:tcW w:w="1288" w:type="dxa"/>
            <w:shd w:val="clear" w:color="auto" w:fill="auto"/>
          </w:tcPr>
          <w:p w:rsidR="001F5B33" w:rsidRPr="00E3331A" w:rsidRDefault="001F5B33" w:rsidP="00D77378">
            <w:pPr>
              <w:pStyle w:val="Tablecontents"/>
            </w:pPr>
            <w:r w:rsidRPr="00E3331A">
              <w:t>429</w:t>
            </w:r>
          </w:p>
        </w:tc>
        <w:tc>
          <w:tcPr>
            <w:tcW w:w="1272" w:type="dxa"/>
            <w:shd w:val="clear" w:color="auto" w:fill="auto"/>
          </w:tcPr>
          <w:p w:rsidR="001F5B33" w:rsidRPr="00E3331A" w:rsidRDefault="001F5B33" w:rsidP="00D77378">
            <w:pPr>
              <w:pStyle w:val="Tablecontents"/>
            </w:pPr>
            <w:r w:rsidRPr="00E3331A">
              <w:t>662</w:t>
            </w:r>
          </w:p>
        </w:tc>
        <w:tc>
          <w:tcPr>
            <w:tcW w:w="1288" w:type="dxa"/>
            <w:shd w:val="clear" w:color="auto" w:fill="auto"/>
          </w:tcPr>
          <w:p w:rsidR="001F5B33" w:rsidRPr="00E3331A" w:rsidRDefault="001F5B33" w:rsidP="00D77378">
            <w:pPr>
              <w:pStyle w:val="Tablecontents"/>
            </w:pPr>
            <w:r w:rsidRPr="00E3331A">
              <w:t>140</w:t>
            </w:r>
          </w:p>
        </w:tc>
        <w:tc>
          <w:tcPr>
            <w:tcW w:w="1361" w:type="dxa"/>
            <w:shd w:val="clear" w:color="auto" w:fill="auto"/>
          </w:tcPr>
          <w:p w:rsidR="001F5B33" w:rsidRPr="00E3331A" w:rsidRDefault="001F5B33" w:rsidP="00D77378">
            <w:pPr>
              <w:pStyle w:val="Tablecontents"/>
            </w:pPr>
            <w:r w:rsidRPr="00E3331A">
              <w:t>301</w:t>
            </w:r>
          </w:p>
        </w:tc>
      </w:tr>
      <w:tr w:rsidR="00281EC2" w:rsidRPr="00E3331A" w:rsidTr="00C27ECE">
        <w:tc>
          <w:tcPr>
            <w:tcW w:w="3807" w:type="dxa"/>
            <w:shd w:val="clear" w:color="auto" w:fill="auto"/>
          </w:tcPr>
          <w:p w:rsidR="001F5B33" w:rsidRPr="00E3331A" w:rsidRDefault="001F5B33" w:rsidP="00D77378">
            <w:pPr>
              <w:pStyle w:val="Tablecontents"/>
            </w:pPr>
            <w:r w:rsidRPr="00E3331A">
              <w:t>Non-drug costs</w:t>
            </w:r>
          </w:p>
        </w:tc>
        <w:tc>
          <w:tcPr>
            <w:tcW w:w="1288" w:type="dxa"/>
            <w:shd w:val="clear" w:color="auto" w:fill="auto"/>
          </w:tcPr>
          <w:p w:rsidR="001F5B33" w:rsidRPr="00E3331A" w:rsidRDefault="001F5B33" w:rsidP="00D77378">
            <w:pPr>
              <w:pStyle w:val="Tablecontents"/>
            </w:pPr>
            <w:r w:rsidRPr="00E3331A">
              <w:t>2</w:t>
            </w:r>
            <w:r w:rsidR="001937FC" w:rsidRPr="00E3331A">
              <w:t>,</w:t>
            </w:r>
            <w:r w:rsidRPr="00E3331A">
              <w:t>000</w:t>
            </w:r>
          </w:p>
        </w:tc>
        <w:tc>
          <w:tcPr>
            <w:tcW w:w="1272" w:type="dxa"/>
            <w:shd w:val="clear" w:color="auto" w:fill="auto"/>
          </w:tcPr>
          <w:p w:rsidR="001F5B33" w:rsidRPr="00E3331A" w:rsidRDefault="001F5B33" w:rsidP="00D77378">
            <w:pPr>
              <w:pStyle w:val="Tablecontents"/>
            </w:pPr>
            <w:r w:rsidRPr="00E3331A">
              <w:t>1</w:t>
            </w:r>
            <w:r w:rsidR="001937FC" w:rsidRPr="00E3331A">
              <w:t>,</w:t>
            </w:r>
            <w:r w:rsidRPr="00E3331A">
              <w:t>500</w:t>
            </w:r>
          </w:p>
        </w:tc>
        <w:tc>
          <w:tcPr>
            <w:tcW w:w="1288" w:type="dxa"/>
            <w:shd w:val="clear" w:color="auto" w:fill="auto"/>
          </w:tcPr>
          <w:p w:rsidR="001F5B33" w:rsidRPr="00E3331A" w:rsidRDefault="001F5B33" w:rsidP="00D77378">
            <w:pPr>
              <w:pStyle w:val="Tablecontents"/>
            </w:pPr>
            <w:r w:rsidRPr="00E3331A">
              <w:t>1</w:t>
            </w:r>
            <w:r w:rsidR="001937FC" w:rsidRPr="00E3331A">
              <w:t>,</w:t>
            </w:r>
            <w:r w:rsidRPr="00E3331A">
              <w:t>304</w:t>
            </w:r>
          </w:p>
        </w:tc>
        <w:tc>
          <w:tcPr>
            <w:tcW w:w="1361" w:type="dxa"/>
            <w:shd w:val="clear" w:color="auto" w:fill="auto"/>
          </w:tcPr>
          <w:p w:rsidR="001F5B33" w:rsidRPr="00E3331A" w:rsidRDefault="001F5B33" w:rsidP="00D77378">
            <w:pPr>
              <w:pStyle w:val="Tablecontents"/>
            </w:pPr>
            <w:r w:rsidRPr="00E3331A">
              <w:t>430</w:t>
            </w:r>
          </w:p>
        </w:tc>
      </w:tr>
      <w:tr w:rsidR="00281EC2" w:rsidRPr="00E3331A" w:rsidTr="00C27ECE">
        <w:tc>
          <w:tcPr>
            <w:tcW w:w="3807" w:type="dxa"/>
            <w:shd w:val="clear" w:color="auto" w:fill="auto"/>
          </w:tcPr>
          <w:p w:rsidR="001F5B33" w:rsidRPr="00E3331A" w:rsidRDefault="001F5B33" w:rsidP="00D77378">
            <w:pPr>
              <w:pStyle w:val="Tablecontents"/>
            </w:pPr>
            <w:r w:rsidRPr="00E3331A">
              <w:t>IVIg/prednisolone</w:t>
            </w:r>
          </w:p>
        </w:tc>
        <w:tc>
          <w:tcPr>
            <w:tcW w:w="1288" w:type="dxa"/>
            <w:shd w:val="clear" w:color="auto" w:fill="auto"/>
          </w:tcPr>
          <w:p w:rsidR="001F5B33" w:rsidRPr="00E3331A" w:rsidRDefault="00961E80" w:rsidP="00D77378">
            <w:pPr>
              <w:pStyle w:val="Tablecontents"/>
            </w:pPr>
            <w:r>
              <w:t>N/A</w:t>
            </w:r>
          </w:p>
        </w:tc>
        <w:tc>
          <w:tcPr>
            <w:tcW w:w="1272" w:type="dxa"/>
            <w:shd w:val="clear" w:color="auto" w:fill="auto"/>
          </w:tcPr>
          <w:p w:rsidR="001F5B33" w:rsidRPr="00E3331A" w:rsidRDefault="00961E80" w:rsidP="00D77378">
            <w:pPr>
              <w:pStyle w:val="Tablecontents"/>
            </w:pPr>
            <w:r>
              <w:t>N/A</w:t>
            </w:r>
          </w:p>
        </w:tc>
        <w:tc>
          <w:tcPr>
            <w:tcW w:w="1288" w:type="dxa"/>
            <w:shd w:val="clear" w:color="auto" w:fill="auto"/>
          </w:tcPr>
          <w:p w:rsidR="001F5B33" w:rsidRPr="00E3331A" w:rsidRDefault="001F5B33" w:rsidP="00D77378">
            <w:pPr>
              <w:pStyle w:val="Tablecontents"/>
            </w:pPr>
            <w:r w:rsidRPr="00E3331A">
              <w:t>8</w:t>
            </w:r>
          </w:p>
        </w:tc>
        <w:tc>
          <w:tcPr>
            <w:tcW w:w="1361" w:type="dxa"/>
            <w:shd w:val="clear" w:color="auto" w:fill="auto"/>
          </w:tcPr>
          <w:p w:rsidR="001F5B33" w:rsidRPr="00E3331A" w:rsidRDefault="001F5B33" w:rsidP="00D77378">
            <w:pPr>
              <w:pStyle w:val="Tablecontents"/>
            </w:pPr>
            <w:r w:rsidRPr="00E3331A">
              <w:t>4</w:t>
            </w:r>
            <w:r w:rsidR="001937FC" w:rsidRPr="00E3331A">
              <w:t>,</w:t>
            </w:r>
            <w:r w:rsidRPr="00E3331A">
              <w:t>321</w:t>
            </w:r>
          </w:p>
        </w:tc>
      </w:tr>
      <w:tr w:rsidR="00281EC2" w:rsidRPr="00E3331A" w:rsidTr="00C27ECE">
        <w:tc>
          <w:tcPr>
            <w:tcW w:w="3807" w:type="dxa"/>
            <w:shd w:val="clear" w:color="auto" w:fill="auto"/>
          </w:tcPr>
          <w:p w:rsidR="001F5B33" w:rsidRPr="00E3331A" w:rsidRDefault="001F5B33" w:rsidP="00D77378">
            <w:pPr>
              <w:pStyle w:val="Tablecontents"/>
            </w:pPr>
            <w:r w:rsidRPr="00E3331A">
              <w:t>Total</w:t>
            </w:r>
          </w:p>
        </w:tc>
        <w:tc>
          <w:tcPr>
            <w:tcW w:w="1288" w:type="dxa"/>
            <w:shd w:val="clear" w:color="auto" w:fill="auto"/>
          </w:tcPr>
          <w:p w:rsidR="001F5B33" w:rsidRPr="00E3331A" w:rsidRDefault="001F5B33" w:rsidP="00D77378">
            <w:pPr>
              <w:pStyle w:val="Tablecontents"/>
            </w:pPr>
            <w:r w:rsidRPr="00E3331A">
              <w:t>4</w:t>
            </w:r>
            <w:r w:rsidR="001937FC" w:rsidRPr="00E3331A">
              <w:t>,</w:t>
            </w:r>
            <w:r w:rsidRPr="00E3331A">
              <w:t>003</w:t>
            </w:r>
          </w:p>
        </w:tc>
        <w:tc>
          <w:tcPr>
            <w:tcW w:w="1272" w:type="dxa"/>
            <w:shd w:val="clear" w:color="auto" w:fill="auto"/>
          </w:tcPr>
          <w:p w:rsidR="001F5B33" w:rsidRPr="00E3331A" w:rsidRDefault="001F5B33" w:rsidP="00D77378">
            <w:pPr>
              <w:pStyle w:val="Tablecontents"/>
            </w:pPr>
            <w:r w:rsidRPr="00E3331A">
              <w:t>3</w:t>
            </w:r>
            <w:r w:rsidR="001937FC" w:rsidRPr="00E3331A">
              <w:t>,</w:t>
            </w:r>
            <w:r w:rsidRPr="00E3331A">
              <w:t>000</w:t>
            </w:r>
          </w:p>
        </w:tc>
        <w:tc>
          <w:tcPr>
            <w:tcW w:w="1288" w:type="dxa"/>
            <w:shd w:val="clear" w:color="auto" w:fill="auto"/>
          </w:tcPr>
          <w:p w:rsidR="001F5B33" w:rsidRPr="00E3331A" w:rsidRDefault="001F5B33" w:rsidP="00D77378">
            <w:pPr>
              <w:pStyle w:val="Tablecontents"/>
            </w:pPr>
            <w:r w:rsidRPr="00E3331A">
              <w:t>1</w:t>
            </w:r>
            <w:r w:rsidR="001937FC" w:rsidRPr="00E3331A">
              <w:t>,</w:t>
            </w:r>
            <w:r w:rsidRPr="00E3331A">
              <w:t>312</w:t>
            </w:r>
          </w:p>
        </w:tc>
        <w:tc>
          <w:tcPr>
            <w:tcW w:w="1361" w:type="dxa"/>
            <w:shd w:val="clear" w:color="auto" w:fill="auto"/>
          </w:tcPr>
          <w:p w:rsidR="001F5B33" w:rsidRPr="00E3331A" w:rsidRDefault="001F5B33" w:rsidP="00D77378">
            <w:pPr>
              <w:pStyle w:val="Tablecontents"/>
            </w:pPr>
            <w:r w:rsidRPr="00E3331A">
              <w:t>4751</w:t>
            </w:r>
          </w:p>
        </w:tc>
      </w:tr>
    </w:tbl>
    <w:p w:rsidR="001F5B33" w:rsidRPr="00E3331A" w:rsidRDefault="001F5B33" w:rsidP="0037150F">
      <w:pPr>
        <w:pStyle w:val="Tablenotes1"/>
      </w:pPr>
      <w:r w:rsidRPr="00E3331A">
        <w:rPr>
          <w:b/>
        </w:rPr>
        <w:t>Source</w:t>
      </w:r>
      <w:r w:rsidRPr="00E3331A">
        <w:t xml:space="preserve">: McCrone </w:t>
      </w:r>
      <w:r w:rsidR="00983BA7">
        <w:t xml:space="preserve">et al. </w:t>
      </w:r>
      <w:r w:rsidRPr="00E3331A">
        <w:t>(2003), Table 2, p. 691.</w:t>
      </w:r>
    </w:p>
    <w:p w:rsidR="001F5B33" w:rsidRPr="00E3331A" w:rsidRDefault="001F5B33" w:rsidP="00BB6E4C">
      <w:pPr>
        <w:pStyle w:val="BodyTextSTD"/>
      </w:pPr>
      <w:r w:rsidRPr="00E3331A">
        <w:t>Differences in the level of physical disability was the key difference between patients on each arm of the 6-week treatment.</w:t>
      </w:r>
      <w:r w:rsidR="00345C95" w:rsidRPr="00E3331A">
        <w:t xml:space="preserve"> </w:t>
      </w:r>
      <w:r w:rsidRPr="00E3331A">
        <w:t>The EuroQol EQ-5D score improved to a greater extent for Ig patients, although not statistically significant.</w:t>
      </w:r>
      <w:r w:rsidR="00345C95" w:rsidRPr="00E3331A">
        <w:t xml:space="preserve"> </w:t>
      </w:r>
      <w:r w:rsidRPr="00E3331A">
        <w:t xml:space="preserve">The average relative gain was 0.12 for Ig compared to prednisolone. Ig adverse events were not included in the economic model. </w:t>
      </w:r>
    </w:p>
    <w:p w:rsidR="001F5B33" w:rsidRPr="00E3331A" w:rsidRDefault="001F5B33" w:rsidP="00476A02">
      <w:pPr>
        <w:pStyle w:val="Heading6"/>
      </w:pPr>
      <w:r w:rsidRPr="00E3331A">
        <w:t xml:space="preserve">Bamrungsawad </w:t>
      </w:r>
      <w:r w:rsidR="00983BA7">
        <w:t xml:space="preserve">et al. </w:t>
      </w:r>
      <w:r w:rsidRPr="00E3331A">
        <w:t>(2016)</w:t>
      </w:r>
    </w:p>
    <w:p w:rsidR="001F5B33" w:rsidRPr="00E3331A" w:rsidRDefault="001F5B33" w:rsidP="00BB6E4C">
      <w:pPr>
        <w:pStyle w:val="BodyTextSTD"/>
      </w:pPr>
      <w:r w:rsidRPr="00E3331A">
        <w:t>This economic study examined the use of Ig and corticosteroids with immunosuppressants plus corticosteroids in steroid</w:t>
      </w:r>
      <w:r w:rsidR="00200432" w:rsidRPr="00E3331A">
        <w:t>-</w:t>
      </w:r>
      <w:r w:rsidRPr="00E3331A">
        <w:t xml:space="preserve">resistant Thai CIDP patients using Markov modelling. Steroid-resistant CIDP patients were characterised as those who gained no benefit or no remission within </w:t>
      </w:r>
      <w:r w:rsidR="00200432" w:rsidRPr="00E3331A">
        <w:t xml:space="preserve">three </w:t>
      </w:r>
      <w:r w:rsidRPr="00E3331A">
        <w:t xml:space="preserve">months of </w:t>
      </w:r>
      <w:r w:rsidRPr="00E3331A">
        <w:lastRenderedPageBreak/>
        <w:t>starting corticosteroid therapy. A cycle length of 12 weeks was included in the model</w:t>
      </w:r>
      <w:r w:rsidR="00200432" w:rsidRPr="00E3331A">
        <w:t>,</w:t>
      </w:r>
      <w:r w:rsidRPr="00E3331A">
        <w:t xml:space="preserve"> which consisted of </w:t>
      </w:r>
      <w:r w:rsidR="00200432" w:rsidRPr="00E3331A">
        <w:t xml:space="preserve">health states of </w:t>
      </w:r>
      <w:r w:rsidRPr="00E3331A">
        <w:t>initial treatment, no response, relapse, remission, disability and death.</w:t>
      </w:r>
      <w:r w:rsidRPr="00E3331A">
        <w:rPr>
          <w:rStyle w:val="FootnoteReference"/>
        </w:rPr>
        <w:footnoteReference w:id="28"/>
      </w:r>
      <w:r w:rsidRPr="00E3331A">
        <w:t xml:space="preserve"> </w:t>
      </w:r>
    </w:p>
    <w:p w:rsidR="001F5B33" w:rsidRPr="00E3331A" w:rsidRDefault="001F5B33" w:rsidP="00BB6E4C">
      <w:pPr>
        <w:pStyle w:val="BodyTextSTD"/>
      </w:pPr>
      <w:r w:rsidRPr="00E3331A">
        <w:t xml:space="preserve">Model parameters were sourced from clinical literature, meta-analyses, medical record reviews and electronic hospital databases. The authors noted </w:t>
      </w:r>
      <w:r w:rsidR="00200432" w:rsidRPr="00E3331A">
        <w:t xml:space="preserve">that </w:t>
      </w:r>
      <w:r w:rsidRPr="00E3331A">
        <w:t>there were no previous studies report</w:t>
      </w:r>
      <w:r w:rsidR="00200432" w:rsidRPr="00E3331A">
        <w:t>ing</w:t>
      </w:r>
      <w:r w:rsidRPr="00E3331A">
        <w:t xml:space="preserve"> CIDP-specific utility data or any </w:t>
      </w:r>
      <w:r w:rsidR="002D3966" w:rsidRPr="00E3331A">
        <w:t>HRQoL</w:t>
      </w:r>
      <w:r w:rsidRPr="00E3331A">
        <w:t xml:space="preserve"> </w:t>
      </w:r>
      <w:r w:rsidR="00200432" w:rsidRPr="00E3331A">
        <w:t xml:space="preserve">data </w:t>
      </w:r>
      <w:r w:rsidRPr="00E3331A">
        <w:t>suitable for conversion into utility values. They applied the Thai EuroQol 5D (EQ-5D-3L) questionnaire to 11 patients using purposive sampling. The utility scores of pre-disabled and disabled patients were 0.546 and -0.178 for 7 and 4 patients</w:t>
      </w:r>
      <w:r w:rsidR="00200432" w:rsidRPr="00E3331A">
        <w:t xml:space="preserve">, respectively, </w:t>
      </w:r>
      <w:r w:rsidRPr="00E3331A">
        <w:t xml:space="preserve">in each of these states. A disabled patient was defined as someone with MRC scale </w:t>
      </w:r>
      <w:r w:rsidR="00200432" w:rsidRPr="00E3331A">
        <w:t xml:space="preserve">of three or less </w:t>
      </w:r>
      <w:r w:rsidRPr="00E3331A">
        <w:t xml:space="preserve">for one muscle group. An </w:t>
      </w:r>
      <w:r w:rsidR="002D3966" w:rsidRPr="00E3331A">
        <w:t>ICER</w:t>
      </w:r>
      <w:r w:rsidRPr="00E3331A">
        <w:t xml:space="preserve"> of US$1,672 per QALY gained was estimated. Model results were most sensitive to the utility score of disabled patients. </w:t>
      </w:r>
    </w:p>
    <w:p w:rsidR="001F5B33" w:rsidRPr="00E3331A" w:rsidRDefault="001F5B33" w:rsidP="00476A02">
      <w:pPr>
        <w:pStyle w:val="Heading6"/>
      </w:pPr>
      <w:r w:rsidRPr="00E3331A">
        <w:t>Cocito (2012)</w:t>
      </w:r>
    </w:p>
    <w:p w:rsidR="001F5B33" w:rsidRPr="00E3331A" w:rsidRDefault="001F5B33" w:rsidP="00BB6E4C">
      <w:pPr>
        <w:pStyle w:val="BodyTextSTD"/>
      </w:pPr>
      <w:r w:rsidRPr="00E3331A">
        <w:t xml:space="preserve">This economic study was undertaken in Italy to compare home-delivered SCIg with hospital-based IV Ig. The study included 10 patients (5 CIDP, 5 MMN) who had previously been treated with IV Ig in hospital for </w:t>
      </w:r>
      <w:r w:rsidR="00D61A8B" w:rsidRPr="00E3331A">
        <w:t xml:space="preserve">six </w:t>
      </w:r>
      <w:r w:rsidRPr="00E3331A">
        <w:t xml:space="preserve">months. Self-administered questionnaires were completed within 15 days of the last IVIg infusion and after </w:t>
      </w:r>
      <w:r w:rsidR="00D61A8B" w:rsidRPr="00E3331A">
        <w:t xml:space="preserve">six </w:t>
      </w:r>
      <w:r w:rsidRPr="00E3331A">
        <w:t xml:space="preserve">months of SCIg treatment. Costs of immunoglobulin, infusion pumps, infusion materials, medical staff, monitoring, and side effects (SE) were included in the analysis. </w:t>
      </w:r>
    </w:p>
    <w:p w:rsidR="001F5B33" w:rsidRPr="00E3331A" w:rsidRDefault="001F5B33" w:rsidP="00BB6E4C">
      <w:pPr>
        <w:pStyle w:val="BodyTextSTD"/>
      </w:pPr>
      <w:r w:rsidRPr="00E3331A">
        <w:t>Similar monthly dosing was included for IVIg and SCIg. IVIg was administered as a daily dose for two consecutive days every month</w:t>
      </w:r>
      <w:r w:rsidR="00D61A8B" w:rsidRPr="00E3331A">
        <w:t>,</w:t>
      </w:r>
      <w:r w:rsidRPr="00E3331A">
        <w:t xml:space="preserve"> while SCIg involved five weekly infusions of a 3.2g dose. </w:t>
      </w:r>
      <w:r w:rsidR="00D61A8B" w:rsidRPr="00E3331A">
        <w:t>C</w:t>
      </w:r>
      <w:r w:rsidRPr="00E3331A">
        <w:t xml:space="preserve">ost of Ig was </w:t>
      </w:r>
      <w:r w:rsidR="00F34FDE" w:rsidRPr="00E3331A">
        <w:rPr>
          <w:rFonts w:cs="Calibri"/>
        </w:rPr>
        <w:t>€</w:t>
      </w:r>
      <w:r w:rsidRPr="00E3331A">
        <w:t xml:space="preserve">48/g for IVIg and ¤ </w:t>
      </w:r>
      <w:r w:rsidR="00F34FDE" w:rsidRPr="00E3331A">
        <w:rPr>
          <w:rFonts w:cs="Calibri"/>
        </w:rPr>
        <w:t>€</w:t>
      </w:r>
      <w:r w:rsidRPr="00E3331A">
        <w:t xml:space="preserve">49.2/g for SCIg outlined in </w:t>
      </w:r>
      <w:r w:rsidR="006F35B9" w:rsidRPr="006F35B9">
        <w:t xml:space="preserve">Table </w:t>
      </w:r>
      <w:r w:rsidR="006F35B9" w:rsidRPr="006F35B9">
        <w:rPr>
          <w:noProof/>
        </w:rPr>
        <w:t>60</w:t>
      </w:r>
      <w:r w:rsidRPr="00E3331A">
        <w:t xml:space="preserve"> for a base</w:t>
      </w:r>
      <w:r w:rsidR="00D45BCF" w:rsidRPr="00E3331A">
        <w:t>-</w:t>
      </w:r>
      <w:r w:rsidRPr="00E3331A">
        <w:t xml:space="preserve">case analysis. </w:t>
      </w:r>
      <w:r w:rsidR="00D61A8B" w:rsidRPr="00E3331A">
        <w:t xml:space="preserve">Estimates </w:t>
      </w:r>
      <w:r w:rsidRPr="00E3331A">
        <w:t xml:space="preserve">were based on an adult weight of 70kg and monthly Ig dose of 1g/kg body weight. SCIg had lower </w:t>
      </w:r>
      <w:r w:rsidR="00D61A8B" w:rsidRPr="00E3331A">
        <w:t xml:space="preserve">costs for </w:t>
      </w:r>
      <w:r w:rsidRPr="00E3331A">
        <w:t xml:space="preserve">medical-nursing staff and </w:t>
      </w:r>
      <w:r w:rsidR="00D61A8B" w:rsidRPr="00E3331A">
        <w:t xml:space="preserve">treatment of </w:t>
      </w:r>
      <w:r w:rsidRPr="00E3331A">
        <w:t>serious event</w:t>
      </w:r>
      <w:r w:rsidR="00D61A8B" w:rsidRPr="00E3331A">
        <w:t>s</w:t>
      </w:r>
      <w:r w:rsidRPr="00E3331A">
        <w:t xml:space="preserve">. The cost of Ig accounted for 97% of direct costs </w:t>
      </w:r>
      <w:r w:rsidR="00D61A8B" w:rsidRPr="00E3331A">
        <w:t>for</w:t>
      </w:r>
      <w:r w:rsidRPr="00E3331A">
        <w:t xml:space="preserve"> SCIg and 93% for IVIg. The yearly dose was calculated at 840g/patient</w:t>
      </w:r>
      <w:r w:rsidR="00D61A8B" w:rsidRPr="00E3331A">
        <w:t>,</w:t>
      </w:r>
      <w:r w:rsidRPr="00E3331A">
        <w:t xml:space="preserve"> which is around double </w:t>
      </w:r>
      <w:r w:rsidR="00D61A8B" w:rsidRPr="00E3331A">
        <w:t xml:space="preserve">the </w:t>
      </w:r>
      <w:r w:rsidRPr="00E3331A">
        <w:t xml:space="preserve">average </w:t>
      </w:r>
      <w:r w:rsidR="00D61A8B" w:rsidRPr="00E3331A">
        <w:t>dose</w:t>
      </w:r>
      <w:r w:rsidRPr="00E3331A">
        <w:t xml:space="preserve"> in Australia.</w:t>
      </w:r>
    </w:p>
    <w:p w:rsidR="001F5B33" w:rsidRPr="00E3331A" w:rsidRDefault="001F5B33" w:rsidP="001F5B33">
      <w:pPr>
        <w:pStyle w:val="Tablename0"/>
        <w:rPr>
          <w:sz w:val="20"/>
        </w:rPr>
      </w:pPr>
      <w:bookmarkStart w:id="399" w:name="_Ref8140307"/>
      <w:bookmarkStart w:id="400" w:name="_Toc24103366"/>
      <w:r w:rsidRPr="00E3331A">
        <w:rPr>
          <w:sz w:val="20"/>
        </w:rPr>
        <w:t xml:space="preserve">Table </w:t>
      </w:r>
      <w:r w:rsidR="006F35B9">
        <w:rPr>
          <w:noProof/>
          <w:sz w:val="20"/>
        </w:rPr>
        <w:t>60</w:t>
      </w:r>
      <w:bookmarkEnd w:id="399"/>
      <w:r w:rsidR="00D61A8B" w:rsidRPr="00E3331A">
        <w:rPr>
          <w:sz w:val="20"/>
        </w:rPr>
        <w:tab/>
      </w:r>
      <w:r w:rsidRPr="00E3331A">
        <w:rPr>
          <w:sz w:val="20"/>
        </w:rPr>
        <w:t>Costs of IVIg and SCIg</w:t>
      </w:r>
      <w:r w:rsidR="00F34FDE" w:rsidRPr="00E3331A">
        <w:rPr>
          <w:sz w:val="20"/>
        </w:rPr>
        <w:t xml:space="preserve"> (</w:t>
      </w:r>
      <w:r w:rsidR="00F34FDE" w:rsidRPr="00E3331A">
        <w:rPr>
          <w:rFonts w:cs="Calibri"/>
        </w:rPr>
        <w:t>€)</w:t>
      </w:r>
      <w:bookmarkEnd w:id="4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67"/>
        <w:gridCol w:w="2283"/>
        <w:gridCol w:w="2283"/>
        <w:gridCol w:w="2283"/>
      </w:tblGrid>
      <w:tr w:rsidR="007C55CB" w:rsidRPr="00E3331A" w:rsidTr="007C55CB">
        <w:tc>
          <w:tcPr>
            <w:tcW w:w="1202" w:type="pct"/>
            <w:vMerge w:val="restart"/>
            <w:tcBorders>
              <w:top w:val="single" w:sz="4" w:space="0" w:color="auto"/>
            </w:tcBorders>
            <w:vAlign w:val="center"/>
          </w:tcPr>
          <w:p w:rsidR="007C55CB" w:rsidRPr="00E3331A" w:rsidRDefault="007C55CB" w:rsidP="00FF1422">
            <w:pPr>
              <w:pStyle w:val="TableParagraph"/>
              <w:jc w:val="center"/>
              <w:rPr>
                <w:rFonts w:ascii="Arial Narrow" w:hAnsi="Arial Narrow" w:cs="Calibri"/>
                <w:b/>
                <w:sz w:val="20"/>
                <w:szCs w:val="20"/>
              </w:rPr>
            </w:pPr>
            <w:r>
              <w:rPr>
                <w:rFonts w:ascii="Arial Narrow" w:hAnsi="Arial Narrow" w:cs="Calibri"/>
                <w:b/>
                <w:sz w:val="20"/>
                <w:szCs w:val="20"/>
              </w:rPr>
              <w:t>Component</w:t>
            </w:r>
          </w:p>
        </w:tc>
        <w:tc>
          <w:tcPr>
            <w:tcW w:w="3798" w:type="pct"/>
            <w:gridSpan w:val="3"/>
            <w:tcBorders>
              <w:top w:val="single" w:sz="4" w:space="0" w:color="auto"/>
            </w:tcBorders>
            <w:vAlign w:val="center"/>
          </w:tcPr>
          <w:p w:rsidR="007C55CB" w:rsidRPr="00E3331A" w:rsidRDefault="007C55CB" w:rsidP="00493DDF">
            <w:pPr>
              <w:pStyle w:val="TableParagraph"/>
              <w:jc w:val="center"/>
              <w:rPr>
                <w:rFonts w:ascii="Arial Narrow" w:hAnsi="Arial Narrow" w:cs="Univers"/>
                <w:b/>
                <w:sz w:val="20"/>
                <w:szCs w:val="20"/>
              </w:rPr>
            </w:pPr>
            <w:r w:rsidRPr="00E3331A">
              <w:rPr>
                <w:rFonts w:ascii="Arial Narrow" w:hAnsi="Arial Narrow" w:cs="Calibri"/>
                <w:b/>
                <w:sz w:val="20"/>
                <w:szCs w:val="20"/>
              </w:rPr>
              <w:t>Cost in Euros</w:t>
            </w:r>
          </w:p>
        </w:tc>
      </w:tr>
      <w:tr w:rsidR="007C55CB" w:rsidRPr="00E3331A" w:rsidTr="009F4F4E">
        <w:tc>
          <w:tcPr>
            <w:tcW w:w="1202" w:type="pct"/>
            <w:vMerge/>
            <w:vAlign w:val="center"/>
          </w:tcPr>
          <w:p w:rsidR="007C55CB" w:rsidRPr="00E3331A" w:rsidRDefault="007C55CB" w:rsidP="00FF1422">
            <w:pPr>
              <w:pStyle w:val="TableParagraph"/>
              <w:jc w:val="center"/>
              <w:rPr>
                <w:rFonts w:ascii="Arial Narrow" w:hAnsi="Arial Narrow" w:cs="Calibri"/>
                <w:b/>
                <w:sz w:val="20"/>
                <w:szCs w:val="20"/>
              </w:rPr>
            </w:pPr>
          </w:p>
        </w:tc>
        <w:tc>
          <w:tcPr>
            <w:tcW w:w="1266" w:type="pct"/>
            <w:tcBorders>
              <w:top w:val="single" w:sz="4" w:space="0" w:color="auto"/>
            </w:tcBorders>
            <w:vAlign w:val="center"/>
          </w:tcPr>
          <w:p w:rsidR="007C55CB" w:rsidRPr="00E3331A" w:rsidRDefault="007C55CB" w:rsidP="00493DDF">
            <w:pPr>
              <w:pStyle w:val="TableParagraph"/>
              <w:jc w:val="center"/>
              <w:rPr>
                <w:rFonts w:ascii="Arial Narrow" w:hAnsi="Arial Narrow" w:cs="Calibri"/>
                <w:b/>
                <w:sz w:val="20"/>
                <w:szCs w:val="20"/>
              </w:rPr>
            </w:pPr>
            <w:r w:rsidRPr="00E3331A">
              <w:rPr>
                <w:rFonts w:ascii="Arial Narrow" w:hAnsi="Arial Narrow" w:cs="Univers"/>
                <w:b/>
                <w:sz w:val="20"/>
                <w:szCs w:val="20"/>
              </w:rPr>
              <w:t xml:space="preserve">SCIg </w:t>
            </w:r>
          </w:p>
        </w:tc>
        <w:tc>
          <w:tcPr>
            <w:tcW w:w="1266" w:type="pct"/>
            <w:tcBorders>
              <w:top w:val="single" w:sz="4" w:space="0" w:color="auto"/>
            </w:tcBorders>
            <w:vAlign w:val="center"/>
          </w:tcPr>
          <w:p w:rsidR="007C55CB" w:rsidRPr="00E3331A" w:rsidRDefault="007C55CB" w:rsidP="00493DDF">
            <w:pPr>
              <w:pStyle w:val="TableParagraph"/>
              <w:jc w:val="center"/>
              <w:rPr>
                <w:rFonts w:ascii="Arial Narrow" w:hAnsi="Arial Narrow" w:cs="Calibri"/>
                <w:b/>
                <w:sz w:val="20"/>
                <w:szCs w:val="20"/>
              </w:rPr>
            </w:pPr>
            <w:r w:rsidRPr="00E3331A">
              <w:rPr>
                <w:rFonts w:ascii="Arial Narrow" w:hAnsi="Arial Narrow" w:cs="Univers"/>
                <w:b/>
                <w:sz w:val="20"/>
                <w:szCs w:val="20"/>
              </w:rPr>
              <w:t xml:space="preserve">IVIg </w:t>
            </w:r>
          </w:p>
        </w:tc>
        <w:tc>
          <w:tcPr>
            <w:tcW w:w="1266" w:type="pct"/>
            <w:tcBorders>
              <w:top w:val="single" w:sz="4" w:space="0" w:color="auto"/>
            </w:tcBorders>
            <w:vAlign w:val="center"/>
          </w:tcPr>
          <w:p w:rsidR="007C55CB" w:rsidRPr="00E3331A" w:rsidRDefault="007C55CB" w:rsidP="00493DDF">
            <w:pPr>
              <w:pStyle w:val="TableParagraph"/>
              <w:jc w:val="center"/>
              <w:rPr>
                <w:rFonts w:ascii="Arial Narrow" w:hAnsi="Arial Narrow" w:cs="Calibri"/>
                <w:b/>
                <w:sz w:val="20"/>
                <w:szCs w:val="20"/>
              </w:rPr>
            </w:pPr>
            <w:r w:rsidRPr="00E3331A">
              <w:rPr>
                <w:rFonts w:ascii="Arial Narrow" w:hAnsi="Arial Narrow" w:cs="Univers"/>
                <w:b/>
                <w:sz w:val="20"/>
                <w:szCs w:val="20"/>
              </w:rPr>
              <w:t>Difference</w:t>
            </w:r>
          </w:p>
        </w:tc>
      </w:tr>
      <w:tr w:rsidR="001F5B33" w:rsidRPr="00E3331A" w:rsidTr="00D77378">
        <w:tc>
          <w:tcPr>
            <w:tcW w:w="1202" w:type="pct"/>
            <w:tcBorders>
              <w:top w:val="single" w:sz="4" w:space="0" w:color="auto"/>
            </w:tcBorders>
            <w:vAlign w:val="center"/>
          </w:tcPr>
          <w:p w:rsidR="001F5B33" w:rsidRPr="00E3331A" w:rsidRDefault="001F5B33" w:rsidP="00D77378">
            <w:pPr>
              <w:pStyle w:val="Tablecontents"/>
              <w:jc w:val="center"/>
              <w:rPr>
                <w:rFonts w:eastAsia="Lucida Sans" w:cs="Lucida Sans"/>
              </w:rPr>
            </w:pPr>
            <w:r w:rsidRPr="00E3331A">
              <w:t>Immunoglobulin</w:t>
            </w:r>
          </w:p>
        </w:tc>
        <w:tc>
          <w:tcPr>
            <w:tcW w:w="1266" w:type="pct"/>
            <w:tcBorders>
              <w:top w:val="single" w:sz="4" w:space="0" w:color="auto"/>
            </w:tcBorders>
            <w:vAlign w:val="center"/>
          </w:tcPr>
          <w:p w:rsidR="001F5B33" w:rsidRPr="00E3331A" w:rsidRDefault="001F5B33" w:rsidP="00D77378">
            <w:pPr>
              <w:pStyle w:val="Tablecontents"/>
              <w:jc w:val="center"/>
              <w:rPr>
                <w:rFonts w:eastAsia="Lucida Sans" w:cs="Lucida Sans"/>
              </w:rPr>
            </w:pPr>
            <w:r w:rsidRPr="00E3331A">
              <w:t>41,328</w:t>
            </w:r>
          </w:p>
        </w:tc>
        <w:tc>
          <w:tcPr>
            <w:tcW w:w="1266" w:type="pct"/>
            <w:tcBorders>
              <w:top w:val="single" w:sz="4" w:space="0" w:color="auto"/>
            </w:tcBorders>
            <w:vAlign w:val="center"/>
          </w:tcPr>
          <w:p w:rsidR="001F5B33" w:rsidRPr="00E3331A" w:rsidRDefault="001F5B33" w:rsidP="00D77378">
            <w:pPr>
              <w:pStyle w:val="Tablecontents"/>
              <w:jc w:val="center"/>
              <w:rPr>
                <w:rFonts w:eastAsia="Lucida Sans" w:cs="Lucida Sans"/>
              </w:rPr>
            </w:pPr>
            <w:r w:rsidRPr="00E3331A">
              <w:t>40,320</w:t>
            </w:r>
          </w:p>
        </w:tc>
        <w:tc>
          <w:tcPr>
            <w:tcW w:w="1266" w:type="pct"/>
            <w:tcBorders>
              <w:top w:val="single" w:sz="4" w:space="0" w:color="auto"/>
            </w:tcBorders>
            <w:vAlign w:val="center"/>
          </w:tcPr>
          <w:p w:rsidR="001F5B33" w:rsidRPr="00E3331A" w:rsidRDefault="001F5B33" w:rsidP="00D77378">
            <w:pPr>
              <w:pStyle w:val="Tablecontents"/>
              <w:jc w:val="center"/>
              <w:rPr>
                <w:rFonts w:eastAsia="Lucida Sans" w:cs="Lucida Sans"/>
              </w:rPr>
            </w:pPr>
            <w:r w:rsidRPr="00E3331A">
              <w:t>1008</w:t>
            </w:r>
          </w:p>
        </w:tc>
      </w:tr>
      <w:tr w:rsidR="001F5B33" w:rsidRPr="00E3331A" w:rsidTr="00D77378">
        <w:tc>
          <w:tcPr>
            <w:tcW w:w="1202" w:type="pct"/>
            <w:vAlign w:val="center"/>
          </w:tcPr>
          <w:p w:rsidR="001F5B33" w:rsidRPr="00E3331A" w:rsidRDefault="001F5B33" w:rsidP="00D77378">
            <w:pPr>
              <w:pStyle w:val="Tablecontents"/>
              <w:jc w:val="center"/>
            </w:pPr>
            <w:r w:rsidRPr="00E3331A">
              <w:t>Infusion pump</w:t>
            </w:r>
          </w:p>
        </w:tc>
        <w:tc>
          <w:tcPr>
            <w:tcW w:w="1266" w:type="pct"/>
            <w:vAlign w:val="center"/>
          </w:tcPr>
          <w:p w:rsidR="001F5B33" w:rsidRPr="00E3331A" w:rsidRDefault="001F5B33" w:rsidP="00D77378">
            <w:pPr>
              <w:pStyle w:val="Tablecontents"/>
              <w:jc w:val="center"/>
              <w:rPr>
                <w:rFonts w:eastAsia="Lucida Sans" w:cs="Lucida Sans"/>
              </w:rPr>
            </w:pPr>
            <w:r w:rsidRPr="00E3331A">
              <w:rPr>
                <w:rFonts w:eastAsia="Lucida Sans" w:cs="Lucida Sans"/>
              </w:rPr>
              <w:t>266</w:t>
            </w:r>
          </w:p>
        </w:tc>
        <w:tc>
          <w:tcPr>
            <w:tcW w:w="1266" w:type="pct"/>
            <w:vAlign w:val="center"/>
          </w:tcPr>
          <w:p w:rsidR="001F5B33" w:rsidRPr="00E3331A" w:rsidRDefault="001F5B33" w:rsidP="00D77378">
            <w:pPr>
              <w:pStyle w:val="Tablecontents"/>
              <w:jc w:val="center"/>
              <w:rPr>
                <w:rFonts w:eastAsia="Lucida Sans" w:cs="Lucida Sans"/>
              </w:rPr>
            </w:pPr>
            <w:r w:rsidRPr="00E3331A">
              <w:rPr>
                <w:rFonts w:eastAsia="Lucida Sans" w:cs="Lucida Sans"/>
              </w:rPr>
              <w:t>0</w:t>
            </w:r>
          </w:p>
        </w:tc>
        <w:tc>
          <w:tcPr>
            <w:tcW w:w="1266" w:type="pct"/>
            <w:vAlign w:val="center"/>
          </w:tcPr>
          <w:p w:rsidR="001F5B33" w:rsidRPr="00E3331A" w:rsidRDefault="001F5B33" w:rsidP="00D77378">
            <w:pPr>
              <w:pStyle w:val="Tablecontents"/>
              <w:jc w:val="center"/>
              <w:rPr>
                <w:rFonts w:eastAsia="Lucida Sans" w:cs="Lucida Sans"/>
              </w:rPr>
            </w:pPr>
            <w:r w:rsidRPr="00E3331A">
              <w:rPr>
                <w:rFonts w:eastAsia="Lucida Sans" w:cs="Lucida Sans"/>
              </w:rPr>
              <w:t>266</w:t>
            </w:r>
          </w:p>
        </w:tc>
      </w:tr>
      <w:tr w:rsidR="001F5B33" w:rsidRPr="00E3331A" w:rsidTr="00D77378">
        <w:tc>
          <w:tcPr>
            <w:tcW w:w="1202" w:type="pct"/>
            <w:vAlign w:val="center"/>
          </w:tcPr>
          <w:p w:rsidR="001F5B33" w:rsidRPr="00E3331A" w:rsidRDefault="001F5B33" w:rsidP="00D77378">
            <w:pPr>
              <w:pStyle w:val="Tablecontents"/>
              <w:jc w:val="center"/>
            </w:pPr>
            <w:r w:rsidRPr="00E3331A">
              <w:t>Infusion materials</w:t>
            </w:r>
          </w:p>
        </w:tc>
        <w:tc>
          <w:tcPr>
            <w:tcW w:w="1266" w:type="pct"/>
            <w:vAlign w:val="center"/>
          </w:tcPr>
          <w:p w:rsidR="001F5B33" w:rsidRPr="00E3331A" w:rsidRDefault="001F5B33" w:rsidP="00D77378">
            <w:pPr>
              <w:pStyle w:val="Tablecontents"/>
              <w:jc w:val="center"/>
              <w:rPr>
                <w:rFonts w:eastAsia="Lucida Sans" w:cs="Lucida Sans"/>
              </w:rPr>
            </w:pPr>
            <w:r w:rsidRPr="00E3331A">
              <w:t>1,072</w:t>
            </w:r>
          </w:p>
        </w:tc>
        <w:tc>
          <w:tcPr>
            <w:tcW w:w="1266" w:type="pct"/>
            <w:vAlign w:val="center"/>
          </w:tcPr>
          <w:p w:rsidR="001F5B33" w:rsidRPr="00E3331A" w:rsidRDefault="001F5B33" w:rsidP="00D77378">
            <w:pPr>
              <w:pStyle w:val="Tablecontents"/>
              <w:jc w:val="center"/>
              <w:rPr>
                <w:rFonts w:eastAsia="Lucida Sans" w:cs="Lucida Sans"/>
              </w:rPr>
            </w:pPr>
            <w:r w:rsidRPr="00E3331A">
              <w:t>384</w:t>
            </w:r>
          </w:p>
        </w:tc>
        <w:tc>
          <w:tcPr>
            <w:tcW w:w="1266" w:type="pct"/>
            <w:vAlign w:val="center"/>
          </w:tcPr>
          <w:p w:rsidR="001F5B33" w:rsidRPr="00E3331A" w:rsidRDefault="001F5B33" w:rsidP="00D77378">
            <w:pPr>
              <w:pStyle w:val="Tablecontents"/>
              <w:jc w:val="center"/>
              <w:rPr>
                <w:rFonts w:eastAsia="Lucida Sans" w:cs="Lucida Sans"/>
              </w:rPr>
            </w:pPr>
            <w:r w:rsidRPr="00E3331A">
              <w:t>688</w:t>
            </w:r>
          </w:p>
        </w:tc>
      </w:tr>
      <w:tr w:rsidR="001F5B33" w:rsidRPr="00E3331A" w:rsidTr="00D77378">
        <w:tc>
          <w:tcPr>
            <w:tcW w:w="1202" w:type="pct"/>
            <w:vAlign w:val="center"/>
          </w:tcPr>
          <w:p w:rsidR="001F5B33" w:rsidRPr="00E3331A" w:rsidRDefault="001F5B33" w:rsidP="00D77378">
            <w:pPr>
              <w:pStyle w:val="Tablecontents"/>
              <w:jc w:val="center"/>
            </w:pPr>
            <w:r w:rsidRPr="00E3331A">
              <w:lastRenderedPageBreak/>
              <w:t>Medical and nursing staff</w:t>
            </w:r>
          </w:p>
        </w:tc>
        <w:tc>
          <w:tcPr>
            <w:tcW w:w="1266" w:type="pct"/>
            <w:vAlign w:val="center"/>
          </w:tcPr>
          <w:p w:rsidR="001F5B33" w:rsidRPr="00E3331A" w:rsidRDefault="001F5B33" w:rsidP="00D77378">
            <w:pPr>
              <w:pStyle w:val="Tablecontents"/>
              <w:jc w:val="center"/>
              <w:rPr>
                <w:rFonts w:eastAsia="Lucida Sans" w:cs="Lucida Sans"/>
              </w:rPr>
            </w:pPr>
            <w:r w:rsidRPr="00E3331A">
              <w:t>106</w:t>
            </w:r>
          </w:p>
        </w:tc>
        <w:tc>
          <w:tcPr>
            <w:tcW w:w="1266" w:type="pct"/>
            <w:vAlign w:val="center"/>
          </w:tcPr>
          <w:p w:rsidR="001F5B33" w:rsidRPr="00E3331A" w:rsidRDefault="001F5B33" w:rsidP="00D77378">
            <w:pPr>
              <w:pStyle w:val="Tablecontents"/>
              <w:jc w:val="center"/>
              <w:rPr>
                <w:rFonts w:eastAsia="Lucida Sans" w:cs="Lucida Sans"/>
              </w:rPr>
            </w:pPr>
            <w:r w:rsidRPr="00E3331A">
              <w:t>1, 332</w:t>
            </w:r>
          </w:p>
        </w:tc>
        <w:tc>
          <w:tcPr>
            <w:tcW w:w="1266" w:type="pct"/>
            <w:vAlign w:val="center"/>
          </w:tcPr>
          <w:p w:rsidR="001F5B33" w:rsidRPr="00E3331A" w:rsidRDefault="001F5B33" w:rsidP="00D77378">
            <w:pPr>
              <w:pStyle w:val="Tablecontents"/>
              <w:jc w:val="center"/>
              <w:rPr>
                <w:rFonts w:eastAsia="Lucida Sans" w:cs="Lucida Sans"/>
              </w:rPr>
            </w:pPr>
            <w:r w:rsidRPr="00E3331A">
              <w:t>−1,227</w:t>
            </w:r>
          </w:p>
        </w:tc>
      </w:tr>
      <w:tr w:rsidR="001F5B33" w:rsidRPr="00E3331A" w:rsidTr="00D77378">
        <w:tc>
          <w:tcPr>
            <w:tcW w:w="1202" w:type="pct"/>
            <w:vAlign w:val="center"/>
          </w:tcPr>
          <w:p w:rsidR="001F5B33" w:rsidRPr="00E3331A" w:rsidRDefault="001F5B33" w:rsidP="00D77378">
            <w:pPr>
              <w:pStyle w:val="Tablecontents"/>
              <w:jc w:val="center"/>
            </w:pPr>
            <w:r w:rsidRPr="00E3331A">
              <w:t>Pre</w:t>
            </w:r>
            <w:r w:rsidR="00D45BCF" w:rsidRPr="00E3331A">
              <w:t>-medication</w:t>
            </w:r>
          </w:p>
        </w:tc>
        <w:tc>
          <w:tcPr>
            <w:tcW w:w="1266" w:type="pct"/>
            <w:vAlign w:val="center"/>
          </w:tcPr>
          <w:p w:rsidR="001F5B33" w:rsidRPr="00E3331A" w:rsidRDefault="001F5B33" w:rsidP="00D77378">
            <w:pPr>
              <w:pStyle w:val="Tablecontents"/>
              <w:jc w:val="center"/>
              <w:rPr>
                <w:rFonts w:eastAsia="Lucida Sans" w:cs="Lucida Sans"/>
              </w:rPr>
            </w:pPr>
            <w:r w:rsidRPr="00E3331A">
              <w:rPr>
                <w:rFonts w:eastAsia="Lucida Sans" w:cs="Lucida Sans"/>
              </w:rPr>
              <w:t>0</w:t>
            </w:r>
          </w:p>
        </w:tc>
        <w:tc>
          <w:tcPr>
            <w:tcW w:w="1266" w:type="pct"/>
            <w:vAlign w:val="center"/>
          </w:tcPr>
          <w:p w:rsidR="001F5B33" w:rsidRPr="00E3331A" w:rsidRDefault="001F5B33" w:rsidP="00D77378">
            <w:pPr>
              <w:pStyle w:val="Tablecontents"/>
              <w:jc w:val="center"/>
              <w:rPr>
                <w:rFonts w:eastAsia="Lucida Sans" w:cs="Lucida Sans"/>
              </w:rPr>
            </w:pPr>
            <w:r w:rsidRPr="00E3331A">
              <w:rPr>
                <w:rFonts w:eastAsia="Lucida Sans" w:cs="Lucida Sans"/>
              </w:rPr>
              <w:t>25</w:t>
            </w:r>
          </w:p>
        </w:tc>
        <w:tc>
          <w:tcPr>
            <w:tcW w:w="1266" w:type="pct"/>
            <w:vAlign w:val="center"/>
          </w:tcPr>
          <w:p w:rsidR="001F5B33" w:rsidRPr="00E3331A" w:rsidRDefault="001F5B33" w:rsidP="00D77378">
            <w:pPr>
              <w:pStyle w:val="Tablecontents"/>
              <w:jc w:val="center"/>
              <w:rPr>
                <w:rFonts w:eastAsia="Lucida Sans" w:cs="Lucida Sans"/>
              </w:rPr>
            </w:pPr>
            <w:r w:rsidRPr="00E3331A">
              <w:rPr>
                <w:rFonts w:eastAsia="Lucida Sans" w:cs="Lucida Sans"/>
              </w:rPr>
              <w:t>-25</w:t>
            </w:r>
          </w:p>
        </w:tc>
      </w:tr>
      <w:tr w:rsidR="001F5B33" w:rsidRPr="00E3331A" w:rsidTr="00D77378">
        <w:tc>
          <w:tcPr>
            <w:tcW w:w="1202" w:type="pct"/>
            <w:vAlign w:val="center"/>
          </w:tcPr>
          <w:p w:rsidR="001F5B33" w:rsidRPr="00E3331A" w:rsidRDefault="001F5B33" w:rsidP="00D77378">
            <w:pPr>
              <w:pStyle w:val="Tablecontents"/>
              <w:jc w:val="center"/>
            </w:pPr>
            <w:r w:rsidRPr="00E3331A">
              <w:t>Monitoring SEs</w:t>
            </w:r>
          </w:p>
        </w:tc>
        <w:tc>
          <w:tcPr>
            <w:tcW w:w="1266" w:type="pct"/>
            <w:vAlign w:val="center"/>
          </w:tcPr>
          <w:p w:rsidR="001F5B33" w:rsidRPr="00E3331A" w:rsidRDefault="001F5B33" w:rsidP="00D77378">
            <w:pPr>
              <w:pStyle w:val="Tablecontents"/>
              <w:jc w:val="center"/>
              <w:rPr>
                <w:rFonts w:eastAsia="Lucida Sans" w:cs="Lucida Sans"/>
              </w:rPr>
            </w:pPr>
            <w:r w:rsidRPr="00E3331A">
              <w:rPr>
                <w:rFonts w:eastAsia="Lucida Sans" w:cs="Lucida Sans"/>
              </w:rPr>
              <w:t>0</w:t>
            </w:r>
          </w:p>
        </w:tc>
        <w:tc>
          <w:tcPr>
            <w:tcW w:w="1266" w:type="pct"/>
            <w:vAlign w:val="center"/>
          </w:tcPr>
          <w:p w:rsidR="001F5B33" w:rsidRPr="00E3331A" w:rsidRDefault="001F5B33" w:rsidP="00D77378">
            <w:pPr>
              <w:pStyle w:val="Tablecontents"/>
              <w:jc w:val="center"/>
              <w:rPr>
                <w:rFonts w:eastAsia="Lucida Sans" w:cs="Lucida Sans"/>
              </w:rPr>
            </w:pPr>
            <w:r w:rsidRPr="00E3331A">
              <w:rPr>
                <w:rFonts w:eastAsia="Lucida Sans" w:cs="Lucida Sans"/>
              </w:rPr>
              <w:t>1,322</w:t>
            </w:r>
          </w:p>
        </w:tc>
        <w:tc>
          <w:tcPr>
            <w:tcW w:w="1266" w:type="pct"/>
            <w:vAlign w:val="center"/>
          </w:tcPr>
          <w:p w:rsidR="001F5B33" w:rsidRPr="00E3331A" w:rsidRDefault="001F5B33" w:rsidP="00D77378">
            <w:pPr>
              <w:pStyle w:val="Tablecontents"/>
              <w:jc w:val="center"/>
              <w:rPr>
                <w:rFonts w:eastAsia="Lucida Sans" w:cs="Lucida Sans"/>
              </w:rPr>
            </w:pPr>
            <w:r w:rsidRPr="00E3331A">
              <w:rPr>
                <w:rFonts w:eastAsia="Lucida Sans" w:cs="Lucida Sans"/>
              </w:rPr>
              <w:t>-1,322</w:t>
            </w:r>
          </w:p>
        </w:tc>
      </w:tr>
      <w:tr w:rsidR="001F5B33" w:rsidRPr="00E3331A" w:rsidTr="00D77378">
        <w:tc>
          <w:tcPr>
            <w:tcW w:w="1202" w:type="pct"/>
            <w:vAlign w:val="center"/>
          </w:tcPr>
          <w:p w:rsidR="001F5B33" w:rsidRPr="00E3331A" w:rsidRDefault="001F5B33" w:rsidP="00D77378">
            <w:pPr>
              <w:pStyle w:val="Tablecontents"/>
              <w:jc w:val="center"/>
            </w:pPr>
            <w:r w:rsidRPr="00E3331A">
              <w:t>Medicines for SE</w:t>
            </w:r>
            <w:r w:rsidR="00DF57B8" w:rsidRPr="00E3331A">
              <w:t>s</w:t>
            </w:r>
          </w:p>
        </w:tc>
        <w:tc>
          <w:tcPr>
            <w:tcW w:w="1266" w:type="pct"/>
            <w:vAlign w:val="center"/>
          </w:tcPr>
          <w:p w:rsidR="001F5B33" w:rsidRPr="00E3331A" w:rsidRDefault="001F5B33" w:rsidP="00D77378">
            <w:pPr>
              <w:pStyle w:val="Tablecontents"/>
              <w:jc w:val="center"/>
              <w:rPr>
                <w:rFonts w:eastAsia="Lucida Sans" w:cs="Lucida Sans"/>
              </w:rPr>
            </w:pPr>
          </w:p>
        </w:tc>
        <w:tc>
          <w:tcPr>
            <w:tcW w:w="1266" w:type="pct"/>
            <w:vAlign w:val="center"/>
          </w:tcPr>
          <w:p w:rsidR="001F5B33" w:rsidRPr="00E3331A" w:rsidRDefault="001F5B33" w:rsidP="00D77378">
            <w:pPr>
              <w:pStyle w:val="Tablecontents"/>
              <w:jc w:val="center"/>
              <w:rPr>
                <w:rFonts w:eastAsia="Lucida Sans" w:cs="Lucida Sans"/>
              </w:rPr>
            </w:pPr>
            <w:r w:rsidRPr="00E3331A">
              <w:rPr>
                <w:rFonts w:eastAsia="Lucida Sans" w:cs="Lucida Sans"/>
              </w:rPr>
              <w:t>63</w:t>
            </w:r>
          </w:p>
        </w:tc>
        <w:tc>
          <w:tcPr>
            <w:tcW w:w="1266" w:type="pct"/>
            <w:vAlign w:val="center"/>
          </w:tcPr>
          <w:p w:rsidR="001F5B33" w:rsidRPr="00E3331A" w:rsidRDefault="001F5B33" w:rsidP="00D77378">
            <w:pPr>
              <w:pStyle w:val="Tablecontents"/>
              <w:jc w:val="center"/>
              <w:rPr>
                <w:rFonts w:eastAsia="Lucida Sans" w:cs="Lucida Sans"/>
              </w:rPr>
            </w:pPr>
            <w:r w:rsidRPr="00E3331A">
              <w:rPr>
                <w:rFonts w:eastAsia="Lucida Sans" w:cs="Lucida Sans"/>
              </w:rPr>
              <w:t>-63</w:t>
            </w:r>
          </w:p>
        </w:tc>
      </w:tr>
      <w:tr w:rsidR="001F5B33" w:rsidRPr="00E3331A" w:rsidTr="00D77378">
        <w:tc>
          <w:tcPr>
            <w:tcW w:w="1202" w:type="pct"/>
            <w:vAlign w:val="center"/>
          </w:tcPr>
          <w:p w:rsidR="001F5B33" w:rsidRPr="00E3331A" w:rsidRDefault="001F5B33" w:rsidP="00D77378">
            <w:pPr>
              <w:pStyle w:val="Tablecontents"/>
              <w:jc w:val="center"/>
              <w:rPr>
                <w:b/>
              </w:rPr>
            </w:pPr>
            <w:r w:rsidRPr="00E3331A">
              <w:rPr>
                <w:b/>
              </w:rPr>
              <w:t>Total</w:t>
            </w:r>
          </w:p>
        </w:tc>
        <w:tc>
          <w:tcPr>
            <w:tcW w:w="1266" w:type="pct"/>
            <w:vAlign w:val="center"/>
          </w:tcPr>
          <w:p w:rsidR="001F5B33" w:rsidRPr="00E3331A" w:rsidRDefault="001F5B33" w:rsidP="00D77378">
            <w:pPr>
              <w:pStyle w:val="Tablecontents"/>
              <w:jc w:val="center"/>
              <w:rPr>
                <w:rFonts w:eastAsia="Lucida Sans" w:cs="Lucida Sans"/>
                <w:b/>
              </w:rPr>
            </w:pPr>
            <w:r w:rsidRPr="00E3331A">
              <w:rPr>
                <w:rFonts w:eastAsia="Lucida Sans" w:cs="Lucida Sans"/>
                <w:b/>
              </w:rPr>
              <w:t>42,772</w:t>
            </w:r>
          </w:p>
        </w:tc>
        <w:tc>
          <w:tcPr>
            <w:tcW w:w="1266" w:type="pct"/>
            <w:vAlign w:val="center"/>
          </w:tcPr>
          <w:p w:rsidR="001F5B33" w:rsidRPr="00E3331A" w:rsidRDefault="001F5B33" w:rsidP="00D77378">
            <w:pPr>
              <w:pStyle w:val="Tablecontents"/>
              <w:jc w:val="center"/>
              <w:rPr>
                <w:rFonts w:eastAsia="Lucida Sans" w:cs="Lucida Sans"/>
                <w:b/>
              </w:rPr>
            </w:pPr>
            <w:r w:rsidRPr="00E3331A">
              <w:rPr>
                <w:rFonts w:eastAsia="Lucida Sans" w:cs="Lucida Sans"/>
                <w:b/>
              </w:rPr>
              <w:t>43,456</w:t>
            </w:r>
          </w:p>
        </w:tc>
        <w:tc>
          <w:tcPr>
            <w:tcW w:w="1266" w:type="pct"/>
            <w:vAlign w:val="center"/>
          </w:tcPr>
          <w:p w:rsidR="001F5B33" w:rsidRPr="00E3331A" w:rsidRDefault="001F5B33" w:rsidP="00D77378">
            <w:pPr>
              <w:pStyle w:val="Tablecontents"/>
              <w:jc w:val="center"/>
              <w:rPr>
                <w:rFonts w:eastAsia="Lucida Sans" w:cs="Lucida Sans"/>
                <w:b/>
              </w:rPr>
            </w:pPr>
            <w:r w:rsidRPr="00E3331A">
              <w:rPr>
                <w:rFonts w:eastAsia="Lucida Sans" w:cs="Lucida Sans"/>
                <w:b/>
              </w:rPr>
              <w:t>-685</w:t>
            </w:r>
          </w:p>
        </w:tc>
      </w:tr>
    </w:tbl>
    <w:p w:rsidR="001F5B33" w:rsidRPr="00E3331A" w:rsidRDefault="001F5B33" w:rsidP="0037150F">
      <w:pPr>
        <w:pStyle w:val="Tablenotes1"/>
      </w:pPr>
      <w:r w:rsidRPr="00E3331A">
        <w:t>IVIg</w:t>
      </w:r>
      <w:r w:rsidR="00DF57B8" w:rsidRPr="00E3331A">
        <w:t xml:space="preserve"> =</w:t>
      </w:r>
      <w:r w:rsidRPr="00E3331A">
        <w:rPr>
          <w:spacing w:val="37"/>
        </w:rPr>
        <w:t xml:space="preserve"> </w:t>
      </w:r>
      <w:r w:rsidRPr="00E3331A">
        <w:t>intravenous</w:t>
      </w:r>
      <w:r w:rsidRPr="00E3331A">
        <w:rPr>
          <w:spacing w:val="38"/>
        </w:rPr>
        <w:t xml:space="preserve"> </w:t>
      </w:r>
      <w:r w:rsidRPr="00E3331A">
        <w:t>immunoglobulin</w:t>
      </w:r>
      <w:r w:rsidR="00DF57B8" w:rsidRPr="00E3331A">
        <w:t>,</w:t>
      </w:r>
      <w:r w:rsidRPr="00E3331A">
        <w:rPr>
          <w:spacing w:val="37"/>
        </w:rPr>
        <w:t xml:space="preserve"> </w:t>
      </w:r>
      <w:r w:rsidRPr="00E3331A">
        <w:t>SCIg</w:t>
      </w:r>
      <w:r w:rsidR="00DF57B8" w:rsidRPr="00E3331A">
        <w:t xml:space="preserve"> =</w:t>
      </w:r>
      <w:r w:rsidRPr="00E3331A">
        <w:rPr>
          <w:spacing w:val="38"/>
        </w:rPr>
        <w:t xml:space="preserve"> </w:t>
      </w:r>
      <w:r w:rsidRPr="00E3331A">
        <w:t>subcutaneous</w:t>
      </w:r>
      <w:r w:rsidRPr="00E3331A">
        <w:rPr>
          <w:spacing w:val="38"/>
        </w:rPr>
        <w:t xml:space="preserve"> </w:t>
      </w:r>
      <w:r w:rsidRPr="00E3331A">
        <w:t>immunoglobulin</w:t>
      </w:r>
      <w:r w:rsidR="00F34FDE" w:rsidRPr="00E3331A">
        <w:t>. SE = Side effects</w:t>
      </w:r>
    </w:p>
    <w:p w:rsidR="001F5B33" w:rsidRPr="00E3331A" w:rsidRDefault="00DF57B8" w:rsidP="00BB6E4C">
      <w:pPr>
        <w:pStyle w:val="BodyTextSTD"/>
      </w:pPr>
      <w:r w:rsidRPr="00E3331A">
        <w:t>Patients also completed a</w:t>
      </w:r>
      <w:r w:rsidR="001F5B33" w:rsidRPr="00E3331A">
        <w:t xml:space="preserve"> Quality </w:t>
      </w:r>
      <w:r w:rsidR="00F34FDE" w:rsidRPr="00E3331A">
        <w:t xml:space="preserve">of Life </w:t>
      </w:r>
      <w:r w:rsidR="001F5B33" w:rsidRPr="00E3331A">
        <w:t>Index questionnaire</w:t>
      </w:r>
      <w:r w:rsidRPr="00E3331A">
        <w:t xml:space="preserve"> (</w:t>
      </w:r>
      <w:r w:rsidR="001F5B33" w:rsidRPr="00E3331A">
        <w:t xml:space="preserve">presented in </w:t>
      </w:r>
      <w:r w:rsidR="006F35B9" w:rsidRPr="00E3331A">
        <w:t xml:space="preserve">Table </w:t>
      </w:r>
      <w:r w:rsidR="006F35B9">
        <w:rPr>
          <w:noProof/>
        </w:rPr>
        <w:t>61</w:t>
      </w:r>
      <w:r w:rsidRPr="00E3331A">
        <w:t>)</w:t>
      </w:r>
      <w:r w:rsidR="001F5B33" w:rsidRPr="00E3331A">
        <w:t xml:space="preserve">. There was a significant improvement for all three Quality </w:t>
      </w:r>
      <w:r w:rsidR="00F34FDE" w:rsidRPr="00E3331A">
        <w:t xml:space="preserve">of Life </w:t>
      </w:r>
      <w:r w:rsidR="001F5B33" w:rsidRPr="00E3331A">
        <w:t xml:space="preserve">Index Scales. The SF 36 domains relating to physical and emotional roles </w:t>
      </w:r>
      <w:r w:rsidRPr="00E3331A">
        <w:t>and</w:t>
      </w:r>
      <w:r w:rsidR="001F5B33" w:rsidRPr="00E3331A">
        <w:t xml:space="preserve"> social functioning </w:t>
      </w:r>
      <w:r w:rsidRPr="00E3331A">
        <w:t xml:space="preserve">all </w:t>
      </w:r>
      <w:r w:rsidR="001F5B33" w:rsidRPr="00E3331A">
        <w:t>showed</w:t>
      </w:r>
      <w:r w:rsidRPr="00E3331A">
        <w:t xml:space="preserve"> significant</w:t>
      </w:r>
      <w:r w:rsidR="001F5B33" w:rsidRPr="00E3331A">
        <w:t xml:space="preserve"> improvement.</w:t>
      </w:r>
    </w:p>
    <w:p w:rsidR="001F5B33" w:rsidRPr="00E3331A" w:rsidRDefault="001F5B33" w:rsidP="001F5B33">
      <w:pPr>
        <w:pStyle w:val="Caption"/>
      </w:pPr>
      <w:bookmarkStart w:id="401" w:name="_Ref8140416"/>
      <w:bookmarkStart w:id="402" w:name="_Toc24103367"/>
      <w:r w:rsidRPr="00E3331A">
        <w:t xml:space="preserve">Table </w:t>
      </w:r>
      <w:r w:rsidR="006F35B9">
        <w:rPr>
          <w:noProof/>
        </w:rPr>
        <w:t>61</w:t>
      </w:r>
      <w:bookmarkEnd w:id="401"/>
      <w:r w:rsidR="00C90F6D" w:rsidRPr="00E3331A">
        <w:rPr>
          <w:noProof/>
        </w:rPr>
        <w:tab/>
      </w:r>
      <w:r w:rsidRPr="00E3331A">
        <w:t>Quality of life evaluation of different modalities of immunoglobulin therapy</w:t>
      </w:r>
      <w:bookmarkEnd w:id="4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34"/>
        <w:gridCol w:w="1299"/>
        <w:gridCol w:w="1298"/>
        <w:gridCol w:w="1298"/>
        <w:gridCol w:w="1298"/>
        <w:gridCol w:w="1226"/>
        <w:gridCol w:w="1363"/>
      </w:tblGrid>
      <w:tr w:rsidR="007C55CB" w:rsidRPr="00E3331A" w:rsidTr="007C55CB">
        <w:trPr>
          <w:cantSplit/>
          <w:tblHeader/>
        </w:trPr>
        <w:tc>
          <w:tcPr>
            <w:tcW w:w="684" w:type="pct"/>
            <w:vMerge w:val="restart"/>
            <w:tcBorders>
              <w:top w:val="single" w:sz="4" w:space="0" w:color="auto"/>
            </w:tcBorders>
            <w:vAlign w:val="center"/>
          </w:tcPr>
          <w:p w:rsidR="007C55CB" w:rsidRPr="007C55CB" w:rsidRDefault="007C55CB" w:rsidP="00D77378">
            <w:pPr>
              <w:pStyle w:val="Tablecontents"/>
              <w:jc w:val="center"/>
              <w:rPr>
                <w:rFonts w:cs="Calibri"/>
                <w:b/>
              </w:rPr>
            </w:pPr>
            <w:r w:rsidRPr="007C55CB">
              <w:rPr>
                <w:b/>
              </w:rPr>
              <w:t>Evaluation approach</w:t>
            </w:r>
          </w:p>
        </w:tc>
        <w:tc>
          <w:tcPr>
            <w:tcW w:w="720" w:type="pct"/>
            <w:vMerge w:val="restart"/>
            <w:tcBorders>
              <w:top w:val="single" w:sz="4" w:space="0" w:color="auto"/>
            </w:tcBorders>
            <w:vAlign w:val="center"/>
          </w:tcPr>
          <w:p w:rsidR="007C55CB" w:rsidRPr="007C55CB" w:rsidRDefault="007C55CB" w:rsidP="00D77378">
            <w:pPr>
              <w:pStyle w:val="Tablecontents"/>
              <w:jc w:val="center"/>
              <w:rPr>
                <w:rFonts w:cs="Calibri"/>
                <w:b/>
              </w:rPr>
            </w:pPr>
            <w:r w:rsidRPr="007C55CB">
              <w:rPr>
                <w:b/>
              </w:rPr>
              <w:t>Index</w:t>
            </w:r>
          </w:p>
        </w:tc>
        <w:tc>
          <w:tcPr>
            <w:tcW w:w="1440" w:type="pct"/>
            <w:gridSpan w:val="2"/>
            <w:tcBorders>
              <w:top w:val="single" w:sz="4" w:space="0" w:color="auto"/>
            </w:tcBorders>
            <w:vAlign w:val="center"/>
          </w:tcPr>
          <w:p w:rsidR="007C55CB" w:rsidRPr="00E3331A" w:rsidRDefault="007C55CB" w:rsidP="00493DDF">
            <w:pPr>
              <w:pStyle w:val="TableParagraph"/>
              <w:jc w:val="center"/>
              <w:rPr>
                <w:rFonts w:ascii="Arial Narrow" w:hAnsi="Arial Narrow" w:cs="Calibri"/>
                <w:b/>
                <w:sz w:val="20"/>
                <w:szCs w:val="20"/>
              </w:rPr>
            </w:pPr>
            <w:r w:rsidRPr="00E3331A">
              <w:rPr>
                <w:rFonts w:ascii="Arial Narrow" w:hAnsi="Arial Narrow"/>
                <w:b/>
                <w:color w:val="231F20"/>
                <w:sz w:val="20"/>
                <w:szCs w:val="20"/>
              </w:rPr>
              <w:t>Baseline</w:t>
            </w:r>
          </w:p>
        </w:tc>
        <w:tc>
          <w:tcPr>
            <w:tcW w:w="1400" w:type="pct"/>
            <w:gridSpan w:val="2"/>
            <w:tcBorders>
              <w:top w:val="single" w:sz="4" w:space="0" w:color="auto"/>
            </w:tcBorders>
            <w:vAlign w:val="center"/>
          </w:tcPr>
          <w:p w:rsidR="007C55CB" w:rsidRPr="00E3331A" w:rsidRDefault="007C55CB" w:rsidP="00493DDF">
            <w:pPr>
              <w:pStyle w:val="TableParagraph"/>
              <w:jc w:val="center"/>
              <w:rPr>
                <w:rFonts w:ascii="Arial Narrow" w:hAnsi="Arial Narrow" w:cs="Calibri"/>
                <w:b/>
                <w:sz w:val="20"/>
                <w:szCs w:val="20"/>
              </w:rPr>
            </w:pPr>
            <w:r w:rsidRPr="00E3331A">
              <w:rPr>
                <w:rFonts w:ascii="Arial Narrow" w:hAnsi="Arial Narrow"/>
                <w:b/>
                <w:color w:val="231F20"/>
                <w:sz w:val="20"/>
                <w:szCs w:val="20"/>
              </w:rPr>
              <w:t>Final</w:t>
            </w:r>
            <w:r w:rsidRPr="00E3331A">
              <w:rPr>
                <w:rFonts w:ascii="Arial Narrow" w:hAnsi="Arial Narrow"/>
                <w:b/>
                <w:color w:val="231F20"/>
                <w:spacing w:val="-26"/>
                <w:sz w:val="20"/>
                <w:szCs w:val="20"/>
              </w:rPr>
              <w:t xml:space="preserve"> </w:t>
            </w:r>
            <w:r w:rsidRPr="00E3331A">
              <w:rPr>
                <w:rFonts w:ascii="Arial Narrow" w:hAnsi="Arial Narrow"/>
                <w:b/>
                <w:color w:val="231F20"/>
                <w:spacing w:val="-1"/>
                <w:sz w:val="20"/>
                <w:szCs w:val="20"/>
              </w:rPr>
              <w:t>v</w:t>
            </w:r>
            <w:r w:rsidRPr="00E3331A">
              <w:rPr>
                <w:rFonts w:ascii="Arial Narrow" w:hAnsi="Arial Narrow"/>
                <w:b/>
                <w:color w:val="231F20"/>
                <w:spacing w:val="-2"/>
                <w:sz w:val="20"/>
                <w:szCs w:val="20"/>
              </w:rPr>
              <w:t>isit</w:t>
            </w:r>
          </w:p>
        </w:tc>
        <w:tc>
          <w:tcPr>
            <w:tcW w:w="756" w:type="pct"/>
            <w:vMerge w:val="restart"/>
            <w:tcBorders>
              <w:top w:val="single" w:sz="4" w:space="0" w:color="auto"/>
            </w:tcBorders>
            <w:vAlign w:val="center"/>
          </w:tcPr>
          <w:p w:rsidR="007C55CB" w:rsidRPr="00E3331A" w:rsidRDefault="007C55CB" w:rsidP="00D77378">
            <w:pPr>
              <w:pStyle w:val="Tablecontents"/>
              <w:jc w:val="center"/>
              <w:rPr>
                <w:rFonts w:cs="Calibri"/>
              </w:rPr>
            </w:pPr>
            <w:r w:rsidRPr="007C55CB">
              <w:rPr>
                <w:b/>
              </w:rPr>
              <w:t>p-value</w:t>
            </w:r>
          </w:p>
        </w:tc>
      </w:tr>
      <w:tr w:rsidR="007C55CB" w:rsidRPr="00E3331A" w:rsidTr="009F4F4E">
        <w:trPr>
          <w:cantSplit/>
          <w:tblHeader/>
        </w:trPr>
        <w:tc>
          <w:tcPr>
            <w:tcW w:w="684" w:type="pct"/>
            <w:vMerge/>
            <w:vAlign w:val="center"/>
          </w:tcPr>
          <w:p w:rsidR="007C55CB" w:rsidRPr="00E3331A" w:rsidRDefault="007C55CB" w:rsidP="00D77378">
            <w:pPr>
              <w:pStyle w:val="Tablecontents"/>
              <w:jc w:val="center"/>
            </w:pPr>
          </w:p>
        </w:tc>
        <w:tc>
          <w:tcPr>
            <w:tcW w:w="720" w:type="pct"/>
            <w:vMerge/>
            <w:vAlign w:val="center"/>
          </w:tcPr>
          <w:p w:rsidR="007C55CB" w:rsidRPr="00E3331A" w:rsidRDefault="007C55CB" w:rsidP="00D77378">
            <w:pPr>
              <w:pStyle w:val="Tablecontents"/>
              <w:jc w:val="center"/>
            </w:pPr>
          </w:p>
        </w:tc>
        <w:tc>
          <w:tcPr>
            <w:tcW w:w="720" w:type="pct"/>
            <w:tcBorders>
              <w:top w:val="single" w:sz="4" w:space="0" w:color="auto"/>
            </w:tcBorders>
            <w:vAlign w:val="center"/>
          </w:tcPr>
          <w:p w:rsidR="007C55CB" w:rsidRPr="007C55CB" w:rsidRDefault="007C55CB" w:rsidP="00D77378">
            <w:pPr>
              <w:pStyle w:val="Tablecontents"/>
              <w:jc w:val="center"/>
              <w:rPr>
                <w:b/>
              </w:rPr>
            </w:pPr>
            <w:r w:rsidRPr="007C55CB">
              <w:rPr>
                <w:b/>
              </w:rPr>
              <w:t>Mean</w:t>
            </w:r>
          </w:p>
        </w:tc>
        <w:tc>
          <w:tcPr>
            <w:tcW w:w="720" w:type="pct"/>
            <w:tcBorders>
              <w:top w:val="single" w:sz="4" w:space="0" w:color="auto"/>
            </w:tcBorders>
            <w:vAlign w:val="center"/>
          </w:tcPr>
          <w:p w:rsidR="007C55CB" w:rsidRPr="007C55CB" w:rsidRDefault="007C55CB" w:rsidP="00D77378">
            <w:pPr>
              <w:pStyle w:val="Tablecontents"/>
              <w:jc w:val="center"/>
              <w:rPr>
                <w:b/>
              </w:rPr>
            </w:pPr>
            <w:r w:rsidRPr="007C55CB">
              <w:rPr>
                <w:b/>
              </w:rPr>
              <w:t>SD</w:t>
            </w:r>
          </w:p>
        </w:tc>
        <w:tc>
          <w:tcPr>
            <w:tcW w:w="720" w:type="pct"/>
            <w:tcBorders>
              <w:top w:val="single" w:sz="4" w:space="0" w:color="auto"/>
            </w:tcBorders>
            <w:vAlign w:val="center"/>
          </w:tcPr>
          <w:p w:rsidR="007C55CB" w:rsidRPr="007C55CB" w:rsidRDefault="007C55CB" w:rsidP="00D77378">
            <w:pPr>
              <w:pStyle w:val="Tablecontents"/>
              <w:jc w:val="center"/>
              <w:rPr>
                <w:b/>
              </w:rPr>
            </w:pPr>
            <w:r w:rsidRPr="007C55CB">
              <w:rPr>
                <w:b/>
              </w:rPr>
              <w:t>Mean</w:t>
            </w:r>
          </w:p>
        </w:tc>
        <w:tc>
          <w:tcPr>
            <w:tcW w:w="680" w:type="pct"/>
            <w:tcBorders>
              <w:top w:val="single" w:sz="4" w:space="0" w:color="auto"/>
            </w:tcBorders>
            <w:vAlign w:val="center"/>
          </w:tcPr>
          <w:p w:rsidR="007C55CB" w:rsidRPr="007C55CB" w:rsidRDefault="007C55CB" w:rsidP="00D77378">
            <w:pPr>
              <w:pStyle w:val="Tablecontents"/>
              <w:jc w:val="center"/>
              <w:rPr>
                <w:b/>
              </w:rPr>
            </w:pPr>
            <w:r w:rsidRPr="007C55CB">
              <w:rPr>
                <w:b/>
              </w:rPr>
              <w:t>SD</w:t>
            </w:r>
          </w:p>
        </w:tc>
        <w:tc>
          <w:tcPr>
            <w:tcW w:w="756" w:type="pct"/>
            <w:vMerge/>
            <w:vAlign w:val="center"/>
          </w:tcPr>
          <w:p w:rsidR="007C55CB" w:rsidRPr="007C55CB" w:rsidRDefault="007C55CB" w:rsidP="00D77378">
            <w:pPr>
              <w:pStyle w:val="Tablecontents"/>
              <w:jc w:val="center"/>
              <w:rPr>
                <w:b/>
              </w:rPr>
            </w:pPr>
          </w:p>
        </w:tc>
      </w:tr>
      <w:tr w:rsidR="007C55CB" w:rsidRPr="00E3331A" w:rsidTr="007C55CB">
        <w:trPr>
          <w:cantSplit/>
          <w:tblHeader/>
        </w:trPr>
        <w:tc>
          <w:tcPr>
            <w:tcW w:w="684" w:type="pct"/>
            <w:vMerge w:val="restart"/>
            <w:tcBorders>
              <w:top w:val="single" w:sz="4" w:space="0" w:color="auto"/>
            </w:tcBorders>
            <w:vAlign w:val="center"/>
          </w:tcPr>
          <w:p w:rsidR="007C55CB" w:rsidRPr="00E3331A" w:rsidRDefault="007C55CB" w:rsidP="00D77378">
            <w:pPr>
              <w:pStyle w:val="Tablecontents"/>
              <w:jc w:val="center"/>
              <w:rPr>
                <w:rFonts w:eastAsia="Lucida Sans" w:cs="Lucida Sans"/>
              </w:rPr>
            </w:pPr>
            <w:r w:rsidRPr="00E3331A">
              <w:t>SF-36</w:t>
            </w:r>
          </w:p>
        </w:tc>
        <w:tc>
          <w:tcPr>
            <w:tcW w:w="720" w:type="pct"/>
            <w:tcBorders>
              <w:top w:val="single" w:sz="4" w:space="0" w:color="auto"/>
            </w:tcBorders>
            <w:vAlign w:val="center"/>
          </w:tcPr>
          <w:p w:rsidR="007C55CB" w:rsidRPr="00E3331A" w:rsidRDefault="007C55CB" w:rsidP="00D77378">
            <w:pPr>
              <w:pStyle w:val="Tablecontents"/>
              <w:jc w:val="center"/>
              <w:rPr>
                <w:rFonts w:eastAsia="Lucida Sans" w:cs="Lucida Sans"/>
              </w:rPr>
            </w:pPr>
            <w:r w:rsidRPr="00E3331A">
              <w:rPr>
                <w:w w:val="105"/>
              </w:rPr>
              <w:t>PF</w:t>
            </w:r>
          </w:p>
        </w:tc>
        <w:tc>
          <w:tcPr>
            <w:tcW w:w="720" w:type="pct"/>
            <w:tcBorders>
              <w:top w:val="single" w:sz="4" w:space="0" w:color="auto"/>
            </w:tcBorders>
            <w:vAlign w:val="center"/>
          </w:tcPr>
          <w:p w:rsidR="007C55CB" w:rsidRPr="00E3331A" w:rsidRDefault="007C55CB" w:rsidP="00D77378">
            <w:pPr>
              <w:pStyle w:val="Tablecontents"/>
              <w:jc w:val="center"/>
              <w:rPr>
                <w:rFonts w:eastAsia="Lucida Sans" w:cs="Lucida Sans"/>
              </w:rPr>
            </w:pPr>
            <w:r w:rsidRPr="00E3331A">
              <w:rPr>
                <w:spacing w:val="-2"/>
              </w:rPr>
              <w:t>60</w:t>
            </w:r>
            <w:r w:rsidRPr="00E3331A">
              <w:rPr>
                <w:spacing w:val="-1"/>
              </w:rPr>
              <w:t>.</w:t>
            </w:r>
            <w:r w:rsidRPr="00E3331A">
              <w:rPr>
                <w:spacing w:val="-2"/>
              </w:rPr>
              <w:t>5</w:t>
            </w:r>
          </w:p>
        </w:tc>
        <w:tc>
          <w:tcPr>
            <w:tcW w:w="720" w:type="pct"/>
            <w:tcBorders>
              <w:top w:val="single" w:sz="4" w:space="0" w:color="auto"/>
            </w:tcBorders>
            <w:vAlign w:val="center"/>
          </w:tcPr>
          <w:p w:rsidR="007C55CB" w:rsidRPr="00E3331A" w:rsidRDefault="007C55CB" w:rsidP="00D77378">
            <w:pPr>
              <w:pStyle w:val="Tablecontents"/>
              <w:jc w:val="center"/>
              <w:rPr>
                <w:rFonts w:eastAsia="Lucida Sans" w:cs="Lucida Sans"/>
              </w:rPr>
            </w:pPr>
            <w:r w:rsidRPr="00E3331A">
              <w:rPr>
                <w:spacing w:val="-2"/>
              </w:rPr>
              <w:t>34</w:t>
            </w:r>
            <w:r w:rsidRPr="00E3331A">
              <w:rPr>
                <w:spacing w:val="-1"/>
              </w:rPr>
              <w:t>.</w:t>
            </w:r>
            <w:r w:rsidRPr="00E3331A">
              <w:rPr>
                <w:spacing w:val="-2"/>
              </w:rPr>
              <w:t>59</w:t>
            </w:r>
          </w:p>
        </w:tc>
        <w:tc>
          <w:tcPr>
            <w:tcW w:w="720" w:type="pct"/>
            <w:tcBorders>
              <w:top w:val="single" w:sz="4" w:space="0" w:color="auto"/>
            </w:tcBorders>
            <w:vAlign w:val="center"/>
          </w:tcPr>
          <w:p w:rsidR="007C55CB" w:rsidRPr="00E3331A" w:rsidRDefault="007C55CB" w:rsidP="00D77378">
            <w:pPr>
              <w:pStyle w:val="Tablecontents"/>
              <w:jc w:val="center"/>
              <w:rPr>
                <w:rFonts w:eastAsia="Lucida Sans" w:cs="Lucida Sans"/>
              </w:rPr>
            </w:pPr>
            <w:r w:rsidRPr="00E3331A">
              <w:rPr>
                <w:spacing w:val="-2"/>
              </w:rPr>
              <w:t>59</w:t>
            </w:r>
            <w:r w:rsidRPr="00E3331A">
              <w:rPr>
                <w:spacing w:val="-1"/>
              </w:rPr>
              <w:t>.</w:t>
            </w:r>
            <w:r w:rsidRPr="00E3331A">
              <w:rPr>
                <w:spacing w:val="-2"/>
              </w:rPr>
              <w:t>5</w:t>
            </w:r>
          </w:p>
        </w:tc>
        <w:tc>
          <w:tcPr>
            <w:tcW w:w="680" w:type="pct"/>
            <w:tcBorders>
              <w:top w:val="single" w:sz="4" w:space="0" w:color="auto"/>
            </w:tcBorders>
            <w:vAlign w:val="center"/>
          </w:tcPr>
          <w:p w:rsidR="007C55CB" w:rsidRPr="00E3331A" w:rsidRDefault="007C55CB" w:rsidP="00D77378">
            <w:pPr>
              <w:pStyle w:val="Tablecontents"/>
              <w:jc w:val="center"/>
              <w:rPr>
                <w:rFonts w:eastAsia="Lucida Sans" w:cs="Lucida Sans"/>
              </w:rPr>
            </w:pPr>
            <w:r w:rsidRPr="00E3331A">
              <w:rPr>
                <w:spacing w:val="-2"/>
              </w:rPr>
              <w:t>37</w:t>
            </w:r>
            <w:r w:rsidRPr="00E3331A">
              <w:rPr>
                <w:spacing w:val="-1"/>
              </w:rPr>
              <w:t>.</w:t>
            </w:r>
            <w:r w:rsidRPr="00E3331A">
              <w:rPr>
                <w:spacing w:val="-2"/>
              </w:rPr>
              <w:t>52</w:t>
            </w:r>
          </w:p>
        </w:tc>
        <w:tc>
          <w:tcPr>
            <w:tcW w:w="756" w:type="pct"/>
            <w:tcBorders>
              <w:top w:val="single" w:sz="4" w:space="0" w:color="auto"/>
            </w:tcBorders>
            <w:vAlign w:val="center"/>
          </w:tcPr>
          <w:p w:rsidR="007C55CB" w:rsidRPr="00E3331A" w:rsidRDefault="007C55CB" w:rsidP="007C55CB">
            <w:pPr>
              <w:pStyle w:val="Tablecontents"/>
              <w:jc w:val="center"/>
              <w:rPr>
                <w:rFonts w:eastAsia="Lucida Sans" w:cs="Lucida Sans"/>
              </w:rPr>
            </w:pPr>
            <w:r w:rsidRPr="00E3331A">
              <w:t>n.s.</w:t>
            </w:r>
          </w:p>
        </w:tc>
      </w:tr>
      <w:tr w:rsidR="007C55CB" w:rsidRPr="00E3331A" w:rsidTr="007C55CB">
        <w:trPr>
          <w:cantSplit/>
          <w:tblHeader/>
        </w:trPr>
        <w:tc>
          <w:tcPr>
            <w:tcW w:w="684" w:type="pct"/>
            <w:vMerge/>
            <w:vAlign w:val="center"/>
          </w:tcPr>
          <w:p w:rsidR="007C55CB" w:rsidRPr="00E3331A" w:rsidRDefault="007C55CB" w:rsidP="00D77378">
            <w:pPr>
              <w:pStyle w:val="Tablecontents"/>
              <w:jc w:val="center"/>
            </w:pPr>
          </w:p>
        </w:tc>
        <w:tc>
          <w:tcPr>
            <w:tcW w:w="720" w:type="pct"/>
            <w:vAlign w:val="center"/>
          </w:tcPr>
          <w:p w:rsidR="007C55CB" w:rsidRPr="00E3331A" w:rsidRDefault="007C55CB" w:rsidP="00D77378">
            <w:pPr>
              <w:pStyle w:val="Tablecontents"/>
              <w:jc w:val="center"/>
              <w:rPr>
                <w:rFonts w:eastAsia="Lucida Sans" w:cs="Lucida Sans"/>
              </w:rPr>
            </w:pPr>
            <w:r w:rsidRPr="00E3331A">
              <w:rPr>
                <w:w w:val="105"/>
              </w:rPr>
              <w:t>RP</w:t>
            </w:r>
          </w:p>
        </w:tc>
        <w:tc>
          <w:tcPr>
            <w:tcW w:w="720" w:type="pct"/>
            <w:vAlign w:val="center"/>
          </w:tcPr>
          <w:p w:rsidR="007C55CB" w:rsidRPr="00E3331A" w:rsidRDefault="007C55CB" w:rsidP="00D77378">
            <w:pPr>
              <w:pStyle w:val="Tablecontents"/>
              <w:jc w:val="center"/>
              <w:rPr>
                <w:rFonts w:eastAsia="Lucida Sans" w:cs="Lucida Sans"/>
              </w:rPr>
            </w:pPr>
            <w:r w:rsidRPr="00E3331A">
              <w:t>52.5</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47</w:t>
            </w:r>
            <w:r w:rsidRPr="00E3331A">
              <w:rPr>
                <w:spacing w:val="-1"/>
              </w:rPr>
              <w:t>.</w:t>
            </w:r>
            <w:r w:rsidRPr="00E3331A">
              <w:rPr>
                <w:spacing w:val="-2"/>
              </w:rPr>
              <w:t>79</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77</w:t>
            </w:r>
            <w:r w:rsidRPr="00E3331A">
              <w:rPr>
                <w:spacing w:val="-1"/>
              </w:rPr>
              <w:t>.</w:t>
            </w:r>
            <w:r w:rsidRPr="00E3331A">
              <w:rPr>
                <w:spacing w:val="-2"/>
              </w:rPr>
              <w:t>5</w:t>
            </w:r>
          </w:p>
        </w:tc>
        <w:tc>
          <w:tcPr>
            <w:tcW w:w="680" w:type="pct"/>
            <w:vAlign w:val="center"/>
          </w:tcPr>
          <w:p w:rsidR="007C55CB" w:rsidRPr="00E3331A" w:rsidRDefault="007C55CB" w:rsidP="00D77378">
            <w:pPr>
              <w:pStyle w:val="Tablecontents"/>
              <w:jc w:val="center"/>
              <w:rPr>
                <w:rFonts w:eastAsia="Lucida Sans" w:cs="Lucida Sans"/>
              </w:rPr>
            </w:pPr>
            <w:r w:rsidRPr="00E3331A">
              <w:rPr>
                <w:spacing w:val="-2"/>
              </w:rPr>
              <w:t>38</w:t>
            </w:r>
            <w:r w:rsidRPr="00E3331A">
              <w:rPr>
                <w:spacing w:val="-1"/>
              </w:rPr>
              <w:t>.</w:t>
            </w:r>
            <w:r w:rsidRPr="00E3331A">
              <w:rPr>
                <w:spacing w:val="-2"/>
              </w:rPr>
              <w:t>09</w:t>
            </w:r>
          </w:p>
        </w:tc>
        <w:tc>
          <w:tcPr>
            <w:tcW w:w="756" w:type="pct"/>
            <w:vAlign w:val="center"/>
          </w:tcPr>
          <w:p w:rsidR="007C55CB" w:rsidRPr="00E3331A" w:rsidRDefault="007C55CB" w:rsidP="007C55CB">
            <w:pPr>
              <w:pStyle w:val="Tablecontents"/>
              <w:jc w:val="center"/>
              <w:rPr>
                <w:rFonts w:eastAsia="Lucida Sans" w:cs="Lucida Sans"/>
              </w:rPr>
            </w:pPr>
            <w:r w:rsidRPr="00E3331A">
              <w:rPr>
                <w:w w:val="95"/>
              </w:rPr>
              <w:t>0.042</w:t>
            </w:r>
          </w:p>
        </w:tc>
      </w:tr>
      <w:tr w:rsidR="007C55CB" w:rsidRPr="00E3331A" w:rsidTr="007C55CB">
        <w:trPr>
          <w:cantSplit/>
          <w:tblHeader/>
        </w:trPr>
        <w:tc>
          <w:tcPr>
            <w:tcW w:w="684" w:type="pct"/>
            <w:vMerge/>
            <w:vAlign w:val="center"/>
          </w:tcPr>
          <w:p w:rsidR="007C55CB" w:rsidRPr="00E3331A" w:rsidRDefault="007C55CB" w:rsidP="00D77378">
            <w:pPr>
              <w:pStyle w:val="Tablecontents"/>
              <w:jc w:val="center"/>
            </w:pPr>
          </w:p>
        </w:tc>
        <w:tc>
          <w:tcPr>
            <w:tcW w:w="720" w:type="pct"/>
            <w:vAlign w:val="center"/>
          </w:tcPr>
          <w:p w:rsidR="007C55CB" w:rsidRPr="00E3331A" w:rsidRDefault="007C55CB" w:rsidP="00D77378">
            <w:pPr>
              <w:pStyle w:val="Tablecontents"/>
              <w:jc w:val="center"/>
              <w:rPr>
                <w:rFonts w:eastAsia="Lucida Sans" w:cs="Lucida Sans"/>
              </w:rPr>
            </w:pPr>
            <w:r w:rsidRPr="00E3331A">
              <w:rPr>
                <w:w w:val="110"/>
              </w:rPr>
              <w:t>BP</w:t>
            </w:r>
          </w:p>
        </w:tc>
        <w:tc>
          <w:tcPr>
            <w:tcW w:w="720" w:type="pct"/>
            <w:vAlign w:val="center"/>
          </w:tcPr>
          <w:p w:rsidR="007C55CB" w:rsidRPr="00E3331A" w:rsidRDefault="007C55CB" w:rsidP="00D77378">
            <w:pPr>
              <w:pStyle w:val="Tablecontents"/>
              <w:jc w:val="center"/>
              <w:rPr>
                <w:rFonts w:eastAsia="Lucida Sans" w:cs="Lucida Sans"/>
              </w:rPr>
            </w:pPr>
            <w:r w:rsidRPr="00E3331A">
              <w:rPr>
                <w:w w:val="95"/>
              </w:rPr>
              <w:t>60</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36</w:t>
            </w:r>
            <w:r w:rsidRPr="00E3331A">
              <w:rPr>
                <w:spacing w:val="-1"/>
              </w:rPr>
              <w:t>.</w:t>
            </w:r>
            <w:r w:rsidRPr="00E3331A">
              <w:rPr>
                <w:spacing w:val="-2"/>
              </w:rPr>
              <w:t>14</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64</w:t>
            </w:r>
            <w:r w:rsidRPr="00E3331A">
              <w:rPr>
                <w:spacing w:val="-1"/>
              </w:rPr>
              <w:t>.</w:t>
            </w:r>
            <w:r w:rsidRPr="00E3331A">
              <w:rPr>
                <w:spacing w:val="-2"/>
              </w:rPr>
              <w:t>6</w:t>
            </w:r>
          </w:p>
        </w:tc>
        <w:tc>
          <w:tcPr>
            <w:tcW w:w="680" w:type="pct"/>
            <w:vAlign w:val="center"/>
          </w:tcPr>
          <w:p w:rsidR="007C55CB" w:rsidRPr="00E3331A" w:rsidRDefault="007C55CB" w:rsidP="00D77378">
            <w:pPr>
              <w:pStyle w:val="Tablecontents"/>
              <w:jc w:val="center"/>
              <w:rPr>
                <w:rFonts w:eastAsia="Lucida Sans" w:cs="Lucida Sans"/>
              </w:rPr>
            </w:pPr>
            <w:r w:rsidRPr="00E3331A">
              <w:rPr>
                <w:spacing w:val="-2"/>
              </w:rPr>
              <w:t>30</w:t>
            </w:r>
            <w:r w:rsidRPr="00E3331A">
              <w:rPr>
                <w:spacing w:val="-1"/>
              </w:rPr>
              <w:t>.</w:t>
            </w:r>
            <w:r w:rsidRPr="00E3331A">
              <w:rPr>
                <w:spacing w:val="-2"/>
              </w:rPr>
              <w:t>17</w:t>
            </w:r>
          </w:p>
        </w:tc>
        <w:tc>
          <w:tcPr>
            <w:tcW w:w="756" w:type="pct"/>
            <w:vAlign w:val="center"/>
          </w:tcPr>
          <w:p w:rsidR="007C55CB" w:rsidRPr="00E3331A" w:rsidRDefault="007C55CB" w:rsidP="007C55CB">
            <w:pPr>
              <w:pStyle w:val="Tablecontents"/>
              <w:jc w:val="center"/>
              <w:rPr>
                <w:rFonts w:eastAsia="Lucida Sans" w:cs="Lucida Sans"/>
              </w:rPr>
            </w:pPr>
            <w:r w:rsidRPr="00E3331A">
              <w:rPr>
                <w:spacing w:val="-2"/>
              </w:rPr>
              <w:t>n.s.</w:t>
            </w:r>
          </w:p>
        </w:tc>
      </w:tr>
      <w:tr w:rsidR="007C55CB" w:rsidRPr="00E3331A" w:rsidTr="007C55CB">
        <w:trPr>
          <w:cantSplit/>
          <w:tblHeader/>
        </w:trPr>
        <w:tc>
          <w:tcPr>
            <w:tcW w:w="684" w:type="pct"/>
            <w:vMerge/>
            <w:vAlign w:val="center"/>
          </w:tcPr>
          <w:p w:rsidR="007C55CB" w:rsidRPr="00E3331A" w:rsidRDefault="007C55CB" w:rsidP="00D77378">
            <w:pPr>
              <w:pStyle w:val="Tablecontents"/>
              <w:jc w:val="center"/>
            </w:pPr>
          </w:p>
        </w:tc>
        <w:tc>
          <w:tcPr>
            <w:tcW w:w="720" w:type="pct"/>
            <w:vAlign w:val="center"/>
          </w:tcPr>
          <w:p w:rsidR="007C55CB" w:rsidRPr="00E3331A" w:rsidRDefault="007C55CB" w:rsidP="00D77378">
            <w:pPr>
              <w:pStyle w:val="Tablecontents"/>
              <w:jc w:val="center"/>
              <w:rPr>
                <w:rFonts w:eastAsia="Lucida Sans" w:cs="Lucida Sans"/>
              </w:rPr>
            </w:pPr>
            <w:r w:rsidRPr="00E3331A">
              <w:rPr>
                <w:w w:val="105"/>
              </w:rPr>
              <w:t>GH</w:t>
            </w:r>
          </w:p>
        </w:tc>
        <w:tc>
          <w:tcPr>
            <w:tcW w:w="720" w:type="pct"/>
            <w:vAlign w:val="center"/>
          </w:tcPr>
          <w:p w:rsidR="007C55CB" w:rsidRPr="00E3331A" w:rsidRDefault="007C55CB" w:rsidP="00D77378">
            <w:pPr>
              <w:pStyle w:val="Tablecontents"/>
              <w:jc w:val="center"/>
              <w:rPr>
                <w:rFonts w:eastAsia="Lucida Sans" w:cs="Lucida Sans"/>
              </w:rPr>
            </w:pPr>
            <w:r w:rsidRPr="00E3331A">
              <w:t>50.9</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12</w:t>
            </w:r>
            <w:r w:rsidRPr="00E3331A">
              <w:rPr>
                <w:spacing w:val="-1"/>
              </w:rPr>
              <w:t>.</w:t>
            </w:r>
            <w:r w:rsidRPr="00E3331A">
              <w:rPr>
                <w:spacing w:val="-2"/>
              </w:rPr>
              <w:t>31</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52</w:t>
            </w:r>
            <w:r w:rsidRPr="00E3331A">
              <w:rPr>
                <w:spacing w:val="-1"/>
              </w:rPr>
              <w:t>.</w:t>
            </w:r>
            <w:r w:rsidRPr="00E3331A">
              <w:rPr>
                <w:spacing w:val="-2"/>
              </w:rPr>
              <w:t>7</w:t>
            </w:r>
          </w:p>
        </w:tc>
        <w:tc>
          <w:tcPr>
            <w:tcW w:w="680" w:type="pct"/>
            <w:vAlign w:val="center"/>
          </w:tcPr>
          <w:p w:rsidR="007C55CB" w:rsidRPr="00E3331A" w:rsidRDefault="007C55CB" w:rsidP="00D77378">
            <w:pPr>
              <w:pStyle w:val="Tablecontents"/>
              <w:jc w:val="center"/>
              <w:rPr>
                <w:rFonts w:eastAsia="Lucida Sans" w:cs="Lucida Sans"/>
              </w:rPr>
            </w:pPr>
            <w:r w:rsidRPr="00E3331A">
              <w:rPr>
                <w:spacing w:val="-2"/>
              </w:rPr>
              <w:t>16</w:t>
            </w:r>
            <w:r w:rsidRPr="00E3331A">
              <w:rPr>
                <w:spacing w:val="-1"/>
              </w:rPr>
              <w:t>.</w:t>
            </w:r>
            <w:r w:rsidRPr="00E3331A">
              <w:rPr>
                <w:spacing w:val="-2"/>
              </w:rPr>
              <w:t>14</w:t>
            </w:r>
          </w:p>
        </w:tc>
        <w:tc>
          <w:tcPr>
            <w:tcW w:w="756" w:type="pct"/>
            <w:vAlign w:val="center"/>
          </w:tcPr>
          <w:p w:rsidR="007C55CB" w:rsidRPr="00E3331A" w:rsidRDefault="007C55CB" w:rsidP="007C55CB">
            <w:pPr>
              <w:pStyle w:val="Tablecontents"/>
              <w:jc w:val="center"/>
              <w:rPr>
                <w:rFonts w:eastAsia="Lucida Sans" w:cs="Lucida Sans"/>
              </w:rPr>
            </w:pPr>
            <w:r w:rsidRPr="00E3331A">
              <w:rPr>
                <w:spacing w:val="-2"/>
              </w:rPr>
              <w:t>n.s.</w:t>
            </w:r>
          </w:p>
        </w:tc>
      </w:tr>
      <w:tr w:rsidR="007C55CB" w:rsidRPr="00E3331A" w:rsidTr="007C55CB">
        <w:trPr>
          <w:cantSplit/>
          <w:tblHeader/>
        </w:trPr>
        <w:tc>
          <w:tcPr>
            <w:tcW w:w="684" w:type="pct"/>
            <w:vMerge/>
            <w:vAlign w:val="center"/>
          </w:tcPr>
          <w:p w:rsidR="007C55CB" w:rsidRPr="00E3331A" w:rsidRDefault="007C55CB" w:rsidP="00D77378">
            <w:pPr>
              <w:pStyle w:val="Tablecontents"/>
              <w:jc w:val="center"/>
            </w:pPr>
          </w:p>
        </w:tc>
        <w:tc>
          <w:tcPr>
            <w:tcW w:w="720" w:type="pct"/>
            <w:vAlign w:val="center"/>
          </w:tcPr>
          <w:p w:rsidR="007C55CB" w:rsidRPr="00E3331A" w:rsidRDefault="007C55CB" w:rsidP="00D77378">
            <w:pPr>
              <w:pStyle w:val="Tablecontents"/>
              <w:jc w:val="center"/>
              <w:rPr>
                <w:rFonts w:eastAsia="Lucida Sans" w:cs="Lucida Sans"/>
              </w:rPr>
            </w:pPr>
            <w:r w:rsidRPr="00E3331A">
              <w:t>VT</w:t>
            </w:r>
          </w:p>
        </w:tc>
        <w:tc>
          <w:tcPr>
            <w:tcW w:w="720" w:type="pct"/>
            <w:vAlign w:val="center"/>
          </w:tcPr>
          <w:p w:rsidR="007C55CB" w:rsidRPr="00E3331A" w:rsidRDefault="007C55CB" w:rsidP="00D77378">
            <w:pPr>
              <w:pStyle w:val="Tablecontents"/>
              <w:jc w:val="center"/>
              <w:rPr>
                <w:rFonts w:eastAsia="Lucida Sans" w:cs="Lucida Sans"/>
              </w:rPr>
            </w:pPr>
            <w:r w:rsidRPr="00E3331A">
              <w:t>54.5</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17</w:t>
            </w:r>
            <w:r w:rsidRPr="00E3331A">
              <w:rPr>
                <w:spacing w:val="-1"/>
              </w:rPr>
              <w:t>.</w:t>
            </w:r>
            <w:r w:rsidRPr="00E3331A">
              <w:rPr>
                <w:spacing w:val="-2"/>
              </w:rPr>
              <w:t>86</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57</w:t>
            </w:r>
            <w:r w:rsidRPr="00E3331A">
              <w:rPr>
                <w:spacing w:val="-1"/>
              </w:rPr>
              <w:t>.</w:t>
            </w:r>
            <w:r w:rsidRPr="00E3331A">
              <w:rPr>
                <w:spacing w:val="-2"/>
              </w:rPr>
              <w:t>5</w:t>
            </w:r>
          </w:p>
        </w:tc>
        <w:tc>
          <w:tcPr>
            <w:tcW w:w="680" w:type="pct"/>
            <w:vAlign w:val="center"/>
          </w:tcPr>
          <w:p w:rsidR="007C55CB" w:rsidRPr="00E3331A" w:rsidRDefault="007C55CB" w:rsidP="00D77378">
            <w:pPr>
              <w:pStyle w:val="Tablecontents"/>
              <w:jc w:val="center"/>
              <w:rPr>
                <w:rFonts w:eastAsia="Lucida Sans" w:cs="Lucida Sans"/>
              </w:rPr>
            </w:pPr>
            <w:r w:rsidRPr="00E3331A">
              <w:rPr>
                <w:spacing w:val="-2"/>
              </w:rPr>
              <w:t>15</w:t>
            </w:r>
            <w:r w:rsidRPr="00E3331A">
              <w:rPr>
                <w:spacing w:val="-1"/>
              </w:rPr>
              <w:t>.</w:t>
            </w:r>
            <w:r w:rsidRPr="00E3331A">
              <w:rPr>
                <w:spacing w:val="-2"/>
              </w:rPr>
              <w:t>50</w:t>
            </w:r>
          </w:p>
        </w:tc>
        <w:tc>
          <w:tcPr>
            <w:tcW w:w="756" w:type="pct"/>
            <w:vAlign w:val="center"/>
          </w:tcPr>
          <w:p w:rsidR="007C55CB" w:rsidRPr="00E3331A" w:rsidRDefault="007C55CB" w:rsidP="007C55CB">
            <w:pPr>
              <w:pStyle w:val="Tablecontents"/>
              <w:jc w:val="center"/>
              <w:rPr>
                <w:rFonts w:eastAsia="Lucida Sans" w:cs="Lucida Sans"/>
              </w:rPr>
            </w:pPr>
            <w:r w:rsidRPr="00E3331A">
              <w:rPr>
                <w:spacing w:val="-2"/>
              </w:rPr>
              <w:t>n.s.</w:t>
            </w:r>
          </w:p>
        </w:tc>
      </w:tr>
      <w:tr w:rsidR="007C55CB" w:rsidRPr="00E3331A" w:rsidTr="007C55CB">
        <w:trPr>
          <w:cantSplit/>
          <w:tblHeader/>
        </w:trPr>
        <w:tc>
          <w:tcPr>
            <w:tcW w:w="684" w:type="pct"/>
            <w:vMerge/>
            <w:vAlign w:val="center"/>
          </w:tcPr>
          <w:p w:rsidR="007C55CB" w:rsidRPr="00E3331A" w:rsidRDefault="007C55CB" w:rsidP="00D77378">
            <w:pPr>
              <w:pStyle w:val="Tablecontents"/>
              <w:jc w:val="center"/>
            </w:pPr>
          </w:p>
        </w:tc>
        <w:tc>
          <w:tcPr>
            <w:tcW w:w="720" w:type="pct"/>
            <w:vAlign w:val="center"/>
          </w:tcPr>
          <w:p w:rsidR="007C55CB" w:rsidRPr="00E3331A" w:rsidRDefault="007C55CB" w:rsidP="00D77378">
            <w:pPr>
              <w:pStyle w:val="Tablecontents"/>
              <w:jc w:val="center"/>
              <w:rPr>
                <w:rFonts w:eastAsia="Lucida Sans" w:cs="Lucida Sans"/>
              </w:rPr>
            </w:pPr>
            <w:r w:rsidRPr="00E3331A">
              <w:rPr>
                <w:w w:val="110"/>
              </w:rPr>
              <w:t>SF</w:t>
            </w:r>
          </w:p>
        </w:tc>
        <w:tc>
          <w:tcPr>
            <w:tcW w:w="720" w:type="pct"/>
            <w:vAlign w:val="center"/>
          </w:tcPr>
          <w:p w:rsidR="007C55CB" w:rsidRPr="00E3331A" w:rsidRDefault="007C55CB" w:rsidP="00D77378">
            <w:pPr>
              <w:pStyle w:val="Tablecontents"/>
              <w:jc w:val="center"/>
              <w:rPr>
                <w:rFonts w:eastAsia="Lucida Sans" w:cs="Lucida Sans"/>
              </w:rPr>
            </w:pPr>
            <w:r w:rsidRPr="00E3331A">
              <w:t>47.5</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31</w:t>
            </w:r>
            <w:r w:rsidRPr="00E3331A">
              <w:rPr>
                <w:spacing w:val="-1"/>
              </w:rPr>
              <w:t>.</w:t>
            </w:r>
            <w:r w:rsidRPr="00E3331A">
              <w:rPr>
                <w:spacing w:val="-2"/>
              </w:rPr>
              <w:t>62</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82</w:t>
            </w:r>
            <w:r w:rsidRPr="00E3331A">
              <w:rPr>
                <w:spacing w:val="-1"/>
              </w:rPr>
              <w:t>.</w:t>
            </w:r>
            <w:r w:rsidRPr="00E3331A">
              <w:rPr>
                <w:spacing w:val="-2"/>
              </w:rPr>
              <w:t>5</w:t>
            </w:r>
          </w:p>
        </w:tc>
        <w:tc>
          <w:tcPr>
            <w:tcW w:w="680" w:type="pct"/>
            <w:vAlign w:val="center"/>
          </w:tcPr>
          <w:p w:rsidR="007C55CB" w:rsidRPr="00E3331A" w:rsidRDefault="007C55CB" w:rsidP="00D77378">
            <w:pPr>
              <w:pStyle w:val="Tablecontents"/>
              <w:jc w:val="center"/>
              <w:rPr>
                <w:rFonts w:eastAsia="Lucida Sans" w:cs="Lucida Sans"/>
              </w:rPr>
            </w:pPr>
            <w:r w:rsidRPr="00E3331A">
              <w:rPr>
                <w:spacing w:val="-2"/>
              </w:rPr>
              <w:t>25</w:t>
            </w:r>
            <w:r w:rsidRPr="00E3331A">
              <w:rPr>
                <w:spacing w:val="-1"/>
              </w:rPr>
              <w:t>.</w:t>
            </w:r>
            <w:r w:rsidRPr="00E3331A">
              <w:rPr>
                <w:spacing w:val="-2"/>
              </w:rPr>
              <w:t>13</w:t>
            </w:r>
          </w:p>
        </w:tc>
        <w:tc>
          <w:tcPr>
            <w:tcW w:w="756" w:type="pct"/>
            <w:vAlign w:val="center"/>
          </w:tcPr>
          <w:p w:rsidR="007C55CB" w:rsidRPr="00E3331A" w:rsidRDefault="007C55CB" w:rsidP="007C55CB">
            <w:pPr>
              <w:pStyle w:val="Tablecontents"/>
              <w:jc w:val="center"/>
              <w:rPr>
                <w:rFonts w:eastAsia="Lucida Sans" w:cs="Lucida Sans"/>
              </w:rPr>
            </w:pPr>
            <w:r w:rsidRPr="00E3331A">
              <w:rPr>
                <w:w w:val="95"/>
              </w:rPr>
              <w:t>0.042</w:t>
            </w:r>
          </w:p>
        </w:tc>
      </w:tr>
      <w:tr w:rsidR="007C55CB" w:rsidRPr="00E3331A" w:rsidTr="007C55CB">
        <w:trPr>
          <w:cantSplit/>
          <w:tblHeader/>
        </w:trPr>
        <w:tc>
          <w:tcPr>
            <w:tcW w:w="684" w:type="pct"/>
            <w:vMerge/>
            <w:vAlign w:val="center"/>
          </w:tcPr>
          <w:p w:rsidR="007C55CB" w:rsidRPr="00E3331A" w:rsidRDefault="007C55CB" w:rsidP="00D77378">
            <w:pPr>
              <w:pStyle w:val="Tablecontents"/>
              <w:jc w:val="center"/>
            </w:pPr>
          </w:p>
        </w:tc>
        <w:tc>
          <w:tcPr>
            <w:tcW w:w="720" w:type="pct"/>
            <w:vAlign w:val="center"/>
          </w:tcPr>
          <w:p w:rsidR="007C55CB" w:rsidRPr="00E3331A" w:rsidRDefault="007C55CB" w:rsidP="00D77378">
            <w:pPr>
              <w:pStyle w:val="Tablecontents"/>
              <w:jc w:val="center"/>
              <w:rPr>
                <w:rFonts w:eastAsia="Lucida Sans" w:cs="Lucida Sans"/>
              </w:rPr>
            </w:pPr>
            <w:r w:rsidRPr="00E3331A">
              <w:rPr>
                <w:w w:val="105"/>
              </w:rPr>
              <w:t>RE</w:t>
            </w:r>
          </w:p>
        </w:tc>
        <w:tc>
          <w:tcPr>
            <w:tcW w:w="720" w:type="pct"/>
            <w:vAlign w:val="center"/>
          </w:tcPr>
          <w:p w:rsidR="007C55CB" w:rsidRPr="00E3331A" w:rsidRDefault="007C55CB" w:rsidP="00D77378">
            <w:pPr>
              <w:pStyle w:val="Tablecontents"/>
              <w:jc w:val="center"/>
              <w:rPr>
                <w:rFonts w:eastAsia="Lucida Sans" w:cs="Lucida Sans"/>
              </w:rPr>
            </w:pPr>
            <w:r w:rsidRPr="00E3331A">
              <w:rPr>
                <w:w w:val="95"/>
              </w:rPr>
              <w:t>40</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51</w:t>
            </w:r>
            <w:r w:rsidRPr="00E3331A">
              <w:rPr>
                <w:spacing w:val="-1"/>
              </w:rPr>
              <w:t>.</w:t>
            </w:r>
            <w:r w:rsidRPr="00E3331A">
              <w:rPr>
                <w:spacing w:val="-2"/>
              </w:rPr>
              <w:t>63</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83</w:t>
            </w:r>
            <w:r w:rsidRPr="00E3331A">
              <w:rPr>
                <w:spacing w:val="-1"/>
              </w:rPr>
              <w:t>.</w:t>
            </w:r>
            <w:r w:rsidRPr="00E3331A">
              <w:rPr>
                <w:spacing w:val="-2"/>
              </w:rPr>
              <w:t>3</w:t>
            </w:r>
          </w:p>
        </w:tc>
        <w:tc>
          <w:tcPr>
            <w:tcW w:w="680" w:type="pct"/>
            <w:vAlign w:val="center"/>
          </w:tcPr>
          <w:p w:rsidR="007C55CB" w:rsidRPr="00E3331A" w:rsidRDefault="007C55CB" w:rsidP="00D77378">
            <w:pPr>
              <w:pStyle w:val="Tablecontents"/>
              <w:jc w:val="center"/>
              <w:rPr>
                <w:rFonts w:eastAsia="Lucida Sans" w:cs="Lucida Sans"/>
              </w:rPr>
            </w:pPr>
            <w:r w:rsidRPr="00E3331A">
              <w:rPr>
                <w:spacing w:val="-2"/>
              </w:rPr>
              <w:t>32</w:t>
            </w:r>
            <w:r w:rsidRPr="00E3331A">
              <w:rPr>
                <w:spacing w:val="-1"/>
              </w:rPr>
              <w:t>.</w:t>
            </w:r>
            <w:r w:rsidRPr="00E3331A">
              <w:rPr>
                <w:spacing w:val="-2"/>
              </w:rPr>
              <w:t>39</w:t>
            </w:r>
          </w:p>
        </w:tc>
        <w:tc>
          <w:tcPr>
            <w:tcW w:w="756" w:type="pct"/>
            <w:vAlign w:val="center"/>
          </w:tcPr>
          <w:p w:rsidR="007C55CB" w:rsidRPr="00E3331A" w:rsidRDefault="007C55CB" w:rsidP="007C55CB">
            <w:pPr>
              <w:pStyle w:val="Tablecontents"/>
              <w:jc w:val="center"/>
              <w:rPr>
                <w:rFonts w:eastAsia="Lucida Sans" w:cs="Lucida Sans"/>
              </w:rPr>
            </w:pPr>
            <w:r w:rsidRPr="00E3331A">
              <w:rPr>
                <w:w w:val="95"/>
              </w:rPr>
              <w:t>0.033</w:t>
            </w:r>
          </w:p>
        </w:tc>
      </w:tr>
      <w:tr w:rsidR="007C55CB" w:rsidRPr="00E3331A" w:rsidTr="007C55CB">
        <w:trPr>
          <w:cantSplit/>
          <w:tblHeader/>
        </w:trPr>
        <w:tc>
          <w:tcPr>
            <w:tcW w:w="684" w:type="pct"/>
            <w:vMerge/>
            <w:vAlign w:val="center"/>
          </w:tcPr>
          <w:p w:rsidR="007C55CB" w:rsidRPr="00E3331A" w:rsidRDefault="007C55CB" w:rsidP="00D77378">
            <w:pPr>
              <w:pStyle w:val="Tablecontents"/>
              <w:jc w:val="center"/>
            </w:pPr>
          </w:p>
        </w:tc>
        <w:tc>
          <w:tcPr>
            <w:tcW w:w="720" w:type="pct"/>
            <w:vAlign w:val="center"/>
          </w:tcPr>
          <w:p w:rsidR="007C55CB" w:rsidRPr="00E3331A" w:rsidRDefault="007C55CB" w:rsidP="00D77378">
            <w:pPr>
              <w:pStyle w:val="Tablecontents"/>
              <w:jc w:val="center"/>
              <w:rPr>
                <w:rFonts w:eastAsia="Lucida Sans" w:cs="Lucida Sans"/>
              </w:rPr>
            </w:pPr>
            <w:r w:rsidRPr="00E3331A">
              <w:rPr>
                <w:spacing w:val="-1"/>
                <w:w w:val="105"/>
              </w:rPr>
              <w:t>MH</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67</w:t>
            </w:r>
            <w:r w:rsidRPr="00E3331A">
              <w:rPr>
                <w:spacing w:val="-1"/>
              </w:rPr>
              <w:t>.</w:t>
            </w:r>
            <w:r w:rsidRPr="00E3331A">
              <w:rPr>
                <w:spacing w:val="-2"/>
              </w:rPr>
              <w:t>2</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18</w:t>
            </w:r>
            <w:r w:rsidRPr="00E3331A">
              <w:rPr>
                <w:spacing w:val="-1"/>
              </w:rPr>
              <w:t>.</w:t>
            </w:r>
            <w:r w:rsidRPr="00E3331A">
              <w:rPr>
                <w:spacing w:val="-2"/>
              </w:rPr>
              <w:t>64</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67</w:t>
            </w:r>
            <w:r w:rsidRPr="00E3331A">
              <w:rPr>
                <w:spacing w:val="-1"/>
              </w:rPr>
              <w:t>.</w:t>
            </w:r>
            <w:r w:rsidRPr="00E3331A">
              <w:rPr>
                <w:spacing w:val="-2"/>
              </w:rPr>
              <w:t>6</w:t>
            </w:r>
          </w:p>
        </w:tc>
        <w:tc>
          <w:tcPr>
            <w:tcW w:w="680" w:type="pct"/>
            <w:vAlign w:val="center"/>
          </w:tcPr>
          <w:p w:rsidR="007C55CB" w:rsidRPr="00E3331A" w:rsidRDefault="007C55CB" w:rsidP="00D77378">
            <w:pPr>
              <w:pStyle w:val="Tablecontents"/>
              <w:jc w:val="center"/>
              <w:rPr>
                <w:rFonts w:eastAsia="Lucida Sans" w:cs="Lucida Sans"/>
              </w:rPr>
            </w:pPr>
            <w:r w:rsidRPr="00E3331A">
              <w:rPr>
                <w:spacing w:val="-2"/>
              </w:rPr>
              <w:t>13</w:t>
            </w:r>
            <w:r w:rsidRPr="00E3331A">
              <w:rPr>
                <w:spacing w:val="-1"/>
              </w:rPr>
              <w:t>.</w:t>
            </w:r>
            <w:r w:rsidRPr="00E3331A">
              <w:rPr>
                <w:spacing w:val="-2"/>
              </w:rPr>
              <w:t>78</w:t>
            </w:r>
          </w:p>
        </w:tc>
        <w:tc>
          <w:tcPr>
            <w:tcW w:w="756" w:type="pct"/>
            <w:vAlign w:val="center"/>
          </w:tcPr>
          <w:p w:rsidR="007C55CB" w:rsidRPr="00E3331A" w:rsidRDefault="007C55CB" w:rsidP="007C55CB">
            <w:pPr>
              <w:pStyle w:val="Tablecontents"/>
              <w:jc w:val="center"/>
              <w:rPr>
                <w:rFonts w:eastAsia="Lucida Sans" w:cs="Lucida Sans"/>
              </w:rPr>
            </w:pPr>
            <w:r w:rsidRPr="00E3331A">
              <w:rPr>
                <w:spacing w:val="-2"/>
              </w:rPr>
              <w:t>n.s.</w:t>
            </w:r>
          </w:p>
        </w:tc>
      </w:tr>
      <w:tr w:rsidR="007C55CB" w:rsidRPr="00E3331A" w:rsidTr="007C55CB">
        <w:trPr>
          <w:cantSplit/>
          <w:tblHeader/>
        </w:trPr>
        <w:tc>
          <w:tcPr>
            <w:tcW w:w="684" w:type="pct"/>
            <w:vMerge/>
            <w:vAlign w:val="center"/>
          </w:tcPr>
          <w:p w:rsidR="007C55CB" w:rsidRPr="00E3331A" w:rsidRDefault="007C55CB" w:rsidP="00D77378">
            <w:pPr>
              <w:pStyle w:val="Tablecontents"/>
              <w:jc w:val="center"/>
            </w:pPr>
          </w:p>
        </w:tc>
        <w:tc>
          <w:tcPr>
            <w:tcW w:w="720" w:type="pct"/>
            <w:vAlign w:val="center"/>
          </w:tcPr>
          <w:p w:rsidR="007C55CB" w:rsidRPr="00E3331A" w:rsidRDefault="007C55CB" w:rsidP="00D77378">
            <w:pPr>
              <w:pStyle w:val="Tablecontents"/>
              <w:jc w:val="center"/>
              <w:rPr>
                <w:rFonts w:eastAsia="Lucida Sans" w:cs="Lucida Sans"/>
              </w:rPr>
            </w:pPr>
            <w:r w:rsidRPr="00E3331A">
              <w:rPr>
                <w:w w:val="105"/>
              </w:rPr>
              <w:t>PCS</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41</w:t>
            </w:r>
            <w:r w:rsidRPr="00E3331A">
              <w:rPr>
                <w:spacing w:val="-1"/>
              </w:rPr>
              <w:t>.</w:t>
            </w:r>
            <w:r w:rsidRPr="00E3331A">
              <w:rPr>
                <w:spacing w:val="-2"/>
              </w:rPr>
              <w:t>2</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11</w:t>
            </w:r>
            <w:r w:rsidRPr="00E3331A">
              <w:rPr>
                <w:spacing w:val="-1"/>
              </w:rPr>
              <w:t>.</w:t>
            </w:r>
            <w:r w:rsidRPr="00E3331A">
              <w:rPr>
                <w:spacing w:val="-2"/>
              </w:rPr>
              <w:t>49</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41</w:t>
            </w:r>
            <w:r w:rsidRPr="00E3331A">
              <w:rPr>
                <w:spacing w:val="-1"/>
              </w:rPr>
              <w:t>.</w:t>
            </w:r>
            <w:r w:rsidRPr="00E3331A">
              <w:rPr>
                <w:spacing w:val="-2"/>
              </w:rPr>
              <w:t>8</w:t>
            </w:r>
          </w:p>
        </w:tc>
        <w:tc>
          <w:tcPr>
            <w:tcW w:w="680" w:type="pct"/>
            <w:vAlign w:val="center"/>
          </w:tcPr>
          <w:p w:rsidR="007C55CB" w:rsidRPr="00E3331A" w:rsidRDefault="007C55CB" w:rsidP="00D77378">
            <w:pPr>
              <w:pStyle w:val="Tablecontents"/>
              <w:jc w:val="center"/>
              <w:rPr>
                <w:rFonts w:eastAsia="Lucida Sans" w:cs="Lucida Sans"/>
              </w:rPr>
            </w:pPr>
            <w:r w:rsidRPr="00E3331A">
              <w:rPr>
                <w:spacing w:val="-2"/>
              </w:rPr>
              <w:t>9</w:t>
            </w:r>
            <w:r w:rsidRPr="00E3331A">
              <w:rPr>
                <w:spacing w:val="-1"/>
              </w:rPr>
              <w:t>.</w:t>
            </w:r>
            <w:r w:rsidRPr="00E3331A">
              <w:rPr>
                <w:spacing w:val="-2"/>
              </w:rPr>
              <w:t>95</w:t>
            </w:r>
          </w:p>
        </w:tc>
        <w:tc>
          <w:tcPr>
            <w:tcW w:w="756" w:type="pct"/>
            <w:vAlign w:val="center"/>
          </w:tcPr>
          <w:p w:rsidR="007C55CB" w:rsidRPr="00E3331A" w:rsidRDefault="007C55CB" w:rsidP="007C55CB">
            <w:pPr>
              <w:pStyle w:val="Tablecontents"/>
              <w:jc w:val="center"/>
              <w:rPr>
                <w:rFonts w:eastAsia="Lucida Sans" w:cs="Lucida Sans"/>
              </w:rPr>
            </w:pPr>
            <w:r w:rsidRPr="00E3331A">
              <w:rPr>
                <w:spacing w:val="-2"/>
              </w:rPr>
              <w:t>n.s.</w:t>
            </w:r>
          </w:p>
        </w:tc>
      </w:tr>
      <w:tr w:rsidR="007C55CB" w:rsidRPr="00E3331A" w:rsidTr="007C55CB">
        <w:trPr>
          <w:cantSplit/>
          <w:tblHeader/>
        </w:trPr>
        <w:tc>
          <w:tcPr>
            <w:tcW w:w="684" w:type="pct"/>
            <w:vMerge/>
            <w:vAlign w:val="center"/>
          </w:tcPr>
          <w:p w:rsidR="007C55CB" w:rsidRPr="00E3331A" w:rsidRDefault="007C55CB" w:rsidP="00D77378">
            <w:pPr>
              <w:pStyle w:val="Tablecontents"/>
              <w:jc w:val="center"/>
            </w:pPr>
          </w:p>
        </w:tc>
        <w:tc>
          <w:tcPr>
            <w:tcW w:w="720" w:type="pct"/>
            <w:vAlign w:val="center"/>
          </w:tcPr>
          <w:p w:rsidR="007C55CB" w:rsidRPr="00E3331A" w:rsidRDefault="007C55CB" w:rsidP="00D77378">
            <w:pPr>
              <w:pStyle w:val="Tablecontents"/>
              <w:jc w:val="center"/>
              <w:rPr>
                <w:rFonts w:eastAsia="Lucida Sans" w:cs="Lucida Sans"/>
              </w:rPr>
            </w:pPr>
            <w:r w:rsidRPr="00E3331A">
              <w:rPr>
                <w:w w:val="110"/>
              </w:rPr>
              <w:t>MCS</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41</w:t>
            </w:r>
            <w:r w:rsidRPr="00E3331A">
              <w:rPr>
                <w:spacing w:val="-1"/>
              </w:rPr>
              <w:t>.</w:t>
            </w:r>
            <w:r w:rsidRPr="00E3331A">
              <w:rPr>
                <w:spacing w:val="-2"/>
              </w:rPr>
              <w:t>7</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13</w:t>
            </w:r>
            <w:r w:rsidRPr="00E3331A">
              <w:rPr>
                <w:spacing w:val="-1"/>
              </w:rPr>
              <w:t>.</w:t>
            </w:r>
            <w:r w:rsidRPr="00E3331A">
              <w:rPr>
                <w:spacing w:val="-2"/>
              </w:rPr>
              <w:t>63</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51</w:t>
            </w:r>
            <w:r w:rsidRPr="00E3331A">
              <w:rPr>
                <w:spacing w:val="-1"/>
              </w:rPr>
              <w:t>.</w:t>
            </w:r>
            <w:r w:rsidRPr="00E3331A">
              <w:rPr>
                <w:spacing w:val="-2"/>
              </w:rPr>
              <w:t>1</w:t>
            </w:r>
          </w:p>
        </w:tc>
        <w:tc>
          <w:tcPr>
            <w:tcW w:w="680" w:type="pct"/>
            <w:vAlign w:val="center"/>
          </w:tcPr>
          <w:p w:rsidR="007C55CB" w:rsidRPr="00E3331A" w:rsidRDefault="007C55CB" w:rsidP="00D77378">
            <w:pPr>
              <w:pStyle w:val="Tablecontents"/>
              <w:jc w:val="center"/>
              <w:rPr>
                <w:rFonts w:eastAsia="Lucida Sans" w:cs="Lucida Sans"/>
              </w:rPr>
            </w:pPr>
            <w:r w:rsidRPr="00E3331A">
              <w:rPr>
                <w:spacing w:val="-2"/>
              </w:rPr>
              <w:t>7</w:t>
            </w:r>
            <w:r w:rsidRPr="00E3331A">
              <w:rPr>
                <w:spacing w:val="-1"/>
              </w:rPr>
              <w:t>.</w:t>
            </w:r>
            <w:r w:rsidRPr="00E3331A">
              <w:rPr>
                <w:spacing w:val="-2"/>
              </w:rPr>
              <w:t>51</w:t>
            </w:r>
          </w:p>
        </w:tc>
        <w:tc>
          <w:tcPr>
            <w:tcW w:w="756" w:type="pct"/>
            <w:vAlign w:val="center"/>
          </w:tcPr>
          <w:p w:rsidR="007C55CB" w:rsidRPr="00E3331A" w:rsidRDefault="007C55CB" w:rsidP="007C55CB">
            <w:pPr>
              <w:pStyle w:val="Tablecontents"/>
              <w:jc w:val="center"/>
              <w:rPr>
                <w:rFonts w:eastAsia="Lucida Sans" w:cs="Lucida Sans"/>
              </w:rPr>
            </w:pPr>
            <w:r w:rsidRPr="00E3331A">
              <w:rPr>
                <w:spacing w:val="-2"/>
              </w:rPr>
              <w:t>n.s.</w:t>
            </w:r>
          </w:p>
        </w:tc>
      </w:tr>
      <w:tr w:rsidR="007C55CB" w:rsidRPr="00E3331A" w:rsidTr="007C55CB">
        <w:trPr>
          <w:cantSplit/>
          <w:tblHeader/>
        </w:trPr>
        <w:tc>
          <w:tcPr>
            <w:tcW w:w="684" w:type="pct"/>
            <w:vMerge w:val="restart"/>
            <w:vAlign w:val="center"/>
          </w:tcPr>
          <w:p w:rsidR="007C55CB" w:rsidRPr="00E3331A" w:rsidRDefault="007C55CB" w:rsidP="00D77378">
            <w:pPr>
              <w:pStyle w:val="Tablecontents"/>
              <w:jc w:val="center"/>
              <w:rPr>
                <w:rFonts w:eastAsia="Lucida Sans" w:cs="Lucida Sans"/>
              </w:rPr>
            </w:pPr>
            <w:r w:rsidRPr="00E3331A">
              <w:t>EQ-5D</w:t>
            </w:r>
          </w:p>
        </w:tc>
        <w:tc>
          <w:tcPr>
            <w:tcW w:w="720" w:type="pct"/>
            <w:vAlign w:val="center"/>
          </w:tcPr>
          <w:p w:rsidR="007C55CB" w:rsidRPr="00E3331A" w:rsidRDefault="007C55CB" w:rsidP="00D77378">
            <w:pPr>
              <w:pStyle w:val="Tablecontents"/>
              <w:jc w:val="center"/>
              <w:rPr>
                <w:rFonts w:eastAsia="Lucida Sans" w:cs="Lucida Sans"/>
              </w:rPr>
            </w:pPr>
            <w:r w:rsidRPr="00E3331A">
              <w:t>EQ-5D</w:t>
            </w:r>
            <w:r w:rsidRPr="00E3331A">
              <w:rPr>
                <w:spacing w:val="-14"/>
              </w:rPr>
              <w:t xml:space="preserve"> </w:t>
            </w:r>
            <w:r w:rsidRPr="00E3331A">
              <w:t>Index</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0</w:t>
            </w:r>
            <w:r w:rsidRPr="00E3331A">
              <w:rPr>
                <w:spacing w:val="-1"/>
              </w:rPr>
              <w:t>.</w:t>
            </w:r>
            <w:r w:rsidRPr="00E3331A">
              <w:rPr>
                <w:spacing w:val="-2"/>
              </w:rPr>
              <w:t>680</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0</w:t>
            </w:r>
            <w:r w:rsidRPr="00E3331A">
              <w:rPr>
                <w:spacing w:val="-1"/>
              </w:rPr>
              <w:t>.</w:t>
            </w:r>
            <w:r w:rsidRPr="00E3331A">
              <w:rPr>
                <w:spacing w:val="-2"/>
              </w:rPr>
              <w:t>20</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0</w:t>
            </w:r>
            <w:r w:rsidRPr="00E3331A">
              <w:rPr>
                <w:spacing w:val="-1"/>
              </w:rPr>
              <w:t>.</w:t>
            </w:r>
            <w:r w:rsidRPr="00E3331A">
              <w:rPr>
                <w:spacing w:val="-2"/>
              </w:rPr>
              <w:t>722</w:t>
            </w:r>
          </w:p>
        </w:tc>
        <w:tc>
          <w:tcPr>
            <w:tcW w:w="680" w:type="pct"/>
            <w:vAlign w:val="center"/>
          </w:tcPr>
          <w:p w:rsidR="007C55CB" w:rsidRPr="00E3331A" w:rsidRDefault="007C55CB" w:rsidP="00D77378">
            <w:pPr>
              <w:pStyle w:val="Tablecontents"/>
              <w:jc w:val="center"/>
              <w:rPr>
                <w:rFonts w:eastAsia="Lucida Sans" w:cs="Lucida Sans"/>
              </w:rPr>
            </w:pPr>
            <w:r w:rsidRPr="00E3331A">
              <w:rPr>
                <w:spacing w:val="-2"/>
              </w:rPr>
              <w:t>0</w:t>
            </w:r>
            <w:r w:rsidRPr="00E3331A">
              <w:rPr>
                <w:spacing w:val="-1"/>
              </w:rPr>
              <w:t>.</w:t>
            </w:r>
            <w:r w:rsidRPr="00E3331A">
              <w:rPr>
                <w:spacing w:val="-2"/>
              </w:rPr>
              <w:t>24</w:t>
            </w:r>
          </w:p>
        </w:tc>
        <w:tc>
          <w:tcPr>
            <w:tcW w:w="756" w:type="pct"/>
            <w:vAlign w:val="center"/>
          </w:tcPr>
          <w:p w:rsidR="007C55CB" w:rsidRPr="00E3331A" w:rsidRDefault="007C55CB" w:rsidP="007C55CB">
            <w:pPr>
              <w:pStyle w:val="Tablecontents"/>
              <w:jc w:val="center"/>
              <w:rPr>
                <w:rFonts w:eastAsia="Lucida Sans" w:cs="Lucida Sans"/>
              </w:rPr>
            </w:pPr>
            <w:r w:rsidRPr="00E3331A">
              <w:rPr>
                <w:spacing w:val="-2"/>
              </w:rPr>
              <w:t>n.s.</w:t>
            </w:r>
          </w:p>
        </w:tc>
      </w:tr>
      <w:tr w:rsidR="007C55CB" w:rsidRPr="00E3331A" w:rsidTr="007C55CB">
        <w:trPr>
          <w:cantSplit/>
          <w:tblHeader/>
        </w:trPr>
        <w:tc>
          <w:tcPr>
            <w:tcW w:w="684" w:type="pct"/>
            <w:vMerge/>
            <w:vAlign w:val="center"/>
          </w:tcPr>
          <w:p w:rsidR="007C55CB" w:rsidRPr="00E3331A" w:rsidRDefault="007C55CB" w:rsidP="00D77378">
            <w:pPr>
              <w:pStyle w:val="Tablecontents"/>
              <w:jc w:val="center"/>
            </w:pPr>
          </w:p>
        </w:tc>
        <w:tc>
          <w:tcPr>
            <w:tcW w:w="720" w:type="pct"/>
            <w:vAlign w:val="center"/>
          </w:tcPr>
          <w:p w:rsidR="007C55CB" w:rsidRPr="00E3331A" w:rsidRDefault="007C55CB" w:rsidP="00D77378">
            <w:pPr>
              <w:pStyle w:val="Tablecontents"/>
              <w:jc w:val="center"/>
              <w:rPr>
                <w:rFonts w:eastAsia="Lucida Sans" w:cs="Lucida Sans"/>
              </w:rPr>
            </w:pPr>
            <w:r w:rsidRPr="00E3331A">
              <w:rPr>
                <w:spacing w:val="-1"/>
              </w:rPr>
              <w:t>EQ-5D</w:t>
            </w:r>
            <w:r w:rsidRPr="00E3331A">
              <w:rPr>
                <w:spacing w:val="7"/>
              </w:rPr>
              <w:t xml:space="preserve"> </w:t>
            </w:r>
            <w:r w:rsidRPr="00E3331A">
              <w:rPr>
                <w:spacing w:val="-2"/>
              </w:rPr>
              <w:t>V</w:t>
            </w:r>
            <w:r w:rsidRPr="00E3331A">
              <w:rPr>
                <w:spacing w:val="-1"/>
              </w:rPr>
              <w:t>AS</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w w:val="95"/>
              </w:rPr>
              <w:t>71</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15</w:t>
            </w:r>
            <w:r w:rsidRPr="00E3331A">
              <w:rPr>
                <w:spacing w:val="-1"/>
              </w:rPr>
              <w:t>.</w:t>
            </w:r>
            <w:r w:rsidRPr="00E3331A">
              <w:rPr>
                <w:spacing w:val="-2"/>
              </w:rPr>
              <w:t>05</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w w:val="95"/>
              </w:rPr>
              <w:t>72</w:t>
            </w:r>
          </w:p>
        </w:tc>
        <w:tc>
          <w:tcPr>
            <w:tcW w:w="680" w:type="pct"/>
            <w:vAlign w:val="center"/>
          </w:tcPr>
          <w:p w:rsidR="007C55CB" w:rsidRPr="00E3331A" w:rsidRDefault="007C55CB" w:rsidP="00D77378">
            <w:pPr>
              <w:pStyle w:val="Tablecontents"/>
              <w:jc w:val="center"/>
              <w:rPr>
                <w:rFonts w:eastAsia="Lucida Sans" w:cs="Lucida Sans"/>
              </w:rPr>
            </w:pPr>
            <w:r w:rsidRPr="00E3331A">
              <w:rPr>
                <w:spacing w:val="-2"/>
              </w:rPr>
              <w:t>16</w:t>
            </w:r>
            <w:r w:rsidRPr="00E3331A">
              <w:rPr>
                <w:spacing w:val="-1"/>
              </w:rPr>
              <w:t>.</w:t>
            </w:r>
            <w:r w:rsidRPr="00E3331A">
              <w:rPr>
                <w:spacing w:val="-2"/>
              </w:rPr>
              <w:t>53</w:t>
            </w:r>
          </w:p>
        </w:tc>
        <w:tc>
          <w:tcPr>
            <w:tcW w:w="756" w:type="pct"/>
            <w:vAlign w:val="center"/>
          </w:tcPr>
          <w:p w:rsidR="007C55CB" w:rsidRPr="00E3331A" w:rsidRDefault="007C55CB" w:rsidP="007C55CB">
            <w:pPr>
              <w:pStyle w:val="Tablecontents"/>
              <w:jc w:val="center"/>
              <w:rPr>
                <w:rFonts w:eastAsia="Lucida Sans" w:cs="Lucida Sans"/>
              </w:rPr>
            </w:pPr>
            <w:r w:rsidRPr="00E3331A">
              <w:t>n.s.</w:t>
            </w:r>
          </w:p>
        </w:tc>
      </w:tr>
      <w:tr w:rsidR="007C55CB" w:rsidRPr="00E3331A" w:rsidTr="007C55CB">
        <w:trPr>
          <w:cantSplit/>
          <w:tblHeader/>
        </w:trPr>
        <w:tc>
          <w:tcPr>
            <w:tcW w:w="684" w:type="pct"/>
            <w:vMerge w:val="restart"/>
            <w:vAlign w:val="center"/>
          </w:tcPr>
          <w:p w:rsidR="007C55CB" w:rsidRPr="00E3331A" w:rsidRDefault="007C55CB" w:rsidP="00D77378">
            <w:pPr>
              <w:pStyle w:val="Tablecontents"/>
              <w:jc w:val="center"/>
              <w:rPr>
                <w:rFonts w:eastAsia="Lucida Sans" w:cs="Lucida Sans"/>
              </w:rPr>
            </w:pPr>
            <w:r w:rsidRPr="00E3331A">
              <w:rPr>
                <w:spacing w:val="-1"/>
              </w:rPr>
              <w:t>LQI</w:t>
            </w:r>
          </w:p>
        </w:tc>
        <w:tc>
          <w:tcPr>
            <w:tcW w:w="720" w:type="pct"/>
            <w:vAlign w:val="center"/>
          </w:tcPr>
          <w:p w:rsidR="007C55CB" w:rsidRPr="00E3331A" w:rsidRDefault="007C55CB" w:rsidP="00D77378">
            <w:pPr>
              <w:pStyle w:val="Tablecontents"/>
              <w:jc w:val="center"/>
              <w:rPr>
                <w:rFonts w:eastAsia="Lucida Sans" w:cs="Lucida Sans"/>
              </w:rPr>
            </w:pPr>
            <w:r w:rsidRPr="00E3331A">
              <w:t>I</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30</w:t>
            </w:r>
            <w:r w:rsidRPr="00E3331A">
              <w:rPr>
                <w:spacing w:val="-1"/>
              </w:rPr>
              <w:t>.</w:t>
            </w:r>
            <w:r w:rsidRPr="00E3331A">
              <w:rPr>
                <w:spacing w:val="-2"/>
              </w:rPr>
              <w:t>5</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6</w:t>
            </w:r>
            <w:r w:rsidRPr="00E3331A">
              <w:rPr>
                <w:spacing w:val="-1"/>
              </w:rPr>
              <w:t>.</w:t>
            </w:r>
            <w:r w:rsidRPr="00E3331A">
              <w:rPr>
                <w:spacing w:val="-2"/>
              </w:rPr>
              <w:t>07</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38</w:t>
            </w:r>
            <w:r w:rsidRPr="00E3331A">
              <w:rPr>
                <w:spacing w:val="-1"/>
              </w:rPr>
              <w:t>.</w:t>
            </w:r>
            <w:r w:rsidRPr="00E3331A">
              <w:rPr>
                <w:spacing w:val="-2"/>
              </w:rPr>
              <w:t>9</w:t>
            </w:r>
          </w:p>
        </w:tc>
        <w:tc>
          <w:tcPr>
            <w:tcW w:w="680" w:type="pct"/>
            <w:vAlign w:val="center"/>
          </w:tcPr>
          <w:p w:rsidR="007C55CB" w:rsidRPr="00E3331A" w:rsidRDefault="007C55CB" w:rsidP="00D77378">
            <w:pPr>
              <w:pStyle w:val="Tablecontents"/>
              <w:jc w:val="center"/>
              <w:rPr>
                <w:rFonts w:eastAsia="Lucida Sans" w:cs="Lucida Sans"/>
              </w:rPr>
            </w:pPr>
            <w:r w:rsidRPr="00E3331A">
              <w:t>4.25</w:t>
            </w:r>
          </w:p>
        </w:tc>
        <w:tc>
          <w:tcPr>
            <w:tcW w:w="756" w:type="pct"/>
            <w:vAlign w:val="center"/>
          </w:tcPr>
          <w:p w:rsidR="007C55CB" w:rsidRPr="00E3331A" w:rsidRDefault="007C55CB" w:rsidP="007C55CB">
            <w:pPr>
              <w:pStyle w:val="Tablecontents"/>
              <w:jc w:val="center"/>
              <w:rPr>
                <w:rFonts w:eastAsia="Lucida Sans" w:cs="Lucida Sans"/>
              </w:rPr>
            </w:pPr>
            <w:r w:rsidRPr="00E3331A">
              <w:rPr>
                <w:w w:val="95"/>
              </w:rPr>
              <w:t>0.002</w:t>
            </w:r>
          </w:p>
        </w:tc>
      </w:tr>
      <w:tr w:rsidR="007C55CB" w:rsidRPr="00E3331A" w:rsidTr="007C55CB">
        <w:trPr>
          <w:cantSplit/>
          <w:tblHeader/>
        </w:trPr>
        <w:tc>
          <w:tcPr>
            <w:tcW w:w="684" w:type="pct"/>
            <w:vMerge/>
            <w:vAlign w:val="center"/>
          </w:tcPr>
          <w:p w:rsidR="007C55CB" w:rsidRPr="00E3331A" w:rsidRDefault="007C55CB" w:rsidP="00D77378">
            <w:pPr>
              <w:pStyle w:val="Tablecontents"/>
              <w:jc w:val="center"/>
            </w:pPr>
          </w:p>
        </w:tc>
        <w:tc>
          <w:tcPr>
            <w:tcW w:w="720" w:type="pct"/>
            <w:vAlign w:val="center"/>
          </w:tcPr>
          <w:p w:rsidR="007C55CB" w:rsidRPr="00E3331A" w:rsidRDefault="007C55CB" w:rsidP="00D77378">
            <w:pPr>
              <w:pStyle w:val="Tablecontents"/>
              <w:jc w:val="center"/>
              <w:rPr>
                <w:rFonts w:eastAsia="Lucida Sans" w:cs="Lucida Sans"/>
              </w:rPr>
            </w:pPr>
            <w:r w:rsidRPr="00E3331A">
              <w:t>II</w:t>
            </w:r>
          </w:p>
        </w:tc>
        <w:tc>
          <w:tcPr>
            <w:tcW w:w="720" w:type="pct"/>
            <w:vAlign w:val="center"/>
          </w:tcPr>
          <w:p w:rsidR="007C55CB" w:rsidRPr="00E3331A" w:rsidRDefault="007C55CB" w:rsidP="00D77378">
            <w:pPr>
              <w:pStyle w:val="Tablecontents"/>
              <w:jc w:val="center"/>
              <w:rPr>
                <w:rFonts w:eastAsia="Lucida Sans" w:cs="Lucida Sans"/>
              </w:rPr>
            </w:pPr>
            <w:r w:rsidRPr="00E3331A">
              <w:t>19.8</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4</w:t>
            </w:r>
            <w:r w:rsidRPr="00E3331A">
              <w:rPr>
                <w:spacing w:val="-1"/>
              </w:rPr>
              <w:t>.</w:t>
            </w:r>
            <w:r w:rsidRPr="00E3331A">
              <w:rPr>
                <w:spacing w:val="-2"/>
              </w:rPr>
              <w:t>84</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24</w:t>
            </w:r>
            <w:r w:rsidRPr="00E3331A">
              <w:rPr>
                <w:spacing w:val="-1"/>
              </w:rPr>
              <w:t>.</w:t>
            </w:r>
            <w:r w:rsidRPr="00E3331A">
              <w:rPr>
                <w:spacing w:val="-2"/>
              </w:rPr>
              <w:t>3</w:t>
            </w:r>
          </w:p>
        </w:tc>
        <w:tc>
          <w:tcPr>
            <w:tcW w:w="680" w:type="pct"/>
            <w:vAlign w:val="center"/>
          </w:tcPr>
          <w:p w:rsidR="007C55CB" w:rsidRPr="00E3331A" w:rsidRDefault="007C55CB" w:rsidP="00D77378">
            <w:pPr>
              <w:pStyle w:val="Tablecontents"/>
              <w:jc w:val="center"/>
              <w:rPr>
                <w:rFonts w:eastAsia="Lucida Sans" w:cs="Lucida Sans"/>
              </w:rPr>
            </w:pPr>
            <w:r w:rsidRPr="00E3331A">
              <w:t>3.05</w:t>
            </w:r>
          </w:p>
        </w:tc>
        <w:tc>
          <w:tcPr>
            <w:tcW w:w="756" w:type="pct"/>
            <w:vAlign w:val="center"/>
          </w:tcPr>
          <w:p w:rsidR="007C55CB" w:rsidRPr="00E3331A" w:rsidRDefault="007C55CB" w:rsidP="007C55CB">
            <w:pPr>
              <w:pStyle w:val="Tablecontents"/>
              <w:jc w:val="center"/>
              <w:rPr>
                <w:rFonts w:eastAsia="Lucida Sans" w:cs="Lucida Sans"/>
              </w:rPr>
            </w:pPr>
            <w:r w:rsidRPr="00E3331A">
              <w:rPr>
                <w:w w:val="95"/>
              </w:rPr>
              <w:t>0.021</w:t>
            </w:r>
          </w:p>
        </w:tc>
      </w:tr>
      <w:tr w:rsidR="007C55CB" w:rsidRPr="00E3331A" w:rsidTr="007C55CB">
        <w:trPr>
          <w:cantSplit/>
          <w:tblHeader/>
        </w:trPr>
        <w:tc>
          <w:tcPr>
            <w:tcW w:w="684" w:type="pct"/>
            <w:vMerge/>
            <w:vAlign w:val="center"/>
          </w:tcPr>
          <w:p w:rsidR="007C55CB" w:rsidRPr="00E3331A" w:rsidRDefault="007C55CB" w:rsidP="00D77378">
            <w:pPr>
              <w:pStyle w:val="Tablecontents"/>
              <w:jc w:val="center"/>
            </w:pPr>
          </w:p>
        </w:tc>
        <w:tc>
          <w:tcPr>
            <w:tcW w:w="720" w:type="pct"/>
            <w:vAlign w:val="center"/>
          </w:tcPr>
          <w:p w:rsidR="007C55CB" w:rsidRPr="00E3331A" w:rsidRDefault="007C55CB" w:rsidP="00D77378">
            <w:pPr>
              <w:pStyle w:val="Tablecontents"/>
              <w:jc w:val="center"/>
              <w:rPr>
                <w:rFonts w:eastAsia="Lucida Sans" w:cs="Lucida Sans"/>
              </w:rPr>
            </w:pPr>
            <w:r w:rsidRPr="00E3331A">
              <w:t>III</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15</w:t>
            </w:r>
            <w:r w:rsidRPr="00E3331A">
              <w:rPr>
                <w:spacing w:val="-1"/>
              </w:rPr>
              <w:t>.</w:t>
            </w:r>
            <w:r w:rsidRPr="00E3331A">
              <w:rPr>
                <w:spacing w:val="-2"/>
              </w:rPr>
              <w:t>4</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3</w:t>
            </w:r>
            <w:r w:rsidRPr="00E3331A">
              <w:rPr>
                <w:spacing w:val="-1"/>
              </w:rPr>
              <w:t>.</w:t>
            </w:r>
            <w:r w:rsidRPr="00E3331A">
              <w:rPr>
                <w:spacing w:val="-2"/>
              </w:rPr>
              <w:t>43</w:t>
            </w:r>
          </w:p>
        </w:tc>
        <w:tc>
          <w:tcPr>
            <w:tcW w:w="720" w:type="pct"/>
            <w:vAlign w:val="center"/>
          </w:tcPr>
          <w:p w:rsidR="007C55CB" w:rsidRPr="00E3331A" w:rsidRDefault="007C55CB" w:rsidP="00D77378">
            <w:pPr>
              <w:pStyle w:val="Tablecontents"/>
              <w:jc w:val="center"/>
              <w:rPr>
                <w:rFonts w:eastAsia="Lucida Sans" w:cs="Lucida Sans"/>
              </w:rPr>
            </w:pPr>
            <w:r w:rsidRPr="00E3331A">
              <w:rPr>
                <w:spacing w:val="-2"/>
              </w:rPr>
              <w:t>20</w:t>
            </w:r>
            <w:r w:rsidRPr="00E3331A">
              <w:rPr>
                <w:spacing w:val="-1"/>
              </w:rPr>
              <w:t>.</w:t>
            </w:r>
            <w:r w:rsidRPr="00E3331A">
              <w:rPr>
                <w:spacing w:val="-2"/>
              </w:rPr>
              <w:t>6</w:t>
            </w:r>
          </w:p>
        </w:tc>
        <w:tc>
          <w:tcPr>
            <w:tcW w:w="680" w:type="pct"/>
            <w:vAlign w:val="center"/>
          </w:tcPr>
          <w:p w:rsidR="007C55CB" w:rsidRPr="00E3331A" w:rsidRDefault="007C55CB" w:rsidP="00D77378">
            <w:pPr>
              <w:pStyle w:val="Tablecontents"/>
              <w:jc w:val="center"/>
              <w:rPr>
                <w:rFonts w:eastAsia="Lucida Sans" w:cs="Lucida Sans"/>
              </w:rPr>
            </w:pPr>
            <w:r w:rsidRPr="00E3331A">
              <w:t>0.84</w:t>
            </w:r>
          </w:p>
        </w:tc>
        <w:tc>
          <w:tcPr>
            <w:tcW w:w="756" w:type="pct"/>
            <w:vAlign w:val="center"/>
          </w:tcPr>
          <w:p w:rsidR="007C55CB" w:rsidRPr="00E3331A" w:rsidRDefault="007C55CB" w:rsidP="007C55CB">
            <w:pPr>
              <w:pStyle w:val="Tablecontents"/>
              <w:jc w:val="center"/>
              <w:rPr>
                <w:rFonts w:eastAsia="Lucida Sans" w:cs="Lucida Sans"/>
              </w:rPr>
            </w:pPr>
            <w:r w:rsidRPr="00E3331A">
              <w:rPr>
                <w:w w:val="95"/>
              </w:rPr>
              <w:t>0.001</w:t>
            </w:r>
          </w:p>
        </w:tc>
      </w:tr>
    </w:tbl>
    <w:p w:rsidR="001F5B33" w:rsidRPr="00E3331A" w:rsidRDefault="001F5B33" w:rsidP="0037150F">
      <w:pPr>
        <w:pStyle w:val="Tablenotes1"/>
        <w:rPr>
          <w:w w:val="95"/>
        </w:rPr>
      </w:pPr>
      <w:r w:rsidRPr="00E3331A">
        <w:t>IVIg</w:t>
      </w:r>
      <w:r w:rsidR="00DF57B8" w:rsidRPr="00E3331A">
        <w:t xml:space="preserve"> =</w:t>
      </w:r>
      <w:r w:rsidRPr="00E3331A">
        <w:rPr>
          <w:spacing w:val="37"/>
        </w:rPr>
        <w:t xml:space="preserve"> </w:t>
      </w:r>
      <w:r w:rsidRPr="00E3331A">
        <w:t>intravenous</w:t>
      </w:r>
      <w:r w:rsidRPr="00E3331A">
        <w:rPr>
          <w:spacing w:val="38"/>
        </w:rPr>
        <w:t xml:space="preserve"> </w:t>
      </w:r>
      <w:r w:rsidRPr="00E3331A">
        <w:t>immunoglobulin</w:t>
      </w:r>
      <w:r w:rsidR="00DF57B8" w:rsidRPr="00E3331A">
        <w:t>,</w:t>
      </w:r>
      <w:r w:rsidRPr="00E3331A">
        <w:rPr>
          <w:spacing w:val="37"/>
        </w:rPr>
        <w:t xml:space="preserve"> </w:t>
      </w:r>
      <w:r w:rsidRPr="00E3331A">
        <w:rPr>
          <w:spacing w:val="-1"/>
        </w:rPr>
        <w:t>n</w:t>
      </w:r>
      <w:r w:rsidRPr="00E3331A">
        <w:rPr>
          <w:spacing w:val="-2"/>
        </w:rPr>
        <w:t>.s.</w:t>
      </w:r>
      <w:r w:rsidR="00DF57B8" w:rsidRPr="00E3331A">
        <w:rPr>
          <w:spacing w:val="-2"/>
        </w:rPr>
        <w:t xml:space="preserve"> =</w:t>
      </w:r>
      <w:r w:rsidRPr="00E3331A">
        <w:rPr>
          <w:spacing w:val="38"/>
        </w:rPr>
        <w:t xml:space="preserve"> </w:t>
      </w:r>
      <w:r w:rsidRPr="00E3331A">
        <w:t>not</w:t>
      </w:r>
      <w:r w:rsidRPr="00E3331A">
        <w:rPr>
          <w:spacing w:val="38"/>
        </w:rPr>
        <w:t xml:space="preserve"> </w:t>
      </w:r>
      <w:r w:rsidRPr="00E3331A">
        <w:t>significant</w:t>
      </w:r>
      <w:r w:rsidR="00DF57B8" w:rsidRPr="00E3331A">
        <w:t>,</w:t>
      </w:r>
      <w:r w:rsidRPr="00E3331A">
        <w:rPr>
          <w:spacing w:val="37"/>
        </w:rPr>
        <w:t xml:space="preserve"> </w:t>
      </w:r>
      <w:r w:rsidRPr="00E3331A">
        <w:t>SCIg</w:t>
      </w:r>
      <w:r w:rsidR="00DF57B8" w:rsidRPr="00E3331A">
        <w:t xml:space="preserve"> =</w:t>
      </w:r>
      <w:r w:rsidRPr="00E3331A">
        <w:rPr>
          <w:spacing w:val="38"/>
        </w:rPr>
        <w:t xml:space="preserve"> </w:t>
      </w:r>
      <w:r w:rsidRPr="00E3331A">
        <w:t>subcutaneous</w:t>
      </w:r>
      <w:r w:rsidRPr="00E3331A">
        <w:rPr>
          <w:spacing w:val="38"/>
        </w:rPr>
        <w:t xml:space="preserve"> </w:t>
      </w:r>
      <w:r w:rsidRPr="00E3331A">
        <w:t>immunoglobulin</w:t>
      </w:r>
      <w:r w:rsidR="00DF57B8" w:rsidRPr="00E3331A">
        <w:t>,</w:t>
      </w:r>
      <w:r w:rsidRPr="00E3331A">
        <w:rPr>
          <w:spacing w:val="37"/>
        </w:rPr>
        <w:t xml:space="preserve"> </w:t>
      </w:r>
      <w:r w:rsidRPr="00E3331A">
        <w:t>SF-36,</w:t>
      </w:r>
      <w:r w:rsidR="00DF57B8" w:rsidRPr="00E3331A">
        <w:t xml:space="preserve"> =</w:t>
      </w:r>
      <w:r w:rsidRPr="00E3331A">
        <w:rPr>
          <w:spacing w:val="38"/>
        </w:rPr>
        <w:t xml:space="preserve"> </w:t>
      </w:r>
      <w:r w:rsidRPr="00E3331A">
        <w:t>Short</w:t>
      </w:r>
      <w:r w:rsidR="00D45BCF" w:rsidRPr="00E3331A">
        <w:rPr>
          <w:spacing w:val="38"/>
        </w:rPr>
        <w:t>-</w:t>
      </w:r>
      <w:r w:rsidRPr="00E3331A">
        <w:t>Form</w:t>
      </w:r>
      <w:r w:rsidRPr="00E3331A">
        <w:rPr>
          <w:spacing w:val="37"/>
        </w:rPr>
        <w:t xml:space="preserve"> </w:t>
      </w:r>
      <w:r w:rsidRPr="00E3331A">
        <w:t>36</w:t>
      </w:r>
      <w:r w:rsidRPr="00E3331A">
        <w:rPr>
          <w:spacing w:val="38"/>
        </w:rPr>
        <w:t xml:space="preserve"> </w:t>
      </w:r>
      <w:r w:rsidRPr="00E3331A">
        <w:rPr>
          <w:spacing w:val="-2"/>
        </w:rPr>
        <w:t>Health</w:t>
      </w:r>
      <w:r w:rsidRPr="00E3331A">
        <w:rPr>
          <w:spacing w:val="38"/>
        </w:rPr>
        <w:t xml:space="preserve"> </w:t>
      </w:r>
      <w:r w:rsidRPr="00E3331A">
        <w:t>Survey</w:t>
      </w:r>
      <w:r w:rsidRPr="00E3331A">
        <w:rPr>
          <w:spacing w:val="28"/>
          <w:w w:val="101"/>
        </w:rPr>
        <w:t xml:space="preserve"> </w:t>
      </w:r>
      <w:r w:rsidRPr="00E3331A">
        <w:t>Questionnaire.</w:t>
      </w:r>
      <w:r w:rsidRPr="00E3331A">
        <w:rPr>
          <w:spacing w:val="28"/>
        </w:rPr>
        <w:t xml:space="preserve"> </w:t>
      </w:r>
      <w:r w:rsidRPr="00E3331A">
        <w:t>Scales:</w:t>
      </w:r>
      <w:r w:rsidRPr="00E3331A">
        <w:rPr>
          <w:spacing w:val="28"/>
        </w:rPr>
        <w:t xml:space="preserve"> </w:t>
      </w:r>
      <w:r w:rsidRPr="00E3331A">
        <w:t>BP</w:t>
      </w:r>
      <w:r w:rsidR="00DF57B8" w:rsidRPr="00E3331A">
        <w:t xml:space="preserve"> =</w:t>
      </w:r>
      <w:r w:rsidRPr="00E3331A">
        <w:rPr>
          <w:spacing w:val="29"/>
        </w:rPr>
        <w:t xml:space="preserve"> </w:t>
      </w:r>
      <w:r w:rsidRPr="00E3331A">
        <w:t>bodily</w:t>
      </w:r>
      <w:r w:rsidRPr="00E3331A">
        <w:rPr>
          <w:spacing w:val="28"/>
        </w:rPr>
        <w:t xml:space="preserve"> </w:t>
      </w:r>
      <w:r w:rsidRPr="00E3331A">
        <w:t>pain</w:t>
      </w:r>
      <w:r w:rsidR="00DF57B8" w:rsidRPr="00E3331A">
        <w:t>,</w:t>
      </w:r>
      <w:r w:rsidRPr="00E3331A">
        <w:rPr>
          <w:spacing w:val="29"/>
        </w:rPr>
        <w:t xml:space="preserve"> </w:t>
      </w:r>
      <w:r w:rsidRPr="00E3331A">
        <w:rPr>
          <w:spacing w:val="-1"/>
        </w:rPr>
        <w:t>E</w:t>
      </w:r>
      <w:r w:rsidRPr="00E3331A">
        <w:rPr>
          <w:spacing w:val="-2"/>
        </w:rPr>
        <w:t>Q-5D</w:t>
      </w:r>
      <w:r w:rsidR="00DF57B8" w:rsidRPr="00E3331A">
        <w:rPr>
          <w:spacing w:val="-2"/>
        </w:rPr>
        <w:t xml:space="preserve"> =</w:t>
      </w:r>
      <w:r w:rsidRPr="00E3331A">
        <w:rPr>
          <w:spacing w:val="28"/>
        </w:rPr>
        <w:t xml:space="preserve"> </w:t>
      </w:r>
      <w:r w:rsidRPr="00E3331A">
        <w:t>EuroQo</w:t>
      </w:r>
      <w:r w:rsidR="00BE54F2">
        <w:t>L</w:t>
      </w:r>
      <w:r w:rsidRPr="00E3331A">
        <w:rPr>
          <w:spacing w:val="30"/>
        </w:rPr>
        <w:t xml:space="preserve"> </w:t>
      </w:r>
      <w:r w:rsidRPr="00E3331A">
        <w:t>5</w:t>
      </w:r>
      <w:r w:rsidRPr="00E3331A">
        <w:rPr>
          <w:spacing w:val="28"/>
        </w:rPr>
        <w:t xml:space="preserve"> </w:t>
      </w:r>
      <w:r w:rsidRPr="00E3331A">
        <w:rPr>
          <w:spacing w:val="-2"/>
        </w:rPr>
        <w:t>D</w:t>
      </w:r>
      <w:r w:rsidRPr="00E3331A">
        <w:rPr>
          <w:spacing w:val="-1"/>
        </w:rPr>
        <w:t>imensions</w:t>
      </w:r>
      <w:r w:rsidRPr="00E3331A">
        <w:rPr>
          <w:spacing w:val="29"/>
        </w:rPr>
        <w:t xml:space="preserve"> </w:t>
      </w:r>
      <w:r w:rsidRPr="00E3331A">
        <w:t>Questionnaire</w:t>
      </w:r>
      <w:r w:rsidR="00DF57B8" w:rsidRPr="00E3331A">
        <w:t>,</w:t>
      </w:r>
      <w:r w:rsidRPr="00E3331A">
        <w:rPr>
          <w:spacing w:val="28"/>
        </w:rPr>
        <w:t xml:space="preserve"> </w:t>
      </w:r>
      <w:r w:rsidRPr="00E3331A">
        <w:t>EQ-5D</w:t>
      </w:r>
      <w:r w:rsidRPr="00E3331A">
        <w:rPr>
          <w:spacing w:val="29"/>
        </w:rPr>
        <w:t xml:space="preserve"> </w:t>
      </w:r>
      <w:r w:rsidRPr="00E3331A">
        <w:t>Index,</w:t>
      </w:r>
      <w:r w:rsidR="00DF57B8" w:rsidRPr="00E3331A">
        <w:t xml:space="preserve"> =</w:t>
      </w:r>
      <w:r w:rsidRPr="00E3331A">
        <w:rPr>
          <w:spacing w:val="28"/>
        </w:rPr>
        <w:t xml:space="preserve"> </w:t>
      </w:r>
      <w:r w:rsidRPr="00E3331A">
        <w:t>EuroQoL</w:t>
      </w:r>
      <w:r w:rsidRPr="00E3331A">
        <w:rPr>
          <w:spacing w:val="29"/>
        </w:rPr>
        <w:t xml:space="preserve"> </w:t>
      </w:r>
      <w:r w:rsidRPr="00E3331A">
        <w:t>summary</w:t>
      </w:r>
      <w:r w:rsidRPr="00E3331A">
        <w:rPr>
          <w:spacing w:val="28"/>
        </w:rPr>
        <w:t xml:space="preserve"> </w:t>
      </w:r>
      <w:r w:rsidRPr="00E3331A">
        <w:t>index</w:t>
      </w:r>
      <w:r w:rsidR="00DF57B8" w:rsidRPr="00E3331A">
        <w:t>,</w:t>
      </w:r>
      <w:r w:rsidRPr="00E3331A">
        <w:rPr>
          <w:spacing w:val="28"/>
        </w:rPr>
        <w:t xml:space="preserve"> </w:t>
      </w:r>
      <w:r w:rsidRPr="00E3331A">
        <w:t>EQ-5D</w:t>
      </w:r>
      <w:r w:rsidRPr="00E3331A">
        <w:rPr>
          <w:spacing w:val="28"/>
          <w:w w:val="99"/>
        </w:rPr>
        <w:t xml:space="preserve"> </w:t>
      </w:r>
      <w:r w:rsidRPr="00E3331A">
        <w:t>VAS</w:t>
      </w:r>
      <w:r w:rsidR="00DF57B8" w:rsidRPr="00E3331A">
        <w:t xml:space="preserve"> = </w:t>
      </w:r>
      <w:r w:rsidRPr="00E3331A">
        <w:t>EuroQoL</w:t>
      </w:r>
      <w:r w:rsidRPr="00E3331A">
        <w:rPr>
          <w:spacing w:val="-16"/>
        </w:rPr>
        <w:t xml:space="preserve"> </w:t>
      </w:r>
      <w:r w:rsidRPr="00E3331A">
        <w:t>visual</w:t>
      </w:r>
      <w:r w:rsidRPr="00E3331A">
        <w:rPr>
          <w:spacing w:val="-17"/>
        </w:rPr>
        <w:t xml:space="preserve"> </w:t>
      </w:r>
      <w:r w:rsidRPr="00E3331A">
        <w:t>analogue</w:t>
      </w:r>
      <w:r w:rsidRPr="00E3331A">
        <w:rPr>
          <w:spacing w:val="-18"/>
        </w:rPr>
        <w:t xml:space="preserve"> </w:t>
      </w:r>
      <w:r w:rsidRPr="00E3331A">
        <w:t>scale</w:t>
      </w:r>
      <w:r w:rsidR="00DF57B8" w:rsidRPr="00E3331A">
        <w:t>,</w:t>
      </w:r>
      <w:r w:rsidRPr="00E3331A">
        <w:rPr>
          <w:spacing w:val="-17"/>
        </w:rPr>
        <w:t xml:space="preserve"> </w:t>
      </w:r>
      <w:r w:rsidRPr="00E3331A">
        <w:t>GH,</w:t>
      </w:r>
      <w:r w:rsidR="00DF57B8" w:rsidRPr="00E3331A">
        <w:rPr>
          <w:spacing w:val="-17"/>
        </w:rPr>
        <w:t xml:space="preserve"> = </w:t>
      </w:r>
      <w:r w:rsidRPr="00E3331A">
        <w:t>general</w:t>
      </w:r>
      <w:r w:rsidRPr="00E3331A">
        <w:rPr>
          <w:spacing w:val="-17"/>
        </w:rPr>
        <w:t xml:space="preserve"> </w:t>
      </w:r>
      <w:r w:rsidRPr="00E3331A">
        <w:rPr>
          <w:spacing w:val="-1"/>
        </w:rPr>
        <w:t>h</w:t>
      </w:r>
      <w:r w:rsidRPr="00E3331A">
        <w:rPr>
          <w:spacing w:val="-2"/>
        </w:rPr>
        <w:t>ealth</w:t>
      </w:r>
      <w:r w:rsidR="00DF57B8" w:rsidRPr="00E3331A">
        <w:rPr>
          <w:spacing w:val="-2"/>
        </w:rPr>
        <w:t>,</w:t>
      </w:r>
      <w:r w:rsidRPr="00E3331A">
        <w:rPr>
          <w:spacing w:val="-17"/>
        </w:rPr>
        <w:t xml:space="preserve"> </w:t>
      </w:r>
      <w:r w:rsidRPr="00E3331A">
        <w:t>LQI</w:t>
      </w:r>
      <w:r w:rsidR="00DF57B8" w:rsidRPr="00E3331A">
        <w:t xml:space="preserve"> = </w:t>
      </w:r>
      <w:r w:rsidRPr="00E3331A">
        <w:t>Life</w:t>
      </w:r>
      <w:r w:rsidRPr="00E3331A">
        <w:rPr>
          <w:spacing w:val="-17"/>
        </w:rPr>
        <w:t xml:space="preserve"> </w:t>
      </w:r>
      <w:r w:rsidRPr="00E3331A">
        <w:t>Quality</w:t>
      </w:r>
      <w:r w:rsidRPr="00E3331A">
        <w:rPr>
          <w:spacing w:val="-16"/>
        </w:rPr>
        <w:t xml:space="preserve"> </w:t>
      </w:r>
      <w:r w:rsidRPr="00E3331A">
        <w:t>Index</w:t>
      </w:r>
      <w:r w:rsidR="00DF57B8" w:rsidRPr="00E3331A">
        <w:rPr>
          <w:spacing w:val="-17"/>
        </w:rPr>
        <w:t xml:space="preserve">, </w:t>
      </w:r>
      <w:r w:rsidRPr="00E3331A">
        <w:t>MCS,</w:t>
      </w:r>
      <w:r w:rsidR="00DF57B8" w:rsidRPr="00E3331A">
        <w:rPr>
          <w:spacing w:val="-18"/>
        </w:rPr>
        <w:t xml:space="preserve"> = </w:t>
      </w:r>
      <w:r w:rsidRPr="00E3331A">
        <w:t>mental</w:t>
      </w:r>
      <w:r w:rsidRPr="00E3331A">
        <w:rPr>
          <w:spacing w:val="-17"/>
        </w:rPr>
        <w:t xml:space="preserve"> </w:t>
      </w:r>
      <w:r w:rsidRPr="00E3331A">
        <w:t>component</w:t>
      </w:r>
      <w:r w:rsidRPr="00E3331A">
        <w:rPr>
          <w:spacing w:val="-16"/>
        </w:rPr>
        <w:t xml:space="preserve"> </w:t>
      </w:r>
      <w:r w:rsidRPr="00E3331A">
        <w:t>summary</w:t>
      </w:r>
      <w:r w:rsidR="00DF57B8" w:rsidRPr="00E3331A">
        <w:t xml:space="preserve">, </w:t>
      </w:r>
      <w:r w:rsidRPr="00E3331A">
        <w:t>MH</w:t>
      </w:r>
      <w:r w:rsidR="00DF57B8" w:rsidRPr="00E3331A">
        <w:rPr>
          <w:spacing w:val="-18"/>
        </w:rPr>
        <w:t xml:space="preserve"> = </w:t>
      </w:r>
      <w:r w:rsidRPr="00E3331A">
        <w:t>mental</w:t>
      </w:r>
      <w:r w:rsidRPr="00E3331A">
        <w:rPr>
          <w:spacing w:val="-17"/>
        </w:rPr>
        <w:t xml:space="preserve"> </w:t>
      </w:r>
      <w:r w:rsidRPr="00E3331A">
        <w:t>health;</w:t>
      </w:r>
      <w:r w:rsidR="00DF57B8" w:rsidRPr="00E3331A">
        <w:rPr>
          <w:spacing w:val="-17"/>
        </w:rPr>
        <w:t xml:space="preserve">, </w:t>
      </w:r>
      <w:r w:rsidRPr="00E3331A">
        <w:rPr>
          <w:spacing w:val="-1"/>
        </w:rPr>
        <w:t>PCS</w:t>
      </w:r>
      <w:r w:rsidR="00DF57B8" w:rsidRPr="00E3331A">
        <w:rPr>
          <w:spacing w:val="-1"/>
        </w:rPr>
        <w:t xml:space="preserve"> =</w:t>
      </w:r>
      <w:r w:rsidRPr="00E3331A">
        <w:rPr>
          <w:spacing w:val="29"/>
          <w:w w:val="103"/>
        </w:rPr>
        <w:t xml:space="preserve"> </w:t>
      </w:r>
      <w:r w:rsidRPr="00E3331A">
        <w:t>physical</w:t>
      </w:r>
      <w:r w:rsidRPr="00E3331A">
        <w:rPr>
          <w:spacing w:val="-19"/>
        </w:rPr>
        <w:t xml:space="preserve"> </w:t>
      </w:r>
      <w:r w:rsidRPr="00E3331A">
        <w:t>component</w:t>
      </w:r>
      <w:r w:rsidRPr="00E3331A">
        <w:rPr>
          <w:spacing w:val="-17"/>
        </w:rPr>
        <w:t xml:space="preserve"> </w:t>
      </w:r>
      <w:r w:rsidRPr="00E3331A">
        <w:t>summary</w:t>
      </w:r>
      <w:r w:rsidR="00DF57B8" w:rsidRPr="00E3331A">
        <w:rPr>
          <w:spacing w:val="-18"/>
        </w:rPr>
        <w:t xml:space="preserve">, </w:t>
      </w:r>
      <w:r w:rsidRPr="00E3331A">
        <w:rPr>
          <w:spacing w:val="-1"/>
        </w:rPr>
        <w:t>P</w:t>
      </w:r>
      <w:r w:rsidRPr="00E3331A">
        <w:rPr>
          <w:spacing w:val="-2"/>
        </w:rPr>
        <w:t>F</w:t>
      </w:r>
      <w:r w:rsidR="00DF57B8" w:rsidRPr="00E3331A">
        <w:rPr>
          <w:spacing w:val="-2"/>
        </w:rPr>
        <w:t xml:space="preserve"> =</w:t>
      </w:r>
      <w:r w:rsidRPr="00E3331A">
        <w:rPr>
          <w:spacing w:val="-18"/>
        </w:rPr>
        <w:t xml:space="preserve"> </w:t>
      </w:r>
      <w:r w:rsidRPr="00E3331A">
        <w:t>physical</w:t>
      </w:r>
      <w:r w:rsidRPr="00E3331A">
        <w:rPr>
          <w:spacing w:val="-18"/>
        </w:rPr>
        <w:t xml:space="preserve"> </w:t>
      </w:r>
      <w:r w:rsidRPr="00E3331A">
        <w:rPr>
          <w:spacing w:val="-2"/>
        </w:rPr>
        <w:t>functioning</w:t>
      </w:r>
      <w:r w:rsidR="00DF57B8" w:rsidRPr="00E3331A">
        <w:rPr>
          <w:spacing w:val="-2"/>
        </w:rPr>
        <w:t>,</w:t>
      </w:r>
      <w:r w:rsidRPr="00E3331A">
        <w:rPr>
          <w:spacing w:val="-18"/>
        </w:rPr>
        <w:t xml:space="preserve"> </w:t>
      </w:r>
      <w:r w:rsidRPr="00E3331A">
        <w:t>RE</w:t>
      </w:r>
      <w:r w:rsidR="00DF57B8" w:rsidRPr="00E3331A">
        <w:rPr>
          <w:spacing w:val="-18"/>
        </w:rPr>
        <w:t xml:space="preserve"> = </w:t>
      </w:r>
      <w:r w:rsidRPr="00E3331A">
        <w:t>role</w:t>
      </w:r>
      <w:r w:rsidR="00417823">
        <w:t xml:space="preserve"> </w:t>
      </w:r>
      <w:r w:rsidRPr="00E3331A">
        <w:t>emotional</w:t>
      </w:r>
      <w:r w:rsidR="00DF57B8" w:rsidRPr="00E3331A">
        <w:t>,</w:t>
      </w:r>
      <w:r w:rsidRPr="00E3331A">
        <w:rPr>
          <w:spacing w:val="-17"/>
        </w:rPr>
        <w:t xml:space="preserve"> </w:t>
      </w:r>
      <w:r w:rsidRPr="00E3331A">
        <w:t>RP</w:t>
      </w:r>
      <w:r w:rsidR="00DF57B8" w:rsidRPr="00E3331A">
        <w:t xml:space="preserve"> =</w:t>
      </w:r>
      <w:r w:rsidRPr="00E3331A">
        <w:rPr>
          <w:spacing w:val="-18"/>
        </w:rPr>
        <w:t xml:space="preserve"> </w:t>
      </w:r>
      <w:r w:rsidRPr="00E3331A">
        <w:t>role-physical</w:t>
      </w:r>
      <w:r w:rsidR="00DF57B8" w:rsidRPr="00E3331A">
        <w:t>,</w:t>
      </w:r>
      <w:r w:rsidRPr="00E3331A">
        <w:rPr>
          <w:spacing w:val="-18"/>
        </w:rPr>
        <w:t xml:space="preserve"> </w:t>
      </w:r>
      <w:r w:rsidRPr="00E3331A">
        <w:t>SF</w:t>
      </w:r>
      <w:r w:rsidR="00DF57B8" w:rsidRPr="00E3331A">
        <w:t xml:space="preserve"> =</w:t>
      </w:r>
      <w:r w:rsidRPr="00E3331A">
        <w:rPr>
          <w:spacing w:val="-18"/>
        </w:rPr>
        <w:t xml:space="preserve"> </w:t>
      </w:r>
      <w:r w:rsidRPr="00E3331A">
        <w:t>social</w:t>
      </w:r>
      <w:r w:rsidRPr="00E3331A">
        <w:rPr>
          <w:spacing w:val="-18"/>
        </w:rPr>
        <w:t xml:space="preserve"> </w:t>
      </w:r>
      <w:r w:rsidRPr="00E3331A">
        <w:rPr>
          <w:spacing w:val="-2"/>
        </w:rPr>
        <w:t>functioning</w:t>
      </w:r>
      <w:r w:rsidR="00DF57B8" w:rsidRPr="00E3331A">
        <w:rPr>
          <w:spacing w:val="-17"/>
        </w:rPr>
        <w:t xml:space="preserve">, </w:t>
      </w:r>
      <w:r w:rsidRPr="00E3331A">
        <w:t>VT</w:t>
      </w:r>
      <w:r w:rsidR="00DF57B8" w:rsidRPr="00E3331A">
        <w:t xml:space="preserve"> =</w:t>
      </w:r>
      <w:r w:rsidRPr="00E3331A">
        <w:rPr>
          <w:spacing w:val="-18"/>
        </w:rPr>
        <w:t xml:space="preserve"> </w:t>
      </w:r>
      <w:r w:rsidRPr="00E3331A">
        <w:t>vitality</w:t>
      </w:r>
      <w:r w:rsidR="00DF57B8" w:rsidRPr="00E3331A">
        <w:t>,</w:t>
      </w:r>
      <w:r w:rsidRPr="00E3331A">
        <w:rPr>
          <w:spacing w:val="-19"/>
        </w:rPr>
        <w:t xml:space="preserve"> </w:t>
      </w:r>
      <w:r w:rsidRPr="00E3331A">
        <w:t>I</w:t>
      </w:r>
      <w:r w:rsidR="00DF57B8" w:rsidRPr="00E3331A">
        <w:t xml:space="preserve"> =</w:t>
      </w:r>
      <w:r w:rsidRPr="00E3331A">
        <w:rPr>
          <w:spacing w:val="-18"/>
        </w:rPr>
        <w:t xml:space="preserve"> </w:t>
      </w:r>
      <w:r w:rsidRPr="00E3331A">
        <w:t>treatment</w:t>
      </w:r>
      <w:r w:rsidRPr="00E3331A">
        <w:rPr>
          <w:spacing w:val="49"/>
          <w:w w:val="94"/>
        </w:rPr>
        <w:t xml:space="preserve"> </w:t>
      </w:r>
      <w:r w:rsidRPr="00E3331A">
        <w:rPr>
          <w:w w:val="95"/>
        </w:rPr>
        <w:t>interference</w:t>
      </w:r>
      <w:r w:rsidR="00DF57B8" w:rsidRPr="00E3331A">
        <w:rPr>
          <w:w w:val="95"/>
        </w:rPr>
        <w:t>,</w:t>
      </w:r>
      <w:r w:rsidRPr="00E3331A">
        <w:rPr>
          <w:spacing w:val="-1"/>
          <w:w w:val="95"/>
        </w:rPr>
        <w:t xml:space="preserve"> </w:t>
      </w:r>
      <w:r w:rsidRPr="00E3331A">
        <w:rPr>
          <w:w w:val="95"/>
        </w:rPr>
        <w:t>II</w:t>
      </w:r>
      <w:r w:rsidR="00DF57B8" w:rsidRPr="00E3331A">
        <w:rPr>
          <w:w w:val="95"/>
        </w:rPr>
        <w:t xml:space="preserve"> =</w:t>
      </w:r>
      <w:r w:rsidRPr="00E3331A">
        <w:rPr>
          <w:w w:val="95"/>
        </w:rPr>
        <w:t xml:space="preserve"> therapy-related</w:t>
      </w:r>
      <w:r w:rsidRPr="00E3331A">
        <w:rPr>
          <w:spacing w:val="-1"/>
          <w:w w:val="95"/>
        </w:rPr>
        <w:t xml:space="preserve"> problems</w:t>
      </w:r>
      <w:r w:rsidR="00DF57B8" w:rsidRPr="00E3331A">
        <w:rPr>
          <w:spacing w:val="-1"/>
          <w:w w:val="95"/>
        </w:rPr>
        <w:t>,</w:t>
      </w:r>
      <w:r w:rsidRPr="00E3331A">
        <w:rPr>
          <w:w w:val="95"/>
        </w:rPr>
        <w:t xml:space="preserve"> III</w:t>
      </w:r>
      <w:r w:rsidR="00DF57B8" w:rsidRPr="00E3331A">
        <w:rPr>
          <w:w w:val="95"/>
        </w:rPr>
        <w:t xml:space="preserve"> =</w:t>
      </w:r>
      <w:r w:rsidRPr="00E3331A">
        <w:rPr>
          <w:spacing w:val="-1"/>
          <w:w w:val="95"/>
        </w:rPr>
        <w:t xml:space="preserve"> </w:t>
      </w:r>
      <w:r w:rsidRPr="00E3331A">
        <w:rPr>
          <w:w w:val="95"/>
        </w:rPr>
        <w:t>therapy setting</w:t>
      </w:r>
    </w:p>
    <w:p w:rsidR="00F34FDE" w:rsidRPr="00E3331A" w:rsidRDefault="00F34FDE" w:rsidP="00C84382">
      <w:pPr>
        <w:pStyle w:val="Tablenotes1"/>
        <w:ind w:left="0"/>
      </w:pPr>
    </w:p>
    <w:p w:rsidR="001F5B33" w:rsidRPr="00E3331A" w:rsidRDefault="001F5B33" w:rsidP="00DE59D4">
      <w:pPr>
        <w:pStyle w:val="Heading5underline"/>
      </w:pPr>
      <w:r w:rsidRPr="00E3331A">
        <w:lastRenderedPageBreak/>
        <w:t xml:space="preserve">Cats </w:t>
      </w:r>
      <w:r w:rsidR="00983BA7">
        <w:t xml:space="preserve">et al. </w:t>
      </w:r>
      <w:r w:rsidRPr="00E3331A">
        <w:t>(2011)</w:t>
      </w:r>
    </w:p>
    <w:p w:rsidR="001F5B33" w:rsidRPr="00E3331A" w:rsidRDefault="001F5B33" w:rsidP="00BB6E4C">
      <w:pPr>
        <w:pStyle w:val="BodyTextSTD"/>
      </w:pPr>
      <w:r w:rsidRPr="00E3331A">
        <w:t xml:space="preserve">Home-administered Ig treatment for MMN was compared to treatment in hospital among 59 Dutch patients. Questionnaires were completed </w:t>
      </w:r>
      <w:r w:rsidR="00B6140C" w:rsidRPr="00E3331A">
        <w:t xml:space="preserve">for </w:t>
      </w:r>
      <w:r w:rsidRPr="00E3331A">
        <w:t xml:space="preserve">time, dose, adverse events, perceived advantages, and disadvantages. </w:t>
      </w:r>
      <w:r w:rsidR="00B6140C" w:rsidRPr="00E3331A">
        <w:t>N</w:t>
      </w:r>
      <w:r w:rsidRPr="00E3331A">
        <w:t>on</w:t>
      </w:r>
      <w:r w:rsidR="00591599" w:rsidRPr="00E3331A">
        <w:t>-</w:t>
      </w:r>
      <w:r w:rsidRPr="00E3331A">
        <w:t xml:space="preserve">serious adverse </w:t>
      </w:r>
      <w:r w:rsidR="00B6140C" w:rsidRPr="00E3331A">
        <w:t xml:space="preserve">events </w:t>
      </w:r>
      <w:r w:rsidRPr="00E3331A">
        <w:t xml:space="preserve">were reported by 13% of </w:t>
      </w:r>
      <w:r w:rsidR="00B6140C" w:rsidRPr="00E3331A">
        <w:t xml:space="preserve">all </w:t>
      </w:r>
      <w:r w:rsidRPr="00E3331A">
        <w:t xml:space="preserve">patients, while 4% had serious adverse events. Convenience (92%) and time gain (63%) were reported as advantages of home administration, while absence of a physician in case of an adverse event (27%) and problems with </w:t>
      </w:r>
      <w:r w:rsidR="00B6140C" w:rsidRPr="00E3331A">
        <w:t xml:space="preserve">IV </w:t>
      </w:r>
      <w:r w:rsidRPr="00E3331A">
        <w:t xml:space="preserve">access or the infusion system (10%) were disadvantages. </w:t>
      </w:r>
    </w:p>
    <w:p w:rsidR="001F5B33" w:rsidRPr="00E3331A" w:rsidRDefault="001F5B33" w:rsidP="00DE59D4">
      <w:pPr>
        <w:pStyle w:val="Heading5underline"/>
      </w:pPr>
      <w:r w:rsidRPr="00E3331A">
        <w:t xml:space="preserve">Membe </w:t>
      </w:r>
      <w:r w:rsidR="00983BA7">
        <w:t xml:space="preserve">et al. </w:t>
      </w:r>
      <w:r w:rsidRPr="00E3331A">
        <w:t>(2008)</w:t>
      </w:r>
    </w:p>
    <w:p w:rsidR="001F5B33" w:rsidRPr="00E3331A" w:rsidRDefault="001F5B33" w:rsidP="00BB6E4C">
      <w:pPr>
        <w:pStyle w:val="BodyTextSTD"/>
      </w:pPr>
      <w:r w:rsidRPr="00E3331A">
        <w:t>This study reviewed economic assessments of CIDP treatment modalities of treatment and included some of the previously noted studies (</w:t>
      </w:r>
      <w:r w:rsidR="00D7672B" w:rsidRPr="00E3331A">
        <w:t>l</w:t>
      </w:r>
      <w:r w:rsidRPr="00E3331A">
        <w:t xml:space="preserve">isted in </w:t>
      </w:r>
      <w:r w:rsidR="006F35B9" w:rsidRPr="00E3331A">
        <w:t xml:space="preserve">Table </w:t>
      </w:r>
      <w:r w:rsidR="006F35B9">
        <w:rPr>
          <w:noProof/>
        </w:rPr>
        <w:t>62</w:t>
      </w:r>
      <w:r w:rsidRPr="00E3331A">
        <w:t xml:space="preserve">). The authors concluded that economic studies “appear similar in terms of clinical end points, cost items, results of the cost-effectiveness analysis, assumption about treatment settings and assumptions about the comparative effectiveness of SCIg and IVIg. The key difference was the degree to which SCIg was cost-effective.” They attributed differences in study perspectives and costs of Ig as key drivers of economic results. </w:t>
      </w:r>
    </w:p>
    <w:p w:rsidR="001F5B33" w:rsidRPr="00E3331A" w:rsidRDefault="001F5B33" w:rsidP="001F5B33">
      <w:pPr>
        <w:pStyle w:val="Caption"/>
      </w:pPr>
      <w:bookmarkStart w:id="403" w:name="_Ref8142959"/>
      <w:bookmarkStart w:id="404" w:name="_Toc24103368"/>
      <w:r w:rsidRPr="00E3331A">
        <w:t xml:space="preserve">Table </w:t>
      </w:r>
      <w:r w:rsidR="006F35B9">
        <w:rPr>
          <w:noProof/>
        </w:rPr>
        <w:t>62</w:t>
      </w:r>
      <w:bookmarkEnd w:id="403"/>
      <w:r w:rsidR="00B6140C" w:rsidRPr="00E3331A">
        <w:tab/>
      </w:r>
      <w:r w:rsidRPr="00E3331A">
        <w:t>Ig economic studies</w:t>
      </w:r>
      <w:r w:rsidR="00D7672B" w:rsidRPr="00E3331A">
        <w:t xml:space="preserve"> included in Membe </w:t>
      </w:r>
      <w:r w:rsidR="00983BA7">
        <w:t xml:space="preserve">et al. </w:t>
      </w:r>
      <w:r w:rsidR="00D7672B" w:rsidRPr="00E3331A">
        <w:t>(2008)</w:t>
      </w:r>
      <w:bookmarkEnd w:id="404"/>
      <w:r w:rsidR="00D7672B" w:rsidRPr="00E3331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03"/>
        <w:gridCol w:w="1803"/>
        <w:gridCol w:w="1803"/>
        <w:gridCol w:w="1804"/>
      </w:tblGrid>
      <w:tr w:rsidR="00281EC2" w:rsidRPr="00E3331A" w:rsidTr="0007007F">
        <w:tc>
          <w:tcPr>
            <w:tcW w:w="1803" w:type="dxa"/>
            <w:shd w:val="clear" w:color="auto" w:fill="D9D9D9"/>
            <w:vAlign w:val="center"/>
          </w:tcPr>
          <w:p w:rsidR="001F5B33" w:rsidRPr="00E3331A" w:rsidRDefault="001F5B33" w:rsidP="0007007F">
            <w:pPr>
              <w:pStyle w:val="Tableheading1"/>
              <w:jc w:val="center"/>
            </w:pPr>
            <w:r w:rsidRPr="00E3331A">
              <w:t>Study</w:t>
            </w:r>
          </w:p>
        </w:tc>
        <w:tc>
          <w:tcPr>
            <w:tcW w:w="1803" w:type="dxa"/>
            <w:shd w:val="clear" w:color="auto" w:fill="D9D9D9"/>
            <w:vAlign w:val="center"/>
          </w:tcPr>
          <w:p w:rsidR="001F5B33" w:rsidRPr="00E3331A" w:rsidRDefault="001F5B33" w:rsidP="0007007F">
            <w:pPr>
              <w:pStyle w:val="Tableheading1"/>
              <w:jc w:val="center"/>
            </w:pPr>
            <w:r w:rsidRPr="00E3331A">
              <w:t>Design and population</w:t>
            </w:r>
          </w:p>
        </w:tc>
        <w:tc>
          <w:tcPr>
            <w:tcW w:w="1803" w:type="dxa"/>
            <w:shd w:val="clear" w:color="auto" w:fill="D9D9D9"/>
            <w:vAlign w:val="center"/>
          </w:tcPr>
          <w:p w:rsidR="001F5B33" w:rsidRPr="00E3331A" w:rsidRDefault="001F5B33" w:rsidP="0007007F">
            <w:pPr>
              <w:pStyle w:val="Tableheading1"/>
              <w:jc w:val="center"/>
            </w:pPr>
            <w:r w:rsidRPr="00E3331A">
              <w:t xml:space="preserve">Clinical </w:t>
            </w:r>
            <w:r w:rsidR="003D5FA7">
              <w:t>o</w:t>
            </w:r>
            <w:r w:rsidRPr="00E3331A">
              <w:t>utcomes</w:t>
            </w:r>
          </w:p>
        </w:tc>
        <w:tc>
          <w:tcPr>
            <w:tcW w:w="1803" w:type="dxa"/>
            <w:shd w:val="clear" w:color="auto" w:fill="D9D9D9"/>
            <w:vAlign w:val="center"/>
          </w:tcPr>
          <w:p w:rsidR="001F5B33" w:rsidRPr="00E3331A" w:rsidRDefault="001F5B33" w:rsidP="0007007F">
            <w:pPr>
              <w:pStyle w:val="Tableheading1"/>
              <w:jc w:val="center"/>
            </w:pPr>
            <w:r w:rsidRPr="00E3331A">
              <w:t xml:space="preserve">Costs </w:t>
            </w:r>
            <w:r w:rsidR="003D5FA7">
              <w:t>i</w:t>
            </w:r>
            <w:r w:rsidRPr="00E3331A">
              <w:t>ncluded</w:t>
            </w:r>
          </w:p>
        </w:tc>
        <w:tc>
          <w:tcPr>
            <w:tcW w:w="1804" w:type="dxa"/>
            <w:shd w:val="clear" w:color="auto" w:fill="D9D9D9"/>
            <w:vAlign w:val="center"/>
          </w:tcPr>
          <w:p w:rsidR="001F5B33" w:rsidRPr="00E3331A" w:rsidRDefault="001F5B33" w:rsidP="0007007F">
            <w:pPr>
              <w:pStyle w:val="Tableheading1"/>
              <w:jc w:val="center"/>
            </w:pPr>
            <w:r w:rsidRPr="00E3331A">
              <w:t>Results</w:t>
            </w:r>
          </w:p>
        </w:tc>
      </w:tr>
      <w:tr w:rsidR="00281EC2" w:rsidRPr="00E3331A" w:rsidTr="0007007F">
        <w:trPr>
          <w:trHeight w:val="1467"/>
        </w:trPr>
        <w:tc>
          <w:tcPr>
            <w:tcW w:w="1803" w:type="dxa"/>
            <w:shd w:val="clear" w:color="auto" w:fill="auto"/>
            <w:vAlign w:val="center"/>
          </w:tcPr>
          <w:p w:rsidR="001F5B33" w:rsidRPr="00E3331A" w:rsidRDefault="001F5B33" w:rsidP="0007007F">
            <w:pPr>
              <w:pStyle w:val="Tablecontents"/>
              <w:jc w:val="center"/>
            </w:pPr>
            <w:r w:rsidRPr="00E3331A">
              <w:t>Gardulf et al</w:t>
            </w:r>
            <w:r w:rsidR="00F00DA1" w:rsidRPr="00E3331A">
              <w:t>,</w:t>
            </w:r>
            <w:r w:rsidRPr="00E3331A">
              <w:t xml:space="preserve"> Sweden</w:t>
            </w:r>
            <w:r w:rsidR="00F00DA1" w:rsidRPr="00E3331A">
              <w:t>.</w:t>
            </w:r>
            <w:r w:rsidRPr="00E3331A">
              <w:t xml:space="preserve"> Home SCIg versus hospital SCIg and hospital IVIg</w:t>
            </w:r>
          </w:p>
        </w:tc>
        <w:tc>
          <w:tcPr>
            <w:tcW w:w="1803" w:type="dxa"/>
            <w:shd w:val="clear" w:color="auto" w:fill="auto"/>
            <w:vAlign w:val="center"/>
          </w:tcPr>
          <w:p w:rsidR="001F5B33" w:rsidRPr="00E3331A" w:rsidRDefault="001F5B33" w:rsidP="00F00DA1">
            <w:pPr>
              <w:pStyle w:val="Tablecontents"/>
              <w:jc w:val="center"/>
            </w:pPr>
            <w:r w:rsidRPr="00E3331A">
              <w:t>165 patients age 13</w:t>
            </w:r>
            <w:r w:rsidR="00F00DA1" w:rsidRPr="00E3331A">
              <w:t>-</w:t>
            </w:r>
            <w:r w:rsidRPr="00E3331A">
              <w:t>76 years</w:t>
            </w:r>
          </w:p>
        </w:tc>
        <w:tc>
          <w:tcPr>
            <w:tcW w:w="1803" w:type="dxa"/>
            <w:shd w:val="clear" w:color="auto" w:fill="auto"/>
            <w:vAlign w:val="center"/>
          </w:tcPr>
          <w:p w:rsidR="001F5B33" w:rsidRPr="00E3331A" w:rsidRDefault="001F5B33" w:rsidP="0007007F">
            <w:pPr>
              <w:pStyle w:val="Tablecontents"/>
              <w:jc w:val="center"/>
            </w:pPr>
            <w:r w:rsidRPr="00E3331A">
              <w:t>Frequency of adverse systemic reactions, occurrence and intensity of tissue reactions and serum IgG changes</w:t>
            </w:r>
          </w:p>
        </w:tc>
        <w:tc>
          <w:tcPr>
            <w:tcW w:w="1803" w:type="dxa"/>
            <w:shd w:val="clear" w:color="auto" w:fill="auto"/>
            <w:vAlign w:val="center"/>
          </w:tcPr>
          <w:p w:rsidR="001F5B33" w:rsidRPr="00E3331A" w:rsidRDefault="001F5B33" w:rsidP="0007007F">
            <w:pPr>
              <w:pStyle w:val="Tablecontents"/>
              <w:jc w:val="center"/>
            </w:pPr>
            <w:r w:rsidRPr="00E3331A">
              <w:t>Ig preparation, materials, personnel, rooms, administrative overhead</w:t>
            </w:r>
          </w:p>
        </w:tc>
        <w:tc>
          <w:tcPr>
            <w:tcW w:w="1804" w:type="dxa"/>
            <w:shd w:val="clear" w:color="auto" w:fill="auto"/>
            <w:vAlign w:val="center"/>
          </w:tcPr>
          <w:p w:rsidR="001F5B33" w:rsidRPr="00E3331A" w:rsidRDefault="001F5B33" w:rsidP="0007007F">
            <w:pPr>
              <w:pStyle w:val="Tablecontents"/>
              <w:jc w:val="center"/>
            </w:pPr>
            <w:r w:rsidRPr="00E3331A">
              <w:t>Hospital-based IVIg $14,124/y</w:t>
            </w:r>
            <w:r w:rsidR="00F00DA1" w:rsidRPr="00E3331A">
              <w:t>ear</w:t>
            </w:r>
          </w:p>
          <w:p w:rsidR="001F5B33" w:rsidRPr="00E3331A" w:rsidRDefault="001F5B33" w:rsidP="0007007F">
            <w:pPr>
              <w:pStyle w:val="Tablecontents"/>
              <w:jc w:val="center"/>
            </w:pPr>
            <w:r w:rsidRPr="00E3331A">
              <w:t>Hospital-based SCIg $4,656/year</w:t>
            </w:r>
          </w:p>
          <w:p w:rsidR="001F5B33" w:rsidRPr="00E3331A" w:rsidRDefault="001F5B33" w:rsidP="0007007F">
            <w:pPr>
              <w:pStyle w:val="Tablecontents"/>
              <w:jc w:val="center"/>
            </w:pPr>
            <w:r w:rsidRPr="00E3331A">
              <w:t>Home-based SCIg $3,096/year (costs in US$ at 1993 prices)</w:t>
            </w:r>
          </w:p>
        </w:tc>
      </w:tr>
      <w:tr w:rsidR="00281EC2" w:rsidRPr="00E3331A" w:rsidTr="0007007F">
        <w:tc>
          <w:tcPr>
            <w:tcW w:w="1803" w:type="dxa"/>
            <w:shd w:val="clear" w:color="auto" w:fill="auto"/>
            <w:vAlign w:val="center"/>
          </w:tcPr>
          <w:p w:rsidR="001F5B33" w:rsidRPr="00E3331A" w:rsidRDefault="001F5B33" w:rsidP="0007007F">
            <w:pPr>
              <w:pStyle w:val="Tablecontents"/>
              <w:jc w:val="center"/>
            </w:pPr>
            <w:r w:rsidRPr="00E3331A">
              <w:t>H</w:t>
            </w:r>
            <w:r w:rsidR="00591599" w:rsidRPr="00E3331A">
              <w:t>ö</w:t>
            </w:r>
            <w:r w:rsidRPr="00E3331A">
              <w:t>gy et al, Germany, German statutory health insurance</w:t>
            </w:r>
            <w:r w:rsidR="00F00DA1" w:rsidRPr="00E3331A">
              <w:t>.</w:t>
            </w:r>
            <w:r w:rsidRPr="00E3331A">
              <w:t xml:space="preserve"> Home SCIg versus hospital IVIg</w:t>
            </w:r>
          </w:p>
        </w:tc>
        <w:tc>
          <w:tcPr>
            <w:tcW w:w="1803" w:type="dxa"/>
            <w:shd w:val="clear" w:color="auto" w:fill="auto"/>
            <w:vAlign w:val="center"/>
          </w:tcPr>
          <w:p w:rsidR="001F5B33" w:rsidRPr="00E3331A" w:rsidRDefault="001F5B33" w:rsidP="0007007F">
            <w:pPr>
              <w:pStyle w:val="Tablecontents"/>
              <w:jc w:val="center"/>
            </w:pPr>
            <w:r w:rsidRPr="00E3331A">
              <w:t>Subgroup analysis: adults (75kg) and children (40kg)</w:t>
            </w:r>
          </w:p>
        </w:tc>
        <w:tc>
          <w:tcPr>
            <w:tcW w:w="1803" w:type="dxa"/>
            <w:shd w:val="clear" w:color="auto" w:fill="auto"/>
            <w:vAlign w:val="center"/>
          </w:tcPr>
          <w:p w:rsidR="001F5B33" w:rsidRPr="00E3331A" w:rsidRDefault="001F5B33" w:rsidP="0007007F">
            <w:pPr>
              <w:pStyle w:val="Tablecontents"/>
              <w:jc w:val="center"/>
            </w:pPr>
            <w:r w:rsidRPr="00E3331A">
              <w:t>Used result of previous study involving 30 patients that showed no significant differences in infection and AE rates between SCIg and IVIg</w:t>
            </w:r>
          </w:p>
        </w:tc>
        <w:tc>
          <w:tcPr>
            <w:tcW w:w="1803" w:type="dxa"/>
            <w:shd w:val="clear" w:color="auto" w:fill="auto"/>
            <w:vAlign w:val="center"/>
          </w:tcPr>
          <w:p w:rsidR="001F5B33" w:rsidRPr="00E3331A" w:rsidRDefault="001F5B33" w:rsidP="0007007F">
            <w:pPr>
              <w:pStyle w:val="Tablecontents"/>
              <w:jc w:val="center"/>
            </w:pPr>
            <w:r w:rsidRPr="00E3331A">
              <w:t>Ig, pre-medications, infusion pump, physicians, diagnostic procedures, sick leave for children’s caregivers</w:t>
            </w:r>
          </w:p>
        </w:tc>
        <w:tc>
          <w:tcPr>
            <w:tcW w:w="1804" w:type="dxa"/>
            <w:shd w:val="clear" w:color="auto" w:fill="auto"/>
            <w:vAlign w:val="center"/>
          </w:tcPr>
          <w:p w:rsidR="001F5B33" w:rsidRPr="00E3331A" w:rsidRDefault="001F5B33" w:rsidP="0007007F">
            <w:pPr>
              <w:pStyle w:val="Tablecontents"/>
              <w:jc w:val="center"/>
            </w:pPr>
            <w:r w:rsidRPr="00E3331A">
              <w:t>Adult: IVIg</w:t>
            </w:r>
          </w:p>
          <w:p w:rsidR="001F5B33" w:rsidRPr="00E3331A" w:rsidRDefault="00F34FDE" w:rsidP="0007007F">
            <w:pPr>
              <w:pStyle w:val="Tablecontents"/>
              <w:jc w:val="center"/>
            </w:pPr>
            <w:r w:rsidRPr="00E3331A">
              <w:t xml:space="preserve">€ </w:t>
            </w:r>
            <w:r w:rsidR="001F5B33" w:rsidRPr="00E3331A">
              <w:t>31,027;</w:t>
            </w:r>
          </w:p>
          <w:p w:rsidR="001F5B33" w:rsidRPr="00E3331A" w:rsidRDefault="001F5B33" w:rsidP="0007007F">
            <w:pPr>
              <w:pStyle w:val="Tablecontents"/>
              <w:jc w:val="center"/>
            </w:pPr>
            <w:r w:rsidRPr="00E3331A">
              <w:t>SCIg</w:t>
            </w:r>
          </w:p>
          <w:p w:rsidR="001F5B33" w:rsidRPr="00E3331A" w:rsidRDefault="00F34FDE" w:rsidP="0007007F">
            <w:pPr>
              <w:pStyle w:val="Tablecontents"/>
              <w:jc w:val="center"/>
            </w:pPr>
            <w:r w:rsidRPr="00E3331A">
              <w:t>€</w:t>
            </w:r>
            <w:r w:rsidR="001F5B33" w:rsidRPr="00E3331A">
              <w:t>14,893</w:t>
            </w:r>
          </w:p>
          <w:p w:rsidR="001F5B33" w:rsidRPr="00E3331A" w:rsidRDefault="001F5B33" w:rsidP="0007007F">
            <w:pPr>
              <w:pStyle w:val="Tablecontents"/>
              <w:jc w:val="center"/>
            </w:pPr>
            <w:r w:rsidRPr="00E3331A">
              <w:t>Children: IVIg</w:t>
            </w:r>
          </w:p>
          <w:p w:rsidR="001F5B33" w:rsidRPr="00E3331A" w:rsidRDefault="00F34FDE" w:rsidP="0007007F">
            <w:pPr>
              <w:pStyle w:val="Tablecontents"/>
              <w:jc w:val="center"/>
            </w:pPr>
            <w:r w:rsidRPr="00E3331A">
              <w:t>€</w:t>
            </w:r>
            <w:r w:rsidR="001F5B33" w:rsidRPr="00E3331A">
              <w:t xml:space="preserve"> 17,329;</w:t>
            </w:r>
          </w:p>
          <w:p w:rsidR="001F5B33" w:rsidRPr="00E3331A" w:rsidRDefault="001F5B33" w:rsidP="0007007F">
            <w:pPr>
              <w:pStyle w:val="Tablecontents"/>
              <w:jc w:val="center"/>
            </w:pPr>
            <w:r w:rsidRPr="00E3331A">
              <w:t xml:space="preserve">SCIg </w:t>
            </w:r>
          </w:p>
          <w:p w:rsidR="001F5B33" w:rsidRPr="00E3331A" w:rsidRDefault="00F34FDE" w:rsidP="0007007F">
            <w:pPr>
              <w:pStyle w:val="Tablecontents"/>
              <w:jc w:val="center"/>
            </w:pPr>
            <w:r w:rsidRPr="00E3331A">
              <w:t>€</w:t>
            </w:r>
            <w:r w:rsidR="001F5B33" w:rsidRPr="00E3331A">
              <w:t xml:space="preserve"> 8,659</w:t>
            </w:r>
          </w:p>
          <w:p w:rsidR="001F5B33" w:rsidRPr="00E3331A" w:rsidRDefault="001F5B33" w:rsidP="0007007F">
            <w:pPr>
              <w:pStyle w:val="Tablecontents"/>
              <w:jc w:val="center"/>
            </w:pPr>
            <w:r w:rsidRPr="00E3331A">
              <w:t>(costs in 2003 prices)</w:t>
            </w:r>
          </w:p>
        </w:tc>
      </w:tr>
      <w:tr w:rsidR="00281EC2" w:rsidRPr="00E3331A" w:rsidTr="0007007F">
        <w:tc>
          <w:tcPr>
            <w:tcW w:w="1803" w:type="dxa"/>
            <w:shd w:val="clear" w:color="auto" w:fill="auto"/>
            <w:vAlign w:val="center"/>
          </w:tcPr>
          <w:p w:rsidR="001F5B33" w:rsidRPr="00E3331A" w:rsidRDefault="001F5B33" w:rsidP="0007007F">
            <w:pPr>
              <w:pStyle w:val="Tablecontents"/>
              <w:jc w:val="center"/>
            </w:pPr>
            <w:r w:rsidRPr="00E3331A">
              <w:t xml:space="preserve">Liu et al, </w:t>
            </w:r>
            <w:r w:rsidR="00F34FDE" w:rsidRPr="00E3331A">
              <w:t>British</w:t>
            </w:r>
            <w:r w:rsidRPr="00E3331A">
              <w:t xml:space="preserve"> health system</w:t>
            </w:r>
            <w:r w:rsidR="00F00DA1" w:rsidRPr="00E3331A">
              <w:t>,</w:t>
            </w:r>
            <w:r w:rsidRPr="00E3331A">
              <w:t xml:space="preserve"> </w:t>
            </w:r>
            <w:r w:rsidR="00F34FDE" w:rsidRPr="00E3331A">
              <w:t xml:space="preserve">assumptions </w:t>
            </w:r>
            <w:r w:rsidR="00E810A5" w:rsidRPr="00E3331A">
              <w:t>applied</w:t>
            </w:r>
            <w:r w:rsidR="00F34FDE" w:rsidRPr="00E3331A">
              <w:t xml:space="preserve"> </w:t>
            </w:r>
            <w:r w:rsidRPr="00E3331A">
              <w:t>to H</w:t>
            </w:r>
            <w:r w:rsidR="00591599" w:rsidRPr="00E3331A">
              <w:t>ö</w:t>
            </w:r>
            <w:r w:rsidRPr="00E3331A">
              <w:t xml:space="preserve">gy </w:t>
            </w:r>
            <w:r w:rsidR="00983BA7">
              <w:t xml:space="preserve">et al. </w:t>
            </w:r>
            <w:r w:rsidRPr="00E3331A">
              <w:t>cost calculations</w:t>
            </w:r>
            <w:r w:rsidR="00F00DA1" w:rsidRPr="00E3331A">
              <w:t>.</w:t>
            </w:r>
            <w:r w:rsidRPr="00E3331A">
              <w:t xml:space="preserve"> Home SCIg versus home IVIg and hospital IVIg</w:t>
            </w:r>
          </w:p>
        </w:tc>
        <w:tc>
          <w:tcPr>
            <w:tcW w:w="1803" w:type="dxa"/>
            <w:shd w:val="clear" w:color="auto" w:fill="auto"/>
            <w:vAlign w:val="center"/>
          </w:tcPr>
          <w:p w:rsidR="001F5B33" w:rsidRPr="00E3331A" w:rsidRDefault="001F5B33" w:rsidP="0007007F">
            <w:pPr>
              <w:pStyle w:val="Tablecontents"/>
              <w:jc w:val="center"/>
            </w:pPr>
            <w:r w:rsidRPr="00E3331A">
              <w:t>H</w:t>
            </w:r>
            <w:r w:rsidR="00591599" w:rsidRPr="00E3331A">
              <w:t>ö</w:t>
            </w:r>
            <w:r w:rsidRPr="00E3331A">
              <w:t xml:space="preserve">gy </w:t>
            </w:r>
            <w:r w:rsidR="00983BA7">
              <w:t xml:space="preserve">et al. </w:t>
            </w:r>
            <w:r w:rsidRPr="00E3331A">
              <w:t>subgroup analysis:</w:t>
            </w:r>
          </w:p>
          <w:p w:rsidR="001F5B33" w:rsidRPr="00E3331A" w:rsidRDefault="001F5B33" w:rsidP="0007007F">
            <w:pPr>
              <w:pStyle w:val="Tablecontents"/>
              <w:jc w:val="center"/>
            </w:pPr>
            <w:r w:rsidRPr="00E3331A">
              <w:t>adults (75kg) and children (40kg</w:t>
            </w:r>
            <w:r w:rsidR="005C15FD" w:rsidRPr="00E3331A">
              <w:t>)</w:t>
            </w:r>
          </w:p>
        </w:tc>
        <w:tc>
          <w:tcPr>
            <w:tcW w:w="1803" w:type="dxa"/>
            <w:shd w:val="clear" w:color="auto" w:fill="auto"/>
            <w:vAlign w:val="center"/>
          </w:tcPr>
          <w:p w:rsidR="001F5B33" w:rsidRPr="00E3331A" w:rsidRDefault="001F5B33" w:rsidP="0007007F">
            <w:pPr>
              <w:pStyle w:val="Tablecontents"/>
              <w:jc w:val="center"/>
            </w:pPr>
            <w:r w:rsidRPr="00E3331A">
              <w:t>As in H</w:t>
            </w:r>
            <w:r w:rsidR="00591599" w:rsidRPr="00E3331A">
              <w:t>ö</w:t>
            </w:r>
            <w:r w:rsidRPr="00E3331A">
              <w:t>gy et al; no significant differences in infection and AE rates between SCIg and IVIg</w:t>
            </w:r>
          </w:p>
        </w:tc>
        <w:tc>
          <w:tcPr>
            <w:tcW w:w="1803" w:type="dxa"/>
            <w:shd w:val="clear" w:color="auto" w:fill="auto"/>
            <w:vAlign w:val="center"/>
          </w:tcPr>
          <w:p w:rsidR="001F5B33" w:rsidRPr="00E3331A" w:rsidRDefault="001F5B33" w:rsidP="0007007F">
            <w:pPr>
              <w:pStyle w:val="Tablecontents"/>
              <w:jc w:val="center"/>
            </w:pPr>
            <w:r w:rsidRPr="00E3331A">
              <w:t>As in H</w:t>
            </w:r>
            <w:r w:rsidR="00591599" w:rsidRPr="00E3331A">
              <w:t>ö</w:t>
            </w:r>
            <w:r w:rsidRPr="00E3331A">
              <w:t>gy et al; Ig, pre-medications, infusion pump, infusion materials, physicians, diagnostic procedures, sick leave for children’s caregivers</w:t>
            </w:r>
          </w:p>
        </w:tc>
        <w:tc>
          <w:tcPr>
            <w:tcW w:w="1804" w:type="dxa"/>
            <w:shd w:val="clear" w:color="auto" w:fill="auto"/>
            <w:vAlign w:val="center"/>
          </w:tcPr>
          <w:p w:rsidR="001F5B33" w:rsidRPr="00E3331A" w:rsidRDefault="001F5B33" w:rsidP="0007007F">
            <w:pPr>
              <w:pStyle w:val="Tablecontents"/>
              <w:jc w:val="center"/>
            </w:pPr>
            <w:r w:rsidRPr="00E3331A">
              <w:t>Adult: IVIg at home £11,580</w:t>
            </w:r>
          </w:p>
          <w:p w:rsidR="001F5B33" w:rsidRPr="00E3331A" w:rsidRDefault="001F5B33" w:rsidP="0007007F">
            <w:pPr>
              <w:pStyle w:val="Tablecontents"/>
              <w:jc w:val="center"/>
            </w:pPr>
            <w:r w:rsidRPr="00E3331A">
              <w:t>Adult: IVIg at hospital £18,600</w:t>
            </w:r>
          </w:p>
          <w:p w:rsidR="001F5B33" w:rsidRPr="00E3331A" w:rsidRDefault="001F5B33" w:rsidP="0007007F">
            <w:pPr>
              <w:pStyle w:val="Tablecontents"/>
              <w:jc w:val="center"/>
            </w:pPr>
            <w:r w:rsidRPr="00E3331A">
              <w:t>Adult: SCIg at home £11,760</w:t>
            </w:r>
          </w:p>
          <w:p w:rsidR="001F5B33" w:rsidRPr="00E3331A" w:rsidRDefault="001F5B33" w:rsidP="0007007F">
            <w:pPr>
              <w:pStyle w:val="Tablecontents"/>
              <w:jc w:val="center"/>
            </w:pPr>
            <w:r w:rsidRPr="00E3331A">
              <w:t>Children: IVIg at home £6,540</w:t>
            </w:r>
          </w:p>
          <w:p w:rsidR="001F5B33" w:rsidRPr="00E3331A" w:rsidRDefault="001F5B33" w:rsidP="0007007F">
            <w:pPr>
              <w:pStyle w:val="Tablecontents"/>
              <w:jc w:val="center"/>
            </w:pPr>
            <w:r w:rsidRPr="00E3331A">
              <w:t>Children: SCIg at home £6,720</w:t>
            </w:r>
          </w:p>
        </w:tc>
      </w:tr>
      <w:tr w:rsidR="00281EC2" w:rsidRPr="00E3331A" w:rsidTr="0007007F">
        <w:tc>
          <w:tcPr>
            <w:tcW w:w="1803" w:type="dxa"/>
            <w:shd w:val="clear" w:color="auto" w:fill="auto"/>
            <w:vAlign w:val="center"/>
          </w:tcPr>
          <w:p w:rsidR="001F5B33" w:rsidRPr="00E3331A" w:rsidRDefault="001F5B33" w:rsidP="0007007F">
            <w:pPr>
              <w:pStyle w:val="Tablecontents"/>
              <w:jc w:val="center"/>
            </w:pPr>
            <w:r w:rsidRPr="00E3331A">
              <w:lastRenderedPageBreak/>
              <w:t>Haddad et al,</w:t>
            </w:r>
          </w:p>
          <w:p w:rsidR="001F5B33" w:rsidRPr="00E3331A" w:rsidRDefault="001F5B33" w:rsidP="0007007F">
            <w:pPr>
              <w:pStyle w:val="Tablecontents"/>
              <w:jc w:val="center"/>
            </w:pPr>
            <w:r w:rsidRPr="00E3331A">
              <w:t>France. Costs analysis, Public payer (France). Home SCIg versus hospital SCIg and hospital IVIg</w:t>
            </w:r>
            <w:r w:rsidR="00F00DA1" w:rsidRPr="00E3331A">
              <w:t>.</w:t>
            </w:r>
          </w:p>
        </w:tc>
        <w:tc>
          <w:tcPr>
            <w:tcW w:w="1803" w:type="dxa"/>
            <w:shd w:val="clear" w:color="auto" w:fill="auto"/>
            <w:vAlign w:val="center"/>
          </w:tcPr>
          <w:p w:rsidR="001F5B33" w:rsidRPr="00E3331A" w:rsidRDefault="001F5B33" w:rsidP="0007007F">
            <w:pPr>
              <w:pStyle w:val="Tablecontents"/>
              <w:jc w:val="center"/>
            </w:pPr>
            <w:r w:rsidRPr="00E3331A">
              <w:t>Not stated</w:t>
            </w:r>
          </w:p>
        </w:tc>
        <w:tc>
          <w:tcPr>
            <w:tcW w:w="1803" w:type="dxa"/>
            <w:shd w:val="clear" w:color="auto" w:fill="auto"/>
            <w:vAlign w:val="center"/>
          </w:tcPr>
          <w:p w:rsidR="001F5B33" w:rsidRPr="00E3331A" w:rsidRDefault="001F5B33" w:rsidP="0007007F">
            <w:pPr>
              <w:pStyle w:val="Tablecontents"/>
              <w:jc w:val="center"/>
            </w:pPr>
            <w:r w:rsidRPr="00E3331A">
              <w:t>No clinical data provided; authors assume equal effectiveness between SCIg and IVIg</w:t>
            </w:r>
          </w:p>
        </w:tc>
        <w:tc>
          <w:tcPr>
            <w:tcW w:w="1803" w:type="dxa"/>
            <w:shd w:val="clear" w:color="auto" w:fill="auto"/>
            <w:vAlign w:val="center"/>
          </w:tcPr>
          <w:p w:rsidR="001F5B33" w:rsidRPr="00E3331A" w:rsidRDefault="001F5B33" w:rsidP="0007007F">
            <w:pPr>
              <w:pStyle w:val="Tablecontents"/>
              <w:jc w:val="center"/>
            </w:pPr>
            <w:r w:rsidRPr="00E3331A">
              <w:t>Hospital admission, transportation to and from hospital, Ig acquisition cost (pre-tax), homecare nursing, rental cost of administration pumps and perfusion kits</w:t>
            </w:r>
          </w:p>
        </w:tc>
        <w:tc>
          <w:tcPr>
            <w:tcW w:w="1804" w:type="dxa"/>
            <w:shd w:val="clear" w:color="auto" w:fill="auto"/>
            <w:vAlign w:val="center"/>
          </w:tcPr>
          <w:p w:rsidR="001F5B33" w:rsidRPr="00E3331A" w:rsidRDefault="001F5B33" w:rsidP="0007007F">
            <w:pPr>
              <w:pStyle w:val="Tablecontents"/>
              <w:jc w:val="center"/>
            </w:pPr>
            <w:r w:rsidRPr="00E3331A">
              <w:t xml:space="preserve">Hospital IVIg (20g/mo) </w:t>
            </w:r>
            <w:r w:rsidR="00F34FDE" w:rsidRPr="00E3331A">
              <w:t>€1,1</w:t>
            </w:r>
            <w:r w:rsidRPr="00E3331A">
              <w:t>92.19</w:t>
            </w:r>
          </w:p>
          <w:p w:rsidR="001F5B33" w:rsidRPr="00E3331A" w:rsidRDefault="001F5B33" w:rsidP="0007007F">
            <w:pPr>
              <w:pStyle w:val="Tablecontents"/>
              <w:jc w:val="center"/>
            </w:pPr>
            <w:r w:rsidRPr="00E3331A">
              <w:t xml:space="preserve">Home IVIg (20g/mo) </w:t>
            </w:r>
            <w:r w:rsidR="00F34FDE" w:rsidRPr="00E3331A">
              <w:t>€</w:t>
            </w:r>
            <w:r w:rsidRPr="00E3331A">
              <w:t>1,033</w:t>
            </w:r>
          </w:p>
          <w:p w:rsidR="00F34FDE" w:rsidRPr="00E3331A" w:rsidRDefault="001F5B33" w:rsidP="0007007F">
            <w:pPr>
              <w:pStyle w:val="Tablecontents"/>
              <w:jc w:val="center"/>
            </w:pPr>
            <w:r w:rsidRPr="00E3331A">
              <w:t xml:space="preserve">Home IVIg (40g/mo) </w:t>
            </w:r>
          </w:p>
          <w:p w:rsidR="001F5B33" w:rsidRPr="00E3331A" w:rsidRDefault="00F34FDE" w:rsidP="0007007F">
            <w:pPr>
              <w:pStyle w:val="Tablecontents"/>
              <w:jc w:val="center"/>
            </w:pPr>
            <w:r w:rsidRPr="00E3331A">
              <w:t>€</w:t>
            </w:r>
            <w:r w:rsidR="001F5B33" w:rsidRPr="00E3331A">
              <w:t xml:space="preserve"> 2,034.50</w:t>
            </w:r>
          </w:p>
          <w:p w:rsidR="00F34FDE" w:rsidRPr="00E3331A" w:rsidRDefault="001F5B33" w:rsidP="0007007F">
            <w:pPr>
              <w:pStyle w:val="Tablecontents"/>
              <w:jc w:val="center"/>
            </w:pPr>
            <w:r w:rsidRPr="00E3331A">
              <w:t xml:space="preserve">Hospital SCIg (20g/mo) </w:t>
            </w:r>
          </w:p>
          <w:p w:rsidR="001F5B33" w:rsidRPr="00E3331A" w:rsidRDefault="00F34FDE" w:rsidP="0007007F">
            <w:pPr>
              <w:pStyle w:val="Tablecontents"/>
              <w:jc w:val="center"/>
            </w:pPr>
            <w:r w:rsidRPr="00E3331A">
              <w:t>€</w:t>
            </w:r>
            <w:r w:rsidR="001F5B33" w:rsidRPr="00E3331A">
              <w:t>2,908.76</w:t>
            </w:r>
          </w:p>
          <w:p w:rsidR="00F34FDE" w:rsidRPr="00E3331A" w:rsidRDefault="001F5B33" w:rsidP="0007007F">
            <w:pPr>
              <w:pStyle w:val="Tablecontents"/>
              <w:jc w:val="center"/>
            </w:pPr>
            <w:r w:rsidRPr="00E3331A">
              <w:t xml:space="preserve">Home SCIg (20g/mo) </w:t>
            </w:r>
          </w:p>
          <w:p w:rsidR="001F5B33" w:rsidRPr="00E3331A" w:rsidRDefault="00F34FDE" w:rsidP="0007007F">
            <w:pPr>
              <w:pStyle w:val="Tablecontents"/>
              <w:jc w:val="center"/>
            </w:pPr>
            <w:r w:rsidRPr="00E3331A">
              <w:t>€</w:t>
            </w:r>
            <w:r w:rsidR="001F5B33" w:rsidRPr="00E3331A">
              <w:t>1,518</w:t>
            </w:r>
          </w:p>
          <w:p w:rsidR="001F5B33" w:rsidRPr="00E3331A" w:rsidRDefault="001F5B33" w:rsidP="0007007F">
            <w:pPr>
              <w:pStyle w:val="Tablecontents"/>
              <w:jc w:val="center"/>
            </w:pPr>
            <w:r w:rsidRPr="00E3331A">
              <w:t xml:space="preserve">Home SCIg (40g/mo) </w:t>
            </w:r>
            <w:r w:rsidR="00F34FDE" w:rsidRPr="00E3331A">
              <w:t>€</w:t>
            </w:r>
            <w:r w:rsidRPr="00E3331A">
              <w:t>2,507–2,729</w:t>
            </w:r>
          </w:p>
        </w:tc>
      </w:tr>
    </w:tbl>
    <w:p w:rsidR="001F5B33" w:rsidRPr="00E3331A" w:rsidRDefault="001F5B33" w:rsidP="0037150F">
      <w:pPr>
        <w:pStyle w:val="Tablenotes1"/>
      </w:pPr>
      <w:r w:rsidRPr="00E3331A">
        <w:t>Abbreviations: AEs, adverse events; CA, cost analysis, IMIg, intramuscular immunoglobulin</w:t>
      </w:r>
      <w:r w:rsidR="005C15FD" w:rsidRPr="00E3331A">
        <w:t>, IVIg = intravenous administration of immunoglobulins, SCIg = subcutaneous administration of immunoglobulins</w:t>
      </w:r>
    </w:p>
    <w:p w:rsidR="001F5B33" w:rsidRPr="00E3331A" w:rsidRDefault="001F5B33" w:rsidP="0037150F">
      <w:pPr>
        <w:pStyle w:val="Tablenotes1"/>
      </w:pPr>
      <w:r w:rsidRPr="00E3331A">
        <w:t xml:space="preserve">Source: Membe </w:t>
      </w:r>
      <w:r w:rsidR="00983BA7">
        <w:t xml:space="preserve">et al. </w:t>
      </w:r>
      <w:r w:rsidRPr="00E3331A">
        <w:t>(2008)</w:t>
      </w:r>
    </w:p>
    <w:p w:rsidR="001F5B33" w:rsidRPr="00E3331A" w:rsidRDefault="001F5B33" w:rsidP="00DE59D4">
      <w:pPr>
        <w:pStyle w:val="Heading6"/>
      </w:pPr>
      <w:r w:rsidRPr="00E3331A">
        <w:t xml:space="preserve">Lazzaro </w:t>
      </w:r>
      <w:r w:rsidR="00983BA7">
        <w:t xml:space="preserve">et al. </w:t>
      </w:r>
      <w:r w:rsidRPr="00E3331A">
        <w:t>(2014)</w:t>
      </w:r>
    </w:p>
    <w:p w:rsidR="001F5B33" w:rsidRPr="00E3331A" w:rsidRDefault="001F5B33" w:rsidP="00BB6E4C">
      <w:pPr>
        <w:pStyle w:val="BodyTextSTD"/>
      </w:pPr>
      <w:r w:rsidRPr="00E3331A">
        <w:t>This economic evaluation compared the costs of SCIG vs IVIG for Italian CIDP patients. A 1-year cost model was developed</w:t>
      </w:r>
      <w:r w:rsidR="00F00DA1" w:rsidRPr="00E3331A">
        <w:t>,</w:t>
      </w:r>
      <w:r w:rsidRPr="00E3331A">
        <w:t xml:space="preserve"> with most assumptions derived from neurologist expert opinion. Costs included immunoglobulin</w:t>
      </w:r>
      <w:r w:rsidR="00F00DA1" w:rsidRPr="00E3331A">
        <w:t>,</w:t>
      </w:r>
      <w:r w:rsidRPr="00E3331A">
        <w:t xml:space="preserve"> drugs for pre</w:t>
      </w:r>
      <w:r w:rsidR="00D45BCF" w:rsidRPr="00E3331A">
        <w:t>-medication</w:t>
      </w:r>
      <w:r w:rsidRPr="00E3331A">
        <w:t xml:space="preserve"> and </w:t>
      </w:r>
      <w:r w:rsidR="00F00DA1" w:rsidRPr="00E3331A">
        <w:t xml:space="preserve">management of </w:t>
      </w:r>
      <w:r w:rsidRPr="00E3331A">
        <w:t>complications (rash, headache, hypertension)</w:t>
      </w:r>
      <w:r w:rsidR="00F00DA1" w:rsidRPr="00E3331A">
        <w:t>,</w:t>
      </w:r>
      <w:r w:rsidRPr="00E3331A">
        <w:t xml:space="preserve"> time of various health care professionals</w:t>
      </w:r>
      <w:r w:rsidR="00F00DA1" w:rsidRPr="00E3331A">
        <w:t>,</w:t>
      </w:r>
      <w:r w:rsidRPr="00E3331A">
        <w:t xml:space="preserve"> pump for SCIG self-administration</w:t>
      </w:r>
      <w:r w:rsidR="00F00DA1" w:rsidRPr="00E3331A">
        <w:t>, and</w:t>
      </w:r>
      <w:r w:rsidRPr="00E3331A">
        <w:t xml:space="preserve"> infusion disposables</w:t>
      </w:r>
      <w:r w:rsidR="00F00DA1" w:rsidRPr="00E3331A">
        <w:t xml:space="preserve"> (see</w:t>
      </w:r>
      <w:r w:rsidRPr="00E3331A">
        <w:t xml:space="preserve"> </w:t>
      </w:r>
      <w:r w:rsidR="006F35B9" w:rsidRPr="00E3331A">
        <w:t xml:space="preserve">Table </w:t>
      </w:r>
      <w:r w:rsidR="006F35B9">
        <w:rPr>
          <w:noProof/>
        </w:rPr>
        <w:t>63</w:t>
      </w:r>
      <w:r w:rsidR="00F00DA1" w:rsidRPr="00E3331A">
        <w:t>)</w:t>
      </w:r>
      <w:r w:rsidRPr="00E3331A">
        <w:t xml:space="preserve">. Non-health care resources were </w:t>
      </w:r>
      <w:r w:rsidR="00FF1422" w:rsidRPr="00E3331A">
        <w:t>estimated but</w:t>
      </w:r>
      <w:r w:rsidRPr="00E3331A">
        <w:t xml:space="preserve"> are not outlined below. Overall costs per patient amount to €49,534.75 (SCI</w:t>
      </w:r>
      <w:r w:rsidR="00554D3E" w:rsidRPr="00E3331A">
        <w:t>g</w:t>
      </w:r>
      <w:r w:rsidRPr="00E3331A">
        <w:t>) and €50,895.73 (IVI</w:t>
      </w:r>
      <w:r w:rsidR="00554D3E" w:rsidRPr="00E3331A">
        <w:t>g</w:t>
      </w:r>
      <w:r w:rsidRPr="00E3331A">
        <w:t>). The major cost was Ig (86-94% of total costs).</w:t>
      </w:r>
    </w:p>
    <w:p w:rsidR="001F5B33" w:rsidRPr="00E3331A" w:rsidRDefault="001F5B33" w:rsidP="001F5B33">
      <w:pPr>
        <w:pStyle w:val="Caption"/>
      </w:pPr>
      <w:bookmarkStart w:id="405" w:name="_Ref8143143"/>
      <w:bookmarkStart w:id="406" w:name="_Toc24103369"/>
      <w:r w:rsidRPr="00E3331A">
        <w:t xml:space="preserve">Table </w:t>
      </w:r>
      <w:r w:rsidR="006F35B9">
        <w:rPr>
          <w:noProof/>
        </w:rPr>
        <w:t>63</w:t>
      </w:r>
      <w:bookmarkEnd w:id="405"/>
      <w:r w:rsidR="00CB5EC7" w:rsidRPr="00E3331A">
        <w:tab/>
        <w:t>H</w:t>
      </w:r>
      <w:r w:rsidRPr="00E3331A">
        <w:t>ealth resource identification and quantification</w:t>
      </w:r>
      <w:r w:rsidR="00CB5EC7" w:rsidRPr="00E3331A">
        <w:t xml:space="preserve"> (Lazzaro et al, 2014)</w:t>
      </w:r>
      <w:bookmarkEnd w:id="4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357"/>
        <w:gridCol w:w="2651"/>
        <w:gridCol w:w="3008"/>
      </w:tblGrid>
      <w:tr w:rsidR="005C15FD" w:rsidRPr="00E3331A" w:rsidTr="00FF1422">
        <w:trPr>
          <w:trHeight w:val="227"/>
        </w:trPr>
        <w:tc>
          <w:tcPr>
            <w:tcW w:w="1862" w:type="pct"/>
            <w:tcBorders>
              <w:top w:val="single" w:sz="4" w:space="0" w:color="auto"/>
            </w:tcBorders>
            <w:shd w:val="clear" w:color="auto" w:fill="auto"/>
            <w:vAlign w:val="center"/>
          </w:tcPr>
          <w:p w:rsidR="005C15FD" w:rsidRPr="00E3331A" w:rsidRDefault="005C15FD" w:rsidP="00D77378">
            <w:pPr>
              <w:pStyle w:val="Tableheading1"/>
              <w:jc w:val="center"/>
            </w:pPr>
          </w:p>
        </w:tc>
        <w:tc>
          <w:tcPr>
            <w:tcW w:w="1470" w:type="pct"/>
            <w:tcBorders>
              <w:top w:val="single" w:sz="4" w:space="0" w:color="auto"/>
            </w:tcBorders>
            <w:shd w:val="clear" w:color="auto" w:fill="auto"/>
            <w:vAlign w:val="center"/>
          </w:tcPr>
          <w:p w:rsidR="005C15FD" w:rsidRPr="00E3331A" w:rsidRDefault="005C6F6D" w:rsidP="00D77378">
            <w:pPr>
              <w:pStyle w:val="Tableheading1"/>
              <w:jc w:val="center"/>
            </w:pPr>
            <w:r>
              <w:t>SCIg</w:t>
            </w:r>
          </w:p>
        </w:tc>
        <w:tc>
          <w:tcPr>
            <w:tcW w:w="1668" w:type="pct"/>
            <w:tcBorders>
              <w:top w:val="single" w:sz="4" w:space="0" w:color="auto"/>
            </w:tcBorders>
            <w:shd w:val="clear" w:color="auto" w:fill="auto"/>
            <w:vAlign w:val="center"/>
          </w:tcPr>
          <w:p w:rsidR="005C15FD" w:rsidRPr="00E3331A" w:rsidRDefault="005C6F6D" w:rsidP="00D77378">
            <w:pPr>
              <w:pStyle w:val="Tableheading1"/>
              <w:jc w:val="center"/>
            </w:pPr>
            <w:r>
              <w:t>IVIg</w:t>
            </w:r>
          </w:p>
        </w:tc>
      </w:tr>
      <w:tr w:rsidR="007C55CB" w:rsidRPr="00E3331A" w:rsidTr="007C55CB">
        <w:trPr>
          <w:trHeight w:val="227"/>
        </w:trPr>
        <w:tc>
          <w:tcPr>
            <w:tcW w:w="5000" w:type="pct"/>
            <w:gridSpan w:val="3"/>
            <w:tcBorders>
              <w:top w:val="single" w:sz="4" w:space="0" w:color="auto"/>
            </w:tcBorders>
            <w:shd w:val="clear" w:color="auto" w:fill="auto"/>
          </w:tcPr>
          <w:p w:rsidR="007C55CB" w:rsidRPr="00E3331A" w:rsidRDefault="007C55CB" w:rsidP="007C55CB">
            <w:pPr>
              <w:pStyle w:val="TableParagraph"/>
              <w:jc w:val="left"/>
              <w:rPr>
                <w:rFonts w:ascii="Arial Narrow" w:eastAsia="Lucida Sans" w:hAnsi="Arial Narrow" w:cs="Lucida Sans"/>
                <w:sz w:val="20"/>
                <w:szCs w:val="20"/>
              </w:rPr>
            </w:pPr>
            <w:r w:rsidRPr="00E3331A">
              <w:rPr>
                <w:rFonts w:ascii="Arial Narrow" w:eastAsia="Lucida Sans" w:hAnsi="Arial Narrow" w:cs="Lucida Sans"/>
                <w:b/>
                <w:sz w:val="20"/>
                <w:szCs w:val="20"/>
              </w:rPr>
              <w:t>Health care resources</w:t>
            </w:r>
          </w:p>
        </w:tc>
      </w:tr>
      <w:tr w:rsidR="005C15FD" w:rsidRPr="00E3331A" w:rsidTr="00961E80">
        <w:trPr>
          <w:trHeight w:val="227"/>
        </w:trPr>
        <w:tc>
          <w:tcPr>
            <w:tcW w:w="1862" w:type="pct"/>
            <w:shd w:val="clear" w:color="auto" w:fill="auto"/>
          </w:tcPr>
          <w:p w:rsidR="005C15FD" w:rsidRPr="00E3331A" w:rsidRDefault="005C15FD" w:rsidP="00067F8C">
            <w:pPr>
              <w:pStyle w:val="Tablecontents"/>
              <w:ind w:left="0"/>
            </w:pPr>
            <w:r w:rsidRPr="00E3331A">
              <w:t xml:space="preserve">Nursing time for training patient in SCIG self-administration </w:t>
            </w:r>
          </w:p>
        </w:tc>
        <w:tc>
          <w:tcPr>
            <w:tcW w:w="1470" w:type="pct"/>
            <w:shd w:val="clear" w:color="auto" w:fill="auto"/>
            <w:vAlign w:val="center"/>
          </w:tcPr>
          <w:p w:rsidR="005C15FD" w:rsidRPr="00E3331A" w:rsidRDefault="005C15FD" w:rsidP="00D77378">
            <w:pPr>
              <w:pStyle w:val="Tablecontents"/>
              <w:rPr>
                <w:rFonts w:eastAsia="Lucida Sans" w:cs="Lucida Sans"/>
              </w:rPr>
            </w:pPr>
            <w:r w:rsidRPr="00E3331A">
              <w:rPr>
                <w:rFonts w:eastAsia="Lucida Sans" w:cs="Lucida Sans"/>
              </w:rPr>
              <w:t>2 x 2.5 hours</w:t>
            </w:r>
          </w:p>
        </w:tc>
        <w:tc>
          <w:tcPr>
            <w:tcW w:w="1668" w:type="pct"/>
            <w:shd w:val="clear" w:color="auto" w:fill="auto"/>
            <w:vAlign w:val="center"/>
          </w:tcPr>
          <w:p w:rsidR="005C15FD" w:rsidRPr="00E3331A" w:rsidRDefault="00961E80" w:rsidP="00961E80">
            <w:pPr>
              <w:pStyle w:val="Tablecontents"/>
              <w:jc w:val="left"/>
              <w:rPr>
                <w:rFonts w:eastAsia="Lucida Sans" w:cs="Lucida Sans"/>
              </w:rPr>
            </w:pPr>
            <w:r>
              <w:rPr>
                <w:rFonts w:eastAsia="Lucida Sans" w:cs="Lucida Sans"/>
              </w:rPr>
              <w:t>N/A</w:t>
            </w:r>
          </w:p>
        </w:tc>
      </w:tr>
      <w:tr w:rsidR="007C55CB" w:rsidRPr="00E3331A" w:rsidTr="007C55CB">
        <w:trPr>
          <w:trHeight w:val="227"/>
        </w:trPr>
        <w:tc>
          <w:tcPr>
            <w:tcW w:w="5000" w:type="pct"/>
            <w:gridSpan w:val="3"/>
            <w:shd w:val="clear" w:color="auto" w:fill="auto"/>
          </w:tcPr>
          <w:p w:rsidR="007C55CB" w:rsidRPr="00E3331A" w:rsidRDefault="007C55CB" w:rsidP="00D77378">
            <w:pPr>
              <w:pStyle w:val="Tablecontents"/>
              <w:rPr>
                <w:rFonts w:eastAsia="Lucida Sans" w:cs="Lucida Sans"/>
              </w:rPr>
            </w:pPr>
            <w:r w:rsidRPr="00E3331A">
              <w:rPr>
                <w:b/>
              </w:rPr>
              <w:t>Therapy</w:t>
            </w:r>
          </w:p>
        </w:tc>
      </w:tr>
      <w:tr w:rsidR="005C15FD" w:rsidRPr="00E3331A" w:rsidTr="00FF1422">
        <w:trPr>
          <w:trHeight w:val="227"/>
        </w:trPr>
        <w:tc>
          <w:tcPr>
            <w:tcW w:w="1862" w:type="pct"/>
            <w:shd w:val="clear" w:color="auto" w:fill="auto"/>
            <w:vAlign w:val="center"/>
          </w:tcPr>
          <w:p w:rsidR="005C15FD" w:rsidRPr="00E3331A" w:rsidRDefault="005C15FD" w:rsidP="00D77378">
            <w:pPr>
              <w:pStyle w:val="Tablecontents"/>
              <w:rPr>
                <w:b/>
              </w:rPr>
            </w:pPr>
            <w:r w:rsidRPr="00E3331A">
              <w:t>Pre-medication</w:t>
            </w:r>
          </w:p>
        </w:tc>
        <w:tc>
          <w:tcPr>
            <w:tcW w:w="1470" w:type="pct"/>
            <w:shd w:val="clear" w:color="auto" w:fill="auto"/>
            <w:vAlign w:val="center"/>
          </w:tcPr>
          <w:p w:rsidR="005C15FD" w:rsidRPr="00E3331A" w:rsidRDefault="005C15FD" w:rsidP="00D77378">
            <w:pPr>
              <w:pStyle w:val="Tablecontents"/>
              <w:rPr>
                <w:rFonts w:eastAsia="Lucida Sans" w:cs="Lucida Sans"/>
                <w:b/>
              </w:rPr>
            </w:pPr>
          </w:p>
        </w:tc>
        <w:tc>
          <w:tcPr>
            <w:tcW w:w="1668" w:type="pct"/>
            <w:shd w:val="clear" w:color="auto" w:fill="auto"/>
            <w:vAlign w:val="center"/>
          </w:tcPr>
          <w:p w:rsidR="005C15FD" w:rsidRPr="00E3331A" w:rsidRDefault="005C15FD" w:rsidP="00D77378">
            <w:pPr>
              <w:pStyle w:val="Tablecontents"/>
              <w:rPr>
                <w:rFonts w:eastAsia="Lucida Sans" w:cs="Lucida Sans"/>
                <w:b/>
              </w:rPr>
            </w:pPr>
            <w:r w:rsidRPr="00E3331A">
              <w:rPr>
                <w:rFonts w:eastAsia="Lucida Sans" w:cs="Lucida Sans"/>
              </w:rPr>
              <w:t>Antihystaminie (10 mg) corticosteroid (4 mg)</w:t>
            </w:r>
          </w:p>
        </w:tc>
      </w:tr>
      <w:tr w:rsidR="005C15FD" w:rsidRPr="00E3331A" w:rsidTr="00FF1422">
        <w:trPr>
          <w:trHeight w:val="227"/>
        </w:trPr>
        <w:tc>
          <w:tcPr>
            <w:tcW w:w="1862" w:type="pct"/>
            <w:shd w:val="clear" w:color="auto" w:fill="auto"/>
            <w:vAlign w:val="center"/>
          </w:tcPr>
          <w:p w:rsidR="005C15FD" w:rsidRPr="00E3331A" w:rsidRDefault="005C15FD" w:rsidP="00D77378">
            <w:pPr>
              <w:pStyle w:val="Tablecontents"/>
            </w:pPr>
            <w:r w:rsidRPr="00E3331A">
              <w:t>Immunoglobulin</w:t>
            </w:r>
          </w:p>
        </w:tc>
        <w:tc>
          <w:tcPr>
            <w:tcW w:w="1470" w:type="pct"/>
            <w:shd w:val="clear" w:color="auto" w:fill="auto"/>
            <w:vAlign w:val="center"/>
          </w:tcPr>
          <w:p w:rsidR="005C15FD" w:rsidRPr="00E3331A" w:rsidRDefault="005C15FD" w:rsidP="00D77378">
            <w:pPr>
              <w:pStyle w:val="Tablecontents"/>
              <w:rPr>
                <w:rFonts w:eastAsia="Lucida Sans" w:cs="Lucida Sans"/>
              </w:rPr>
            </w:pPr>
            <w:r w:rsidRPr="00E3331A">
              <w:rPr>
                <w:rFonts w:eastAsia="Lucida Sans" w:cs="Lucida Sans"/>
              </w:rPr>
              <w:t>960 g per year</w:t>
            </w:r>
          </w:p>
        </w:tc>
        <w:tc>
          <w:tcPr>
            <w:tcW w:w="1668" w:type="pct"/>
            <w:shd w:val="clear" w:color="auto" w:fill="auto"/>
            <w:vAlign w:val="center"/>
          </w:tcPr>
          <w:p w:rsidR="005C15FD" w:rsidRPr="00E3331A" w:rsidRDefault="005C15FD" w:rsidP="00D77378">
            <w:pPr>
              <w:pStyle w:val="Tablecontents"/>
              <w:rPr>
                <w:rFonts w:eastAsia="Lucida Sans" w:cs="Lucida Sans"/>
              </w:rPr>
            </w:pPr>
            <w:r w:rsidRPr="00E3331A">
              <w:rPr>
                <w:rFonts w:eastAsia="Lucida Sans" w:cs="Lucida Sans"/>
              </w:rPr>
              <w:t>960 g per year</w:t>
            </w:r>
          </w:p>
        </w:tc>
      </w:tr>
      <w:tr w:rsidR="005C15FD" w:rsidRPr="00E3331A" w:rsidTr="00FF1422">
        <w:trPr>
          <w:trHeight w:val="227"/>
        </w:trPr>
        <w:tc>
          <w:tcPr>
            <w:tcW w:w="1862" w:type="pct"/>
            <w:shd w:val="clear" w:color="auto" w:fill="auto"/>
            <w:vAlign w:val="center"/>
          </w:tcPr>
          <w:p w:rsidR="005C15FD" w:rsidRPr="00E3331A" w:rsidRDefault="005C15FD" w:rsidP="00D77378">
            <w:pPr>
              <w:pStyle w:val="Tablecontents"/>
            </w:pPr>
            <w:r w:rsidRPr="00E3331A">
              <w:t>GP consultation</w:t>
            </w:r>
          </w:p>
        </w:tc>
        <w:tc>
          <w:tcPr>
            <w:tcW w:w="1470" w:type="pct"/>
            <w:shd w:val="clear" w:color="auto" w:fill="auto"/>
            <w:vAlign w:val="center"/>
          </w:tcPr>
          <w:p w:rsidR="005C15FD" w:rsidRPr="00E3331A" w:rsidRDefault="005C15FD" w:rsidP="00D77378">
            <w:pPr>
              <w:pStyle w:val="Tablecontents"/>
              <w:rPr>
                <w:rFonts w:eastAsia="Lucida Sans" w:cs="Lucida Sans"/>
              </w:rPr>
            </w:pPr>
            <w:r w:rsidRPr="00E3331A">
              <w:rPr>
                <w:rFonts w:eastAsia="Lucida Sans" w:cs="Lucida Sans"/>
              </w:rPr>
              <w:t>2 per year</w:t>
            </w:r>
          </w:p>
        </w:tc>
        <w:tc>
          <w:tcPr>
            <w:tcW w:w="1668" w:type="pct"/>
            <w:shd w:val="clear" w:color="auto" w:fill="auto"/>
            <w:vAlign w:val="center"/>
          </w:tcPr>
          <w:p w:rsidR="005C15FD" w:rsidRPr="00E3331A" w:rsidRDefault="005C15FD" w:rsidP="00D77378">
            <w:pPr>
              <w:pStyle w:val="Tablecontents"/>
              <w:rPr>
                <w:rFonts w:eastAsia="Lucida Sans" w:cs="Lucida Sans"/>
              </w:rPr>
            </w:pPr>
            <w:r w:rsidRPr="00E3331A">
              <w:rPr>
                <w:rFonts w:eastAsia="Lucida Sans" w:cs="Lucida Sans"/>
              </w:rPr>
              <w:t>12 per year</w:t>
            </w:r>
          </w:p>
        </w:tc>
      </w:tr>
      <w:tr w:rsidR="005C15FD" w:rsidRPr="00E3331A" w:rsidTr="00FF1422">
        <w:trPr>
          <w:trHeight w:val="227"/>
        </w:trPr>
        <w:tc>
          <w:tcPr>
            <w:tcW w:w="1862" w:type="pct"/>
            <w:shd w:val="clear" w:color="auto" w:fill="auto"/>
            <w:vAlign w:val="center"/>
          </w:tcPr>
          <w:p w:rsidR="005C15FD" w:rsidRPr="00E3331A" w:rsidRDefault="005C15FD" w:rsidP="00D77378">
            <w:pPr>
              <w:pStyle w:val="Tablecontents"/>
            </w:pPr>
            <w:r w:rsidRPr="00E3331A">
              <w:t>LHA admittances for receiving immunoglobulin, disposables and self-infusion pump</w:t>
            </w:r>
          </w:p>
        </w:tc>
        <w:tc>
          <w:tcPr>
            <w:tcW w:w="1470" w:type="pct"/>
            <w:shd w:val="clear" w:color="auto" w:fill="auto"/>
            <w:vAlign w:val="center"/>
          </w:tcPr>
          <w:p w:rsidR="005C15FD" w:rsidRPr="00E3331A" w:rsidRDefault="005C15FD" w:rsidP="00D77378">
            <w:pPr>
              <w:pStyle w:val="Tablecontents"/>
              <w:rPr>
                <w:rFonts w:eastAsia="Lucida Sans" w:cs="Lucida Sans"/>
                <w:b/>
              </w:rPr>
            </w:pPr>
            <w:r w:rsidRPr="00E3331A">
              <w:rPr>
                <w:rFonts w:eastAsia="Lucida Sans" w:cs="Lucida Sans"/>
              </w:rPr>
              <w:t>4 per year</w:t>
            </w:r>
          </w:p>
        </w:tc>
        <w:tc>
          <w:tcPr>
            <w:tcW w:w="1668" w:type="pct"/>
            <w:shd w:val="clear" w:color="auto" w:fill="auto"/>
            <w:vAlign w:val="center"/>
          </w:tcPr>
          <w:p w:rsidR="005C15FD" w:rsidRPr="00E3331A" w:rsidRDefault="005C15FD" w:rsidP="00D77378">
            <w:pPr>
              <w:pStyle w:val="Tablecontents"/>
              <w:rPr>
                <w:rFonts w:eastAsia="Lucida Sans" w:cs="Lucida Sans"/>
                <w:b/>
              </w:rPr>
            </w:pPr>
          </w:p>
        </w:tc>
      </w:tr>
      <w:tr w:rsidR="005C15FD" w:rsidRPr="00E3331A" w:rsidTr="00FF1422">
        <w:trPr>
          <w:trHeight w:val="227"/>
        </w:trPr>
        <w:tc>
          <w:tcPr>
            <w:tcW w:w="1862" w:type="pct"/>
            <w:shd w:val="clear" w:color="auto" w:fill="auto"/>
            <w:vAlign w:val="center"/>
          </w:tcPr>
          <w:p w:rsidR="005C15FD" w:rsidRPr="00E3331A" w:rsidRDefault="005C15FD" w:rsidP="00D77378">
            <w:pPr>
              <w:pStyle w:val="Tablecontents"/>
            </w:pPr>
            <w:r w:rsidRPr="00E3331A">
              <w:t>LHA pharmacist time for delivering immunoglobulin, disposables and self-infusion pump</w:t>
            </w:r>
          </w:p>
        </w:tc>
        <w:tc>
          <w:tcPr>
            <w:tcW w:w="1470" w:type="pct"/>
            <w:shd w:val="clear" w:color="auto" w:fill="auto"/>
            <w:vAlign w:val="center"/>
          </w:tcPr>
          <w:p w:rsidR="005C15FD" w:rsidRPr="00E3331A" w:rsidRDefault="005C15FD" w:rsidP="00D77378">
            <w:pPr>
              <w:pStyle w:val="Tablecontents"/>
              <w:rPr>
                <w:rFonts w:eastAsia="Lucida Sans" w:cs="Lucida Sans"/>
              </w:rPr>
            </w:pPr>
            <w:r w:rsidRPr="00E3331A">
              <w:rPr>
                <w:rFonts w:eastAsia="Lucida Sans" w:cs="Lucida Sans"/>
              </w:rPr>
              <w:t>1.32 h per year</w:t>
            </w:r>
          </w:p>
        </w:tc>
        <w:tc>
          <w:tcPr>
            <w:tcW w:w="1668" w:type="pct"/>
            <w:shd w:val="clear" w:color="auto" w:fill="auto"/>
            <w:vAlign w:val="center"/>
          </w:tcPr>
          <w:p w:rsidR="005C15FD" w:rsidRPr="00E3331A" w:rsidRDefault="005C15FD" w:rsidP="00D77378">
            <w:pPr>
              <w:pStyle w:val="Tablecontents"/>
              <w:rPr>
                <w:rFonts w:eastAsia="Lucida Sans" w:cs="Lucida Sans"/>
              </w:rPr>
            </w:pPr>
          </w:p>
        </w:tc>
      </w:tr>
      <w:tr w:rsidR="007C55CB" w:rsidRPr="00E3331A" w:rsidTr="007C55CB">
        <w:trPr>
          <w:trHeight w:val="227"/>
        </w:trPr>
        <w:tc>
          <w:tcPr>
            <w:tcW w:w="5000" w:type="pct"/>
            <w:gridSpan w:val="3"/>
            <w:shd w:val="clear" w:color="auto" w:fill="auto"/>
            <w:vAlign w:val="center"/>
          </w:tcPr>
          <w:p w:rsidR="007C55CB" w:rsidRPr="00E3331A" w:rsidRDefault="007C55CB" w:rsidP="00D77378">
            <w:pPr>
              <w:pStyle w:val="Tablecontents"/>
              <w:rPr>
                <w:rFonts w:eastAsia="Lucida Sans" w:cs="Lucida Sans"/>
              </w:rPr>
            </w:pPr>
            <w:r w:rsidRPr="00E3331A">
              <w:rPr>
                <w:b/>
              </w:rPr>
              <w:t>Administration</w:t>
            </w:r>
          </w:p>
        </w:tc>
      </w:tr>
      <w:tr w:rsidR="005C15FD" w:rsidRPr="00E3331A" w:rsidTr="00FF1422">
        <w:trPr>
          <w:trHeight w:val="227"/>
        </w:trPr>
        <w:tc>
          <w:tcPr>
            <w:tcW w:w="1862" w:type="pct"/>
            <w:shd w:val="clear" w:color="auto" w:fill="auto"/>
            <w:vAlign w:val="center"/>
          </w:tcPr>
          <w:p w:rsidR="005C15FD" w:rsidRPr="00E3331A" w:rsidRDefault="005C15FD" w:rsidP="00D77378">
            <w:pPr>
              <w:pStyle w:val="Tablecontents"/>
            </w:pPr>
            <w:r w:rsidRPr="00E3331A">
              <w:lastRenderedPageBreak/>
              <w:t>Number of administrations</w:t>
            </w:r>
          </w:p>
        </w:tc>
        <w:tc>
          <w:tcPr>
            <w:tcW w:w="1470" w:type="pct"/>
            <w:shd w:val="clear" w:color="auto" w:fill="auto"/>
            <w:vAlign w:val="center"/>
          </w:tcPr>
          <w:p w:rsidR="005C15FD" w:rsidRPr="00E3331A" w:rsidRDefault="005C15FD" w:rsidP="00D77378">
            <w:pPr>
              <w:pStyle w:val="Tablecontents"/>
              <w:rPr>
                <w:rFonts w:eastAsia="Lucida Sans" w:cs="Lucida Sans"/>
              </w:rPr>
            </w:pPr>
            <w:r w:rsidRPr="00E3331A">
              <w:rPr>
                <w:rFonts w:eastAsia="Lucida Sans" w:cs="Lucida Sans"/>
              </w:rPr>
              <w:t>96 per year</w:t>
            </w:r>
          </w:p>
        </w:tc>
        <w:tc>
          <w:tcPr>
            <w:tcW w:w="1668" w:type="pct"/>
            <w:shd w:val="clear" w:color="auto" w:fill="auto"/>
            <w:vAlign w:val="center"/>
          </w:tcPr>
          <w:p w:rsidR="005C15FD" w:rsidRPr="00E3331A" w:rsidRDefault="005C15FD" w:rsidP="00D77378">
            <w:pPr>
              <w:pStyle w:val="Tablecontents"/>
              <w:rPr>
                <w:rFonts w:eastAsia="Lucida Sans" w:cs="Lucida Sans"/>
              </w:rPr>
            </w:pPr>
            <w:r w:rsidRPr="00E3331A">
              <w:rPr>
                <w:rFonts w:eastAsia="Lucida Sans" w:cs="Lucida Sans"/>
              </w:rPr>
              <w:t>24 per year</w:t>
            </w:r>
          </w:p>
        </w:tc>
      </w:tr>
      <w:tr w:rsidR="005C15FD" w:rsidRPr="00E3331A" w:rsidTr="00FF1422">
        <w:trPr>
          <w:trHeight w:val="227"/>
        </w:trPr>
        <w:tc>
          <w:tcPr>
            <w:tcW w:w="1862" w:type="pct"/>
            <w:shd w:val="clear" w:color="auto" w:fill="auto"/>
            <w:vAlign w:val="center"/>
          </w:tcPr>
          <w:p w:rsidR="005C15FD" w:rsidRPr="00E3331A" w:rsidRDefault="005C15FD" w:rsidP="00D77378">
            <w:pPr>
              <w:pStyle w:val="Tablecontents"/>
            </w:pPr>
            <w:r w:rsidRPr="00E3331A">
              <w:t>Neurologist time</w:t>
            </w:r>
          </w:p>
        </w:tc>
        <w:tc>
          <w:tcPr>
            <w:tcW w:w="1470" w:type="pct"/>
            <w:shd w:val="clear" w:color="auto" w:fill="auto"/>
            <w:vAlign w:val="center"/>
          </w:tcPr>
          <w:p w:rsidR="005C15FD" w:rsidRPr="00E3331A" w:rsidRDefault="005C15FD" w:rsidP="00D77378">
            <w:pPr>
              <w:pStyle w:val="Tablecontents"/>
              <w:rPr>
                <w:rFonts w:eastAsia="Lucida Sans" w:cs="Lucida Sans"/>
              </w:rPr>
            </w:pPr>
          </w:p>
        </w:tc>
        <w:tc>
          <w:tcPr>
            <w:tcW w:w="1668" w:type="pct"/>
            <w:shd w:val="clear" w:color="auto" w:fill="auto"/>
            <w:vAlign w:val="center"/>
          </w:tcPr>
          <w:p w:rsidR="005C15FD" w:rsidRPr="00E3331A" w:rsidRDefault="005C15FD" w:rsidP="00D77378">
            <w:pPr>
              <w:pStyle w:val="Tablecontents"/>
              <w:rPr>
                <w:rFonts w:eastAsia="Lucida Sans" w:cs="Lucida Sans"/>
              </w:rPr>
            </w:pPr>
            <w:r w:rsidRPr="00E3331A">
              <w:rPr>
                <w:rFonts w:eastAsia="Lucida Sans" w:cs="Lucida Sans"/>
              </w:rPr>
              <w:t>0.50 h per administration</w:t>
            </w:r>
          </w:p>
        </w:tc>
      </w:tr>
      <w:tr w:rsidR="005C15FD" w:rsidRPr="00E3331A" w:rsidTr="00FF1422">
        <w:trPr>
          <w:trHeight w:val="227"/>
        </w:trPr>
        <w:tc>
          <w:tcPr>
            <w:tcW w:w="1862" w:type="pct"/>
            <w:shd w:val="clear" w:color="auto" w:fill="auto"/>
            <w:vAlign w:val="center"/>
          </w:tcPr>
          <w:p w:rsidR="005C15FD" w:rsidRPr="00E3331A" w:rsidRDefault="005C15FD" w:rsidP="00D77378">
            <w:pPr>
              <w:pStyle w:val="Tablecontents"/>
            </w:pPr>
            <w:r w:rsidRPr="00E3331A">
              <w:t>Nurse time</w:t>
            </w:r>
          </w:p>
        </w:tc>
        <w:tc>
          <w:tcPr>
            <w:tcW w:w="1470" w:type="pct"/>
            <w:shd w:val="clear" w:color="auto" w:fill="auto"/>
            <w:vAlign w:val="center"/>
          </w:tcPr>
          <w:p w:rsidR="005C15FD" w:rsidRPr="00E3331A" w:rsidRDefault="005C15FD" w:rsidP="00D77378">
            <w:pPr>
              <w:pStyle w:val="Tablecontents"/>
              <w:rPr>
                <w:rFonts w:eastAsia="Lucida Sans" w:cs="Lucida Sans"/>
              </w:rPr>
            </w:pPr>
          </w:p>
        </w:tc>
        <w:tc>
          <w:tcPr>
            <w:tcW w:w="1668" w:type="pct"/>
            <w:shd w:val="clear" w:color="auto" w:fill="auto"/>
            <w:vAlign w:val="center"/>
          </w:tcPr>
          <w:p w:rsidR="005C15FD" w:rsidRPr="00E3331A" w:rsidRDefault="005C15FD" w:rsidP="00D77378">
            <w:pPr>
              <w:pStyle w:val="Tablecontents"/>
              <w:rPr>
                <w:rFonts w:eastAsia="Lucida Sans" w:cs="Lucida Sans"/>
              </w:rPr>
            </w:pPr>
            <w:r w:rsidRPr="00E3331A">
              <w:rPr>
                <w:rFonts w:eastAsia="Lucida Sans" w:cs="Lucida Sans"/>
              </w:rPr>
              <w:t>1 h per administration</w:t>
            </w:r>
          </w:p>
        </w:tc>
      </w:tr>
      <w:tr w:rsidR="005C15FD" w:rsidRPr="00E3331A" w:rsidTr="00FF1422">
        <w:trPr>
          <w:trHeight w:val="227"/>
        </w:trPr>
        <w:tc>
          <w:tcPr>
            <w:tcW w:w="1862" w:type="pct"/>
            <w:shd w:val="clear" w:color="auto" w:fill="auto"/>
            <w:vAlign w:val="center"/>
          </w:tcPr>
          <w:p w:rsidR="005C15FD" w:rsidRPr="00E3331A" w:rsidRDefault="005C15FD" w:rsidP="00D77378">
            <w:pPr>
              <w:pStyle w:val="Tablecontents"/>
            </w:pPr>
            <w:r w:rsidRPr="00E3331A">
              <w:t>Self-infusion pump</w:t>
            </w:r>
          </w:p>
        </w:tc>
        <w:tc>
          <w:tcPr>
            <w:tcW w:w="1470" w:type="pct"/>
            <w:shd w:val="clear" w:color="auto" w:fill="auto"/>
            <w:vAlign w:val="center"/>
          </w:tcPr>
          <w:p w:rsidR="005C15FD" w:rsidRPr="00E3331A" w:rsidRDefault="005C15FD" w:rsidP="00D77378">
            <w:pPr>
              <w:pStyle w:val="Tablecontents"/>
              <w:rPr>
                <w:rFonts w:eastAsia="Lucida Sans" w:cs="Lucida Sans"/>
              </w:rPr>
            </w:pPr>
            <w:r w:rsidRPr="00E3331A">
              <w:rPr>
                <w:rFonts w:eastAsia="Lucida Sans" w:cs="Lucida Sans"/>
              </w:rPr>
              <w:t>1 self-infusion pump 50 ml</w:t>
            </w:r>
          </w:p>
        </w:tc>
        <w:tc>
          <w:tcPr>
            <w:tcW w:w="1668" w:type="pct"/>
            <w:shd w:val="clear" w:color="auto" w:fill="auto"/>
            <w:vAlign w:val="center"/>
          </w:tcPr>
          <w:p w:rsidR="005C15FD" w:rsidRPr="00E3331A" w:rsidRDefault="005C15FD" w:rsidP="00D77378">
            <w:pPr>
              <w:pStyle w:val="Tablecontents"/>
              <w:rPr>
                <w:rFonts w:eastAsia="Lucida Sans" w:cs="Lucida Sans"/>
              </w:rPr>
            </w:pPr>
          </w:p>
        </w:tc>
      </w:tr>
      <w:tr w:rsidR="005C15FD" w:rsidRPr="00E3331A" w:rsidTr="00FF1422">
        <w:trPr>
          <w:trHeight w:val="227"/>
        </w:trPr>
        <w:tc>
          <w:tcPr>
            <w:tcW w:w="1862" w:type="pct"/>
            <w:shd w:val="clear" w:color="auto" w:fill="auto"/>
            <w:vAlign w:val="center"/>
          </w:tcPr>
          <w:p w:rsidR="005C15FD" w:rsidRPr="00E3331A" w:rsidRDefault="005C15FD" w:rsidP="00D77378">
            <w:pPr>
              <w:pStyle w:val="Tablecontents"/>
            </w:pPr>
            <w:r w:rsidRPr="00E3331A">
              <w:t>Disposables</w:t>
            </w:r>
          </w:p>
        </w:tc>
        <w:tc>
          <w:tcPr>
            <w:tcW w:w="1470" w:type="pct"/>
            <w:shd w:val="clear" w:color="auto" w:fill="auto"/>
            <w:vAlign w:val="center"/>
          </w:tcPr>
          <w:p w:rsidR="005C15FD" w:rsidRPr="00E3331A" w:rsidRDefault="005C15FD" w:rsidP="00D77378">
            <w:pPr>
              <w:pStyle w:val="Tablecontents"/>
              <w:rPr>
                <w:rFonts w:eastAsia="Lucida Sans" w:cs="Lucida Sans"/>
              </w:rPr>
            </w:pPr>
            <w:r w:rsidRPr="00E3331A">
              <w:rPr>
                <w:rFonts w:eastAsia="Lucida Sans" w:cs="Lucida Sans"/>
              </w:rPr>
              <w:t>1 50 ml syringe</w:t>
            </w:r>
          </w:p>
          <w:p w:rsidR="005C15FD" w:rsidRPr="00E3331A" w:rsidRDefault="005C15FD" w:rsidP="00D77378">
            <w:pPr>
              <w:pStyle w:val="Tablecontents"/>
              <w:rPr>
                <w:rFonts w:eastAsia="Lucida Sans" w:cs="Lucida Sans"/>
              </w:rPr>
            </w:pPr>
            <w:r w:rsidRPr="00E3331A">
              <w:rPr>
                <w:rFonts w:eastAsia="Lucida Sans" w:cs="Lucida Sans"/>
              </w:rPr>
              <w:t>1 multi subcutaneous drug</w:t>
            </w:r>
          </w:p>
          <w:p w:rsidR="005C15FD" w:rsidRPr="00E3331A" w:rsidRDefault="005C15FD" w:rsidP="00D77378">
            <w:pPr>
              <w:pStyle w:val="Tablecontents"/>
              <w:rPr>
                <w:rFonts w:eastAsia="Lucida Sans" w:cs="Lucida Sans"/>
              </w:rPr>
            </w:pPr>
            <w:r w:rsidRPr="00E3331A">
              <w:rPr>
                <w:rFonts w:eastAsia="Lucida Sans" w:cs="Lucida Sans"/>
              </w:rPr>
              <w:t>delivery device</w:t>
            </w:r>
          </w:p>
        </w:tc>
        <w:tc>
          <w:tcPr>
            <w:tcW w:w="1668" w:type="pct"/>
            <w:shd w:val="clear" w:color="auto" w:fill="auto"/>
            <w:vAlign w:val="center"/>
          </w:tcPr>
          <w:p w:rsidR="005C15FD" w:rsidRPr="00E3331A" w:rsidRDefault="005C15FD" w:rsidP="00D77378">
            <w:pPr>
              <w:pStyle w:val="Tablecontents"/>
              <w:rPr>
                <w:rFonts w:eastAsia="Lucida Sans" w:cs="Lucida Sans"/>
              </w:rPr>
            </w:pPr>
            <w:r w:rsidRPr="00E3331A">
              <w:rPr>
                <w:rFonts w:eastAsia="Lucida Sans" w:cs="Lucida Sans"/>
              </w:rPr>
              <w:t>1 needle</w:t>
            </w:r>
          </w:p>
          <w:p w:rsidR="005C15FD" w:rsidRPr="00E3331A" w:rsidRDefault="005C15FD" w:rsidP="00D77378">
            <w:pPr>
              <w:pStyle w:val="Tablecontents"/>
              <w:rPr>
                <w:rFonts w:eastAsia="Lucida Sans" w:cs="Lucida Sans"/>
              </w:rPr>
            </w:pPr>
            <w:r w:rsidRPr="00E3331A">
              <w:rPr>
                <w:rFonts w:eastAsia="Lucida Sans" w:cs="Lucida Sans"/>
              </w:rPr>
              <w:t>1 tubing</w:t>
            </w:r>
          </w:p>
        </w:tc>
      </w:tr>
      <w:tr w:rsidR="007C55CB" w:rsidRPr="00E3331A" w:rsidTr="007C55CB">
        <w:trPr>
          <w:trHeight w:val="227"/>
        </w:trPr>
        <w:tc>
          <w:tcPr>
            <w:tcW w:w="5000" w:type="pct"/>
            <w:gridSpan w:val="3"/>
            <w:shd w:val="clear" w:color="auto" w:fill="auto"/>
            <w:vAlign w:val="center"/>
          </w:tcPr>
          <w:p w:rsidR="007C55CB" w:rsidRPr="00E3331A" w:rsidRDefault="007C55CB" w:rsidP="00D77378">
            <w:pPr>
              <w:pStyle w:val="Tablecontents"/>
              <w:rPr>
                <w:rFonts w:eastAsia="Lucida Sans" w:cs="Lucida Sans"/>
              </w:rPr>
            </w:pPr>
            <w:r w:rsidRPr="00E3331A">
              <w:rPr>
                <w:b/>
              </w:rPr>
              <w:t>Follow-up</w:t>
            </w:r>
          </w:p>
        </w:tc>
      </w:tr>
      <w:tr w:rsidR="005C15FD" w:rsidRPr="00E3331A" w:rsidTr="00FF1422">
        <w:trPr>
          <w:trHeight w:val="227"/>
        </w:trPr>
        <w:tc>
          <w:tcPr>
            <w:tcW w:w="1862" w:type="pct"/>
            <w:shd w:val="clear" w:color="auto" w:fill="auto"/>
            <w:vAlign w:val="center"/>
          </w:tcPr>
          <w:p w:rsidR="005C15FD" w:rsidRPr="00E3331A" w:rsidRDefault="005C15FD" w:rsidP="00D77378">
            <w:pPr>
              <w:pStyle w:val="Tablecontents"/>
            </w:pPr>
            <w:r w:rsidRPr="00E3331A">
              <w:t>Neurologist time</w:t>
            </w:r>
          </w:p>
        </w:tc>
        <w:tc>
          <w:tcPr>
            <w:tcW w:w="1470" w:type="pct"/>
            <w:shd w:val="clear" w:color="auto" w:fill="auto"/>
            <w:vAlign w:val="center"/>
          </w:tcPr>
          <w:p w:rsidR="005C15FD" w:rsidRPr="00E3331A" w:rsidRDefault="005C15FD" w:rsidP="00D77378">
            <w:pPr>
              <w:pStyle w:val="Tablecontents"/>
              <w:rPr>
                <w:rFonts w:eastAsia="Lucida Sans" w:cs="Lucida Sans"/>
              </w:rPr>
            </w:pPr>
            <w:r w:rsidRPr="00E3331A">
              <w:rPr>
                <w:rFonts w:eastAsia="Lucida Sans" w:cs="Lucida Sans"/>
              </w:rPr>
              <w:t>2 visits per year, 0.50 h each</w:t>
            </w:r>
          </w:p>
        </w:tc>
        <w:tc>
          <w:tcPr>
            <w:tcW w:w="1668" w:type="pct"/>
            <w:shd w:val="clear" w:color="auto" w:fill="auto"/>
            <w:vAlign w:val="center"/>
          </w:tcPr>
          <w:p w:rsidR="005C15FD" w:rsidRPr="00E3331A" w:rsidRDefault="005C15FD" w:rsidP="00D77378">
            <w:pPr>
              <w:pStyle w:val="Tablecontents"/>
              <w:rPr>
                <w:rFonts w:eastAsia="Lucida Sans" w:cs="Lucida Sans"/>
              </w:rPr>
            </w:pPr>
            <w:r w:rsidRPr="00E3331A">
              <w:rPr>
                <w:rFonts w:eastAsia="Lucida Sans" w:cs="Lucida Sans"/>
              </w:rPr>
              <w:t>2 visits per year, 0.50 h each</w:t>
            </w:r>
          </w:p>
        </w:tc>
      </w:tr>
      <w:tr w:rsidR="005C15FD" w:rsidRPr="00E3331A" w:rsidTr="00FF1422">
        <w:trPr>
          <w:trHeight w:val="227"/>
        </w:trPr>
        <w:tc>
          <w:tcPr>
            <w:tcW w:w="1862" w:type="pct"/>
            <w:shd w:val="clear" w:color="auto" w:fill="auto"/>
            <w:vAlign w:val="center"/>
          </w:tcPr>
          <w:p w:rsidR="005C15FD" w:rsidRPr="00E3331A" w:rsidRDefault="005C15FD" w:rsidP="00D77378">
            <w:pPr>
              <w:pStyle w:val="Tablecontents"/>
            </w:pPr>
            <w:r w:rsidRPr="00E3331A">
              <w:t>Electromyography (12 single nerves)</w:t>
            </w:r>
          </w:p>
        </w:tc>
        <w:tc>
          <w:tcPr>
            <w:tcW w:w="1470" w:type="pct"/>
            <w:shd w:val="clear" w:color="auto" w:fill="auto"/>
            <w:vAlign w:val="center"/>
          </w:tcPr>
          <w:p w:rsidR="005C15FD" w:rsidRPr="00E3331A" w:rsidRDefault="005C15FD" w:rsidP="00D77378">
            <w:pPr>
              <w:pStyle w:val="Tablecontents"/>
              <w:rPr>
                <w:rFonts w:eastAsia="Lucida Sans" w:cs="Lucida Sans"/>
              </w:rPr>
            </w:pPr>
            <w:r w:rsidRPr="00E3331A">
              <w:rPr>
                <w:rFonts w:eastAsia="Lucida Sans" w:cs="Lucida Sans"/>
              </w:rPr>
              <w:t>1 per year</w:t>
            </w:r>
          </w:p>
        </w:tc>
        <w:tc>
          <w:tcPr>
            <w:tcW w:w="1668" w:type="pct"/>
            <w:shd w:val="clear" w:color="auto" w:fill="auto"/>
            <w:vAlign w:val="center"/>
          </w:tcPr>
          <w:p w:rsidR="005C15FD" w:rsidRPr="00E3331A" w:rsidRDefault="005C15FD" w:rsidP="00D77378">
            <w:pPr>
              <w:pStyle w:val="Tablecontents"/>
              <w:rPr>
                <w:rFonts w:eastAsia="Lucida Sans" w:cs="Lucida Sans"/>
              </w:rPr>
            </w:pPr>
            <w:r w:rsidRPr="00E3331A">
              <w:rPr>
                <w:rFonts w:eastAsia="Lucida Sans" w:cs="Lucida Sans"/>
              </w:rPr>
              <w:t>1 per year</w:t>
            </w:r>
          </w:p>
        </w:tc>
      </w:tr>
      <w:tr w:rsidR="007C55CB" w:rsidRPr="00E3331A" w:rsidTr="007C55CB">
        <w:trPr>
          <w:trHeight w:val="227"/>
        </w:trPr>
        <w:tc>
          <w:tcPr>
            <w:tcW w:w="5000" w:type="pct"/>
            <w:gridSpan w:val="3"/>
            <w:shd w:val="clear" w:color="auto" w:fill="auto"/>
            <w:vAlign w:val="center"/>
          </w:tcPr>
          <w:p w:rsidR="007C55CB" w:rsidRPr="00E3331A" w:rsidRDefault="007C55CB" w:rsidP="00D77378">
            <w:pPr>
              <w:pStyle w:val="Tablecontents"/>
              <w:rPr>
                <w:rFonts w:eastAsia="Lucida Sans" w:cs="Lucida Sans"/>
              </w:rPr>
            </w:pPr>
            <w:r w:rsidRPr="00E3331A">
              <w:rPr>
                <w:b/>
              </w:rPr>
              <w:t>Complication</w:t>
            </w:r>
          </w:p>
        </w:tc>
      </w:tr>
      <w:tr w:rsidR="005C15FD" w:rsidRPr="00E3331A" w:rsidTr="00FF1422">
        <w:trPr>
          <w:trHeight w:val="227"/>
        </w:trPr>
        <w:tc>
          <w:tcPr>
            <w:tcW w:w="1862" w:type="pct"/>
            <w:shd w:val="clear" w:color="auto" w:fill="auto"/>
            <w:vAlign w:val="center"/>
          </w:tcPr>
          <w:p w:rsidR="005C15FD" w:rsidRPr="00E3331A" w:rsidRDefault="005C15FD" w:rsidP="00D77378">
            <w:pPr>
              <w:pStyle w:val="Tablecontents"/>
            </w:pPr>
            <w:r w:rsidRPr="00E3331A">
              <w:t>Neurologist time for rash; headache; hypertension</w:t>
            </w:r>
          </w:p>
        </w:tc>
        <w:tc>
          <w:tcPr>
            <w:tcW w:w="1470" w:type="pct"/>
            <w:shd w:val="clear" w:color="auto" w:fill="auto"/>
            <w:vAlign w:val="center"/>
          </w:tcPr>
          <w:p w:rsidR="005C15FD" w:rsidRPr="00E3331A" w:rsidRDefault="005C15FD" w:rsidP="00D77378">
            <w:pPr>
              <w:pStyle w:val="Tablecontents"/>
              <w:rPr>
                <w:rFonts w:eastAsia="Lucida Sans" w:cs="Lucida Sans"/>
              </w:rPr>
            </w:pPr>
          </w:p>
        </w:tc>
        <w:tc>
          <w:tcPr>
            <w:tcW w:w="1668" w:type="pct"/>
            <w:shd w:val="clear" w:color="auto" w:fill="auto"/>
            <w:vAlign w:val="center"/>
          </w:tcPr>
          <w:p w:rsidR="005C15FD" w:rsidRPr="00E3331A" w:rsidRDefault="005C15FD" w:rsidP="009C5544">
            <w:pPr>
              <w:pStyle w:val="Tablecontents"/>
              <w:rPr>
                <w:rFonts w:eastAsia="Lucida Sans" w:cs="Lucida Sans"/>
              </w:rPr>
            </w:pPr>
            <w:r w:rsidRPr="00E3331A">
              <w:rPr>
                <w:rFonts w:eastAsia="Lucida Sans" w:cs="Lucida Sans"/>
              </w:rPr>
              <w:t xml:space="preserve">0.50 h </w:t>
            </w:r>
          </w:p>
        </w:tc>
      </w:tr>
      <w:tr w:rsidR="005C15FD" w:rsidRPr="00E3331A" w:rsidTr="00FF1422">
        <w:trPr>
          <w:trHeight w:val="227"/>
        </w:trPr>
        <w:tc>
          <w:tcPr>
            <w:tcW w:w="1862" w:type="pct"/>
            <w:shd w:val="clear" w:color="auto" w:fill="auto"/>
            <w:vAlign w:val="center"/>
          </w:tcPr>
          <w:p w:rsidR="005C15FD" w:rsidRPr="00E3331A" w:rsidRDefault="005C15FD" w:rsidP="00D77378">
            <w:pPr>
              <w:pStyle w:val="Tablecontents"/>
            </w:pPr>
            <w:r w:rsidRPr="00E3331A">
              <w:t>Other specialist time for rash; headache; hypertension</w:t>
            </w:r>
          </w:p>
        </w:tc>
        <w:tc>
          <w:tcPr>
            <w:tcW w:w="1470" w:type="pct"/>
            <w:shd w:val="clear" w:color="auto" w:fill="auto"/>
            <w:vAlign w:val="center"/>
          </w:tcPr>
          <w:p w:rsidR="005C15FD" w:rsidRPr="00E3331A" w:rsidRDefault="005C15FD" w:rsidP="00D77378">
            <w:pPr>
              <w:pStyle w:val="Tablecontents"/>
              <w:rPr>
                <w:rFonts w:eastAsia="Lucida Sans" w:cs="Lucida Sans"/>
              </w:rPr>
            </w:pPr>
          </w:p>
        </w:tc>
        <w:tc>
          <w:tcPr>
            <w:tcW w:w="1668" w:type="pct"/>
            <w:shd w:val="clear" w:color="auto" w:fill="auto"/>
            <w:vAlign w:val="center"/>
          </w:tcPr>
          <w:p w:rsidR="005C15FD" w:rsidRPr="00E3331A" w:rsidRDefault="005C15FD" w:rsidP="009C5544">
            <w:pPr>
              <w:pStyle w:val="Tablecontents"/>
              <w:rPr>
                <w:rFonts w:eastAsia="Lucida Sans" w:cs="Lucida Sans"/>
              </w:rPr>
            </w:pPr>
            <w:r w:rsidRPr="00E3331A">
              <w:rPr>
                <w:rFonts w:eastAsia="Lucida Sans" w:cs="Lucida Sans"/>
              </w:rPr>
              <w:t xml:space="preserve">0.025 h </w:t>
            </w:r>
          </w:p>
        </w:tc>
      </w:tr>
      <w:tr w:rsidR="005C15FD" w:rsidRPr="00E3331A" w:rsidTr="00FF1422">
        <w:trPr>
          <w:trHeight w:val="227"/>
        </w:trPr>
        <w:tc>
          <w:tcPr>
            <w:tcW w:w="1862" w:type="pct"/>
            <w:shd w:val="clear" w:color="auto" w:fill="auto"/>
            <w:vAlign w:val="center"/>
          </w:tcPr>
          <w:p w:rsidR="005C15FD" w:rsidRPr="00E3331A" w:rsidRDefault="005C15FD" w:rsidP="00D77378">
            <w:pPr>
              <w:pStyle w:val="Tablecontents"/>
            </w:pPr>
            <w:r w:rsidRPr="00E3331A">
              <w:t>Nurse time</w:t>
            </w:r>
          </w:p>
        </w:tc>
        <w:tc>
          <w:tcPr>
            <w:tcW w:w="1470" w:type="pct"/>
            <w:shd w:val="clear" w:color="auto" w:fill="auto"/>
            <w:vAlign w:val="center"/>
          </w:tcPr>
          <w:p w:rsidR="005C15FD" w:rsidRPr="00E3331A" w:rsidRDefault="005C15FD" w:rsidP="00D77378">
            <w:pPr>
              <w:pStyle w:val="Tablecontents"/>
              <w:rPr>
                <w:rFonts w:eastAsia="Lucida Sans" w:cs="Lucida Sans"/>
              </w:rPr>
            </w:pPr>
          </w:p>
        </w:tc>
        <w:tc>
          <w:tcPr>
            <w:tcW w:w="1668" w:type="pct"/>
            <w:shd w:val="clear" w:color="auto" w:fill="auto"/>
            <w:vAlign w:val="center"/>
          </w:tcPr>
          <w:p w:rsidR="005C15FD" w:rsidRPr="00E3331A" w:rsidRDefault="005C15FD" w:rsidP="00D77378">
            <w:pPr>
              <w:pStyle w:val="Tablecontents"/>
              <w:rPr>
                <w:rFonts w:eastAsia="Lucida Sans" w:cs="Lucida Sans"/>
              </w:rPr>
            </w:pPr>
            <w:r w:rsidRPr="00E3331A">
              <w:rPr>
                <w:rFonts w:eastAsia="Lucida Sans" w:cs="Lucida Sans"/>
              </w:rPr>
              <w:t xml:space="preserve">0.33 h for rash; headache; hypertension </w:t>
            </w:r>
          </w:p>
        </w:tc>
      </w:tr>
      <w:tr w:rsidR="005C15FD" w:rsidRPr="00E3331A" w:rsidTr="00FF1422">
        <w:trPr>
          <w:trHeight w:val="227"/>
        </w:trPr>
        <w:tc>
          <w:tcPr>
            <w:tcW w:w="1862" w:type="pct"/>
            <w:shd w:val="clear" w:color="auto" w:fill="auto"/>
            <w:vAlign w:val="center"/>
          </w:tcPr>
          <w:p w:rsidR="005C15FD" w:rsidRPr="00E3331A" w:rsidRDefault="005C15FD" w:rsidP="00D77378">
            <w:pPr>
              <w:pStyle w:val="Tablecontents"/>
            </w:pPr>
            <w:r w:rsidRPr="00E3331A">
              <w:t>Drug for rash</w:t>
            </w:r>
          </w:p>
        </w:tc>
        <w:tc>
          <w:tcPr>
            <w:tcW w:w="1470" w:type="pct"/>
            <w:shd w:val="clear" w:color="auto" w:fill="auto"/>
            <w:vAlign w:val="center"/>
          </w:tcPr>
          <w:p w:rsidR="005C15FD" w:rsidRPr="00E3331A" w:rsidRDefault="005C15FD" w:rsidP="00D77378">
            <w:pPr>
              <w:pStyle w:val="Tablecontents"/>
              <w:rPr>
                <w:rFonts w:eastAsia="Lucida Sans" w:cs="Lucida Sans"/>
              </w:rPr>
            </w:pPr>
          </w:p>
        </w:tc>
        <w:tc>
          <w:tcPr>
            <w:tcW w:w="1668" w:type="pct"/>
            <w:shd w:val="clear" w:color="auto" w:fill="auto"/>
            <w:vAlign w:val="center"/>
          </w:tcPr>
          <w:p w:rsidR="005C15FD" w:rsidRPr="00E3331A" w:rsidRDefault="005C15FD" w:rsidP="00CB4BB6">
            <w:pPr>
              <w:pStyle w:val="Tablecontents"/>
              <w:rPr>
                <w:rFonts w:eastAsia="Lucida Sans" w:cs="Lucida Sans"/>
              </w:rPr>
            </w:pPr>
            <w:r w:rsidRPr="00E3331A">
              <w:rPr>
                <w:rFonts w:eastAsia="Lucida Sans" w:cs="Lucida Sans"/>
              </w:rPr>
              <w:t>Antihistamine (10mg per os for 1 day corticosteroid (4mg IV for 1 day)</w:t>
            </w:r>
            <w:r w:rsidR="001B576E">
              <w:rPr>
                <w:rFonts w:eastAsia="Lucida Sans" w:cs="Lucida Sans"/>
              </w:rPr>
              <w:t>)</w:t>
            </w:r>
          </w:p>
        </w:tc>
      </w:tr>
      <w:tr w:rsidR="005C15FD" w:rsidRPr="00E3331A" w:rsidTr="00FF1422">
        <w:trPr>
          <w:trHeight w:val="227"/>
        </w:trPr>
        <w:tc>
          <w:tcPr>
            <w:tcW w:w="1862" w:type="pct"/>
            <w:shd w:val="clear" w:color="auto" w:fill="auto"/>
            <w:vAlign w:val="center"/>
          </w:tcPr>
          <w:p w:rsidR="005C15FD" w:rsidRPr="00E3331A" w:rsidRDefault="005C15FD" w:rsidP="00D77378">
            <w:pPr>
              <w:pStyle w:val="Tablecontents"/>
            </w:pPr>
            <w:r w:rsidRPr="00E3331A">
              <w:t>Drug for headache</w:t>
            </w:r>
          </w:p>
        </w:tc>
        <w:tc>
          <w:tcPr>
            <w:tcW w:w="1470" w:type="pct"/>
            <w:shd w:val="clear" w:color="auto" w:fill="auto"/>
            <w:vAlign w:val="center"/>
          </w:tcPr>
          <w:p w:rsidR="005C15FD" w:rsidRPr="00E3331A" w:rsidRDefault="005C15FD" w:rsidP="00D77378">
            <w:pPr>
              <w:pStyle w:val="Tablecontents"/>
              <w:rPr>
                <w:rFonts w:eastAsia="Lucida Sans" w:cs="Lucida Sans"/>
              </w:rPr>
            </w:pPr>
          </w:p>
        </w:tc>
        <w:tc>
          <w:tcPr>
            <w:tcW w:w="1668" w:type="pct"/>
            <w:shd w:val="clear" w:color="auto" w:fill="auto"/>
            <w:vAlign w:val="center"/>
          </w:tcPr>
          <w:p w:rsidR="005C15FD" w:rsidRPr="00E3331A" w:rsidRDefault="005C15FD" w:rsidP="00D77378">
            <w:pPr>
              <w:pStyle w:val="Tablecontents"/>
              <w:rPr>
                <w:rFonts w:eastAsia="Lucida Sans" w:cs="Lucida Sans"/>
              </w:rPr>
            </w:pPr>
            <w:r w:rsidRPr="00E3331A">
              <w:rPr>
                <w:rFonts w:eastAsia="Lucida Sans" w:cs="Lucida Sans"/>
              </w:rPr>
              <w:t>Paracetamol (2g suppositories per diem for 2.5 days)</w:t>
            </w:r>
          </w:p>
        </w:tc>
      </w:tr>
      <w:tr w:rsidR="005C15FD" w:rsidRPr="00E3331A" w:rsidTr="00FF1422">
        <w:trPr>
          <w:trHeight w:val="227"/>
        </w:trPr>
        <w:tc>
          <w:tcPr>
            <w:tcW w:w="1862" w:type="pct"/>
            <w:shd w:val="clear" w:color="auto" w:fill="auto"/>
            <w:vAlign w:val="center"/>
          </w:tcPr>
          <w:p w:rsidR="005C15FD" w:rsidRPr="00E3331A" w:rsidRDefault="005C15FD" w:rsidP="00D77378">
            <w:pPr>
              <w:pStyle w:val="Tablecontents"/>
            </w:pPr>
            <w:r w:rsidRPr="00E3331A">
              <w:t>Drug for hypertension</w:t>
            </w:r>
          </w:p>
        </w:tc>
        <w:tc>
          <w:tcPr>
            <w:tcW w:w="1470" w:type="pct"/>
            <w:shd w:val="clear" w:color="auto" w:fill="auto"/>
            <w:vAlign w:val="center"/>
          </w:tcPr>
          <w:p w:rsidR="005C15FD" w:rsidRPr="00E3331A" w:rsidRDefault="005C15FD" w:rsidP="00D77378">
            <w:pPr>
              <w:pStyle w:val="Tablecontents"/>
              <w:rPr>
                <w:rFonts w:eastAsia="Lucida Sans" w:cs="Lucida Sans"/>
              </w:rPr>
            </w:pPr>
          </w:p>
        </w:tc>
        <w:tc>
          <w:tcPr>
            <w:tcW w:w="1668" w:type="pct"/>
            <w:shd w:val="clear" w:color="auto" w:fill="auto"/>
            <w:vAlign w:val="center"/>
          </w:tcPr>
          <w:p w:rsidR="005C15FD" w:rsidRPr="00E3331A" w:rsidRDefault="005C15FD" w:rsidP="00D77378">
            <w:pPr>
              <w:pStyle w:val="Tablecontents"/>
              <w:rPr>
                <w:rFonts w:eastAsia="Lucida Sans" w:cs="Lucida Sans"/>
              </w:rPr>
            </w:pPr>
            <w:r w:rsidRPr="00E3331A">
              <w:rPr>
                <w:rFonts w:eastAsia="Lucida Sans" w:cs="Lucida Sans"/>
              </w:rPr>
              <w:t>Amlodipine besylate (5mg per os for 1 day) furosemide (20mg for 1 day)</w:t>
            </w:r>
          </w:p>
        </w:tc>
      </w:tr>
    </w:tbl>
    <w:p w:rsidR="001F5B33" w:rsidRPr="00E3331A" w:rsidRDefault="001F5B33" w:rsidP="0037150F">
      <w:pPr>
        <w:pStyle w:val="Tablenotes1"/>
      </w:pPr>
      <w:r w:rsidRPr="00E3331A">
        <w:t xml:space="preserve">GP </w:t>
      </w:r>
      <w:r w:rsidR="00F2440E" w:rsidRPr="00E3331A">
        <w:t xml:space="preserve">= </w:t>
      </w:r>
      <w:r w:rsidRPr="00E3331A">
        <w:t xml:space="preserve">general practitioner, IVIG </w:t>
      </w:r>
      <w:r w:rsidR="00F2440E" w:rsidRPr="00E3331A">
        <w:t xml:space="preserve">= </w:t>
      </w:r>
      <w:r w:rsidRPr="00E3331A">
        <w:t>intravenous immunoglobulin, LHA</w:t>
      </w:r>
      <w:r w:rsidR="00F2440E" w:rsidRPr="00E3331A">
        <w:t xml:space="preserve"> =</w:t>
      </w:r>
      <w:r w:rsidRPr="00E3331A">
        <w:t xml:space="preserve"> Local Health Authority</w:t>
      </w:r>
      <w:r w:rsidR="00F2440E" w:rsidRPr="00E3331A">
        <w:t>,</w:t>
      </w:r>
      <w:r w:rsidRPr="00E3331A">
        <w:t xml:space="preserve"> SCIG</w:t>
      </w:r>
      <w:r w:rsidR="00F2440E" w:rsidRPr="00E3331A">
        <w:t xml:space="preserve"> =</w:t>
      </w:r>
      <w:r w:rsidRPr="00E3331A">
        <w:t xml:space="preserve"> subcutaneous immunoglobulin</w:t>
      </w:r>
    </w:p>
    <w:p w:rsidR="001F5B33" w:rsidRPr="00E3331A" w:rsidRDefault="001F5B33" w:rsidP="00B30C0B">
      <w:pPr>
        <w:pStyle w:val="Heading6"/>
      </w:pPr>
      <w:r w:rsidRPr="00E3331A">
        <w:t>Markvardsen and Harbo (2017)</w:t>
      </w:r>
    </w:p>
    <w:p w:rsidR="001F5B33" w:rsidRPr="00E3331A" w:rsidRDefault="001F5B33" w:rsidP="00BB6E4C">
      <w:pPr>
        <w:pStyle w:val="BodyTextSTD"/>
      </w:pPr>
      <w:r w:rsidRPr="00E3331A">
        <w:t>Th</w:t>
      </w:r>
      <w:r w:rsidR="00F2440E" w:rsidRPr="00E3331A">
        <w:t>is</w:t>
      </w:r>
      <w:r w:rsidRPr="00E3331A">
        <w:t xml:space="preserve"> review</w:t>
      </w:r>
      <w:r w:rsidR="00F2440E" w:rsidRPr="00E3331A">
        <w:t xml:space="preserve"> of</w:t>
      </w:r>
      <w:r w:rsidRPr="00E3331A">
        <w:t xml:space="preserve"> economic studies of SCIG treatment for CIDP and MMN</w:t>
      </w:r>
      <w:r w:rsidR="00F2440E" w:rsidRPr="00E3331A">
        <w:t>,</w:t>
      </w:r>
      <w:r w:rsidRPr="00E3331A">
        <w:t xml:space="preserve"> concluded </w:t>
      </w:r>
      <w:r w:rsidR="00F2440E" w:rsidRPr="00E3331A">
        <w:t xml:space="preserve">that </w:t>
      </w:r>
      <w:r w:rsidRPr="00E3331A">
        <w:t>cost-effectiveness of the SCIG regimen has been sparsely studied. The Italians studies mentioned earlier in this literature review</w:t>
      </w:r>
      <w:r w:rsidR="00F2440E" w:rsidRPr="00E3331A">
        <w:t xml:space="preserve"> were included. The 11</w:t>
      </w:r>
      <w:r w:rsidRPr="00E3331A">
        <w:t xml:space="preserve"> published studies </w:t>
      </w:r>
      <w:r w:rsidR="00F2440E" w:rsidRPr="00E3331A">
        <w:t>examin</w:t>
      </w:r>
      <w:r w:rsidRPr="00E3331A">
        <w:t>ed for clinical effectiveness data included 188 SCI</w:t>
      </w:r>
      <w:r w:rsidR="00F2440E" w:rsidRPr="00E3331A">
        <w:t>g-</w:t>
      </w:r>
      <w:r w:rsidRPr="00E3331A">
        <w:t>treated patients with CIDP</w:t>
      </w:r>
      <w:r w:rsidR="00F2440E" w:rsidRPr="00E3331A">
        <w:t>,</w:t>
      </w:r>
      <w:r w:rsidRPr="00E3331A">
        <w:t xml:space="preserve"> of whom 62 </w:t>
      </w:r>
      <w:r w:rsidR="00F2440E" w:rsidRPr="00E3331A">
        <w:t>we</w:t>
      </w:r>
      <w:r w:rsidRPr="00E3331A">
        <w:t>re represented more than once, resulting in 126 unique patients. The</w:t>
      </w:r>
      <w:r w:rsidR="00F2440E" w:rsidRPr="00E3331A">
        <w:t xml:space="preserve"> authors</w:t>
      </w:r>
      <w:r w:rsidRPr="00E3331A">
        <w:t xml:space="preserve"> concluded (ibid, p. 9)</w:t>
      </w:r>
      <w:r w:rsidR="00F2440E" w:rsidRPr="00E3331A">
        <w:t>:</w:t>
      </w:r>
      <w:r w:rsidRPr="00E3331A">
        <w:t xml:space="preserve"> “none of the studies have been powered to demonstrate an effect on disability. SCI</w:t>
      </w:r>
      <w:r w:rsidR="00F2440E" w:rsidRPr="00E3331A">
        <w:t>g</w:t>
      </w:r>
      <w:r w:rsidRPr="00E3331A">
        <w:t xml:space="preserve"> can maintain muscle strength for a period of 1 to 2 years and ability seems preserved for a similar period. Quality of life is generally unchanged or improved after switch to SCIG and generali</w:t>
      </w:r>
      <w:r w:rsidR="00591599" w:rsidRPr="00E3331A">
        <w:t>s</w:t>
      </w:r>
      <w:r w:rsidRPr="00E3331A">
        <w:t>ed side</w:t>
      </w:r>
      <w:r w:rsidR="00D45BCF" w:rsidRPr="00E3331A">
        <w:t xml:space="preserve"> </w:t>
      </w:r>
      <w:r w:rsidRPr="00E3331A">
        <w:t xml:space="preserve">effects seem fewer, whereas local reactions at the injection site occur [however] optimal SCIG dosage might be slightly higher than the one used for IVIG therapy”. They </w:t>
      </w:r>
      <w:r w:rsidR="00F2440E" w:rsidRPr="00E3331A">
        <w:t xml:space="preserve">also </w:t>
      </w:r>
      <w:r w:rsidRPr="00E3331A">
        <w:t xml:space="preserve">concluded </w:t>
      </w:r>
      <w:r w:rsidR="00F2440E" w:rsidRPr="00E3331A">
        <w:t xml:space="preserve">that </w:t>
      </w:r>
      <w:r w:rsidRPr="00E3331A">
        <w:t>studies and reports on side</w:t>
      </w:r>
      <w:r w:rsidR="00D45BCF" w:rsidRPr="00E3331A">
        <w:t xml:space="preserve"> </w:t>
      </w:r>
      <w:r w:rsidRPr="00E3331A">
        <w:t>effects after SCIG are few. Local reactions such as redness, itching and swelling at the injection site are common</w:t>
      </w:r>
      <w:r w:rsidR="00F2440E" w:rsidRPr="00E3331A">
        <w:t>,</w:t>
      </w:r>
      <w:r w:rsidRPr="00E3331A">
        <w:t xml:space="preserve"> whereas systemic side</w:t>
      </w:r>
      <w:r w:rsidR="00D45BCF" w:rsidRPr="00E3331A">
        <w:t xml:space="preserve"> </w:t>
      </w:r>
      <w:r w:rsidRPr="00E3331A">
        <w:t xml:space="preserve">effects are rare. </w:t>
      </w:r>
    </w:p>
    <w:p w:rsidR="001F5B33" w:rsidRPr="00E3331A" w:rsidRDefault="001F5B33" w:rsidP="00B30C0B">
      <w:pPr>
        <w:pStyle w:val="Heading6"/>
      </w:pPr>
      <w:r w:rsidRPr="00E3331A">
        <w:lastRenderedPageBreak/>
        <w:t>Hadden and Marreno (2015)</w:t>
      </w:r>
    </w:p>
    <w:p w:rsidR="001F5B33" w:rsidRPr="00E3331A" w:rsidRDefault="001F5B33" w:rsidP="00BB6E4C">
      <w:pPr>
        <w:pStyle w:val="BodyTextSTD"/>
      </w:pPr>
      <w:r w:rsidRPr="00E3331A">
        <w:t xml:space="preserve">The authors undertook a patient outcomes survey to assess clinical outcomes and satisfaction in </w:t>
      </w:r>
      <w:r w:rsidR="00CA24B6" w:rsidRPr="00E3331A">
        <w:t>CIDP or MMN</w:t>
      </w:r>
      <w:r w:rsidR="005C6F40" w:rsidRPr="00E3331A">
        <w:t xml:space="preserve"> </w:t>
      </w:r>
      <w:r w:rsidRPr="00E3331A">
        <w:t xml:space="preserve">patients </w:t>
      </w:r>
      <w:r w:rsidR="005C15FD" w:rsidRPr="00E3331A">
        <w:t>switching from IVIg to SCIg</w:t>
      </w:r>
      <w:r w:rsidRPr="00E3331A">
        <w:t>.</w:t>
      </w:r>
      <w:r w:rsidR="00345C95" w:rsidRPr="00E3331A">
        <w:t xml:space="preserve"> </w:t>
      </w:r>
      <w:r w:rsidRPr="00E3331A">
        <w:t xml:space="preserve">Most patients were satisfied with the SCIg formulation. They had good outcomes, including fewer </w:t>
      </w:r>
      <w:r w:rsidR="005C15FD" w:rsidRPr="00E3331A">
        <w:t>adverse event when compared to intravenous administration</w:t>
      </w:r>
      <w:r w:rsidRPr="00E3331A">
        <w:t>, increased therapy convenience and no wear-off effect. Most of the patients remained clinically stable on the same mean weekly dose of immunoglobulin when switched from IVI</w:t>
      </w:r>
      <w:r w:rsidR="001B576E">
        <w:t>g</w:t>
      </w:r>
      <w:r w:rsidRPr="00E3331A">
        <w:t xml:space="preserve"> to SCI</w:t>
      </w:r>
      <w:r w:rsidR="001B576E">
        <w:t>g</w:t>
      </w:r>
      <w:r w:rsidRPr="00E3331A">
        <w:t>. The authors (p. 18) concluded</w:t>
      </w:r>
      <w:r w:rsidR="00CA24B6" w:rsidRPr="00E3331A">
        <w:t>:</w:t>
      </w:r>
      <w:r w:rsidRPr="00E3331A">
        <w:t xml:space="preserve"> “the immunoglobulin cost per gram varies in different countries and different </w:t>
      </w:r>
      <w:r w:rsidR="00E810A5" w:rsidRPr="00E3331A">
        <w:t>hospitals but</w:t>
      </w:r>
      <w:r w:rsidRPr="00E3331A">
        <w:t xml:space="preserve"> is typically slightly more expensive for SCI</w:t>
      </w:r>
      <w:r w:rsidR="00CA24B6" w:rsidRPr="00E3331A">
        <w:t>g</w:t>
      </w:r>
      <w:r w:rsidRPr="00E3331A">
        <w:t xml:space="preserve"> than IVI</w:t>
      </w:r>
      <w:r w:rsidR="00CA24B6" w:rsidRPr="00E3331A">
        <w:t>g</w:t>
      </w:r>
      <w:r w:rsidRPr="00E3331A">
        <w:t>. SCI</w:t>
      </w:r>
      <w:r w:rsidR="00CA24B6" w:rsidRPr="00E3331A">
        <w:t>g</w:t>
      </w:r>
      <w:r w:rsidRPr="00E3331A">
        <w:t xml:space="preserve"> avoids the cost of admission to a hospital day unit with associated staff costs and the costs of the patient taking a day off </w:t>
      </w:r>
      <w:r w:rsidR="00E810A5" w:rsidRPr="00E3331A">
        <w:t>work but</w:t>
      </w:r>
      <w:r w:rsidRPr="00E3331A">
        <w:t xml:space="preserve"> requires the involvement of a home care company for equipment and delivery. Overall, the cost difference is </w:t>
      </w:r>
      <w:r w:rsidR="00E810A5" w:rsidRPr="00E3331A">
        <w:t>small,</w:t>
      </w:r>
      <w:r w:rsidRPr="00E3331A">
        <w:t xml:space="preserve"> and it is not clear which is cheaper.” </w:t>
      </w:r>
    </w:p>
    <w:p w:rsidR="001F5B33" w:rsidRPr="00E3331A" w:rsidRDefault="001F5B33" w:rsidP="00B30C0B">
      <w:pPr>
        <w:pStyle w:val="Heading6"/>
      </w:pPr>
      <w:r w:rsidRPr="00E3331A">
        <w:t xml:space="preserve">Le Masson </w:t>
      </w:r>
      <w:r w:rsidR="00983BA7">
        <w:t xml:space="preserve">et al. </w:t>
      </w:r>
      <w:r w:rsidRPr="00E3331A">
        <w:t>(2018)</w:t>
      </w:r>
    </w:p>
    <w:p w:rsidR="001F5B33" w:rsidRPr="00E3331A" w:rsidRDefault="001F5B33" w:rsidP="00BB6E4C">
      <w:pPr>
        <w:pStyle w:val="BodyTextSTD"/>
      </w:pPr>
      <w:r w:rsidRPr="00E3331A">
        <w:t xml:space="preserve">Le Masson </w:t>
      </w:r>
      <w:r w:rsidR="00983BA7">
        <w:t xml:space="preserve">et al. </w:t>
      </w:r>
      <w:r w:rsidRPr="00E3331A">
        <w:t>performed a cost-minimi</w:t>
      </w:r>
      <w:r w:rsidR="00591599" w:rsidRPr="00E3331A">
        <w:t>s</w:t>
      </w:r>
      <w:r w:rsidRPr="00E3331A">
        <w:t xml:space="preserve">ation analysis for home-based IVIg treatment </w:t>
      </w:r>
      <w:r w:rsidR="00CA24B6" w:rsidRPr="00E3331A">
        <w:t xml:space="preserve">for </w:t>
      </w:r>
      <w:r w:rsidRPr="00E3331A">
        <w:t xml:space="preserve">MMN and CIDP </w:t>
      </w:r>
      <w:r w:rsidR="00CA24B6" w:rsidRPr="00E3331A">
        <w:t xml:space="preserve">patients </w:t>
      </w:r>
      <w:r w:rsidRPr="00E3331A">
        <w:t xml:space="preserve">in France. Data were sourced from treating hospital records and claims databases. Data for home-based infusion were collected prospectively over </w:t>
      </w:r>
      <w:r w:rsidR="00CA24B6" w:rsidRPr="00E3331A">
        <w:t xml:space="preserve">nine </w:t>
      </w:r>
      <w:r w:rsidRPr="00E3331A">
        <w:t>months and adjusted to a 1-year</w:t>
      </w:r>
      <w:r w:rsidR="00CA24B6" w:rsidRPr="00E3331A">
        <w:t xml:space="preserve"> figure</w:t>
      </w:r>
      <w:r w:rsidRPr="00E3331A">
        <w:t>. One year of treatment cost US$63,755 for home-delivered Ig therapy compared to US$121,448 for hospital delivery. Improved tolerability and absence of AEs were the key drivers in patients choosing home-based therapy.</w:t>
      </w:r>
    </w:p>
    <w:p w:rsidR="001F5B33" w:rsidRPr="00E3331A" w:rsidRDefault="001F5B33" w:rsidP="00B30C0B">
      <w:pPr>
        <w:pStyle w:val="Heading6"/>
      </w:pPr>
      <w:r w:rsidRPr="00E3331A">
        <w:t>Rajabally and Afzal (2019)</w:t>
      </w:r>
    </w:p>
    <w:p w:rsidR="001F5B33" w:rsidRPr="00E3331A" w:rsidRDefault="001F5B33" w:rsidP="00BB6E4C">
      <w:pPr>
        <w:pStyle w:val="BodyTextSTD"/>
      </w:pPr>
      <w:r w:rsidRPr="00E3331A">
        <w:t xml:space="preserve">This study examined the cost impacts of different IV treatment regimens among 47 IVIg </w:t>
      </w:r>
      <w:r w:rsidR="00CA24B6" w:rsidRPr="00E3331A">
        <w:t xml:space="preserve">CIDP patients </w:t>
      </w:r>
      <w:r w:rsidRPr="00E3331A">
        <w:t xml:space="preserve">retrospectively studied over </w:t>
      </w:r>
      <w:r w:rsidR="00CA24B6" w:rsidRPr="00E3331A">
        <w:t xml:space="preserve">four </w:t>
      </w:r>
      <w:r w:rsidRPr="00E3331A">
        <w:t>years in the UK. A standard protocol was compared with an individualised, outcome</w:t>
      </w:r>
      <w:r w:rsidR="00CA24B6" w:rsidRPr="00E3331A">
        <w:t>-</w:t>
      </w:r>
      <w:r w:rsidRPr="00E3331A">
        <w:t>measured, dose-modifying protocol. Responder and remission rates, clinical improvement levels</w:t>
      </w:r>
      <w:r w:rsidR="00CA24B6" w:rsidRPr="00E3331A">
        <w:t>,</w:t>
      </w:r>
      <w:r w:rsidRPr="00E3331A">
        <w:t xml:space="preserve"> dose requirements, and </w:t>
      </w:r>
      <w:r w:rsidR="00CA24B6" w:rsidRPr="00E3331A">
        <w:t xml:space="preserve">dosing </w:t>
      </w:r>
      <w:r w:rsidRPr="00E3331A">
        <w:t xml:space="preserve">costs were reported. The IVIg-responder rate was 83% and the 4-year remission rate was 25.6%. Ig costs were </w:t>
      </w:r>
      <w:r w:rsidR="00CA24B6" w:rsidRPr="00E3331A">
        <w:t>£</w:t>
      </w:r>
      <w:r w:rsidRPr="00E3331A">
        <w:t xml:space="preserve">37,660/patient/year and infusion-related costs </w:t>
      </w:r>
      <w:r w:rsidR="00CA24B6" w:rsidRPr="00E3331A">
        <w:t>were £</w:t>
      </w:r>
      <w:r w:rsidRPr="00E3331A">
        <w:t xml:space="preserve">17,115/patient/year, generating a total cost of </w:t>
      </w:r>
      <w:r w:rsidR="00CA24B6" w:rsidRPr="00E3331A">
        <w:t>£</w:t>
      </w:r>
      <w:r w:rsidRPr="00E3331A">
        <w:t xml:space="preserve">54,775/patient/year. The </w:t>
      </w:r>
      <w:r w:rsidR="00D77378" w:rsidRPr="00E3331A">
        <w:t>long-term</w:t>
      </w:r>
      <w:r w:rsidRPr="00E3331A">
        <w:t xml:space="preserve"> response rate is higher than that outlined in Blackhouse </w:t>
      </w:r>
      <w:r w:rsidR="00983BA7">
        <w:t xml:space="preserve">et al. </w:t>
      </w:r>
      <w:r w:rsidRPr="00E3331A">
        <w:t xml:space="preserve">(2010), particularly when the Hughes </w:t>
      </w:r>
      <w:r w:rsidR="00983BA7">
        <w:t xml:space="preserve">et al. </w:t>
      </w:r>
      <w:r w:rsidRPr="00E3331A">
        <w:t xml:space="preserve">(2008) responder rate after 25 weeks is projected to five years. Sensitivity analyses are included at the end of Section D where different responder rates are included in the economic model. </w:t>
      </w:r>
    </w:p>
    <w:p w:rsidR="001F5B33" w:rsidRPr="00E3331A" w:rsidRDefault="001F5B33" w:rsidP="00B30C0B">
      <w:pPr>
        <w:pStyle w:val="Heading6"/>
      </w:pPr>
      <w:r w:rsidRPr="00E3331A">
        <w:t xml:space="preserve">Högy </w:t>
      </w:r>
      <w:r w:rsidR="00983BA7">
        <w:t xml:space="preserve">et al. </w:t>
      </w:r>
      <w:r w:rsidRPr="00E3331A">
        <w:t>(2005)</w:t>
      </w:r>
    </w:p>
    <w:p w:rsidR="001F5B33" w:rsidRPr="00E3331A" w:rsidRDefault="001F5B33" w:rsidP="00BB6E4C">
      <w:pPr>
        <w:pStyle w:val="BodyTextSTD"/>
      </w:pPr>
      <w:r w:rsidRPr="00E3331A">
        <w:t>The authors undertook cost-minimi</w:t>
      </w:r>
      <w:r w:rsidR="00591599" w:rsidRPr="00E3331A">
        <w:t>s</w:t>
      </w:r>
      <w:r w:rsidRPr="00E3331A">
        <w:t>ation analysis to compare IVI</w:t>
      </w:r>
      <w:r w:rsidR="0041507D" w:rsidRPr="00E3331A">
        <w:t>g</w:t>
      </w:r>
      <w:r w:rsidRPr="00E3331A">
        <w:t xml:space="preserve"> and SCI</w:t>
      </w:r>
      <w:r w:rsidR="0041507D" w:rsidRPr="00E3331A">
        <w:t>g</w:t>
      </w:r>
      <w:r w:rsidRPr="00E3331A">
        <w:t xml:space="preserve"> in Germany. Assuming a body weight of 75kg for adults and 40kg for children and an average monthly Ig dose of 0.4g/kg body weight, yearly doses were calculated to be 360g for adults and 192g for children. Prices per/g of IVIG </w:t>
      </w:r>
      <w:r w:rsidR="0041507D" w:rsidRPr="00E3331A">
        <w:t>(€</w:t>
      </w:r>
      <w:r w:rsidRPr="00E3331A">
        <w:t>84.60</w:t>
      </w:r>
      <w:r w:rsidR="0041507D" w:rsidRPr="00E3331A">
        <w:t>)</w:t>
      </w:r>
      <w:r w:rsidRPr="00E3331A">
        <w:t xml:space="preserve"> and SCIg </w:t>
      </w:r>
      <w:r w:rsidR="0041507D" w:rsidRPr="00E3331A">
        <w:t>(€</w:t>
      </w:r>
      <w:r w:rsidRPr="00E3331A">
        <w:t>38.54</w:t>
      </w:r>
      <w:r w:rsidR="0041507D" w:rsidRPr="00E3331A">
        <w:t>)</w:t>
      </w:r>
      <w:r w:rsidRPr="00E3331A">
        <w:t xml:space="preserve"> were included (Adult IVIg cost per year of </w:t>
      </w:r>
      <w:r w:rsidR="0041507D" w:rsidRPr="00E3331A">
        <w:t>€</w:t>
      </w:r>
      <w:r w:rsidRPr="00E3331A">
        <w:t xml:space="preserve">30,456). The IV price is nearly </w:t>
      </w:r>
      <w:r w:rsidRPr="00E3331A">
        <w:lastRenderedPageBreak/>
        <w:t>three times that paid in Australia. Average costs were found to be most sensitive to changes in the immunoglobulin price and changes in the body weight of the patient.</w:t>
      </w:r>
    </w:p>
    <w:p w:rsidR="001F5B33" w:rsidRPr="00E3331A" w:rsidRDefault="001F5B33" w:rsidP="00B30C0B">
      <w:pPr>
        <w:pStyle w:val="Heading5"/>
      </w:pPr>
      <w:r w:rsidRPr="00E3331A">
        <w:t xml:space="preserve">Other </w:t>
      </w:r>
      <w:r w:rsidR="001B576E">
        <w:t>e</w:t>
      </w:r>
      <w:r w:rsidRPr="00E3331A">
        <w:t xml:space="preserve">conomic </w:t>
      </w:r>
      <w:r w:rsidR="001B576E">
        <w:t>s</w:t>
      </w:r>
      <w:r w:rsidRPr="00E3331A">
        <w:t>tudies</w:t>
      </w:r>
    </w:p>
    <w:p w:rsidR="001F5B33" w:rsidRPr="00E3331A" w:rsidRDefault="001F5B33" w:rsidP="00BB6E4C">
      <w:pPr>
        <w:pStyle w:val="BodyTextSTD"/>
        <w:rPr>
          <w:u w:val="single"/>
        </w:rPr>
      </w:pPr>
      <w:r w:rsidRPr="00E3331A">
        <w:t xml:space="preserve">A range of studies identified in the literature review were not Ig intervention economic studies, however, </w:t>
      </w:r>
      <w:r w:rsidR="0041507D" w:rsidRPr="00E3331A">
        <w:t xml:space="preserve">they </w:t>
      </w:r>
      <w:r w:rsidRPr="00E3331A">
        <w:t>included cost and utility data relevant to the evaluation</w:t>
      </w:r>
      <w:r w:rsidR="0041507D" w:rsidRPr="00E3331A">
        <w:t xml:space="preserve"> and t</w:t>
      </w:r>
      <w:r w:rsidRPr="00E3331A">
        <w:t xml:space="preserve">hey are summarised in the remainder of this </w:t>
      </w:r>
      <w:r w:rsidR="005541CA" w:rsidRPr="00E3331A">
        <w:t>S</w:t>
      </w:r>
      <w:r w:rsidRPr="00E3331A">
        <w:t>ection</w:t>
      </w:r>
      <w:r w:rsidR="0041507D" w:rsidRPr="00E3331A">
        <w:t>.</w:t>
      </w:r>
    </w:p>
    <w:p w:rsidR="001F5B33" w:rsidRPr="00E3331A" w:rsidRDefault="001F5B33" w:rsidP="00B30C0B">
      <w:pPr>
        <w:pStyle w:val="Heading6"/>
      </w:pPr>
      <w:r w:rsidRPr="00E3331A">
        <w:t xml:space="preserve">Divino </w:t>
      </w:r>
      <w:r w:rsidR="00983BA7">
        <w:t xml:space="preserve">et al. </w:t>
      </w:r>
      <w:r w:rsidRPr="00E3331A">
        <w:t>(2018)</w:t>
      </w:r>
    </w:p>
    <w:p w:rsidR="001F5B33" w:rsidRPr="00E3331A" w:rsidRDefault="001F5B33" w:rsidP="00BB6E4C">
      <w:pPr>
        <w:pStyle w:val="BodyTextSTD"/>
      </w:pPr>
      <w:r w:rsidRPr="00E3331A">
        <w:t xml:space="preserve">The economic and clinical burden of CIDP in the USA </w:t>
      </w:r>
      <w:r w:rsidR="0041507D" w:rsidRPr="00E3331A">
        <w:t xml:space="preserve">was estimated </w:t>
      </w:r>
      <w:r w:rsidRPr="00E3331A">
        <w:t xml:space="preserve">using a matched control group without CIDP. </w:t>
      </w:r>
      <w:r w:rsidR="0041507D" w:rsidRPr="00E3331A">
        <w:t>T</w:t>
      </w:r>
      <w:r w:rsidRPr="00E3331A">
        <w:t xml:space="preserve">he IQVIA </w:t>
      </w:r>
      <w:r w:rsidR="00417A7B" w:rsidRPr="00E3331A">
        <w:t xml:space="preserve">(formerly IMS Health and Quintiles) </w:t>
      </w:r>
      <w:r w:rsidRPr="00E3331A">
        <w:t xml:space="preserve">Real-World Data Adjudicated Claims </w:t>
      </w:r>
      <w:r w:rsidR="0041507D" w:rsidRPr="00E3331A">
        <w:t xml:space="preserve">data </w:t>
      </w:r>
      <w:r w:rsidRPr="00E3331A">
        <w:t xml:space="preserve">was used for adults newly diagnosed with CIDP from 2010 </w:t>
      </w:r>
      <w:r w:rsidR="0041507D" w:rsidRPr="00E3331A">
        <w:t>to</w:t>
      </w:r>
      <w:r w:rsidRPr="00E3331A">
        <w:t xml:space="preserve"> 2014. The sample comprised 790 cases with matched controls. Healthcare resource use, costs and clinical characteristics were assessed and compared over a 2-year follow-up</w:t>
      </w:r>
      <w:r w:rsidR="0041507D" w:rsidRPr="00E3331A">
        <w:t xml:space="preserve"> (see</w:t>
      </w:r>
      <w:r w:rsidRPr="00E3331A">
        <w:t xml:space="preserve"> </w:t>
      </w:r>
      <w:r w:rsidR="006F35B9" w:rsidRPr="00E3331A">
        <w:t xml:space="preserve">Table </w:t>
      </w:r>
      <w:r w:rsidR="006F35B9">
        <w:rPr>
          <w:noProof/>
        </w:rPr>
        <w:t>64</w:t>
      </w:r>
      <w:r w:rsidR="0041507D" w:rsidRPr="00E3331A">
        <w:t>)</w:t>
      </w:r>
      <w:r w:rsidRPr="00E3331A">
        <w:t>.</w:t>
      </w:r>
    </w:p>
    <w:p w:rsidR="001F5B33" w:rsidRPr="00E3331A" w:rsidRDefault="001F5B33" w:rsidP="00B30C0B">
      <w:pPr>
        <w:pStyle w:val="Caption"/>
      </w:pPr>
      <w:bookmarkStart w:id="407" w:name="_Ref8150171"/>
      <w:bookmarkStart w:id="408" w:name="_Toc24103370"/>
      <w:r w:rsidRPr="00E3331A">
        <w:t xml:space="preserve">Table </w:t>
      </w:r>
      <w:r w:rsidR="006F35B9">
        <w:rPr>
          <w:noProof/>
        </w:rPr>
        <w:t>64</w:t>
      </w:r>
      <w:bookmarkEnd w:id="407"/>
      <w:r w:rsidR="0041507D" w:rsidRPr="00E3331A">
        <w:tab/>
      </w:r>
      <w:r w:rsidRPr="00E3331A">
        <w:t>Demographic characteristics and clinical characteristics in the 6-month pre-index period and 2-year follow-up</w:t>
      </w:r>
      <w:bookmarkEnd w:id="4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57"/>
        <w:gridCol w:w="849"/>
        <w:gridCol w:w="992"/>
        <w:gridCol w:w="1134"/>
        <w:gridCol w:w="851"/>
        <w:gridCol w:w="992"/>
        <w:gridCol w:w="941"/>
      </w:tblGrid>
      <w:tr w:rsidR="001F5B33" w:rsidRPr="00E3331A" w:rsidTr="00D77378">
        <w:trPr>
          <w:tblHeader/>
        </w:trPr>
        <w:tc>
          <w:tcPr>
            <w:tcW w:w="1806" w:type="pct"/>
            <w:tcBorders>
              <w:top w:val="single" w:sz="4" w:space="0" w:color="auto"/>
            </w:tcBorders>
            <w:vAlign w:val="center"/>
          </w:tcPr>
          <w:p w:rsidR="001F5B33" w:rsidRPr="00E3331A" w:rsidRDefault="001F5B33" w:rsidP="00D77378">
            <w:pPr>
              <w:pStyle w:val="Tableheading1"/>
            </w:pPr>
          </w:p>
        </w:tc>
        <w:tc>
          <w:tcPr>
            <w:tcW w:w="1650" w:type="pct"/>
            <w:gridSpan w:val="3"/>
            <w:tcBorders>
              <w:top w:val="single" w:sz="4" w:space="0" w:color="auto"/>
            </w:tcBorders>
            <w:vAlign w:val="center"/>
          </w:tcPr>
          <w:p w:rsidR="001F5B33" w:rsidRPr="00E3331A" w:rsidRDefault="001F5B33" w:rsidP="00D77378">
            <w:pPr>
              <w:pStyle w:val="Tableheading1"/>
            </w:pPr>
            <w:r w:rsidRPr="00E3331A">
              <w:rPr>
                <w:color w:val="231F20"/>
              </w:rPr>
              <w:t>Baseline</w:t>
            </w:r>
          </w:p>
        </w:tc>
        <w:tc>
          <w:tcPr>
            <w:tcW w:w="1544" w:type="pct"/>
            <w:gridSpan w:val="3"/>
            <w:tcBorders>
              <w:top w:val="single" w:sz="4" w:space="0" w:color="auto"/>
            </w:tcBorders>
            <w:vAlign w:val="center"/>
          </w:tcPr>
          <w:p w:rsidR="001F5B33" w:rsidRPr="00E3331A" w:rsidRDefault="001F5B33" w:rsidP="00D77378">
            <w:pPr>
              <w:pStyle w:val="Tableheading1"/>
            </w:pPr>
            <w:r w:rsidRPr="00E3331A">
              <w:rPr>
                <w:color w:val="231F20"/>
              </w:rPr>
              <w:t>2-Year Follow-Up</w:t>
            </w:r>
          </w:p>
        </w:tc>
      </w:tr>
      <w:tr w:rsidR="001F5B33" w:rsidRPr="00E3331A" w:rsidTr="00D77378">
        <w:trPr>
          <w:tblHeader/>
        </w:trPr>
        <w:tc>
          <w:tcPr>
            <w:tcW w:w="1806" w:type="pct"/>
            <w:tcBorders>
              <w:top w:val="single" w:sz="4" w:space="0" w:color="auto"/>
            </w:tcBorders>
            <w:vAlign w:val="center"/>
          </w:tcPr>
          <w:p w:rsidR="001F5B33" w:rsidRPr="00E3331A" w:rsidRDefault="001F5B33" w:rsidP="00D77378">
            <w:pPr>
              <w:pStyle w:val="Tableheading1"/>
            </w:pPr>
          </w:p>
        </w:tc>
        <w:tc>
          <w:tcPr>
            <w:tcW w:w="471" w:type="pct"/>
            <w:tcBorders>
              <w:top w:val="single" w:sz="4" w:space="0" w:color="auto"/>
            </w:tcBorders>
            <w:vAlign w:val="center"/>
          </w:tcPr>
          <w:p w:rsidR="001F5B33" w:rsidRPr="00E3331A" w:rsidRDefault="001F5B33" w:rsidP="00D77378">
            <w:pPr>
              <w:pStyle w:val="Tableheading1"/>
            </w:pPr>
            <w:r w:rsidRPr="00E3331A">
              <w:t>Cases</w:t>
            </w:r>
          </w:p>
          <w:p w:rsidR="001F5B33" w:rsidRPr="00E3331A" w:rsidRDefault="001F5B33" w:rsidP="00D77378">
            <w:pPr>
              <w:pStyle w:val="Tableheading1"/>
            </w:pPr>
            <w:r w:rsidRPr="00E3331A">
              <w:t>N = 790</w:t>
            </w:r>
          </w:p>
        </w:tc>
        <w:tc>
          <w:tcPr>
            <w:tcW w:w="550" w:type="pct"/>
            <w:tcBorders>
              <w:top w:val="single" w:sz="4" w:space="0" w:color="auto"/>
            </w:tcBorders>
            <w:vAlign w:val="center"/>
          </w:tcPr>
          <w:p w:rsidR="001F5B33" w:rsidRPr="00E3331A" w:rsidRDefault="001F5B33" w:rsidP="00D77378">
            <w:pPr>
              <w:pStyle w:val="Tableheading1"/>
            </w:pPr>
            <w:r w:rsidRPr="00E3331A">
              <w:t>Controls</w:t>
            </w:r>
          </w:p>
          <w:p w:rsidR="001F5B33" w:rsidRPr="00E3331A" w:rsidRDefault="001F5B33" w:rsidP="00D77378">
            <w:pPr>
              <w:pStyle w:val="Tableheading1"/>
            </w:pPr>
            <w:r w:rsidRPr="00E3331A">
              <w:t>N = 790</w:t>
            </w:r>
          </w:p>
        </w:tc>
        <w:tc>
          <w:tcPr>
            <w:tcW w:w="629" w:type="pct"/>
            <w:tcBorders>
              <w:top w:val="single" w:sz="4" w:space="0" w:color="auto"/>
            </w:tcBorders>
            <w:vAlign w:val="center"/>
          </w:tcPr>
          <w:p w:rsidR="001F5B33" w:rsidRPr="00E3331A" w:rsidRDefault="001F5B33" w:rsidP="00D77378">
            <w:pPr>
              <w:pStyle w:val="Tableheading1"/>
            </w:pPr>
            <w:r w:rsidRPr="00E3331A">
              <w:t>p-value</w:t>
            </w:r>
          </w:p>
        </w:tc>
        <w:tc>
          <w:tcPr>
            <w:tcW w:w="472" w:type="pct"/>
            <w:tcBorders>
              <w:top w:val="single" w:sz="4" w:space="0" w:color="auto"/>
            </w:tcBorders>
            <w:vAlign w:val="center"/>
          </w:tcPr>
          <w:p w:rsidR="001F5B33" w:rsidRPr="00E3331A" w:rsidRDefault="001F5B33" w:rsidP="00D77378">
            <w:pPr>
              <w:pStyle w:val="Tableheading1"/>
            </w:pPr>
            <w:r w:rsidRPr="00E3331A">
              <w:t>Cases</w:t>
            </w:r>
          </w:p>
          <w:p w:rsidR="001F5B33" w:rsidRPr="00E3331A" w:rsidRDefault="001F5B33" w:rsidP="00D77378">
            <w:pPr>
              <w:pStyle w:val="Tableheading1"/>
            </w:pPr>
            <w:r w:rsidRPr="00E3331A">
              <w:t>N = 790</w:t>
            </w:r>
          </w:p>
        </w:tc>
        <w:tc>
          <w:tcPr>
            <w:tcW w:w="550" w:type="pct"/>
            <w:tcBorders>
              <w:top w:val="single" w:sz="4" w:space="0" w:color="auto"/>
            </w:tcBorders>
            <w:vAlign w:val="center"/>
          </w:tcPr>
          <w:p w:rsidR="001F5B33" w:rsidRPr="00E3331A" w:rsidRDefault="001F5B33" w:rsidP="00D77378">
            <w:pPr>
              <w:pStyle w:val="Tableheading1"/>
            </w:pPr>
            <w:r w:rsidRPr="00E3331A">
              <w:t>Controls</w:t>
            </w:r>
          </w:p>
          <w:p w:rsidR="001F5B33" w:rsidRPr="00E3331A" w:rsidRDefault="001F5B33" w:rsidP="00D77378">
            <w:pPr>
              <w:pStyle w:val="Tableheading1"/>
            </w:pPr>
            <w:r w:rsidRPr="00E3331A">
              <w:t>N = 790</w:t>
            </w:r>
          </w:p>
        </w:tc>
        <w:tc>
          <w:tcPr>
            <w:tcW w:w="522" w:type="pct"/>
            <w:tcBorders>
              <w:top w:val="single" w:sz="4" w:space="0" w:color="auto"/>
            </w:tcBorders>
            <w:vAlign w:val="center"/>
          </w:tcPr>
          <w:p w:rsidR="001F5B33" w:rsidRPr="00E3331A" w:rsidRDefault="001F5B33" w:rsidP="00D77378">
            <w:pPr>
              <w:pStyle w:val="Tableheading1"/>
            </w:pPr>
            <w:r w:rsidRPr="00E3331A">
              <w:t>p-value</w:t>
            </w:r>
          </w:p>
        </w:tc>
      </w:tr>
      <w:tr w:rsidR="005C6F6D" w:rsidRPr="00E3331A" w:rsidTr="005C6F6D">
        <w:tc>
          <w:tcPr>
            <w:tcW w:w="5000" w:type="pct"/>
            <w:gridSpan w:val="7"/>
            <w:tcBorders>
              <w:top w:val="single" w:sz="4" w:space="0" w:color="auto"/>
            </w:tcBorders>
          </w:tcPr>
          <w:p w:rsidR="005C6F6D" w:rsidRPr="00E3331A" w:rsidRDefault="005C6F6D" w:rsidP="00D77378">
            <w:pPr>
              <w:pStyle w:val="Tablecontents"/>
              <w:rPr>
                <w:rFonts w:eastAsia="Lucida Sans" w:cs="Lucida Sans"/>
              </w:rPr>
            </w:pPr>
            <w:r w:rsidRPr="00E3331A">
              <w:rPr>
                <w:b/>
              </w:rPr>
              <w:t>Age</w:t>
            </w:r>
            <w:r w:rsidRPr="00E3331A">
              <w:rPr>
                <w:b/>
                <w:spacing w:val="-21"/>
              </w:rPr>
              <w:t xml:space="preserve"> </w:t>
            </w:r>
            <w:r w:rsidRPr="00E3331A">
              <w:rPr>
                <w:b/>
              </w:rPr>
              <w:t>(years)</w:t>
            </w:r>
          </w:p>
        </w:tc>
      </w:tr>
      <w:tr w:rsidR="001F5B33" w:rsidRPr="00E3331A" w:rsidTr="0007007F">
        <w:tc>
          <w:tcPr>
            <w:tcW w:w="1806" w:type="pct"/>
          </w:tcPr>
          <w:p w:rsidR="001F5B33" w:rsidRPr="00E3331A" w:rsidRDefault="001F5B33" w:rsidP="00D77378">
            <w:pPr>
              <w:pStyle w:val="Tablecontents"/>
            </w:pPr>
            <w:r w:rsidRPr="00E3331A">
              <w:t>Mean</w:t>
            </w:r>
            <w:r w:rsidRPr="00E3331A">
              <w:rPr>
                <w:spacing w:val="-8"/>
              </w:rPr>
              <w:t xml:space="preserve"> </w:t>
            </w:r>
            <w:r w:rsidRPr="00E3331A">
              <w:rPr>
                <w:rFonts w:eastAsia="Poor Richard" w:cs="Poor Richard"/>
              </w:rPr>
              <w:t>±</w:t>
            </w:r>
            <w:r w:rsidRPr="00E3331A">
              <w:rPr>
                <w:rFonts w:eastAsia="Poor Richard" w:cs="Poor Richard"/>
                <w:spacing w:val="7"/>
              </w:rPr>
              <w:t xml:space="preserve"> </w:t>
            </w:r>
            <w:r w:rsidRPr="00E3331A">
              <w:t>SD</w:t>
            </w:r>
          </w:p>
        </w:tc>
        <w:tc>
          <w:tcPr>
            <w:tcW w:w="471" w:type="pct"/>
            <w:vAlign w:val="center"/>
          </w:tcPr>
          <w:p w:rsidR="001F5B33" w:rsidRPr="00E3331A" w:rsidRDefault="001F5B33" w:rsidP="00D77378">
            <w:pPr>
              <w:pStyle w:val="Tablecontents"/>
              <w:rPr>
                <w:rFonts w:eastAsia="Lucida Sans" w:cs="Lucida Sans"/>
              </w:rPr>
            </w:pPr>
            <w:r w:rsidRPr="00E3331A">
              <w:rPr>
                <w:rFonts w:eastAsia="Lucida Sans" w:cs="Lucida Sans"/>
              </w:rPr>
              <w:t>49.7</w:t>
            </w:r>
          </w:p>
        </w:tc>
        <w:tc>
          <w:tcPr>
            <w:tcW w:w="550" w:type="pct"/>
            <w:vAlign w:val="center"/>
          </w:tcPr>
          <w:p w:rsidR="001F5B33" w:rsidRPr="00E3331A" w:rsidRDefault="001F5B33" w:rsidP="00D77378">
            <w:pPr>
              <w:pStyle w:val="Tablecontents"/>
              <w:rPr>
                <w:rFonts w:eastAsia="Lucida Sans" w:cs="Lucida Sans"/>
              </w:rPr>
            </w:pPr>
            <w:r w:rsidRPr="00E3331A">
              <w:rPr>
                <w:rFonts w:eastAsia="Lucida Sans" w:cs="Lucida Sans"/>
              </w:rPr>
              <w:t>49.7</w:t>
            </w:r>
          </w:p>
        </w:tc>
        <w:tc>
          <w:tcPr>
            <w:tcW w:w="629" w:type="pct"/>
            <w:shd w:val="clear" w:color="auto" w:fill="F2F2F2"/>
            <w:vAlign w:val="center"/>
          </w:tcPr>
          <w:p w:rsidR="001F5B33" w:rsidRPr="00E3331A" w:rsidRDefault="005C6F6D" w:rsidP="00D77378">
            <w:pPr>
              <w:pStyle w:val="Tablecontents"/>
              <w:rPr>
                <w:rFonts w:eastAsia="Lucida Sans" w:cs="Lucida Sans"/>
              </w:rPr>
            </w:pPr>
            <w:r>
              <w:rPr>
                <w:rFonts w:eastAsia="Lucida Sans" w:cs="Lucida Sans"/>
              </w:rPr>
              <w:t>NA</w:t>
            </w:r>
          </w:p>
        </w:tc>
        <w:tc>
          <w:tcPr>
            <w:tcW w:w="472" w:type="pct"/>
            <w:shd w:val="clear" w:color="auto" w:fill="F2F2F2"/>
            <w:vAlign w:val="center"/>
          </w:tcPr>
          <w:p w:rsidR="001F5B33" w:rsidRPr="00E3331A" w:rsidRDefault="005C6F6D" w:rsidP="00D77378">
            <w:pPr>
              <w:pStyle w:val="Tablecontents"/>
              <w:rPr>
                <w:rFonts w:eastAsia="Lucida Sans" w:cs="Lucida Sans"/>
              </w:rPr>
            </w:pPr>
            <w:r>
              <w:rPr>
                <w:rFonts w:eastAsia="Lucida Sans" w:cs="Lucida Sans"/>
              </w:rPr>
              <w:t>NA</w:t>
            </w:r>
          </w:p>
        </w:tc>
        <w:tc>
          <w:tcPr>
            <w:tcW w:w="550" w:type="pct"/>
            <w:shd w:val="clear" w:color="auto" w:fill="F2F2F2"/>
            <w:vAlign w:val="center"/>
          </w:tcPr>
          <w:p w:rsidR="001F5B33" w:rsidRPr="00E3331A" w:rsidRDefault="005C6F6D" w:rsidP="00D77378">
            <w:pPr>
              <w:pStyle w:val="Tablecontents"/>
              <w:rPr>
                <w:rFonts w:eastAsia="Lucida Sans" w:cs="Lucida Sans"/>
              </w:rPr>
            </w:pPr>
            <w:r>
              <w:rPr>
                <w:rFonts w:eastAsia="Lucida Sans" w:cs="Lucida Sans"/>
              </w:rPr>
              <w:t>NA</w:t>
            </w:r>
          </w:p>
        </w:tc>
        <w:tc>
          <w:tcPr>
            <w:tcW w:w="522" w:type="pct"/>
            <w:shd w:val="clear" w:color="auto" w:fill="F2F2F2"/>
            <w:vAlign w:val="center"/>
          </w:tcPr>
          <w:p w:rsidR="001F5B33" w:rsidRPr="00E3331A" w:rsidRDefault="005C6F6D" w:rsidP="00D77378">
            <w:pPr>
              <w:pStyle w:val="Tablecontents"/>
              <w:rPr>
                <w:rFonts w:eastAsia="Lucida Sans" w:cs="Lucida Sans"/>
              </w:rPr>
            </w:pPr>
            <w:r>
              <w:rPr>
                <w:rFonts w:eastAsia="Lucida Sans" w:cs="Lucida Sans"/>
              </w:rPr>
              <w:t>NA</w:t>
            </w:r>
          </w:p>
        </w:tc>
      </w:tr>
      <w:tr w:rsidR="001F5B33" w:rsidRPr="00E3331A" w:rsidTr="0007007F">
        <w:tc>
          <w:tcPr>
            <w:tcW w:w="1806" w:type="pct"/>
          </w:tcPr>
          <w:p w:rsidR="001F5B33" w:rsidRPr="00E3331A" w:rsidRDefault="001F5B33" w:rsidP="00D77378">
            <w:pPr>
              <w:pStyle w:val="Tablecontents"/>
            </w:pPr>
            <w:r w:rsidRPr="00E3331A">
              <w:t>Median</w:t>
            </w:r>
          </w:p>
        </w:tc>
        <w:tc>
          <w:tcPr>
            <w:tcW w:w="471" w:type="pct"/>
            <w:vAlign w:val="center"/>
          </w:tcPr>
          <w:p w:rsidR="001F5B33" w:rsidRPr="00E3331A" w:rsidRDefault="001F5B33" w:rsidP="00D77378">
            <w:pPr>
              <w:pStyle w:val="Tablecontents"/>
              <w:rPr>
                <w:rFonts w:eastAsia="Lucida Sans" w:cs="Lucida Sans"/>
              </w:rPr>
            </w:pPr>
            <w:r w:rsidRPr="00E3331A">
              <w:rPr>
                <w:rFonts w:eastAsia="Lucida Sans" w:cs="Lucida Sans"/>
              </w:rPr>
              <w:t>52</w:t>
            </w:r>
          </w:p>
        </w:tc>
        <w:tc>
          <w:tcPr>
            <w:tcW w:w="550" w:type="pct"/>
            <w:vAlign w:val="center"/>
          </w:tcPr>
          <w:p w:rsidR="001F5B33" w:rsidRPr="00E3331A" w:rsidRDefault="001F5B33" w:rsidP="00D77378">
            <w:pPr>
              <w:pStyle w:val="Tablecontents"/>
              <w:rPr>
                <w:rFonts w:eastAsia="Lucida Sans" w:cs="Lucida Sans"/>
              </w:rPr>
            </w:pPr>
            <w:r w:rsidRPr="00E3331A">
              <w:rPr>
                <w:rFonts w:eastAsia="Lucida Sans" w:cs="Lucida Sans"/>
              </w:rPr>
              <w:t>52</w:t>
            </w:r>
          </w:p>
        </w:tc>
        <w:tc>
          <w:tcPr>
            <w:tcW w:w="629" w:type="pct"/>
            <w:shd w:val="clear" w:color="auto" w:fill="F2F2F2"/>
            <w:vAlign w:val="center"/>
          </w:tcPr>
          <w:p w:rsidR="001F5B33" w:rsidRPr="00E3331A" w:rsidRDefault="005C6F6D" w:rsidP="00D77378">
            <w:pPr>
              <w:pStyle w:val="Tablecontents"/>
              <w:rPr>
                <w:rFonts w:eastAsia="Lucida Sans" w:cs="Lucida Sans"/>
              </w:rPr>
            </w:pPr>
            <w:r>
              <w:rPr>
                <w:rFonts w:eastAsia="Lucida Sans" w:cs="Lucida Sans"/>
              </w:rPr>
              <w:t>NA</w:t>
            </w:r>
          </w:p>
        </w:tc>
        <w:tc>
          <w:tcPr>
            <w:tcW w:w="472" w:type="pct"/>
            <w:shd w:val="clear" w:color="auto" w:fill="F2F2F2"/>
            <w:vAlign w:val="center"/>
          </w:tcPr>
          <w:p w:rsidR="001F5B33" w:rsidRPr="00E3331A" w:rsidRDefault="005C6F6D" w:rsidP="00D77378">
            <w:pPr>
              <w:pStyle w:val="Tablecontents"/>
              <w:rPr>
                <w:rFonts w:eastAsia="Lucida Sans" w:cs="Lucida Sans"/>
              </w:rPr>
            </w:pPr>
            <w:r>
              <w:rPr>
                <w:rFonts w:eastAsia="Lucida Sans" w:cs="Lucida Sans"/>
              </w:rPr>
              <w:t>NA</w:t>
            </w:r>
          </w:p>
        </w:tc>
        <w:tc>
          <w:tcPr>
            <w:tcW w:w="550" w:type="pct"/>
            <w:shd w:val="clear" w:color="auto" w:fill="F2F2F2"/>
            <w:vAlign w:val="center"/>
          </w:tcPr>
          <w:p w:rsidR="001F5B33" w:rsidRPr="00E3331A" w:rsidRDefault="005C6F6D" w:rsidP="00D77378">
            <w:pPr>
              <w:pStyle w:val="Tablecontents"/>
              <w:rPr>
                <w:rFonts w:eastAsia="Lucida Sans" w:cs="Lucida Sans"/>
              </w:rPr>
            </w:pPr>
            <w:r>
              <w:rPr>
                <w:rFonts w:eastAsia="Lucida Sans" w:cs="Lucida Sans"/>
              </w:rPr>
              <w:t>NA</w:t>
            </w:r>
          </w:p>
        </w:tc>
        <w:tc>
          <w:tcPr>
            <w:tcW w:w="522" w:type="pct"/>
            <w:shd w:val="clear" w:color="auto" w:fill="F2F2F2"/>
            <w:vAlign w:val="center"/>
          </w:tcPr>
          <w:p w:rsidR="001F5B33" w:rsidRPr="00E3331A" w:rsidRDefault="005C6F6D" w:rsidP="00D77378">
            <w:pPr>
              <w:pStyle w:val="Tablecontents"/>
              <w:rPr>
                <w:rFonts w:eastAsia="Lucida Sans" w:cs="Lucida Sans"/>
              </w:rPr>
            </w:pPr>
            <w:r>
              <w:rPr>
                <w:rFonts w:eastAsia="Lucida Sans" w:cs="Lucida Sans"/>
              </w:rPr>
              <w:t>NA</w:t>
            </w:r>
          </w:p>
        </w:tc>
      </w:tr>
      <w:tr w:rsidR="005C6F6D" w:rsidRPr="00E3331A" w:rsidTr="005C6F6D">
        <w:tc>
          <w:tcPr>
            <w:tcW w:w="5000" w:type="pct"/>
            <w:gridSpan w:val="7"/>
            <w:vAlign w:val="center"/>
          </w:tcPr>
          <w:p w:rsidR="005C6F6D" w:rsidRPr="00E3331A" w:rsidRDefault="005C6F6D" w:rsidP="00D77378">
            <w:pPr>
              <w:pStyle w:val="Tablecontents"/>
              <w:rPr>
                <w:rFonts w:eastAsia="Lucida Sans" w:cs="Lucida Sans"/>
              </w:rPr>
            </w:pPr>
            <w:r w:rsidRPr="00E3331A">
              <w:rPr>
                <w:b/>
                <w:w w:val="110"/>
              </w:rPr>
              <w:t>Common</w:t>
            </w:r>
            <w:r w:rsidRPr="00E3331A">
              <w:rPr>
                <w:b/>
                <w:spacing w:val="-23"/>
                <w:w w:val="110"/>
              </w:rPr>
              <w:t xml:space="preserve"> </w:t>
            </w:r>
            <w:r w:rsidRPr="00E3331A">
              <w:rPr>
                <w:b/>
                <w:w w:val="145"/>
              </w:rPr>
              <w:t>(&gt;5%)</w:t>
            </w:r>
            <w:r w:rsidRPr="00E3331A">
              <w:rPr>
                <w:b/>
                <w:spacing w:val="-37"/>
                <w:w w:val="145"/>
              </w:rPr>
              <w:t xml:space="preserve"> </w:t>
            </w:r>
            <w:r w:rsidRPr="00E3331A">
              <w:rPr>
                <w:b/>
                <w:spacing w:val="-2"/>
                <w:w w:val="110"/>
              </w:rPr>
              <w:t>comorbidities</w:t>
            </w:r>
          </w:p>
        </w:tc>
      </w:tr>
      <w:tr w:rsidR="001F5B33" w:rsidRPr="00E3331A" w:rsidTr="00D77378">
        <w:tc>
          <w:tcPr>
            <w:tcW w:w="1806" w:type="pct"/>
          </w:tcPr>
          <w:p w:rsidR="001F5B33" w:rsidRPr="00E3331A" w:rsidRDefault="001F5B33" w:rsidP="00D77378">
            <w:pPr>
              <w:pStyle w:val="Tablecontents"/>
            </w:pPr>
            <w:r w:rsidRPr="00E3331A">
              <w:t>Asthma/COPD</w:t>
            </w:r>
          </w:p>
        </w:tc>
        <w:tc>
          <w:tcPr>
            <w:tcW w:w="471" w:type="pct"/>
          </w:tcPr>
          <w:p w:rsidR="001F5B33" w:rsidRPr="00E3331A" w:rsidRDefault="001F5B33" w:rsidP="00D77378">
            <w:pPr>
              <w:pStyle w:val="Tablecontents"/>
              <w:rPr>
                <w:rFonts w:eastAsia="Lucida Sans" w:cs="Lucida Sans"/>
              </w:rPr>
            </w:pPr>
            <w:r w:rsidRPr="00E3331A">
              <w:rPr>
                <w:w w:val="95"/>
              </w:rPr>
              <w:t>19</w:t>
            </w:r>
          </w:p>
        </w:tc>
        <w:tc>
          <w:tcPr>
            <w:tcW w:w="550" w:type="pct"/>
          </w:tcPr>
          <w:p w:rsidR="001F5B33" w:rsidRPr="00E3331A" w:rsidRDefault="001F5B33" w:rsidP="00D77378">
            <w:pPr>
              <w:pStyle w:val="Tablecontents"/>
              <w:rPr>
                <w:rFonts w:eastAsia="Lucida Sans" w:cs="Lucida Sans"/>
              </w:rPr>
            </w:pPr>
            <w:r w:rsidRPr="00E3331A">
              <w:rPr>
                <w:w w:val="95"/>
              </w:rPr>
              <w:t>9</w:t>
            </w:r>
          </w:p>
        </w:tc>
        <w:tc>
          <w:tcPr>
            <w:tcW w:w="629" w:type="pct"/>
          </w:tcPr>
          <w:p w:rsidR="001F5B33" w:rsidRPr="00E3331A" w:rsidRDefault="001F5B33" w:rsidP="00D77378">
            <w:pPr>
              <w:pStyle w:val="Tablecontents"/>
              <w:rPr>
                <w:rFonts w:eastAsia="Lucida Sans" w:cs="Lucida Sans"/>
              </w:rPr>
            </w:pPr>
            <w:r w:rsidRPr="00E3331A">
              <w:t>0.0588</w:t>
            </w:r>
          </w:p>
        </w:tc>
        <w:tc>
          <w:tcPr>
            <w:tcW w:w="472" w:type="pct"/>
          </w:tcPr>
          <w:p w:rsidR="001F5B33" w:rsidRPr="00E3331A" w:rsidRDefault="001F5B33" w:rsidP="00D77378">
            <w:pPr>
              <w:pStyle w:val="Tablecontents"/>
              <w:rPr>
                <w:rFonts w:eastAsia="Lucida Sans" w:cs="Lucida Sans"/>
              </w:rPr>
            </w:pPr>
            <w:r w:rsidRPr="00E3331A">
              <w:rPr>
                <w:w w:val="95"/>
              </w:rPr>
              <w:t>65</w:t>
            </w:r>
          </w:p>
        </w:tc>
        <w:tc>
          <w:tcPr>
            <w:tcW w:w="550" w:type="pct"/>
          </w:tcPr>
          <w:p w:rsidR="001F5B33" w:rsidRPr="00E3331A" w:rsidRDefault="001F5B33" w:rsidP="00D77378">
            <w:pPr>
              <w:pStyle w:val="Tablecontents"/>
              <w:rPr>
                <w:rFonts w:eastAsia="Lucida Sans" w:cs="Lucida Sans"/>
              </w:rPr>
            </w:pPr>
            <w:r w:rsidRPr="00E3331A">
              <w:rPr>
                <w:w w:val="95"/>
              </w:rPr>
              <w:t>17</w:t>
            </w:r>
          </w:p>
        </w:tc>
        <w:tc>
          <w:tcPr>
            <w:tcW w:w="522" w:type="pct"/>
          </w:tcPr>
          <w:p w:rsidR="001F5B33" w:rsidRPr="00E3331A" w:rsidRDefault="001F5B33" w:rsidP="00D77378">
            <w:pPr>
              <w:pStyle w:val="Tablecontents"/>
              <w:rPr>
                <w:rFonts w:eastAsia="Lucida Sans" w:cs="Lucida Sans"/>
              </w:rPr>
            </w:pPr>
            <w:r w:rsidRPr="00E3331A">
              <w:t>&lt;.0001</w:t>
            </w:r>
          </w:p>
        </w:tc>
      </w:tr>
      <w:tr w:rsidR="001F5B33" w:rsidRPr="00E3331A" w:rsidTr="00D77378">
        <w:tc>
          <w:tcPr>
            <w:tcW w:w="1806" w:type="pct"/>
          </w:tcPr>
          <w:p w:rsidR="001F5B33" w:rsidRPr="00E3331A" w:rsidRDefault="001F5B33" w:rsidP="00D77378">
            <w:pPr>
              <w:pStyle w:val="Tablecontents"/>
            </w:pPr>
            <w:r w:rsidRPr="00E3331A">
              <w:t>Back</w:t>
            </w:r>
            <w:r w:rsidRPr="00E3331A">
              <w:rPr>
                <w:spacing w:val="-17"/>
              </w:rPr>
              <w:t xml:space="preserve"> </w:t>
            </w:r>
            <w:r w:rsidRPr="00E3331A">
              <w:t>pain</w:t>
            </w:r>
          </w:p>
        </w:tc>
        <w:tc>
          <w:tcPr>
            <w:tcW w:w="471" w:type="pct"/>
          </w:tcPr>
          <w:p w:rsidR="001F5B33" w:rsidRPr="00E3331A" w:rsidRDefault="001F5B33" w:rsidP="00D77378">
            <w:pPr>
              <w:pStyle w:val="Tablecontents"/>
              <w:rPr>
                <w:rFonts w:eastAsia="Lucida Sans" w:cs="Lucida Sans"/>
              </w:rPr>
            </w:pPr>
            <w:r w:rsidRPr="00E3331A">
              <w:t>241</w:t>
            </w:r>
          </w:p>
        </w:tc>
        <w:tc>
          <w:tcPr>
            <w:tcW w:w="550" w:type="pct"/>
          </w:tcPr>
          <w:p w:rsidR="001F5B33" w:rsidRPr="00E3331A" w:rsidRDefault="001F5B33" w:rsidP="00D77378">
            <w:pPr>
              <w:pStyle w:val="Tablecontents"/>
              <w:rPr>
                <w:rFonts w:eastAsia="Lucida Sans" w:cs="Lucida Sans"/>
              </w:rPr>
            </w:pPr>
            <w:r w:rsidRPr="00E3331A">
              <w:rPr>
                <w:w w:val="95"/>
              </w:rPr>
              <w:t>80</w:t>
            </w:r>
          </w:p>
        </w:tc>
        <w:tc>
          <w:tcPr>
            <w:tcW w:w="629" w:type="pct"/>
          </w:tcPr>
          <w:p w:rsidR="001F5B33" w:rsidRPr="00E3331A" w:rsidRDefault="001F5B33" w:rsidP="00D77378">
            <w:pPr>
              <w:pStyle w:val="Tablecontents"/>
              <w:rPr>
                <w:rFonts w:eastAsia="Lucida Sans" w:cs="Lucida Sans"/>
              </w:rPr>
            </w:pPr>
            <w:r w:rsidRPr="00E3331A">
              <w:t>&lt;.0001</w:t>
            </w:r>
          </w:p>
        </w:tc>
        <w:tc>
          <w:tcPr>
            <w:tcW w:w="472" w:type="pct"/>
          </w:tcPr>
          <w:p w:rsidR="001F5B33" w:rsidRPr="00E3331A" w:rsidRDefault="001F5B33" w:rsidP="00D77378">
            <w:pPr>
              <w:pStyle w:val="Tablecontents"/>
              <w:rPr>
                <w:rFonts w:eastAsia="Lucida Sans" w:cs="Lucida Sans"/>
              </w:rPr>
            </w:pPr>
            <w:r w:rsidRPr="00E3331A">
              <w:t>371</w:t>
            </w:r>
          </w:p>
        </w:tc>
        <w:tc>
          <w:tcPr>
            <w:tcW w:w="550" w:type="pct"/>
          </w:tcPr>
          <w:p w:rsidR="001F5B33" w:rsidRPr="00E3331A" w:rsidRDefault="001F5B33" w:rsidP="00D77378">
            <w:pPr>
              <w:pStyle w:val="Tablecontents"/>
              <w:rPr>
                <w:rFonts w:eastAsia="Lucida Sans" w:cs="Lucida Sans"/>
              </w:rPr>
            </w:pPr>
            <w:r w:rsidRPr="00E3331A">
              <w:t>150</w:t>
            </w:r>
          </w:p>
        </w:tc>
        <w:tc>
          <w:tcPr>
            <w:tcW w:w="522" w:type="pct"/>
          </w:tcPr>
          <w:p w:rsidR="001F5B33" w:rsidRPr="00E3331A" w:rsidRDefault="001F5B33" w:rsidP="00D77378">
            <w:pPr>
              <w:pStyle w:val="Tablecontents"/>
              <w:rPr>
                <w:rFonts w:eastAsia="Lucida Sans" w:cs="Lucida Sans"/>
              </w:rPr>
            </w:pPr>
            <w:r w:rsidRPr="00E3331A">
              <w:t>&lt;.0001</w:t>
            </w:r>
          </w:p>
        </w:tc>
      </w:tr>
      <w:tr w:rsidR="001F5B33" w:rsidRPr="00E3331A" w:rsidTr="00D77378">
        <w:tc>
          <w:tcPr>
            <w:tcW w:w="1806" w:type="pct"/>
          </w:tcPr>
          <w:p w:rsidR="001F5B33" w:rsidRPr="00E3331A" w:rsidRDefault="001F5B33" w:rsidP="00D77378">
            <w:pPr>
              <w:pStyle w:val="Tablecontents"/>
            </w:pPr>
            <w:r w:rsidRPr="00E3331A">
              <w:t>Cardiac</w:t>
            </w:r>
            <w:r w:rsidRPr="00E3331A">
              <w:rPr>
                <w:spacing w:val="7"/>
              </w:rPr>
              <w:t xml:space="preserve"> </w:t>
            </w:r>
            <w:r w:rsidRPr="00E3331A">
              <w:t>dysrhythmia</w:t>
            </w:r>
          </w:p>
        </w:tc>
        <w:tc>
          <w:tcPr>
            <w:tcW w:w="471" w:type="pct"/>
          </w:tcPr>
          <w:p w:rsidR="001F5B33" w:rsidRPr="00E3331A" w:rsidRDefault="001F5B33" w:rsidP="00D77378">
            <w:pPr>
              <w:pStyle w:val="Tablecontents"/>
              <w:rPr>
                <w:rFonts w:eastAsia="Lucida Sans" w:cs="Lucida Sans"/>
              </w:rPr>
            </w:pPr>
            <w:r w:rsidRPr="00E3331A">
              <w:rPr>
                <w:w w:val="95"/>
              </w:rPr>
              <w:t>34</w:t>
            </w:r>
          </w:p>
        </w:tc>
        <w:tc>
          <w:tcPr>
            <w:tcW w:w="550" w:type="pct"/>
          </w:tcPr>
          <w:p w:rsidR="001F5B33" w:rsidRPr="00E3331A" w:rsidRDefault="001F5B33" w:rsidP="00D77378">
            <w:pPr>
              <w:pStyle w:val="Tablecontents"/>
              <w:rPr>
                <w:rFonts w:eastAsia="Lucida Sans" w:cs="Lucida Sans"/>
              </w:rPr>
            </w:pPr>
            <w:r w:rsidRPr="00E3331A">
              <w:rPr>
                <w:w w:val="95"/>
              </w:rPr>
              <w:t>28</w:t>
            </w:r>
          </w:p>
        </w:tc>
        <w:tc>
          <w:tcPr>
            <w:tcW w:w="629" w:type="pct"/>
          </w:tcPr>
          <w:p w:rsidR="001F5B33" w:rsidRPr="00E3331A" w:rsidRDefault="001F5B33" w:rsidP="00D77378">
            <w:pPr>
              <w:pStyle w:val="Tablecontents"/>
              <w:rPr>
                <w:rFonts w:eastAsia="Lucida Sans" w:cs="Lucida Sans"/>
              </w:rPr>
            </w:pPr>
            <w:r w:rsidRPr="00E3331A">
              <w:t>0.4386</w:t>
            </w:r>
          </w:p>
        </w:tc>
        <w:tc>
          <w:tcPr>
            <w:tcW w:w="472" w:type="pct"/>
          </w:tcPr>
          <w:p w:rsidR="001F5B33" w:rsidRPr="00E3331A" w:rsidRDefault="001F5B33" w:rsidP="00D77378">
            <w:pPr>
              <w:pStyle w:val="Tablecontents"/>
              <w:rPr>
                <w:rFonts w:eastAsia="Lucida Sans" w:cs="Lucida Sans"/>
              </w:rPr>
            </w:pPr>
            <w:r w:rsidRPr="00E3331A">
              <w:t>100</w:t>
            </w:r>
          </w:p>
        </w:tc>
        <w:tc>
          <w:tcPr>
            <w:tcW w:w="550" w:type="pct"/>
          </w:tcPr>
          <w:p w:rsidR="001F5B33" w:rsidRPr="00E3331A" w:rsidRDefault="001F5B33" w:rsidP="00D77378">
            <w:pPr>
              <w:pStyle w:val="Tablecontents"/>
              <w:rPr>
                <w:rFonts w:eastAsia="Lucida Sans" w:cs="Lucida Sans"/>
              </w:rPr>
            </w:pPr>
            <w:r w:rsidRPr="00E3331A">
              <w:rPr>
                <w:w w:val="95"/>
              </w:rPr>
              <w:t>50</w:t>
            </w:r>
          </w:p>
        </w:tc>
        <w:tc>
          <w:tcPr>
            <w:tcW w:w="522" w:type="pct"/>
          </w:tcPr>
          <w:p w:rsidR="001F5B33" w:rsidRPr="00E3331A" w:rsidRDefault="001F5B33" w:rsidP="00D77378">
            <w:pPr>
              <w:pStyle w:val="Tablecontents"/>
              <w:rPr>
                <w:rFonts w:eastAsia="Lucida Sans" w:cs="Lucida Sans"/>
              </w:rPr>
            </w:pPr>
            <w:r w:rsidRPr="00E3331A">
              <w:t>&lt;.0001</w:t>
            </w:r>
          </w:p>
        </w:tc>
      </w:tr>
      <w:tr w:rsidR="001F5B33" w:rsidRPr="00E3331A" w:rsidTr="00D77378">
        <w:tc>
          <w:tcPr>
            <w:tcW w:w="1806" w:type="pct"/>
          </w:tcPr>
          <w:p w:rsidR="001F5B33" w:rsidRPr="00E3331A" w:rsidRDefault="001F5B33" w:rsidP="00D77378">
            <w:pPr>
              <w:pStyle w:val="Tablecontents"/>
            </w:pPr>
            <w:r w:rsidRPr="00E3331A">
              <w:t>Cerebrovascular</w:t>
            </w:r>
            <w:r w:rsidRPr="00E3331A">
              <w:rPr>
                <w:spacing w:val="-23"/>
              </w:rPr>
              <w:t xml:space="preserve"> </w:t>
            </w:r>
            <w:r w:rsidRPr="00E3331A">
              <w:t>disease</w:t>
            </w:r>
          </w:p>
        </w:tc>
        <w:tc>
          <w:tcPr>
            <w:tcW w:w="471" w:type="pct"/>
          </w:tcPr>
          <w:p w:rsidR="001F5B33" w:rsidRPr="00E3331A" w:rsidRDefault="001F5B33" w:rsidP="00D77378">
            <w:pPr>
              <w:pStyle w:val="Tablecontents"/>
              <w:rPr>
                <w:rFonts w:eastAsia="Lucida Sans" w:cs="Lucida Sans"/>
              </w:rPr>
            </w:pPr>
            <w:r w:rsidRPr="00E3331A">
              <w:rPr>
                <w:w w:val="95"/>
              </w:rPr>
              <w:t>25</w:t>
            </w:r>
          </w:p>
        </w:tc>
        <w:tc>
          <w:tcPr>
            <w:tcW w:w="550" w:type="pct"/>
          </w:tcPr>
          <w:p w:rsidR="001F5B33" w:rsidRPr="00E3331A" w:rsidRDefault="001F5B33" w:rsidP="00D77378">
            <w:pPr>
              <w:pStyle w:val="Tablecontents"/>
              <w:rPr>
                <w:rFonts w:eastAsia="Lucida Sans" w:cs="Lucida Sans"/>
              </w:rPr>
            </w:pPr>
            <w:r w:rsidRPr="00E3331A">
              <w:rPr>
                <w:w w:val="95"/>
              </w:rPr>
              <w:t>12</w:t>
            </w:r>
          </w:p>
        </w:tc>
        <w:tc>
          <w:tcPr>
            <w:tcW w:w="629" w:type="pct"/>
          </w:tcPr>
          <w:p w:rsidR="001F5B33" w:rsidRPr="00E3331A" w:rsidRDefault="001F5B33" w:rsidP="00D77378">
            <w:pPr>
              <w:pStyle w:val="Tablecontents"/>
              <w:rPr>
                <w:rFonts w:eastAsia="Lucida Sans" w:cs="Lucida Sans"/>
              </w:rPr>
            </w:pPr>
            <w:r w:rsidRPr="00E3331A">
              <w:t>0.0280</w:t>
            </w:r>
          </w:p>
        </w:tc>
        <w:tc>
          <w:tcPr>
            <w:tcW w:w="472" w:type="pct"/>
          </w:tcPr>
          <w:p w:rsidR="001F5B33" w:rsidRPr="00E3331A" w:rsidRDefault="001F5B33" w:rsidP="00D77378">
            <w:pPr>
              <w:pStyle w:val="Tablecontents"/>
              <w:rPr>
                <w:rFonts w:eastAsia="Lucida Sans" w:cs="Lucida Sans"/>
              </w:rPr>
            </w:pPr>
            <w:r w:rsidRPr="00E3331A">
              <w:rPr>
                <w:w w:val="95"/>
              </w:rPr>
              <w:t>81</w:t>
            </w:r>
          </w:p>
        </w:tc>
        <w:tc>
          <w:tcPr>
            <w:tcW w:w="550" w:type="pct"/>
          </w:tcPr>
          <w:p w:rsidR="001F5B33" w:rsidRPr="00E3331A" w:rsidRDefault="001F5B33" w:rsidP="00D77378">
            <w:pPr>
              <w:pStyle w:val="Tablecontents"/>
              <w:rPr>
                <w:rFonts w:eastAsia="Lucida Sans" w:cs="Lucida Sans"/>
              </w:rPr>
            </w:pPr>
            <w:r w:rsidRPr="00E3331A">
              <w:rPr>
                <w:w w:val="95"/>
              </w:rPr>
              <w:t>25</w:t>
            </w:r>
          </w:p>
        </w:tc>
        <w:tc>
          <w:tcPr>
            <w:tcW w:w="522" w:type="pct"/>
          </w:tcPr>
          <w:p w:rsidR="001F5B33" w:rsidRPr="00E3331A" w:rsidRDefault="001F5B33" w:rsidP="00D77378">
            <w:pPr>
              <w:pStyle w:val="Tablecontents"/>
              <w:rPr>
                <w:rFonts w:eastAsia="Lucida Sans" w:cs="Lucida Sans"/>
              </w:rPr>
            </w:pPr>
            <w:r w:rsidRPr="00E3331A">
              <w:t>&lt;.0001</w:t>
            </w:r>
          </w:p>
        </w:tc>
      </w:tr>
      <w:tr w:rsidR="001F5B33" w:rsidRPr="00E3331A" w:rsidTr="00D77378">
        <w:tc>
          <w:tcPr>
            <w:tcW w:w="1806" w:type="pct"/>
          </w:tcPr>
          <w:p w:rsidR="001F5B33" w:rsidRPr="00E3331A" w:rsidRDefault="001F5B33" w:rsidP="00D77378">
            <w:pPr>
              <w:pStyle w:val="Tablecontents"/>
            </w:pPr>
            <w:r w:rsidRPr="00E3331A">
              <w:t>CAD</w:t>
            </w:r>
          </w:p>
        </w:tc>
        <w:tc>
          <w:tcPr>
            <w:tcW w:w="471" w:type="pct"/>
          </w:tcPr>
          <w:p w:rsidR="001F5B33" w:rsidRPr="00E3331A" w:rsidRDefault="001F5B33" w:rsidP="00D77378">
            <w:pPr>
              <w:pStyle w:val="Tablecontents"/>
              <w:rPr>
                <w:rFonts w:eastAsia="Lucida Sans" w:cs="Lucida Sans"/>
              </w:rPr>
            </w:pPr>
            <w:r w:rsidRPr="00E3331A">
              <w:rPr>
                <w:w w:val="95"/>
              </w:rPr>
              <w:t>22</w:t>
            </w:r>
          </w:p>
        </w:tc>
        <w:tc>
          <w:tcPr>
            <w:tcW w:w="550" w:type="pct"/>
          </w:tcPr>
          <w:p w:rsidR="001F5B33" w:rsidRPr="00E3331A" w:rsidRDefault="001F5B33" w:rsidP="00D77378">
            <w:pPr>
              <w:pStyle w:val="Tablecontents"/>
              <w:rPr>
                <w:rFonts w:eastAsia="Lucida Sans" w:cs="Lucida Sans"/>
              </w:rPr>
            </w:pPr>
            <w:r w:rsidRPr="00E3331A">
              <w:rPr>
                <w:w w:val="95"/>
              </w:rPr>
              <w:t>23</w:t>
            </w:r>
          </w:p>
        </w:tc>
        <w:tc>
          <w:tcPr>
            <w:tcW w:w="629" w:type="pct"/>
          </w:tcPr>
          <w:p w:rsidR="001F5B33" w:rsidRPr="00E3331A" w:rsidRDefault="001F5B33" w:rsidP="00D77378">
            <w:pPr>
              <w:pStyle w:val="Tablecontents"/>
              <w:rPr>
                <w:rFonts w:eastAsia="Lucida Sans" w:cs="Lucida Sans"/>
              </w:rPr>
            </w:pPr>
            <w:r w:rsidRPr="00E3331A">
              <w:t>0.8788</w:t>
            </w:r>
          </w:p>
        </w:tc>
        <w:tc>
          <w:tcPr>
            <w:tcW w:w="472" w:type="pct"/>
          </w:tcPr>
          <w:p w:rsidR="001F5B33" w:rsidRPr="00E3331A" w:rsidRDefault="001F5B33" w:rsidP="00D77378">
            <w:pPr>
              <w:pStyle w:val="Tablecontents"/>
              <w:rPr>
                <w:rFonts w:eastAsia="Lucida Sans" w:cs="Lucida Sans"/>
              </w:rPr>
            </w:pPr>
            <w:r w:rsidRPr="00E3331A">
              <w:rPr>
                <w:w w:val="95"/>
              </w:rPr>
              <w:t>62</w:t>
            </w:r>
          </w:p>
        </w:tc>
        <w:tc>
          <w:tcPr>
            <w:tcW w:w="550" w:type="pct"/>
          </w:tcPr>
          <w:p w:rsidR="001F5B33" w:rsidRPr="00E3331A" w:rsidRDefault="001F5B33" w:rsidP="00D77378">
            <w:pPr>
              <w:pStyle w:val="Tablecontents"/>
              <w:rPr>
                <w:rFonts w:eastAsia="Lucida Sans" w:cs="Lucida Sans"/>
              </w:rPr>
            </w:pPr>
            <w:r w:rsidRPr="00E3331A">
              <w:rPr>
                <w:w w:val="95"/>
              </w:rPr>
              <w:t>52</w:t>
            </w:r>
          </w:p>
        </w:tc>
        <w:tc>
          <w:tcPr>
            <w:tcW w:w="522" w:type="pct"/>
          </w:tcPr>
          <w:p w:rsidR="001F5B33" w:rsidRPr="00E3331A" w:rsidRDefault="001F5B33" w:rsidP="00D77378">
            <w:pPr>
              <w:pStyle w:val="Tablecontents"/>
              <w:rPr>
                <w:rFonts w:eastAsia="Lucida Sans" w:cs="Lucida Sans"/>
              </w:rPr>
            </w:pPr>
            <w:r w:rsidRPr="00E3331A">
              <w:t>0.3124</w:t>
            </w:r>
          </w:p>
        </w:tc>
      </w:tr>
      <w:tr w:rsidR="001F5B33" w:rsidRPr="00E3331A" w:rsidTr="00D77378">
        <w:tc>
          <w:tcPr>
            <w:tcW w:w="1806" w:type="pct"/>
          </w:tcPr>
          <w:p w:rsidR="001F5B33" w:rsidRPr="00E3331A" w:rsidRDefault="001F5B33" w:rsidP="00D77378">
            <w:pPr>
              <w:pStyle w:val="Tablecontents"/>
            </w:pPr>
            <w:r w:rsidRPr="00E3331A">
              <w:t>Diabetes</w:t>
            </w:r>
          </w:p>
        </w:tc>
        <w:tc>
          <w:tcPr>
            <w:tcW w:w="471" w:type="pct"/>
          </w:tcPr>
          <w:p w:rsidR="001F5B33" w:rsidRPr="00E3331A" w:rsidRDefault="001F5B33" w:rsidP="00D77378">
            <w:pPr>
              <w:pStyle w:val="Tablecontents"/>
              <w:rPr>
                <w:rFonts w:eastAsia="Lucida Sans" w:cs="Lucida Sans"/>
              </w:rPr>
            </w:pPr>
            <w:r w:rsidRPr="00E3331A">
              <w:rPr>
                <w:w w:val="95"/>
              </w:rPr>
              <w:t>87</w:t>
            </w:r>
          </w:p>
        </w:tc>
        <w:tc>
          <w:tcPr>
            <w:tcW w:w="550" w:type="pct"/>
          </w:tcPr>
          <w:p w:rsidR="001F5B33" w:rsidRPr="00E3331A" w:rsidRDefault="001F5B33" w:rsidP="00D77378">
            <w:pPr>
              <w:pStyle w:val="Tablecontents"/>
              <w:rPr>
                <w:rFonts w:eastAsia="Lucida Sans" w:cs="Lucida Sans"/>
              </w:rPr>
            </w:pPr>
            <w:r w:rsidRPr="00E3331A">
              <w:t>112</w:t>
            </w:r>
          </w:p>
        </w:tc>
        <w:tc>
          <w:tcPr>
            <w:tcW w:w="629" w:type="pct"/>
          </w:tcPr>
          <w:p w:rsidR="001F5B33" w:rsidRPr="00E3331A" w:rsidRDefault="001F5B33" w:rsidP="00D77378">
            <w:pPr>
              <w:pStyle w:val="Tablecontents"/>
              <w:rPr>
                <w:rFonts w:eastAsia="Lucida Sans" w:cs="Lucida Sans"/>
              </w:rPr>
            </w:pPr>
            <w:r w:rsidRPr="00E3331A">
              <w:t>0.0176</w:t>
            </w:r>
          </w:p>
        </w:tc>
        <w:tc>
          <w:tcPr>
            <w:tcW w:w="472" w:type="pct"/>
          </w:tcPr>
          <w:p w:rsidR="001F5B33" w:rsidRPr="00E3331A" w:rsidRDefault="001F5B33" w:rsidP="00D77378">
            <w:pPr>
              <w:pStyle w:val="Tablecontents"/>
              <w:rPr>
                <w:rFonts w:eastAsia="Lucida Sans" w:cs="Lucida Sans"/>
              </w:rPr>
            </w:pPr>
            <w:r w:rsidRPr="00E3331A">
              <w:t>172</w:t>
            </w:r>
          </w:p>
        </w:tc>
        <w:tc>
          <w:tcPr>
            <w:tcW w:w="550" w:type="pct"/>
          </w:tcPr>
          <w:p w:rsidR="001F5B33" w:rsidRPr="00E3331A" w:rsidRDefault="001F5B33" w:rsidP="00D77378">
            <w:pPr>
              <w:pStyle w:val="Tablecontents"/>
              <w:rPr>
                <w:rFonts w:eastAsia="Lucida Sans" w:cs="Lucida Sans"/>
              </w:rPr>
            </w:pPr>
            <w:r w:rsidRPr="00E3331A">
              <w:t>147</w:t>
            </w:r>
          </w:p>
        </w:tc>
        <w:tc>
          <w:tcPr>
            <w:tcW w:w="522" w:type="pct"/>
          </w:tcPr>
          <w:p w:rsidR="001F5B33" w:rsidRPr="00E3331A" w:rsidRDefault="001F5B33" w:rsidP="00D77378">
            <w:pPr>
              <w:pStyle w:val="Tablecontents"/>
              <w:rPr>
                <w:rFonts w:eastAsia="Lucida Sans" w:cs="Lucida Sans"/>
              </w:rPr>
            </w:pPr>
            <w:r w:rsidRPr="00E3331A">
              <w:t>0.0867</w:t>
            </w:r>
          </w:p>
        </w:tc>
      </w:tr>
      <w:tr w:rsidR="001F5B33" w:rsidRPr="00E3331A" w:rsidTr="00D77378">
        <w:tc>
          <w:tcPr>
            <w:tcW w:w="1806" w:type="pct"/>
          </w:tcPr>
          <w:p w:rsidR="001F5B33" w:rsidRPr="00E3331A" w:rsidRDefault="00E810A5" w:rsidP="00D77378">
            <w:pPr>
              <w:pStyle w:val="Tablecontents"/>
              <w:rPr>
                <w:rFonts w:eastAsia="Lucida Sans" w:cs="Lucida Sans"/>
              </w:rPr>
            </w:pPr>
            <w:r w:rsidRPr="00E3331A">
              <w:t>Dyslipidae</w:t>
            </w:r>
            <w:r w:rsidRPr="00E3331A">
              <w:rPr>
                <w:spacing w:val="-2"/>
              </w:rPr>
              <w:t>mia</w:t>
            </w:r>
          </w:p>
        </w:tc>
        <w:tc>
          <w:tcPr>
            <w:tcW w:w="471" w:type="pct"/>
          </w:tcPr>
          <w:p w:rsidR="001F5B33" w:rsidRPr="00E3331A" w:rsidRDefault="001F5B33" w:rsidP="00D77378">
            <w:pPr>
              <w:pStyle w:val="Tablecontents"/>
              <w:rPr>
                <w:rFonts w:eastAsia="Lucida Sans" w:cs="Lucida Sans"/>
              </w:rPr>
            </w:pPr>
            <w:r w:rsidRPr="00E3331A">
              <w:t>215</w:t>
            </w:r>
          </w:p>
        </w:tc>
        <w:tc>
          <w:tcPr>
            <w:tcW w:w="550" w:type="pct"/>
          </w:tcPr>
          <w:p w:rsidR="001F5B33" w:rsidRPr="00E3331A" w:rsidRDefault="001F5B33" w:rsidP="00D77378">
            <w:pPr>
              <w:pStyle w:val="Tablecontents"/>
              <w:rPr>
                <w:rFonts w:eastAsia="Lucida Sans" w:cs="Lucida Sans"/>
              </w:rPr>
            </w:pPr>
            <w:r w:rsidRPr="00E3331A">
              <w:t>237</w:t>
            </w:r>
          </w:p>
        </w:tc>
        <w:tc>
          <w:tcPr>
            <w:tcW w:w="629" w:type="pct"/>
          </w:tcPr>
          <w:p w:rsidR="001F5B33" w:rsidRPr="00E3331A" w:rsidRDefault="001F5B33" w:rsidP="00D77378">
            <w:pPr>
              <w:pStyle w:val="Tablecontents"/>
              <w:rPr>
                <w:rFonts w:eastAsia="Lucida Sans" w:cs="Lucida Sans"/>
              </w:rPr>
            </w:pPr>
            <w:r w:rsidRPr="00E3331A">
              <w:t>0.1806</w:t>
            </w:r>
          </w:p>
        </w:tc>
        <w:tc>
          <w:tcPr>
            <w:tcW w:w="472" w:type="pct"/>
          </w:tcPr>
          <w:p w:rsidR="001F5B33" w:rsidRPr="00E3331A" w:rsidRDefault="001F5B33" w:rsidP="00D77378">
            <w:pPr>
              <w:pStyle w:val="Tablecontents"/>
              <w:rPr>
                <w:rFonts w:eastAsia="Lucida Sans" w:cs="Lucida Sans"/>
              </w:rPr>
            </w:pPr>
            <w:r w:rsidRPr="00E3331A">
              <w:t>361</w:t>
            </w:r>
          </w:p>
        </w:tc>
        <w:tc>
          <w:tcPr>
            <w:tcW w:w="550" w:type="pct"/>
          </w:tcPr>
          <w:p w:rsidR="001F5B33" w:rsidRPr="00E3331A" w:rsidRDefault="001F5B33" w:rsidP="00D77378">
            <w:pPr>
              <w:pStyle w:val="Tablecontents"/>
              <w:rPr>
                <w:rFonts w:eastAsia="Lucida Sans" w:cs="Lucida Sans"/>
              </w:rPr>
            </w:pPr>
            <w:r w:rsidRPr="00E3331A">
              <w:t>363</w:t>
            </w:r>
          </w:p>
        </w:tc>
        <w:tc>
          <w:tcPr>
            <w:tcW w:w="522" w:type="pct"/>
          </w:tcPr>
          <w:p w:rsidR="001F5B33" w:rsidRPr="00E3331A" w:rsidRDefault="001F5B33" w:rsidP="00D77378">
            <w:pPr>
              <w:pStyle w:val="Tablecontents"/>
              <w:rPr>
                <w:rFonts w:eastAsia="Lucida Sans" w:cs="Lucida Sans"/>
              </w:rPr>
            </w:pPr>
            <w:r w:rsidRPr="00E3331A">
              <w:t>0.9113</w:t>
            </w:r>
          </w:p>
        </w:tc>
      </w:tr>
      <w:tr w:rsidR="001F5B33" w:rsidRPr="00E3331A" w:rsidTr="00D77378">
        <w:tc>
          <w:tcPr>
            <w:tcW w:w="1806" w:type="pct"/>
          </w:tcPr>
          <w:p w:rsidR="001F5B33" w:rsidRPr="00E3331A" w:rsidRDefault="001F5B33" w:rsidP="00D77378">
            <w:pPr>
              <w:pStyle w:val="Tablecontents"/>
            </w:pPr>
            <w:r w:rsidRPr="00E3331A">
              <w:t>Hypertension</w:t>
            </w:r>
          </w:p>
        </w:tc>
        <w:tc>
          <w:tcPr>
            <w:tcW w:w="471" w:type="pct"/>
          </w:tcPr>
          <w:p w:rsidR="001F5B33" w:rsidRPr="00E3331A" w:rsidRDefault="001F5B33" w:rsidP="00D77378">
            <w:pPr>
              <w:pStyle w:val="Tablecontents"/>
              <w:rPr>
                <w:rFonts w:eastAsia="Lucida Sans" w:cs="Lucida Sans"/>
              </w:rPr>
            </w:pPr>
            <w:r w:rsidRPr="00E3331A">
              <w:t>233</w:t>
            </w:r>
          </w:p>
        </w:tc>
        <w:tc>
          <w:tcPr>
            <w:tcW w:w="550" w:type="pct"/>
          </w:tcPr>
          <w:p w:rsidR="001F5B33" w:rsidRPr="00E3331A" w:rsidRDefault="001F5B33" w:rsidP="00D77378">
            <w:pPr>
              <w:pStyle w:val="Tablecontents"/>
              <w:rPr>
                <w:rFonts w:eastAsia="Lucida Sans" w:cs="Lucida Sans"/>
              </w:rPr>
            </w:pPr>
            <w:r w:rsidRPr="00E3331A">
              <w:t>223</w:t>
            </w:r>
          </w:p>
        </w:tc>
        <w:tc>
          <w:tcPr>
            <w:tcW w:w="629" w:type="pct"/>
          </w:tcPr>
          <w:p w:rsidR="001F5B33" w:rsidRPr="00E3331A" w:rsidRDefault="001F5B33" w:rsidP="00D77378">
            <w:pPr>
              <w:pStyle w:val="Tablecontents"/>
              <w:rPr>
                <w:rFonts w:eastAsia="Lucida Sans" w:cs="Lucida Sans"/>
              </w:rPr>
            </w:pPr>
            <w:r w:rsidRPr="00E3331A">
              <w:t>0.5543</w:t>
            </w:r>
          </w:p>
        </w:tc>
        <w:tc>
          <w:tcPr>
            <w:tcW w:w="472" w:type="pct"/>
          </w:tcPr>
          <w:p w:rsidR="001F5B33" w:rsidRPr="00E3331A" w:rsidRDefault="001F5B33" w:rsidP="00D77378">
            <w:pPr>
              <w:pStyle w:val="Tablecontents"/>
              <w:rPr>
                <w:rFonts w:eastAsia="Lucida Sans" w:cs="Lucida Sans"/>
              </w:rPr>
            </w:pPr>
            <w:r w:rsidRPr="00E3331A">
              <w:t>364</w:t>
            </w:r>
          </w:p>
        </w:tc>
        <w:tc>
          <w:tcPr>
            <w:tcW w:w="550" w:type="pct"/>
          </w:tcPr>
          <w:p w:rsidR="001F5B33" w:rsidRPr="00E3331A" w:rsidRDefault="001F5B33" w:rsidP="00D77378">
            <w:pPr>
              <w:pStyle w:val="Tablecontents"/>
              <w:rPr>
                <w:rFonts w:eastAsia="Lucida Sans" w:cs="Lucida Sans"/>
              </w:rPr>
            </w:pPr>
            <w:r w:rsidRPr="00E3331A">
              <w:t>314</w:t>
            </w:r>
          </w:p>
        </w:tc>
        <w:tc>
          <w:tcPr>
            <w:tcW w:w="522" w:type="pct"/>
          </w:tcPr>
          <w:p w:rsidR="001F5B33" w:rsidRPr="00E3331A" w:rsidRDefault="001F5B33" w:rsidP="00D77378">
            <w:pPr>
              <w:pStyle w:val="Tablecontents"/>
              <w:rPr>
                <w:rFonts w:eastAsia="Lucida Sans" w:cs="Lucida Sans"/>
              </w:rPr>
            </w:pPr>
            <w:r w:rsidRPr="00E3331A">
              <w:t>0.0064</w:t>
            </w:r>
          </w:p>
        </w:tc>
      </w:tr>
      <w:tr w:rsidR="001F5B33" w:rsidRPr="00E3331A" w:rsidTr="00D77378">
        <w:tc>
          <w:tcPr>
            <w:tcW w:w="1806" w:type="pct"/>
          </w:tcPr>
          <w:p w:rsidR="001F5B33" w:rsidRPr="00E3331A" w:rsidRDefault="001F5B33" w:rsidP="00D77378">
            <w:pPr>
              <w:pStyle w:val="Tablecontents"/>
              <w:rPr>
                <w:rFonts w:eastAsia="Lucida Sans" w:cs="Lucida Sans"/>
              </w:rPr>
            </w:pPr>
            <w:r w:rsidRPr="00E3331A">
              <w:t>Hypothyroidism</w:t>
            </w:r>
          </w:p>
        </w:tc>
        <w:tc>
          <w:tcPr>
            <w:tcW w:w="471" w:type="pct"/>
          </w:tcPr>
          <w:p w:rsidR="001F5B33" w:rsidRPr="00E3331A" w:rsidRDefault="001F5B33" w:rsidP="00D77378">
            <w:pPr>
              <w:pStyle w:val="Tablecontents"/>
              <w:rPr>
                <w:rFonts w:eastAsia="Lucida Sans" w:cs="Lucida Sans"/>
              </w:rPr>
            </w:pPr>
            <w:r w:rsidRPr="00E3331A">
              <w:rPr>
                <w:w w:val="95"/>
              </w:rPr>
              <w:t>80</w:t>
            </w:r>
          </w:p>
        </w:tc>
        <w:tc>
          <w:tcPr>
            <w:tcW w:w="550" w:type="pct"/>
          </w:tcPr>
          <w:p w:rsidR="001F5B33" w:rsidRPr="00E3331A" w:rsidRDefault="001F5B33" w:rsidP="00D77378">
            <w:pPr>
              <w:pStyle w:val="Tablecontents"/>
              <w:rPr>
                <w:rFonts w:eastAsia="Lucida Sans" w:cs="Lucida Sans"/>
              </w:rPr>
            </w:pPr>
            <w:r w:rsidRPr="00E3331A">
              <w:rPr>
                <w:w w:val="95"/>
              </w:rPr>
              <w:t>53</w:t>
            </w:r>
          </w:p>
        </w:tc>
        <w:tc>
          <w:tcPr>
            <w:tcW w:w="629" w:type="pct"/>
          </w:tcPr>
          <w:p w:rsidR="001F5B33" w:rsidRPr="00E3331A" w:rsidRDefault="001F5B33" w:rsidP="00D77378">
            <w:pPr>
              <w:pStyle w:val="Tablecontents"/>
              <w:rPr>
                <w:rFonts w:eastAsia="Lucida Sans" w:cs="Lucida Sans"/>
              </w:rPr>
            </w:pPr>
            <w:r w:rsidRPr="00E3331A">
              <w:t>0.0126</w:t>
            </w:r>
          </w:p>
        </w:tc>
        <w:tc>
          <w:tcPr>
            <w:tcW w:w="472" w:type="pct"/>
          </w:tcPr>
          <w:p w:rsidR="001F5B33" w:rsidRPr="00E3331A" w:rsidRDefault="001F5B33" w:rsidP="00D77378">
            <w:pPr>
              <w:pStyle w:val="Tablecontents"/>
              <w:rPr>
                <w:rFonts w:eastAsia="Lucida Sans" w:cs="Lucida Sans"/>
              </w:rPr>
            </w:pPr>
            <w:r w:rsidRPr="00E3331A">
              <w:t>128</w:t>
            </w:r>
          </w:p>
        </w:tc>
        <w:tc>
          <w:tcPr>
            <w:tcW w:w="550" w:type="pct"/>
          </w:tcPr>
          <w:p w:rsidR="001F5B33" w:rsidRPr="00E3331A" w:rsidRDefault="001F5B33" w:rsidP="00D77378">
            <w:pPr>
              <w:pStyle w:val="Tablecontents"/>
              <w:rPr>
                <w:rFonts w:eastAsia="Lucida Sans" w:cs="Lucida Sans"/>
              </w:rPr>
            </w:pPr>
            <w:r w:rsidRPr="00E3331A">
              <w:rPr>
                <w:w w:val="95"/>
              </w:rPr>
              <w:t>86</w:t>
            </w:r>
          </w:p>
        </w:tc>
        <w:tc>
          <w:tcPr>
            <w:tcW w:w="522" w:type="pct"/>
          </w:tcPr>
          <w:p w:rsidR="001F5B33" w:rsidRPr="00E3331A" w:rsidRDefault="001F5B33" w:rsidP="00D77378">
            <w:pPr>
              <w:pStyle w:val="Tablecontents"/>
              <w:rPr>
                <w:rFonts w:eastAsia="Lucida Sans" w:cs="Lucida Sans"/>
              </w:rPr>
            </w:pPr>
            <w:r w:rsidRPr="00E3331A">
              <w:t>0.0016</w:t>
            </w:r>
          </w:p>
        </w:tc>
      </w:tr>
      <w:tr w:rsidR="001F5B33" w:rsidRPr="00E3331A" w:rsidTr="00D77378">
        <w:tc>
          <w:tcPr>
            <w:tcW w:w="1806" w:type="pct"/>
          </w:tcPr>
          <w:p w:rsidR="001F5B33" w:rsidRPr="00E3331A" w:rsidRDefault="001F5B33" w:rsidP="00D77378">
            <w:pPr>
              <w:pStyle w:val="Tablecontents"/>
            </w:pPr>
            <w:r w:rsidRPr="00E3331A">
              <w:t>IBD</w:t>
            </w:r>
          </w:p>
        </w:tc>
        <w:tc>
          <w:tcPr>
            <w:tcW w:w="471" w:type="pct"/>
          </w:tcPr>
          <w:p w:rsidR="001F5B33" w:rsidRPr="00E3331A" w:rsidRDefault="001F5B33" w:rsidP="00D77378">
            <w:pPr>
              <w:pStyle w:val="Tablecontents"/>
              <w:rPr>
                <w:rFonts w:eastAsia="Lucida Sans" w:cs="Lucida Sans"/>
              </w:rPr>
            </w:pPr>
            <w:r w:rsidRPr="00E3331A">
              <w:rPr>
                <w:w w:val="95"/>
              </w:rPr>
              <w:t>16</w:t>
            </w:r>
          </w:p>
        </w:tc>
        <w:tc>
          <w:tcPr>
            <w:tcW w:w="550" w:type="pct"/>
          </w:tcPr>
          <w:p w:rsidR="001F5B33" w:rsidRPr="00E3331A" w:rsidRDefault="001F5B33" w:rsidP="00D77378">
            <w:pPr>
              <w:pStyle w:val="Tablecontents"/>
              <w:rPr>
                <w:rFonts w:eastAsia="Lucida Sans" w:cs="Lucida Sans"/>
              </w:rPr>
            </w:pPr>
            <w:r w:rsidRPr="00E3331A">
              <w:rPr>
                <w:w w:val="95"/>
              </w:rPr>
              <w:t>14</w:t>
            </w:r>
          </w:p>
        </w:tc>
        <w:tc>
          <w:tcPr>
            <w:tcW w:w="629" w:type="pct"/>
          </w:tcPr>
          <w:p w:rsidR="001F5B33" w:rsidRPr="00E3331A" w:rsidRDefault="001F5B33" w:rsidP="00D77378">
            <w:pPr>
              <w:pStyle w:val="Tablecontents"/>
              <w:rPr>
                <w:rFonts w:eastAsia="Lucida Sans" w:cs="Lucida Sans"/>
              </w:rPr>
            </w:pPr>
            <w:r w:rsidRPr="00E3331A">
              <w:t>0.7150</w:t>
            </w:r>
          </w:p>
        </w:tc>
        <w:tc>
          <w:tcPr>
            <w:tcW w:w="472" w:type="pct"/>
          </w:tcPr>
          <w:p w:rsidR="001F5B33" w:rsidRPr="00E3331A" w:rsidRDefault="001F5B33" w:rsidP="00D77378">
            <w:pPr>
              <w:pStyle w:val="Tablecontents"/>
              <w:rPr>
                <w:rFonts w:eastAsia="Lucida Sans" w:cs="Lucida Sans"/>
              </w:rPr>
            </w:pPr>
            <w:r w:rsidRPr="00E3331A">
              <w:rPr>
                <w:w w:val="95"/>
              </w:rPr>
              <w:t>46</w:t>
            </w:r>
          </w:p>
        </w:tc>
        <w:tc>
          <w:tcPr>
            <w:tcW w:w="550" w:type="pct"/>
          </w:tcPr>
          <w:p w:rsidR="001F5B33" w:rsidRPr="00E3331A" w:rsidRDefault="001F5B33" w:rsidP="00D77378">
            <w:pPr>
              <w:pStyle w:val="Tablecontents"/>
              <w:rPr>
                <w:rFonts w:eastAsia="Lucida Sans" w:cs="Lucida Sans"/>
              </w:rPr>
            </w:pPr>
            <w:r w:rsidRPr="00E3331A">
              <w:rPr>
                <w:w w:val="95"/>
              </w:rPr>
              <w:t>25</w:t>
            </w:r>
          </w:p>
        </w:tc>
        <w:tc>
          <w:tcPr>
            <w:tcW w:w="522" w:type="pct"/>
          </w:tcPr>
          <w:p w:rsidR="001F5B33" w:rsidRPr="00E3331A" w:rsidRDefault="001F5B33" w:rsidP="00D77378">
            <w:pPr>
              <w:pStyle w:val="Tablecontents"/>
              <w:rPr>
                <w:rFonts w:eastAsia="Lucida Sans" w:cs="Lucida Sans"/>
              </w:rPr>
            </w:pPr>
            <w:r w:rsidRPr="00E3331A">
              <w:t>0.0103</w:t>
            </w:r>
          </w:p>
        </w:tc>
      </w:tr>
      <w:tr w:rsidR="005C6F6D" w:rsidRPr="00E3331A" w:rsidTr="005C6F6D">
        <w:tc>
          <w:tcPr>
            <w:tcW w:w="5000" w:type="pct"/>
            <w:gridSpan w:val="7"/>
          </w:tcPr>
          <w:p w:rsidR="005C6F6D" w:rsidRPr="00E3331A" w:rsidRDefault="005C6F6D" w:rsidP="00D77378">
            <w:pPr>
              <w:pStyle w:val="Tablecontents"/>
            </w:pPr>
            <w:r w:rsidRPr="00E3331A">
              <w:rPr>
                <w:b/>
                <w:spacing w:val="-2"/>
              </w:rPr>
              <w:t>Characteri</w:t>
            </w:r>
            <w:r w:rsidRPr="00E3331A">
              <w:rPr>
                <w:b/>
              </w:rPr>
              <w:t>stic</w:t>
            </w:r>
          </w:p>
        </w:tc>
      </w:tr>
      <w:tr w:rsidR="001F5B33" w:rsidRPr="00E3331A" w:rsidTr="00D77378">
        <w:tc>
          <w:tcPr>
            <w:tcW w:w="1806" w:type="pct"/>
          </w:tcPr>
          <w:p w:rsidR="001F5B33" w:rsidRPr="00E3331A" w:rsidRDefault="001F5B33" w:rsidP="00D77378">
            <w:pPr>
              <w:pStyle w:val="Tablecontents"/>
            </w:pPr>
            <w:r w:rsidRPr="00E3331A">
              <w:lastRenderedPageBreak/>
              <w:t>Leuk</w:t>
            </w:r>
            <w:r w:rsidR="00591599" w:rsidRPr="00E3331A">
              <w:t>aemia</w:t>
            </w:r>
            <w:r w:rsidRPr="00E3331A">
              <w:t>/lymphoma</w:t>
            </w:r>
          </w:p>
        </w:tc>
        <w:tc>
          <w:tcPr>
            <w:tcW w:w="471" w:type="pct"/>
          </w:tcPr>
          <w:p w:rsidR="001F5B33" w:rsidRPr="00E3331A" w:rsidRDefault="001F5B33" w:rsidP="00D77378">
            <w:pPr>
              <w:pStyle w:val="Tablecontents"/>
              <w:rPr>
                <w:w w:val="95"/>
              </w:rPr>
            </w:pPr>
            <w:r w:rsidRPr="00E3331A">
              <w:rPr>
                <w:w w:val="95"/>
              </w:rPr>
              <w:t>26</w:t>
            </w:r>
          </w:p>
        </w:tc>
        <w:tc>
          <w:tcPr>
            <w:tcW w:w="550" w:type="pct"/>
          </w:tcPr>
          <w:p w:rsidR="001F5B33" w:rsidRPr="00E3331A" w:rsidRDefault="001F5B33" w:rsidP="00D77378">
            <w:pPr>
              <w:pStyle w:val="Tablecontents"/>
              <w:rPr>
                <w:w w:val="95"/>
              </w:rPr>
            </w:pPr>
            <w:r w:rsidRPr="00E3331A">
              <w:rPr>
                <w:w w:val="95"/>
              </w:rPr>
              <w:t>6</w:t>
            </w:r>
          </w:p>
        </w:tc>
        <w:tc>
          <w:tcPr>
            <w:tcW w:w="629" w:type="pct"/>
          </w:tcPr>
          <w:p w:rsidR="001F5B33" w:rsidRPr="00E3331A" w:rsidRDefault="001F5B33" w:rsidP="00D77378">
            <w:pPr>
              <w:pStyle w:val="Tablecontents"/>
            </w:pPr>
            <w:r w:rsidRPr="00E3331A">
              <w:t>0.0004</w:t>
            </w:r>
          </w:p>
        </w:tc>
        <w:tc>
          <w:tcPr>
            <w:tcW w:w="472" w:type="pct"/>
          </w:tcPr>
          <w:p w:rsidR="001F5B33" w:rsidRPr="00E3331A" w:rsidRDefault="001F5B33" w:rsidP="00D77378">
            <w:pPr>
              <w:pStyle w:val="Tablecontents"/>
              <w:rPr>
                <w:w w:val="95"/>
              </w:rPr>
            </w:pPr>
            <w:r w:rsidRPr="00E3331A">
              <w:rPr>
                <w:w w:val="95"/>
              </w:rPr>
              <w:t>84</w:t>
            </w:r>
          </w:p>
        </w:tc>
        <w:tc>
          <w:tcPr>
            <w:tcW w:w="550" w:type="pct"/>
          </w:tcPr>
          <w:p w:rsidR="001F5B33" w:rsidRPr="00E3331A" w:rsidRDefault="001F5B33" w:rsidP="00D77378">
            <w:pPr>
              <w:pStyle w:val="Tablecontents"/>
              <w:rPr>
                <w:w w:val="95"/>
              </w:rPr>
            </w:pPr>
            <w:r w:rsidRPr="00E3331A">
              <w:rPr>
                <w:w w:val="95"/>
              </w:rPr>
              <w:t>34</w:t>
            </w:r>
          </w:p>
        </w:tc>
        <w:tc>
          <w:tcPr>
            <w:tcW w:w="522" w:type="pct"/>
          </w:tcPr>
          <w:p w:rsidR="001F5B33" w:rsidRPr="00E3331A" w:rsidRDefault="001F5B33" w:rsidP="00D77378">
            <w:pPr>
              <w:pStyle w:val="Tablecontents"/>
            </w:pPr>
            <w:r w:rsidRPr="00E3331A">
              <w:t>&lt;.0001</w:t>
            </w:r>
          </w:p>
        </w:tc>
      </w:tr>
      <w:tr w:rsidR="001F5B33" w:rsidRPr="00E3331A" w:rsidTr="00D77378">
        <w:tc>
          <w:tcPr>
            <w:tcW w:w="1806" w:type="pct"/>
          </w:tcPr>
          <w:p w:rsidR="001F5B33" w:rsidRPr="00E3331A" w:rsidRDefault="001F5B33" w:rsidP="00D77378">
            <w:pPr>
              <w:pStyle w:val="Tablecontents"/>
            </w:pPr>
            <w:r w:rsidRPr="00E3331A">
              <w:rPr>
                <w:w w:val="105"/>
              </w:rPr>
              <w:t>Neurop</w:t>
            </w:r>
            <w:r w:rsidRPr="00E3331A">
              <w:rPr>
                <w:spacing w:val="-2"/>
                <w:w w:val="105"/>
              </w:rPr>
              <w:t>athic</w:t>
            </w:r>
            <w:r w:rsidR="0041507D" w:rsidRPr="00E3331A">
              <w:rPr>
                <w:spacing w:val="-29"/>
                <w:w w:val="105"/>
              </w:rPr>
              <w:t xml:space="preserve"> </w:t>
            </w:r>
            <w:r w:rsidRPr="00E3331A">
              <w:rPr>
                <w:w w:val="105"/>
              </w:rPr>
              <w:t>pain</w:t>
            </w:r>
          </w:p>
        </w:tc>
        <w:tc>
          <w:tcPr>
            <w:tcW w:w="471" w:type="pct"/>
          </w:tcPr>
          <w:p w:rsidR="001F5B33" w:rsidRPr="00E3331A" w:rsidRDefault="001F5B33" w:rsidP="00D77378">
            <w:pPr>
              <w:pStyle w:val="Tablecontents"/>
              <w:rPr>
                <w:w w:val="95"/>
              </w:rPr>
            </w:pPr>
            <w:r w:rsidRPr="00E3331A">
              <w:t>314</w:t>
            </w:r>
          </w:p>
        </w:tc>
        <w:tc>
          <w:tcPr>
            <w:tcW w:w="550" w:type="pct"/>
          </w:tcPr>
          <w:p w:rsidR="001F5B33" w:rsidRPr="00E3331A" w:rsidRDefault="001F5B33" w:rsidP="00D77378">
            <w:pPr>
              <w:pStyle w:val="Tablecontents"/>
              <w:rPr>
                <w:w w:val="95"/>
              </w:rPr>
            </w:pPr>
            <w:r w:rsidRPr="00E3331A">
              <w:rPr>
                <w:w w:val="95"/>
              </w:rPr>
              <w:t>23</w:t>
            </w:r>
          </w:p>
        </w:tc>
        <w:tc>
          <w:tcPr>
            <w:tcW w:w="629" w:type="pct"/>
          </w:tcPr>
          <w:p w:rsidR="001F5B33" w:rsidRPr="00E3331A" w:rsidRDefault="001F5B33" w:rsidP="00D77378">
            <w:pPr>
              <w:pStyle w:val="Tablecontents"/>
            </w:pPr>
            <w:r w:rsidRPr="00E3331A">
              <w:t>&lt;.0001</w:t>
            </w:r>
          </w:p>
        </w:tc>
        <w:tc>
          <w:tcPr>
            <w:tcW w:w="472" w:type="pct"/>
          </w:tcPr>
          <w:p w:rsidR="001F5B33" w:rsidRPr="00E3331A" w:rsidRDefault="001F5B33" w:rsidP="00D77378">
            <w:pPr>
              <w:pStyle w:val="Tablecontents"/>
              <w:rPr>
                <w:w w:val="95"/>
              </w:rPr>
            </w:pPr>
            <w:r w:rsidRPr="00E3331A">
              <w:t>455</w:t>
            </w:r>
          </w:p>
        </w:tc>
        <w:tc>
          <w:tcPr>
            <w:tcW w:w="550" w:type="pct"/>
          </w:tcPr>
          <w:p w:rsidR="001F5B33" w:rsidRPr="00E3331A" w:rsidRDefault="001F5B33" w:rsidP="00D77378">
            <w:pPr>
              <w:pStyle w:val="Tablecontents"/>
              <w:rPr>
                <w:w w:val="95"/>
              </w:rPr>
            </w:pPr>
            <w:r w:rsidRPr="00E3331A">
              <w:rPr>
                <w:w w:val="95"/>
              </w:rPr>
              <w:t>54</w:t>
            </w:r>
          </w:p>
        </w:tc>
        <w:tc>
          <w:tcPr>
            <w:tcW w:w="522" w:type="pct"/>
          </w:tcPr>
          <w:p w:rsidR="001F5B33" w:rsidRPr="00E3331A" w:rsidRDefault="001F5B33" w:rsidP="00D77378">
            <w:pPr>
              <w:pStyle w:val="Tablecontents"/>
            </w:pPr>
            <w:r w:rsidRPr="00E3331A">
              <w:t>&lt;.0001</w:t>
            </w:r>
          </w:p>
        </w:tc>
      </w:tr>
      <w:tr w:rsidR="001F5B33" w:rsidRPr="00E3331A" w:rsidTr="00D77378">
        <w:tc>
          <w:tcPr>
            <w:tcW w:w="1806" w:type="pct"/>
          </w:tcPr>
          <w:p w:rsidR="001F5B33" w:rsidRPr="00E3331A" w:rsidRDefault="001F5B33" w:rsidP="00D77378">
            <w:pPr>
              <w:pStyle w:val="Tablecontents"/>
            </w:pPr>
            <w:r w:rsidRPr="00E3331A">
              <w:t>Osteoarthritis</w:t>
            </w:r>
          </w:p>
        </w:tc>
        <w:tc>
          <w:tcPr>
            <w:tcW w:w="471" w:type="pct"/>
          </w:tcPr>
          <w:p w:rsidR="001F5B33" w:rsidRPr="00E3331A" w:rsidRDefault="001F5B33" w:rsidP="00D77378">
            <w:pPr>
              <w:pStyle w:val="Tablecontents"/>
              <w:rPr>
                <w:w w:val="95"/>
              </w:rPr>
            </w:pPr>
            <w:r w:rsidRPr="00E3331A">
              <w:rPr>
                <w:w w:val="95"/>
              </w:rPr>
              <w:t>65</w:t>
            </w:r>
          </w:p>
        </w:tc>
        <w:tc>
          <w:tcPr>
            <w:tcW w:w="550" w:type="pct"/>
          </w:tcPr>
          <w:p w:rsidR="001F5B33" w:rsidRPr="00E3331A" w:rsidRDefault="001F5B33" w:rsidP="00D77378">
            <w:pPr>
              <w:pStyle w:val="Tablecontents"/>
              <w:rPr>
                <w:w w:val="95"/>
              </w:rPr>
            </w:pPr>
            <w:r w:rsidRPr="00E3331A">
              <w:rPr>
                <w:w w:val="95"/>
              </w:rPr>
              <w:t>26</w:t>
            </w:r>
          </w:p>
        </w:tc>
        <w:tc>
          <w:tcPr>
            <w:tcW w:w="629" w:type="pct"/>
          </w:tcPr>
          <w:p w:rsidR="001F5B33" w:rsidRPr="00E3331A" w:rsidRDefault="001F5B33" w:rsidP="00D77378">
            <w:pPr>
              <w:pStyle w:val="Tablecontents"/>
            </w:pPr>
            <w:r w:rsidRPr="00E3331A">
              <w:t>&lt;.0001</w:t>
            </w:r>
          </w:p>
        </w:tc>
        <w:tc>
          <w:tcPr>
            <w:tcW w:w="472" w:type="pct"/>
          </w:tcPr>
          <w:p w:rsidR="001F5B33" w:rsidRPr="00E3331A" w:rsidRDefault="001F5B33" w:rsidP="00D77378">
            <w:pPr>
              <w:pStyle w:val="Tablecontents"/>
              <w:rPr>
                <w:w w:val="95"/>
              </w:rPr>
            </w:pPr>
            <w:r w:rsidRPr="00E3331A">
              <w:t>188</w:t>
            </w:r>
          </w:p>
        </w:tc>
        <w:tc>
          <w:tcPr>
            <w:tcW w:w="550" w:type="pct"/>
          </w:tcPr>
          <w:p w:rsidR="001F5B33" w:rsidRPr="00E3331A" w:rsidRDefault="001F5B33" w:rsidP="00D77378">
            <w:pPr>
              <w:pStyle w:val="Tablecontents"/>
              <w:rPr>
                <w:w w:val="95"/>
              </w:rPr>
            </w:pPr>
            <w:r w:rsidRPr="00E3331A">
              <w:rPr>
                <w:w w:val="95"/>
              </w:rPr>
              <w:t>62</w:t>
            </w:r>
          </w:p>
        </w:tc>
        <w:tc>
          <w:tcPr>
            <w:tcW w:w="522" w:type="pct"/>
          </w:tcPr>
          <w:p w:rsidR="001F5B33" w:rsidRPr="00E3331A" w:rsidRDefault="001F5B33" w:rsidP="00D77378">
            <w:pPr>
              <w:pStyle w:val="Tablecontents"/>
            </w:pPr>
            <w:r w:rsidRPr="00E3331A">
              <w:t>&lt;.0001</w:t>
            </w:r>
          </w:p>
        </w:tc>
      </w:tr>
      <w:tr w:rsidR="001F5B33" w:rsidRPr="00E3331A" w:rsidTr="00D77378">
        <w:tc>
          <w:tcPr>
            <w:tcW w:w="1806" w:type="pct"/>
          </w:tcPr>
          <w:p w:rsidR="001F5B33" w:rsidRPr="00E3331A" w:rsidRDefault="001F5B33" w:rsidP="00D77378">
            <w:pPr>
              <w:pStyle w:val="Tablecontents"/>
            </w:pPr>
            <w:r w:rsidRPr="00E3331A">
              <w:t>PVD</w:t>
            </w:r>
          </w:p>
        </w:tc>
        <w:tc>
          <w:tcPr>
            <w:tcW w:w="471" w:type="pct"/>
          </w:tcPr>
          <w:p w:rsidR="001F5B33" w:rsidRPr="00E3331A" w:rsidRDefault="001F5B33" w:rsidP="00D77378">
            <w:pPr>
              <w:pStyle w:val="Tablecontents"/>
              <w:rPr>
                <w:w w:val="95"/>
              </w:rPr>
            </w:pPr>
            <w:r w:rsidRPr="00E3331A">
              <w:rPr>
                <w:w w:val="95"/>
              </w:rPr>
              <w:t>17</w:t>
            </w:r>
          </w:p>
        </w:tc>
        <w:tc>
          <w:tcPr>
            <w:tcW w:w="550" w:type="pct"/>
          </w:tcPr>
          <w:p w:rsidR="001F5B33" w:rsidRPr="00E3331A" w:rsidRDefault="001F5B33" w:rsidP="00D77378">
            <w:pPr>
              <w:pStyle w:val="Tablecontents"/>
              <w:rPr>
                <w:w w:val="95"/>
              </w:rPr>
            </w:pPr>
            <w:r w:rsidRPr="00E3331A">
              <w:rPr>
                <w:w w:val="95"/>
              </w:rPr>
              <w:t>3</w:t>
            </w:r>
          </w:p>
        </w:tc>
        <w:tc>
          <w:tcPr>
            <w:tcW w:w="629" w:type="pct"/>
          </w:tcPr>
          <w:p w:rsidR="001F5B33" w:rsidRPr="00E3331A" w:rsidRDefault="001F5B33" w:rsidP="00D77378">
            <w:pPr>
              <w:pStyle w:val="Tablecontents"/>
            </w:pPr>
            <w:r w:rsidRPr="00E3331A">
              <w:t>0.0017</w:t>
            </w:r>
          </w:p>
        </w:tc>
        <w:tc>
          <w:tcPr>
            <w:tcW w:w="472" w:type="pct"/>
          </w:tcPr>
          <w:p w:rsidR="001F5B33" w:rsidRPr="00E3331A" w:rsidRDefault="001F5B33" w:rsidP="00D77378">
            <w:pPr>
              <w:pStyle w:val="Tablecontents"/>
              <w:rPr>
                <w:w w:val="95"/>
              </w:rPr>
            </w:pPr>
            <w:r w:rsidRPr="00E3331A">
              <w:rPr>
                <w:w w:val="95"/>
              </w:rPr>
              <w:t>50</w:t>
            </w:r>
          </w:p>
        </w:tc>
        <w:tc>
          <w:tcPr>
            <w:tcW w:w="550" w:type="pct"/>
          </w:tcPr>
          <w:p w:rsidR="001F5B33" w:rsidRPr="00E3331A" w:rsidRDefault="001F5B33" w:rsidP="00D77378">
            <w:pPr>
              <w:pStyle w:val="Tablecontents"/>
              <w:rPr>
                <w:w w:val="95"/>
              </w:rPr>
            </w:pPr>
            <w:r w:rsidRPr="00E3331A">
              <w:rPr>
                <w:w w:val="95"/>
              </w:rPr>
              <w:t>13</w:t>
            </w:r>
          </w:p>
        </w:tc>
        <w:tc>
          <w:tcPr>
            <w:tcW w:w="522" w:type="pct"/>
          </w:tcPr>
          <w:p w:rsidR="001F5B33" w:rsidRPr="00E3331A" w:rsidRDefault="001F5B33" w:rsidP="00D77378">
            <w:pPr>
              <w:pStyle w:val="Tablecontents"/>
            </w:pPr>
            <w:r w:rsidRPr="00E3331A">
              <w:t>&lt;.0001</w:t>
            </w:r>
          </w:p>
        </w:tc>
      </w:tr>
      <w:tr w:rsidR="001F5B33" w:rsidRPr="00E3331A" w:rsidTr="00D77378">
        <w:tc>
          <w:tcPr>
            <w:tcW w:w="1806" w:type="pct"/>
          </w:tcPr>
          <w:p w:rsidR="001F5B33" w:rsidRPr="00E3331A" w:rsidRDefault="001F5B33" w:rsidP="00D77378">
            <w:pPr>
              <w:pStyle w:val="Tablecontents"/>
            </w:pPr>
            <w:r w:rsidRPr="00E3331A">
              <w:t>Sleep</w:t>
            </w:r>
            <w:r w:rsidRPr="00E3331A">
              <w:rPr>
                <w:spacing w:val="-23"/>
              </w:rPr>
              <w:t xml:space="preserve"> </w:t>
            </w:r>
            <w:r w:rsidR="00E810A5" w:rsidRPr="00E3331A">
              <w:t>apnoea</w:t>
            </w:r>
          </w:p>
        </w:tc>
        <w:tc>
          <w:tcPr>
            <w:tcW w:w="471" w:type="pct"/>
          </w:tcPr>
          <w:p w:rsidR="001F5B33" w:rsidRPr="00E3331A" w:rsidRDefault="001F5B33" w:rsidP="00D77378">
            <w:pPr>
              <w:pStyle w:val="Tablecontents"/>
              <w:rPr>
                <w:w w:val="95"/>
              </w:rPr>
            </w:pPr>
            <w:r w:rsidRPr="00E3331A">
              <w:rPr>
                <w:w w:val="95"/>
              </w:rPr>
              <w:t>14</w:t>
            </w:r>
          </w:p>
        </w:tc>
        <w:tc>
          <w:tcPr>
            <w:tcW w:w="550" w:type="pct"/>
          </w:tcPr>
          <w:p w:rsidR="001F5B33" w:rsidRPr="00E3331A" w:rsidRDefault="001F5B33" w:rsidP="00D77378">
            <w:pPr>
              <w:pStyle w:val="Tablecontents"/>
              <w:rPr>
                <w:w w:val="95"/>
              </w:rPr>
            </w:pPr>
            <w:r w:rsidRPr="00E3331A">
              <w:rPr>
                <w:w w:val="95"/>
              </w:rPr>
              <w:t>5</w:t>
            </w:r>
          </w:p>
        </w:tc>
        <w:tc>
          <w:tcPr>
            <w:tcW w:w="629" w:type="pct"/>
          </w:tcPr>
          <w:p w:rsidR="001F5B33" w:rsidRPr="00E3331A" w:rsidRDefault="001F5B33" w:rsidP="00D77378">
            <w:pPr>
              <w:pStyle w:val="Tablecontents"/>
            </w:pPr>
            <w:r w:rsidRPr="00E3331A">
              <w:t>0.0290</w:t>
            </w:r>
          </w:p>
        </w:tc>
        <w:tc>
          <w:tcPr>
            <w:tcW w:w="472" w:type="pct"/>
          </w:tcPr>
          <w:p w:rsidR="001F5B33" w:rsidRPr="00E3331A" w:rsidRDefault="001F5B33" w:rsidP="00D77378">
            <w:pPr>
              <w:pStyle w:val="Tablecontents"/>
              <w:rPr>
                <w:w w:val="95"/>
              </w:rPr>
            </w:pPr>
            <w:r w:rsidRPr="00E3331A">
              <w:rPr>
                <w:w w:val="95"/>
              </w:rPr>
              <w:t>59</w:t>
            </w:r>
          </w:p>
        </w:tc>
        <w:tc>
          <w:tcPr>
            <w:tcW w:w="550" w:type="pct"/>
          </w:tcPr>
          <w:p w:rsidR="001F5B33" w:rsidRPr="00E3331A" w:rsidRDefault="001F5B33" w:rsidP="00D77378">
            <w:pPr>
              <w:pStyle w:val="Tablecontents"/>
              <w:rPr>
                <w:w w:val="95"/>
              </w:rPr>
            </w:pPr>
            <w:r w:rsidRPr="00E3331A">
              <w:rPr>
                <w:w w:val="95"/>
              </w:rPr>
              <w:t>23</w:t>
            </w:r>
          </w:p>
        </w:tc>
        <w:tc>
          <w:tcPr>
            <w:tcW w:w="522" w:type="pct"/>
          </w:tcPr>
          <w:p w:rsidR="001F5B33" w:rsidRPr="00E3331A" w:rsidRDefault="001F5B33" w:rsidP="00D77378">
            <w:pPr>
              <w:pStyle w:val="Tablecontents"/>
            </w:pPr>
            <w:r w:rsidRPr="00E3331A">
              <w:t>&lt;.0001</w:t>
            </w:r>
          </w:p>
        </w:tc>
      </w:tr>
      <w:tr w:rsidR="005C6F6D" w:rsidRPr="00E3331A" w:rsidTr="005C6F6D">
        <w:tc>
          <w:tcPr>
            <w:tcW w:w="5000" w:type="pct"/>
            <w:gridSpan w:val="7"/>
          </w:tcPr>
          <w:p w:rsidR="005C6F6D" w:rsidRPr="00E3331A" w:rsidRDefault="005C6F6D" w:rsidP="00D77378">
            <w:pPr>
              <w:pStyle w:val="Tablecontents"/>
            </w:pPr>
            <w:r w:rsidRPr="00E3331A">
              <w:rPr>
                <w:b/>
              </w:rPr>
              <w:t>Common (&gt;5%) therapies of interest:</w:t>
            </w:r>
          </w:p>
        </w:tc>
      </w:tr>
      <w:tr w:rsidR="001F5B33" w:rsidRPr="00E3331A" w:rsidTr="00D77378">
        <w:tc>
          <w:tcPr>
            <w:tcW w:w="1806" w:type="pct"/>
          </w:tcPr>
          <w:p w:rsidR="001F5B33" w:rsidRPr="00E3331A" w:rsidRDefault="001F5B33" w:rsidP="00D77378">
            <w:pPr>
              <w:pStyle w:val="Tablecontents"/>
            </w:pPr>
            <w:r w:rsidRPr="00E3331A">
              <w:t>Anti-anxie</w:t>
            </w:r>
            <w:r w:rsidRPr="00E3331A">
              <w:rPr>
                <w:spacing w:val="-2"/>
              </w:rPr>
              <w:t>ty</w:t>
            </w:r>
            <w:r w:rsidRPr="00E3331A">
              <w:rPr>
                <w:spacing w:val="2"/>
              </w:rPr>
              <w:t xml:space="preserve"> </w:t>
            </w:r>
            <w:r w:rsidRPr="00E3331A">
              <w:t>medications</w:t>
            </w:r>
          </w:p>
        </w:tc>
        <w:tc>
          <w:tcPr>
            <w:tcW w:w="471" w:type="pct"/>
          </w:tcPr>
          <w:p w:rsidR="001F5B33" w:rsidRPr="00E3331A" w:rsidRDefault="001F5B33" w:rsidP="00D77378">
            <w:pPr>
              <w:pStyle w:val="Tablecontents"/>
              <w:rPr>
                <w:rFonts w:eastAsia="Lucida Sans" w:cs="Lucida Sans"/>
              </w:rPr>
            </w:pPr>
            <w:r w:rsidRPr="00E3331A">
              <w:rPr>
                <w:w w:val="95"/>
              </w:rPr>
              <w:t>14</w:t>
            </w:r>
          </w:p>
        </w:tc>
        <w:tc>
          <w:tcPr>
            <w:tcW w:w="550" w:type="pct"/>
          </w:tcPr>
          <w:p w:rsidR="001F5B33" w:rsidRPr="00E3331A" w:rsidRDefault="001F5B33" w:rsidP="00D77378">
            <w:pPr>
              <w:pStyle w:val="Tablecontents"/>
              <w:rPr>
                <w:rFonts w:eastAsia="Lucida Sans" w:cs="Lucida Sans"/>
              </w:rPr>
            </w:pPr>
            <w:r w:rsidRPr="00E3331A">
              <w:rPr>
                <w:w w:val="95"/>
              </w:rPr>
              <w:t>5</w:t>
            </w:r>
          </w:p>
        </w:tc>
        <w:tc>
          <w:tcPr>
            <w:tcW w:w="629" w:type="pct"/>
          </w:tcPr>
          <w:p w:rsidR="001F5B33" w:rsidRPr="00E3331A" w:rsidRDefault="001F5B33" w:rsidP="00D77378">
            <w:pPr>
              <w:pStyle w:val="Tablecontents"/>
              <w:rPr>
                <w:rFonts w:eastAsia="Lucida Sans" w:cs="Lucida Sans"/>
              </w:rPr>
            </w:pPr>
            <w:r w:rsidRPr="00E3331A">
              <w:t>0.0389</w:t>
            </w:r>
          </w:p>
        </w:tc>
        <w:tc>
          <w:tcPr>
            <w:tcW w:w="472" w:type="pct"/>
          </w:tcPr>
          <w:p w:rsidR="001F5B33" w:rsidRPr="00E3331A" w:rsidRDefault="001F5B33" w:rsidP="00D77378">
            <w:pPr>
              <w:pStyle w:val="Tablecontents"/>
              <w:rPr>
                <w:rFonts w:eastAsia="Lucida Sans" w:cs="Lucida Sans"/>
              </w:rPr>
            </w:pPr>
            <w:r w:rsidRPr="00E3331A">
              <w:rPr>
                <w:w w:val="95"/>
              </w:rPr>
              <w:t>50</w:t>
            </w:r>
          </w:p>
        </w:tc>
        <w:tc>
          <w:tcPr>
            <w:tcW w:w="550" w:type="pct"/>
          </w:tcPr>
          <w:p w:rsidR="001F5B33" w:rsidRPr="00E3331A" w:rsidRDefault="001F5B33" w:rsidP="00D77378">
            <w:pPr>
              <w:pStyle w:val="Tablecontents"/>
              <w:rPr>
                <w:rFonts w:eastAsia="Lucida Sans" w:cs="Lucida Sans"/>
              </w:rPr>
            </w:pPr>
            <w:r w:rsidRPr="00E3331A">
              <w:rPr>
                <w:w w:val="95"/>
              </w:rPr>
              <w:t>17</w:t>
            </w:r>
          </w:p>
        </w:tc>
        <w:tc>
          <w:tcPr>
            <w:tcW w:w="522" w:type="pct"/>
          </w:tcPr>
          <w:p w:rsidR="001F5B33" w:rsidRPr="00E3331A" w:rsidRDefault="001F5B33" w:rsidP="00D77378">
            <w:pPr>
              <w:pStyle w:val="Tablecontents"/>
              <w:rPr>
                <w:rFonts w:eastAsia="Lucida Sans" w:cs="Lucida Sans"/>
              </w:rPr>
            </w:pPr>
            <w:r w:rsidRPr="00E3331A">
              <w:t>&lt;.0001</w:t>
            </w:r>
          </w:p>
        </w:tc>
      </w:tr>
      <w:tr w:rsidR="001F5B33" w:rsidRPr="00E3331A" w:rsidTr="00D77378">
        <w:tc>
          <w:tcPr>
            <w:tcW w:w="1806" w:type="pct"/>
          </w:tcPr>
          <w:p w:rsidR="001F5B33" w:rsidRPr="00E3331A" w:rsidRDefault="001F5B33" w:rsidP="00D77378">
            <w:pPr>
              <w:pStyle w:val="Tablecontents"/>
            </w:pPr>
            <w:r w:rsidRPr="00E3331A">
              <w:t>Anti-</w:t>
            </w:r>
            <w:r w:rsidR="00E810A5" w:rsidRPr="00E3331A">
              <w:t>convulsant</w:t>
            </w:r>
          </w:p>
        </w:tc>
        <w:tc>
          <w:tcPr>
            <w:tcW w:w="471" w:type="pct"/>
          </w:tcPr>
          <w:p w:rsidR="001F5B33" w:rsidRPr="00E3331A" w:rsidRDefault="001F5B33" w:rsidP="00D77378">
            <w:pPr>
              <w:pStyle w:val="Tablecontents"/>
              <w:rPr>
                <w:rFonts w:eastAsia="Lucida Sans" w:cs="Lucida Sans"/>
              </w:rPr>
            </w:pPr>
            <w:r w:rsidRPr="00E3331A">
              <w:t>242</w:t>
            </w:r>
          </w:p>
        </w:tc>
        <w:tc>
          <w:tcPr>
            <w:tcW w:w="550" w:type="pct"/>
          </w:tcPr>
          <w:p w:rsidR="001F5B33" w:rsidRPr="00E3331A" w:rsidRDefault="001F5B33" w:rsidP="00D77378">
            <w:pPr>
              <w:pStyle w:val="Tablecontents"/>
              <w:rPr>
                <w:rFonts w:eastAsia="Lucida Sans" w:cs="Lucida Sans"/>
              </w:rPr>
            </w:pPr>
            <w:r w:rsidRPr="00E3331A">
              <w:rPr>
                <w:w w:val="95"/>
              </w:rPr>
              <w:t>40</w:t>
            </w:r>
          </w:p>
        </w:tc>
        <w:tc>
          <w:tcPr>
            <w:tcW w:w="629" w:type="pct"/>
          </w:tcPr>
          <w:p w:rsidR="001F5B33" w:rsidRPr="00E3331A" w:rsidRDefault="001F5B33" w:rsidP="00D77378">
            <w:pPr>
              <w:pStyle w:val="Tablecontents"/>
              <w:rPr>
                <w:rFonts w:eastAsia="Lucida Sans" w:cs="Lucida Sans"/>
              </w:rPr>
            </w:pPr>
            <w:r w:rsidRPr="00E3331A">
              <w:t>&lt;.0001</w:t>
            </w:r>
          </w:p>
        </w:tc>
        <w:tc>
          <w:tcPr>
            <w:tcW w:w="472" w:type="pct"/>
          </w:tcPr>
          <w:p w:rsidR="001F5B33" w:rsidRPr="00E3331A" w:rsidRDefault="001F5B33" w:rsidP="00D77378">
            <w:pPr>
              <w:pStyle w:val="Tablecontents"/>
              <w:rPr>
                <w:rFonts w:eastAsia="Lucida Sans" w:cs="Lucida Sans"/>
              </w:rPr>
            </w:pPr>
            <w:r w:rsidRPr="00E3331A">
              <w:t>361</w:t>
            </w:r>
          </w:p>
        </w:tc>
        <w:tc>
          <w:tcPr>
            <w:tcW w:w="550" w:type="pct"/>
          </w:tcPr>
          <w:p w:rsidR="001F5B33" w:rsidRPr="00E3331A" w:rsidRDefault="001F5B33" w:rsidP="00D77378">
            <w:pPr>
              <w:pStyle w:val="Tablecontents"/>
              <w:rPr>
                <w:rFonts w:eastAsia="Lucida Sans" w:cs="Lucida Sans"/>
              </w:rPr>
            </w:pPr>
            <w:r w:rsidRPr="00E3331A">
              <w:rPr>
                <w:w w:val="95"/>
              </w:rPr>
              <w:t>57</w:t>
            </w:r>
          </w:p>
        </w:tc>
        <w:tc>
          <w:tcPr>
            <w:tcW w:w="522" w:type="pct"/>
          </w:tcPr>
          <w:p w:rsidR="001F5B33" w:rsidRPr="00E3331A" w:rsidRDefault="001F5B33" w:rsidP="00D77378">
            <w:pPr>
              <w:pStyle w:val="Tablecontents"/>
              <w:rPr>
                <w:rFonts w:eastAsia="Lucida Sans" w:cs="Lucida Sans"/>
              </w:rPr>
            </w:pPr>
            <w:r w:rsidRPr="00E3331A">
              <w:t>&lt;.0001</w:t>
            </w:r>
          </w:p>
        </w:tc>
      </w:tr>
      <w:tr w:rsidR="001F5B33" w:rsidRPr="00E3331A" w:rsidTr="00D77378">
        <w:tc>
          <w:tcPr>
            <w:tcW w:w="1806" w:type="pct"/>
          </w:tcPr>
          <w:p w:rsidR="001F5B33" w:rsidRPr="00E3331A" w:rsidRDefault="001F5B33" w:rsidP="00D77378">
            <w:pPr>
              <w:pStyle w:val="Tablecontents"/>
            </w:pPr>
            <w:r w:rsidRPr="00E3331A">
              <w:t>Anti-depressants</w:t>
            </w:r>
          </w:p>
        </w:tc>
        <w:tc>
          <w:tcPr>
            <w:tcW w:w="471" w:type="pct"/>
          </w:tcPr>
          <w:p w:rsidR="001F5B33" w:rsidRPr="00E3331A" w:rsidRDefault="001F5B33" w:rsidP="00D77378">
            <w:pPr>
              <w:pStyle w:val="Tablecontents"/>
              <w:rPr>
                <w:rFonts w:eastAsia="Lucida Sans" w:cs="Lucida Sans"/>
              </w:rPr>
            </w:pPr>
            <w:r w:rsidRPr="00E3331A">
              <w:t>216</w:t>
            </w:r>
          </w:p>
        </w:tc>
        <w:tc>
          <w:tcPr>
            <w:tcW w:w="550" w:type="pct"/>
          </w:tcPr>
          <w:p w:rsidR="001F5B33" w:rsidRPr="00E3331A" w:rsidRDefault="001F5B33" w:rsidP="00D77378">
            <w:pPr>
              <w:pStyle w:val="Tablecontents"/>
              <w:rPr>
                <w:rFonts w:eastAsia="Lucida Sans" w:cs="Lucida Sans"/>
              </w:rPr>
            </w:pPr>
            <w:r w:rsidRPr="00E3331A">
              <w:t>108</w:t>
            </w:r>
          </w:p>
        </w:tc>
        <w:tc>
          <w:tcPr>
            <w:tcW w:w="629" w:type="pct"/>
          </w:tcPr>
          <w:p w:rsidR="001F5B33" w:rsidRPr="00E3331A" w:rsidRDefault="001F5B33" w:rsidP="00D77378">
            <w:pPr>
              <w:pStyle w:val="Tablecontents"/>
              <w:rPr>
                <w:rFonts w:eastAsia="Lucida Sans" w:cs="Lucida Sans"/>
              </w:rPr>
            </w:pPr>
            <w:r w:rsidRPr="00E3331A">
              <w:t>&lt;.0001</w:t>
            </w:r>
          </w:p>
        </w:tc>
        <w:tc>
          <w:tcPr>
            <w:tcW w:w="472" w:type="pct"/>
          </w:tcPr>
          <w:p w:rsidR="001F5B33" w:rsidRPr="00E3331A" w:rsidRDefault="001F5B33" w:rsidP="00D77378">
            <w:pPr>
              <w:pStyle w:val="Tablecontents"/>
              <w:rPr>
                <w:rFonts w:eastAsia="Lucida Sans" w:cs="Lucida Sans"/>
              </w:rPr>
            </w:pPr>
            <w:r w:rsidRPr="00E3331A">
              <w:t>349</w:t>
            </w:r>
          </w:p>
        </w:tc>
        <w:tc>
          <w:tcPr>
            <w:tcW w:w="550" w:type="pct"/>
          </w:tcPr>
          <w:p w:rsidR="001F5B33" w:rsidRPr="00E3331A" w:rsidRDefault="001F5B33" w:rsidP="00D77378">
            <w:pPr>
              <w:pStyle w:val="Tablecontents"/>
              <w:rPr>
                <w:rFonts w:eastAsia="Lucida Sans" w:cs="Lucida Sans"/>
              </w:rPr>
            </w:pPr>
            <w:r w:rsidRPr="00E3331A">
              <w:t>144</w:t>
            </w:r>
          </w:p>
        </w:tc>
        <w:tc>
          <w:tcPr>
            <w:tcW w:w="522" w:type="pct"/>
          </w:tcPr>
          <w:p w:rsidR="001F5B33" w:rsidRPr="00E3331A" w:rsidRDefault="001F5B33" w:rsidP="00D77378">
            <w:pPr>
              <w:pStyle w:val="Tablecontents"/>
              <w:rPr>
                <w:rFonts w:eastAsia="Lucida Sans" w:cs="Lucida Sans"/>
              </w:rPr>
            </w:pPr>
            <w:r w:rsidRPr="00E3331A">
              <w:t>&lt;.0001</w:t>
            </w:r>
          </w:p>
        </w:tc>
      </w:tr>
      <w:tr w:rsidR="001F5B33" w:rsidRPr="00E3331A" w:rsidTr="00D77378">
        <w:tc>
          <w:tcPr>
            <w:tcW w:w="1806" w:type="pct"/>
          </w:tcPr>
          <w:p w:rsidR="001F5B33" w:rsidRPr="00E3331A" w:rsidRDefault="001F5B33" w:rsidP="00D77378">
            <w:pPr>
              <w:pStyle w:val="Tablecontents"/>
            </w:pPr>
            <w:r w:rsidRPr="00E3331A">
              <w:t>Benzodiazepines</w:t>
            </w:r>
          </w:p>
        </w:tc>
        <w:tc>
          <w:tcPr>
            <w:tcW w:w="471" w:type="pct"/>
          </w:tcPr>
          <w:p w:rsidR="001F5B33" w:rsidRPr="00E3331A" w:rsidRDefault="001F5B33" w:rsidP="00D77378">
            <w:pPr>
              <w:pStyle w:val="Tablecontents"/>
              <w:rPr>
                <w:rFonts w:eastAsia="Lucida Sans" w:cs="Lucida Sans"/>
              </w:rPr>
            </w:pPr>
            <w:r w:rsidRPr="00E3331A">
              <w:t>121</w:t>
            </w:r>
          </w:p>
        </w:tc>
        <w:tc>
          <w:tcPr>
            <w:tcW w:w="550" w:type="pct"/>
          </w:tcPr>
          <w:p w:rsidR="001F5B33" w:rsidRPr="00E3331A" w:rsidRDefault="001F5B33" w:rsidP="00D77378">
            <w:pPr>
              <w:pStyle w:val="Tablecontents"/>
              <w:rPr>
                <w:rFonts w:eastAsia="Lucida Sans" w:cs="Lucida Sans"/>
              </w:rPr>
            </w:pPr>
            <w:r w:rsidRPr="00E3331A">
              <w:rPr>
                <w:w w:val="95"/>
              </w:rPr>
              <w:t>43</w:t>
            </w:r>
          </w:p>
        </w:tc>
        <w:tc>
          <w:tcPr>
            <w:tcW w:w="629" w:type="pct"/>
          </w:tcPr>
          <w:p w:rsidR="001F5B33" w:rsidRPr="00E3331A" w:rsidRDefault="001F5B33" w:rsidP="00D77378">
            <w:pPr>
              <w:pStyle w:val="Tablecontents"/>
              <w:rPr>
                <w:rFonts w:eastAsia="Lucida Sans" w:cs="Lucida Sans"/>
              </w:rPr>
            </w:pPr>
            <w:r w:rsidRPr="00E3331A">
              <w:t>&lt;.0001</w:t>
            </w:r>
          </w:p>
        </w:tc>
        <w:tc>
          <w:tcPr>
            <w:tcW w:w="472" w:type="pct"/>
          </w:tcPr>
          <w:p w:rsidR="001F5B33" w:rsidRPr="00E3331A" w:rsidRDefault="001F5B33" w:rsidP="00D77378">
            <w:pPr>
              <w:pStyle w:val="Tablecontents"/>
              <w:rPr>
                <w:rFonts w:eastAsia="Lucida Sans" w:cs="Lucida Sans"/>
              </w:rPr>
            </w:pPr>
            <w:r w:rsidRPr="00E3331A">
              <w:t>207</w:t>
            </w:r>
          </w:p>
        </w:tc>
        <w:tc>
          <w:tcPr>
            <w:tcW w:w="550" w:type="pct"/>
          </w:tcPr>
          <w:p w:rsidR="001F5B33" w:rsidRPr="00E3331A" w:rsidRDefault="001F5B33" w:rsidP="00D77378">
            <w:pPr>
              <w:pStyle w:val="Tablecontents"/>
              <w:rPr>
                <w:rFonts w:eastAsia="Lucida Sans" w:cs="Lucida Sans"/>
              </w:rPr>
            </w:pPr>
            <w:r w:rsidRPr="00E3331A">
              <w:rPr>
                <w:w w:val="95"/>
              </w:rPr>
              <w:t>75</w:t>
            </w:r>
          </w:p>
        </w:tc>
        <w:tc>
          <w:tcPr>
            <w:tcW w:w="522" w:type="pct"/>
          </w:tcPr>
          <w:p w:rsidR="001F5B33" w:rsidRPr="00E3331A" w:rsidRDefault="001F5B33" w:rsidP="00D77378">
            <w:pPr>
              <w:pStyle w:val="Tablecontents"/>
              <w:rPr>
                <w:rFonts w:eastAsia="Lucida Sans" w:cs="Lucida Sans"/>
              </w:rPr>
            </w:pPr>
            <w:r w:rsidRPr="00E3331A">
              <w:t>&lt;.0001</w:t>
            </w:r>
          </w:p>
        </w:tc>
      </w:tr>
      <w:tr w:rsidR="001F5B33" w:rsidRPr="00E3331A" w:rsidTr="00D77378">
        <w:tc>
          <w:tcPr>
            <w:tcW w:w="1806" w:type="pct"/>
          </w:tcPr>
          <w:p w:rsidR="001F5B33" w:rsidRPr="00E3331A" w:rsidRDefault="001F5B33" w:rsidP="00D77378">
            <w:pPr>
              <w:pStyle w:val="Tablecontents"/>
            </w:pPr>
            <w:r w:rsidRPr="00E3331A">
              <w:t>Central</w:t>
            </w:r>
            <w:r w:rsidRPr="00E3331A">
              <w:rPr>
                <w:spacing w:val="-3"/>
              </w:rPr>
              <w:t xml:space="preserve"> </w:t>
            </w:r>
            <w:r w:rsidRPr="00E3331A">
              <w:t>muscle</w:t>
            </w:r>
            <w:r w:rsidRPr="00E3331A">
              <w:rPr>
                <w:spacing w:val="-3"/>
              </w:rPr>
              <w:t xml:space="preserve"> </w:t>
            </w:r>
            <w:r w:rsidRPr="00E3331A">
              <w:t>relaxants</w:t>
            </w:r>
          </w:p>
        </w:tc>
        <w:tc>
          <w:tcPr>
            <w:tcW w:w="471" w:type="pct"/>
          </w:tcPr>
          <w:p w:rsidR="001F5B33" w:rsidRPr="00E3331A" w:rsidRDefault="001F5B33" w:rsidP="00D77378">
            <w:pPr>
              <w:pStyle w:val="Tablecontents"/>
              <w:rPr>
                <w:rFonts w:eastAsia="Lucida Sans" w:cs="Lucida Sans"/>
              </w:rPr>
            </w:pPr>
            <w:r w:rsidRPr="00E3331A">
              <w:rPr>
                <w:w w:val="95"/>
              </w:rPr>
              <w:t>93</w:t>
            </w:r>
          </w:p>
        </w:tc>
        <w:tc>
          <w:tcPr>
            <w:tcW w:w="550" w:type="pct"/>
          </w:tcPr>
          <w:p w:rsidR="001F5B33" w:rsidRPr="00E3331A" w:rsidRDefault="001F5B33" w:rsidP="00D77378">
            <w:pPr>
              <w:pStyle w:val="Tablecontents"/>
              <w:rPr>
                <w:rFonts w:eastAsia="Lucida Sans" w:cs="Lucida Sans"/>
              </w:rPr>
            </w:pPr>
            <w:r w:rsidRPr="00E3331A">
              <w:rPr>
                <w:w w:val="95"/>
              </w:rPr>
              <w:t>42</w:t>
            </w:r>
          </w:p>
        </w:tc>
        <w:tc>
          <w:tcPr>
            <w:tcW w:w="629" w:type="pct"/>
          </w:tcPr>
          <w:p w:rsidR="001F5B33" w:rsidRPr="00E3331A" w:rsidRDefault="001F5B33" w:rsidP="00D77378">
            <w:pPr>
              <w:pStyle w:val="Tablecontents"/>
              <w:rPr>
                <w:rFonts w:eastAsia="Lucida Sans" w:cs="Lucida Sans"/>
              </w:rPr>
            </w:pPr>
            <w:r w:rsidRPr="00E3331A">
              <w:t>&lt;.0001</w:t>
            </w:r>
          </w:p>
        </w:tc>
        <w:tc>
          <w:tcPr>
            <w:tcW w:w="472" w:type="pct"/>
          </w:tcPr>
          <w:p w:rsidR="001F5B33" w:rsidRPr="00E3331A" w:rsidRDefault="001F5B33" w:rsidP="00D77378">
            <w:pPr>
              <w:pStyle w:val="Tablecontents"/>
              <w:rPr>
                <w:rFonts w:eastAsia="Lucida Sans" w:cs="Lucida Sans"/>
              </w:rPr>
            </w:pPr>
            <w:r w:rsidRPr="00E3331A">
              <w:t>206</w:t>
            </w:r>
          </w:p>
        </w:tc>
        <w:tc>
          <w:tcPr>
            <w:tcW w:w="550" w:type="pct"/>
          </w:tcPr>
          <w:p w:rsidR="001F5B33" w:rsidRPr="00E3331A" w:rsidRDefault="001F5B33" w:rsidP="00D77378">
            <w:pPr>
              <w:pStyle w:val="Tablecontents"/>
              <w:rPr>
                <w:rFonts w:eastAsia="Lucida Sans" w:cs="Lucida Sans"/>
              </w:rPr>
            </w:pPr>
            <w:r w:rsidRPr="00E3331A">
              <w:rPr>
                <w:w w:val="95"/>
              </w:rPr>
              <w:t>71</w:t>
            </w:r>
          </w:p>
        </w:tc>
        <w:tc>
          <w:tcPr>
            <w:tcW w:w="522" w:type="pct"/>
          </w:tcPr>
          <w:p w:rsidR="001F5B33" w:rsidRPr="00E3331A" w:rsidRDefault="001F5B33" w:rsidP="00D77378">
            <w:pPr>
              <w:pStyle w:val="Tablecontents"/>
              <w:rPr>
                <w:rFonts w:eastAsia="Lucida Sans" w:cs="Lucida Sans"/>
              </w:rPr>
            </w:pPr>
            <w:r w:rsidRPr="00E3331A">
              <w:t>&lt;.0001</w:t>
            </w:r>
          </w:p>
        </w:tc>
      </w:tr>
      <w:tr w:rsidR="001F5B33" w:rsidRPr="00E3331A" w:rsidTr="00D77378">
        <w:tc>
          <w:tcPr>
            <w:tcW w:w="1806" w:type="pct"/>
          </w:tcPr>
          <w:p w:rsidR="001F5B33" w:rsidRPr="00E3331A" w:rsidRDefault="001F5B33" w:rsidP="00D77378">
            <w:pPr>
              <w:pStyle w:val="Tablecontents"/>
            </w:pPr>
            <w:r w:rsidRPr="00E3331A">
              <w:t>Lidocaine</w:t>
            </w:r>
          </w:p>
        </w:tc>
        <w:tc>
          <w:tcPr>
            <w:tcW w:w="471" w:type="pct"/>
          </w:tcPr>
          <w:p w:rsidR="001F5B33" w:rsidRPr="00E3331A" w:rsidRDefault="001F5B33" w:rsidP="00D77378">
            <w:pPr>
              <w:pStyle w:val="Tablecontents"/>
              <w:rPr>
                <w:rFonts w:eastAsia="Lucida Sans" w:cs="Lucida Sans"/>
              </w:rPr>
            </w:pPr>
            <w:r w:rsidRPr="00E3331A">
              <w:rPr>
                <w:w w:val="95"/>
              </w:rPr>
              <w:t>18</w:t>
            </w:r>
          </w:p>
        </w:tc>
        <w:tc>
          <w:tcPr>
            <w:tcW w:w="550" w:type="pct"/>
          </w:tcPr>
          <w:p w:rsidR="001F5B33" w:rsidRPr="00E3331A" w:rsidRDefault="001F5B33" w:rsidP="00D77378">
            <w:pPr>
              <w:pStyle w:val="Tablecontents"/>
              <w:rPr>
                <w:rFonts w:eastAsia="Lucida Sans" w:cs="Lucida Sans"/>
              </w:rPr>
            </w:pPr>
            <w:r w:rsidRPr="00E3331A">
              <w:rPr>
                <w:w w:val="95"/>
              </w:rPr>
              <w:t>0</w:t>
            </w:r>
          </w:p>
        </w:tc>
        <w:tc>
          <w:tcPr>
            <w:tcW w:w="629" w:type="pct"/>
          </w:tcPr>
          <w:p w:rsidR="001F5B33" w:rsidRPr="00E3331A" w:rsidRDefault="001F5B33" w:rsidP="00D77378">
            <w:pPr>
              <w:pStyle w:val="Tablecontents"/>
              <w:rPr>
                <w:rFonts w:eastAsia="Lucida Sans" w:cs="Lucida Sans"/>
              </w:rPr>
            </w:pPr>
            <w:r w:rsidRPr="00E3331A">
              <w:rPr>
                <w:w w:val="105"/>
              </w:rPr>
              <w:t>-</w:t>
            </w:r>
          </w:p>
        </w:tc>
        <w:tc>
          <w:tcPr>
            <w:tcW w:w="472" w:type="pct"/>
          </w:tcPr>
          <w:p w:rsidR="001F5B33" w:rsidRPr="00E3331A" w:rsidRDefault="001F5B33" w:rsidP="00D77378">
            <w:pPr>
              <w:pStyle w:val="Tablecontents"/>
              <w:rPr>
                <w:rFonts w:eastAsia="Lucida Sans" w:cs="Lucida Sans"/>
              </w:rPr>
            </w:pPr>
            <w:r w:rsidRPr="00E3331A">
              <w:rPr>
                <w:w w:val="95"/>
              </w:rPr>
              <w:t>52</w:t>
            </w:r>
          </w:p>
        </w:tc>
        <w:tc>
          <w:tcPr>
            <w:tcW w:w="550" w:type="pct"/>
          </w:tcPr>
          <w:p w:rsidR="001F5B33" w:rsidRPr="00E3331A" w:rsidRDefault="001F5B33" w:rsidP="00D77378">
            <w:pPr>
              <w:pStyle w:val="Tablecontents"/>
              <w:rPr>
                <w:rFonts w:eastAsia="Lucida Sans" w:cs="Lucida Sans"/>
              </w:rPr>
            </w:pPr>
            <w:r w:rsidRPr="00E3331A">
              <w:rPr>
                <w:w w:val="95"/>
              </w:rPr>
              <w:t>10</w:t>
            </w:r>
          </w:p>
        </w:tc>
        <w:tc>
          <w:tcPr>
            <w:tcW w:w="522" w:type="pct"/>
          </w:tcPr>
          <w:p w:rsidR="001F5B33" w:rsidRPr="00E3331A" w:rsidRDefault="001F5B33" w:rsidP="00D77378">
            <w:pPr>
              <w:pStyle w:val="Tablecontents"/>
              <w:rPr>
                <w:rFonts w:eastAsia="Lucida Sans" w:cs="Lucida Sans"/>
              </w:rPr>
            </w:pPr>
            <w:r w:rsidRPr="00E3331A">
              <w:t>&lt;.0001</w:t>
            </w:r>
          </w:p>
        </w:tc>
      </w:tr>
      <w:tr w:rsidR="001F5B33" w:rsidRPr="00E3331A" w:rsidTr="00D77378">
        <w:tc>
          <w:tcPr>
            <w:tcW w:w="1806" w:type="pct"/>
          </w:tcPr>
          <w:p w:rsidR="001F5B33" w:rsidRPr="00E3331A" w:rsidRDefault="001F5B33" w:rsidP="00D77378">
            <w:pPr>
              <w:pStyle w:val="Tablecontents"/>
            </w:pPr>
            <w:r w:rsidRPr="00E3331A">
              <w:t>NSAIDs</w:t>
            </w:r>
          </w:p>
        </w:tc>
        <w:tc>
          <w:tcPr>
            <w:tcW w:w="471" w:type="pct"/>
          </w:tcPr>
          <w:p w:rsidR="001F5B33" w:rsidRPr="00E3331A" w:rsidRDefault="001F5B33" w:rsidP="00D77378">
            <w:pPr>
              <w:pStyle w:val="Tablecontents"/>
              <w:rPr>
                <w:rFonts w:eastAsia="Lucida Sans" w:cs="Lucida Sans"/>
              </w:rPr>
            </w:pPr>
            <w:r w:rsidRPr="00E3331A">
              <w:t>142</w:t>
            </w:r>
          </w:p>
        </w:tc>
        <w:tc>
          <w:tcPr>
            <w:tcW w:w="550" w:type="pct"/>
          </w:tcPr>
          <w:p w:rsidR="001F5B33" w:rsidRPr="00E3331A" w:rsidRDefault="001F5B33" w:rsidP="00D77378">
            <w:pPr>
              <w:pStyle w:val="Tablecontents"/>
              <w:rPr>
                <w:rFonts w:eastAsia="Lucida Sans" w:cs="Lucida Sans"/>
              </w:rPr>
            </w:pPr>
            <w:r w:rsidRPr="00E3331A">
              <w:rPr>
                <w:w w:val="95"/>
              </w:rPr>
              <w:t>71</w:t>
            </w:r>
          </w:p>
        </w:tc>
        <w:tc>
          <w:tcPr>
            <w:tcW w:w="629" w:type="pct"/>
          </w:tcPr>
          <w:p w:rsidR="001F5B33" w:rsidRPr="00E3331A" w:rsidRDefault="001F5B33" w:rsidP="00D77378">
            <w:pPr>
              <w:pStyle w:val="Tablecontents"/>
              <w:rPr>
                <w:rFonts w:eastAsia="Lucida Sans" w:cs="Lucida Sans"/>
              </w:rPr>
            </w:pPr>
            <w:r w:rsidRPr="00E3331A">
              <w:t>&lt;.0001</w:t>
            </w:r>
          </w:p>
        </w:tc>
        <w:tc>
          <w:tcPr>
            <w:tcW w:w="472" w:type="pct"/>
          </w:tcPr>
          <w:p w:rsidR="001F5B33" w:rsidRPr="00E3331A" w:rsidRDefault="001F5B33" w:rsidP="00D77378">
            <w:pPr>
              <w:pStyle w:val="Tablecontents"/>
              <w:rPr>
                <w:rFonts w:eastAsia="Lucida Sans" w:cs="Lucida Sans"/>
              </w:rPr>
            </w:pPr>
            <w:r w:rsidRPr="00E3331A">
              <w:t>253</w:t>
            </w:r>
          </w:p>
        </w:tc>
        <w:tc>
          <w:tcPr>
            <w:tcW w:w="550" w:type="pct"/>
          </w:tcPr>
          <w:p w:rsidR="001F5B33" w:rsidRPr="00E3331A" w:rsidRDefault="001F5B33" w:rsidP="00D77378">
            <w:pPr>
              <w:pStyle w:val="Tablecontents"/>
              <w:rPr>
                <w:rFonts w:eastAsia="Lucida Sans" w:cs="Lucida Sans"/>
              </w:rPr>
            </w:pPr>
            <w:r w:rsidRPr="00E3331A">
              <w:t>137</w:t>
            </w:r>
          </w:p>
        </w:tc>
        <w:tc>
          <w:tcPr>
            <w:tcW w:w="522" w:type="pct"/>
          </w:tcPr>
          <w:p w:rsidR="001F5B33" w:rsidRPr="00E3331A" w:rsidRDefault="001F5B33" w:rsidP="00D77378">
            <w:pPr>
              <w:pStyle w:val="Tablecontents"/>
              <w:rPr>
                <w:rFonts w:eastAsia="Lucida Sans" w:cs="Lucida Sans"/>
              </w:rPr>
            </w:pPr>
            <w:r w:rsidRPr="00E3331A">
              <w:t>&lt;.0001</w:t>
            </w:r>
          </w:p>
        </w:tc>
      </w:tr>
      <w:tr w:rsidR="001F5B33" w:rsidRPr="00E3331A" w:rsidTr="00D77378">
        <w:tc>
          <w:tcPr>
            <w:tcW w:w="1806" w:type="pct"/>
          </w:tcPr>
          <w:p w:rsidR="001F5B33" w:rsidRPr="00E3331A" w:rsidRDefault="001F5B33" w:rsidP="00D77378">
            <w:pPr>
              <w:pStyle w:val="Tablecontents"/>
            </w:pPr>
            <w:r w:rsidRPr="00E3331A">
              <w:t>Opioids</w:t>
            </w:r>
          </w:p>
        </w:tc>
        <w:tc>
          <w:tcPr>
            <w:tcW w:w="471" w:type="pct"/>
          </w:tcPr>
          <w:p w:rsidR="001F5B33" w:rsidRPr="00E3331A" w:rsidRDefault="001F5B33" w:rsidP="00D77378">
            <w:pPr>
              <w:pStyle w:val="Tablecontents"/>
              <w:rPr>
                <w:rFonts w:eastAsia="Lucida Sans" w:cs="Lucida Sans"/>
              </w:rPr>
            </w:pPr>
            <w:r w:rsidRPr="00E3331A">
              <w:t>264</w:t>
            </w:r>
          </w:p>
        </w:tc>
        <w:tc>
          <w:tcPr>
            <w:tcW w:w="550" w:type="pct"/>
          </w:tcPr>
          <w:p w:rsidR="001F5B33" w:rsidRPr="00E3331A" w:rsidRDefault="001F5B33" w:rsidP="00D77378">
            <w:pPr>
              <w:pStyle w:val="Tablecontents"/>
              <w:rPr>
                <w:rFonts w:eastAsia="Lucida Sans" w:cs="Lucida Sans"/>
              </w:rPr>
            </w:pPr>
            <w:r w:rsidRPr="00E3331A">
              <w:t>128</w:t>
            </w:r>
          </w:p>
        </w:tc>
        <w:tc>
          <w:tcPr>
            <w:tcW w:w="629" w:type="pct"/>
          </w:tcPr>
          <w:p w:rsidR="001F5B33" w:rsidRPr="00E3331A" w:rsidRDefault="001F5B33" w:rsidP="00D77378">
            <w:pPr>
              <w:pStyle w:val="Tablecontents"/>
              <w:rPr>
                <w:rFonts w:eastAsia="Lucida Sans" w:cs="Lucida Sans"/>
              </w:rPr>
            </w:pPr>
            <w:r w:rsidRPr="00E3331A">
              <w:t>&lt;.0001</w:t>
            </w:r>
          </w:p>
        </w:tc>
        <w:tc>
          <w:tcPr>
            <w:tcW w:w="472" w:type="pct"/>
          </w:tcPr>
          <w:p w:rsidR="001F5B33" w:rsidRPr="00E3331A" w:rsidRDefault="001F5B33" w:rsidP="00D77378">
            <w:pPr>
              <w:pStyle w:val="Tablecontents"/>
              <w:rPr>
                <w:rFonts w:eastAsia="Lucida Sans" w:cs="Lucida Sans"/>
              </w:rPr>
            </w:pPr>
            <w:r w:rsidRPr="00E3331A">
              <w:t>479</w:t>
            </w:r>
          </w:p>
        </w:tc>
        <w:tc>
          <w:tcPr>
            <w:tcW w:w="550" w:type="pct"/>
          </w:tcPr>
          <w:p w:rsidR="001F5B33" w:rsidRPr="00E3331A" w:rsidRDefault="001F5B33" w:rsidP="00D77378">
            <w:pPr>
              <w:pStyle w:val="Tablecontents"/>
              <w:rPr>
                <w:rFonts w:eastAsia="Lucida Sans" w:cs="Lucida Sans"/>
              </w:rPr>
            </w:pPr>
            <w:r w:rsidRPr="00E3331A">
              <w:t>212</w:t>
            </w:r>
          </w:p>
        </w:tc>
        <w:tc>
          <w:tcPr>
            <w:tcW w:w="522" w:type="pct"/>
          </w:tcPr>
          <w:p w:rsidR="001F5B33" w:rsidRPr="00E3331A" w:rsidRDefault="001F5B33" w:rsidP="00D77378">
            <w:pPr>
              <w:pStyle w:val="Tablecontents"/>
              <w:rPr>
                <w:rFonts w:eastAsia="Lucida Sans" w:cs="Lucida Sans"/>
              </w:rPr>
            </w:pPr>
            <w:r w:rsidRPr="00E3331A">
              <w:t>&lt;.0001</w:t>
            </w:r>
          </w:p>
        </w:tc>
      </w:tr>
    </w:tbl>
    <w:p w:rsidR="00573C36" w:rsidRPr="00E3331A" w:rsidRDefault="001F5B33" w:rsidP="00067F8C">
      <w:pPr>
        <w:pStyle w:val="Tablenotes1"/>
      </w:pPr>
      <w:r w:rsidRPr="00E3331A">
        <w:t>CAD = Coronary artery disease; COPD = chronic obstructive pulmonary disease;</w:t>
      </w:r>
      <w:r w:rsidR="00E810A5">
        <w:t xml:space="preserve"> </w:t>
      </w:r>
      <w:r w:rsidRPr="00E3331A">
        <w:t>IBD = Inflammatory bowel disease; NSAIDs = nonsteroidal anti-inflammatory drugs; P</w:t>
      </w:r>
      <w:r w:rsidR="00CA085D" w:rsidRPr="00E3331A">
        <w:t>V</w:t>
      </w:r>
      <w:r w:rsidRPr="00E3331A">
        <w:t>D = Peripheral vascular disease; SD = standard deviation</w:t>
      </w:r>
      <w:r w:rsidR="00573C36" w:rsidRPr="00E3331A">
        <w:t xml:space="preserve"> </w:t>
      </w:r>
    </w:p>
    <w:p w:rsidR="001F5B33" w:rsidRPr="00E3331A" w:rsidRDefault="001F5B33" w:rsidP="00067F8C">
      <w:pPr>
        <w:pStyle w:val="Tablenotes1"/>
      </w:pPr>
      <w:r w:rsidRPr="00E3331A">
        <w:t xml:space="preserve">Source: Divino </w:t>
      </w:r>
      <w:r w:rsidR="00983BA7">
        <w:t xml:space="preserve">et al. </w:t>
      </w:r>
      <w:r w:rsidRPr="00E3331A">
        <w:t>(2018)</w:t>
      </w:r>
    </w:p>
    <w:p w:rsidR="001F5B33" w:rsidRPr="00E3331A" w:rsidRDefault="001F5B33" w:rsidP="00BB6E4C">
      <w:pPr>
        <w:pStyle w:val="BodyTextSTD"/>
      </w:pPr>
      <w:r w:rsidRPr="00E3331A">
        <w:t xml:space="preserve">The authors reported that CIDP </w:t>
      </w:r>
      <w:r w:rsidR="00CA085D" w:rsidRPr="00E3331A">
        <w:t xml:space="preserve">patients </w:t>
      </w:r>
      <w:r w:rsidRPr="00E3331A">
        <w:t>had greater neuropathic pain, back pain and osteoarthritis</w:t>
      </w:r>
      <w:r w:rsidR="00CF3D84" w:rsidRPr="00E3331A">
        <w:t>,</w:t>
      </w:r>
      <w:r w:rsidRPr="00E3331A">
        <w:t xml:space="preserve"> and more commonly utili</w:t>
      </w:r>
      <w:r w:rsidR="00591599" w:rsidRPr="00E3331A">
        <w:t>s</w:t>
      </w:r>
      <w:r w:rsidRPr="00E3331A">
        <w:t xml:space="preserve">ed opioids and anti-depressants. Average health costs were $116,330 </w:t>
      </w:r>
      <w:r w:rsidR="00CF3D84" w:rsidRPr="00E3331A">
        <w:t xml:space="preserve">(CIDP) </w:t>
      </w:r>
      <w:r w:rsidRPr="00E3331A">
        <w:t>compared to $15,586</w:t>
      </w:r>
      <w:r w:rsidR="00CF3D84" w:rsidRPr="00E3331A">
        <w:t xml:space="preserve"> (controls)</w:t>
      </w:r>
      <w:r w:rsidRPr="00E3331A">
        <w:t>. The average cost of CIDP treatment was $59,619.</w:t>
      </w:r>
    </w:p>
    <w:p w:rsidR="001F5B33" w:rsidRPr="00E3331A" w:rsidRDefault="001F5B33" w:rsidP="001F5B33">
      <w:pPr>
        <w:pStyle w:val="Caption"/>
      </w:pPr>
      <w:bookmarkStart w:id="409" w:name="_Ref8150364"/>
      <w:bookmarkStart w:id="410" w:name="_Toc24103371"/>
      <w:r w:rsidRPr="00E3331A">
        <w:t xml:space="preserve">Table </w:t>
      </w:r>
      <w:r w:rsidR="006F35B9">
        <w:rPr>
          <w:noProof/>
        </w:rPr>
        <w:t>65</w:t>
      </w:r>
      <w:bookmarkEnd w:id="409"/>
      <w:r w:rsidR="00CF3D84" w:rsidRPr="00E3331A">
        <w:tab/>
      </w:r>
      <w:r w:rsidRPr="00E3331A">
        <w:t xml:space="preserve">Healthcare cost </w:t>
      </w:r>
      <w:r w:rsidR="00CF3D84" w:rsidRPr="00E3331A">
        <w:t xml:space="preserve">(US$) </w:t>
      </w:r>
      <w:r w:rsidRPr="00E3331A">
        <w:t>per patient over the 2-year follow-up</w:t>
      </w:r>
      <w:bookmarkEnd w:id="4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981"/>
        <w:gridCol w:w="1298"/>
        <w:gridCol w:w="1302"/>
        <w:gridCol w:w="1435"/>
      </w:tblGrid>
      <w:tr w:rsidR="001F5B33" w:rsidRPr="00E3331A" w:rsidTr="00493DDF">
        <w:trPr>
          <w:trHeight w:val="227"/>
        </w:trPr>
        <w:tc>
          <w:tcPr>
            <w:tcW w:w="2762" w:type="pct"/>
            <w:tcBorders>
              <w:top w:val="single" w:sz="4" w:space="0" w:color="auto"/>
            </w:tcBorders>
            <w:vAlign w:val="center"/>
          </w:tcPr>
          <w:p w:rsidR="001F5B33" w:rsidRPr="00E3331A" w:rsidRDefault="001F5B33" w:rsidP="00D77378">
            <w:pPr>
              <w:pStyle w:val="Tableheading1"/>
            </w:pPr>
          </w:p>
        </w:tc>
        <w:tc>
          <w:tcPr>
            <w:tcW w:w="720" w:type="pct"/>
            <w:tcBorders>
              <w:top w:val="single" w:sz="4" w:space="0" w:color="auto"/>
            </w:tcBorders>
            <w:vAlign w:val="center"/>
          </w:tcPr>
          <w:p w:rsidR="001F5B33" w:rsidRPr="00E3331A" w:rsidRDefault="001F5B33" w:rsidP="00D77378">
            <w:pPr>
              <w:pStyle w:val="Tableheading1"/>
            </w:pPr>
            <w:r w:rsidRPr="00E3331A">
              <w:t>Cases</w:t>
            </w:r>
          </w:p>
          <w:p w:rsidR="001F5B33" w:rsidRPr="00E3331A" w:rsidRDefault="001F5B33" w:rsidP="00D77378">
            <w:pPr>
              <w:pStyle w:val="Tableheading1"/>
            </w:pPr>
            <w:r w:rsidRPr="00E3331A">
              <w:t>N = 790</w:t>
            </w:r>
          </w:p>
        </w:tc>
        <w:tc>
          <w:tcPr>
            <w:tcW w:w="722" w:type="pct"/>
            <w:tcBorders>
              <w:top w:val="single" w:sz="4" w:space="0" w:color="auto"/>
            </w:tcBorders>
            <w:vAlign w:val="center"/>
          </w:tcPr>
          <w:p w:rsidR="001F5B33" w:rsidRPr="00E3331A" w:rsidRDefault="001F5B33" w:rsidP="00D77378">
            <w:pPr>
              <w:pStyle w:val="Tableheading1"/>
            </w:pPr>
            <w:r w:rsidRPr="00E3331A">
              <w:t>Cases</w:t>
            </w:r>
          </w:p>
          <w:p w:rsidR="001F5B33" w:rsidRPr="00E3331A" w:rsidRDefault="001F5B33" w:rsidP="00D77378">
            <w:pPr>
              <w:pStyle w:val="Tableheading1"/>
            </w:pPr>
            <w:r w:rsidRPr="00E3331A">
              <w:t>N = 790</w:t>
            </w:r>
          </w:p>
        </w:tc>
        <w:tc>
          <w:tcPr>
            <w:tcW w:w="796" w:type="pct"/>
            <w:tcBorders>
              <w:top w:val="single" w:sz="4" w:space="0" w:color="auto"/>
            </w:tcBorders>
            <w:vAlign w:val="center"/>
          </w:tcPr>
          <w:p w:rsidR="001F5B33" w:rsidRPr="00E3331A" w:rsidRDefault="001F5B33" w:rsidP="00D77378">
            <w:pPr>
              <w:pStyle w:val="Tableheading1"/>
            </w:pPr>
            <w:r w:rsidRPr="00E3331A">
              <w:t>p-value</w:t>
            </w:r>
          </w:p>
        </w:tc>
      </w:tr>
      <w:tr w:rsidR="001F5B33" w:rsidRPr="00E3331A" w:rsidTr="00493DDF">
        <w:trPr>
          <w:trHeight w:val="227"/>
        </w:trPr>
        <w:tc>
          <w:tcPr>
            <w:tcW w:w="2762" w:type="pct"/>
            <w:tcBorders>
              <w:top w:val="single" w:sz="4" w:space="0" w:color="auto"/>
            </w:tcBorders>
          </w:tcPr>
          <w:p w:rsidR="001F5B33" w:rsidRPr="00E3331A" w:rsidRDefault="001F5B33" w:rsidP="00D77378">
            <w:pPr>
              <w:pStyle w:val="Tablecontents"/>
              <w:rPr>
                <w:rFonts w:eastAsia="Lucida Sans" w:cs="Lucida Sans"/>
              </w:rPr>
            </w:pPr>
            <w:r w:rsidRPr="00E3331A">
              <w:rPr>
                <w:w w:val="95"/>
              </w:rPr>
              <w:t>Outpatient</w:t>
            </w:r>
            <w:r w:rsidRPr="00E3331A">
              <w:rPr>
                <w:spacing w:val="34"/>
                <w:w w:val="95"/>
              </w:rPr>
              <w:t xml:space="preserve"> </w:t>
            </w:r>
            <w:r w:rsidRPr="00E3331A">
              <w:rPr>
                <w:w w:val="95"/>
              </w:rPr>
              <w:t>Pharmacy</w:t>
            </w:r>
          </w:p>
        </w:tc>
        <w:tc>
          <w:tcPr>
            <w:tcW w:w="720" w:type="pct"/>
            <w:tcBorders>
              <w:top w:val="single" w:sz="4" w:space="0" w:color="auto"/>
            </w:tcBorders>
          </w:tcPr>
          <w:p w:rsidR="001F5B33" w:rsidRPr="00E3331A" w:rsidRDefault="001F5B33" w:rsidP="00D77378">
            <w:pPr>
              <w:pStyle w:val="Tablecontents"/>
              <w:rPr>
                <w:rFonts w:eastAsia="Lucida Sans" w:cs="Lucida Sans"/>
              </w:rPr>
            </w:pPr>
            <w:r w:rsidRPr="00E3331A">
              <w:t>11,186</w:t>
            </w:r>
          </w:p>
        </w:tc>
        <w:tc>
          <w:tcPr>
            <w:tcW w:w="722" w:type="pct"/>
            <w:tcBorders>
              <w:top w:val="single" w:sz="4" w:space="0" w:color="auto"/>
            </w:tcBorders>
          </w:tcPr>
          <w:p w:rsidR="001F5B33" w:rsidRPr="00E3331A" w:rsidRDefault="001F5B33" w:rsidP="00D77378">
            <w:pPr>
              <w:pStyle w:val="Tablecontents"/>
              <w:rPr>
                <w:rFonts w:eastAsia="Lucida Sans" w:cs="Lucida Sans"/>
              </w:rPr>
            </w:pPr>
            <w:r w:rsidRPr="00E3331A">
              <w:t>3,953</w:t>
            </w:r>
          </w:p>
        </w:tc>
        <w:tc>
          <w:tcPr>
            <w:tcW w:w="796" w:type="pct"/>
            <w:tcBorders>
              <w:top w:val="single" w:sz="4" w:space="0" w:color="auto"/>
            </w:tcBorders>
          </w:tcPr>
          <w:p w:rsidR="001F5B33" w:rsidRPr="00E3331A" w:rsidRDefault="001F5B33" w:rsidP="00D77378">
            <w:pPr>
              <w:pStyle w:val="Tablecontents"/>
              <w:rPr>
                <w:rFonts w:eastAsia="Lucida Sans" w:cs="Lucida Sans"/>
              </w:rPr>
            </w:pPr>
            <w:r w:rsidRPr="00E3331A">
              <w:t>&lt;.0001</w:t>
            </w:r>
          </w:p>
        </w:tc>
      </w:tr>
      <w:tr w:rsidR="001F5B33" w:rsidRPr="00E3331A" w:rsidTr="00493DDF">
        <w:trPr>
          <w:trHeight w:val="227"/>
        </w:trPr>
        <w:tc>
          <w:tcPr>
            <w:tcW w:w="2762" w:type="pct"/>
            <w:shd w:val="clear" w:color="auto" w:fill="auto"/>
          </w:tcPr>
          <w:p w:rsidR="001F5B33" w:rsidRPr="00E3331A" w:rsidRDefault="001F5B33" w:rsidP="00D77378">
            <w:pPr>
              <w:pStyle w:val="Tablecontents"/>
            </w:pPr>
            <w:r w:rsidRPr="00E3331A">
              <w:t>Medical</w:t>
            </w:r>
          </w:p>
        </w:tc>
        <w:tc>
          <w:tcPr>
            <w:tcW w:w="720" w:type="pct"/>
            <w:shd w:val="clear" w:color="auto" w:fill="auto"/>
          </w:tcPr>
          <w:p w:rsidR="001F5B33" w:rsidRPr="00E3331A" w:rsidRDefault="001F5B33" w:rsidP="00D77378">
            <w:pPr>
              <w:pStyle w:val="Tablecontents"/>
              <w:rPr>
                <w:rFonts w:eastAsia="Lucida Sans" w:cs="Lucida Sans"/>
              </w:rPr>
            </w:pPr>
            <w:r w:rsidRPr="00E3331A">
              <w:t>105,144</w:t>
            </w:r>
          </w:p>
        </w:tc>
        <w:tc>
          <w:tcPr>
            <w:tcW w:w="722" w:type="pct"/>
            <w:shd w:val="clear" w:color="auto" w:fill="auto"/>
          </w:tcPr>
          <w:p w:rsidR="001F5B33" w:rsidRPr="00E3331A" w:rsidRDefault="001F5B33" w:rsidP="00D77378">
            <w:pPr>
              <w:pStyle w:val="Tablecontents"/>
              <w:rPr>
                <w:rFonts w:eastAsia="Lucida Sans" w:cs="Lucida Sans"/>
              </w:rPr>
            </w:pPr>
            <w:r w:rsidRPr="00E3331A">
              <w:t>11,633</w:t>
            </w:r>
          </w:p>
        </w:tc>
        <w:tc>
          <w:tcPr>
            <w:tcW w:w="796" w:type="pct"/>
            <w:shd w:val="clear" w:color="auto" w:fill="auto"/>
          </w:tcPr>
          <w:p w:rsidR="001F5B33" w:rsidRPr="00E3331A" w:rsidRDefault="001F5B33" w:rsidP="00D77378">
            <w:pPr>
              <w:pStyle w:val="Tablecontents"/>
              <w:rPr>
                <w:rFonts w:eastAsia="Lucida Sans" w:cs="Lucida Sans"/>
              </w:rPr>
            </w:pPr>
            <w:r w:rsidRPr="00E3331A">
              <w:t>&lt;.0001</w:t>
            </w:r>
          </w:p>
        </w:tc>
      </w:tr>
      <w:tr w:rsidR="001F5B33" w:rsidRPr="00E3331A" w:rsidTr="00493DDF">
        <w:trPr>
          <w:trHeight w:val="227"/>
        </w:trPr>
        <w:tc>
          <w:tcPr>
            <w:tcW w:w="2762" w:type="pct"/>
            <w:shd w:val="clear" w:color="auto" w:fill="auto"/>
          </w:tcPr>
          <w:p w:rsidR="001F5B33" w:rsidRPr="00E3331A" w:rsidRDefault="001F5B33" w:rsidP="00D77378">
            <w:pPr>
              <w:pStyle w:val="Tablecontents"/>
            </w:pPr>
            <w:r w:rsidRPr="00E3331A">
              <w:rPr>
                <w:w w:val="105"/>
              </w:rPr>
              <w:t>Inpatient</w:t>
            </w:r>
          </w:p>
        </w:tc>
        <w:tc>
          <w:tcPr>
            <w:tcW w:w="720" w:type="pct"/>
            <w:shd w:val="clear" w:color="auto" w:fill="auto"/>
          </w:tcPr>
          <w:p w:rsidR="001F5B33" w:rsidRPr="00E3331A" w:rsidRDefault="001F5B33" w:rsidP="00D77378">
            <w:pPr>
              <w:pStyle w:val="Tablecontents"/>
              <w:rPr>
                <w:rFonts w:eastAsia="Lucida Sans" w:cs="Lucida Sans"/>
              </w:rPr>
            </w:pPr>
            <w:r w:rsidRPr="00E3331A">
              <w:t>16,357</w:t>
            </w:r>
          </w:p>
        </w:tc>
        <w:tc>
          <w:tcPr>
            <w:tcW w:w="722" w:type="pct"/>
            <w:shd w:val="clear" w:color="auto" w:fill="auto"/>
          </w:tcPr>
          <w:p w:rsidR="001F5B33" w:rsidRPr="00E3331A" w:rsidRDefault="001F5B33" w:rsidP="00D77378">
            <w:pPr>
              <w:pStyle w:val="Tablecontents"/>
              <w:rPr>
                <w:rFonts w:eastAsia="Lucida Sans" w:cs="Lucida Sans"/>
              </w:rPr>
            </w:pPr>
            <w:r w:rsidRPr="00E3331A">
              <w:t>2,862</w:t>
            </w:r>
          </w:p>
        </w:tc>
        <w:tc>
          <w:tcPr>
            <w:tcW w:w="796" w:type="pct"/>
            <w:shd w:val="clear" w:color="auto" w:fill="auto"/>
          </w:tcPr>
          <w:p w:rsidR="001F5B33" w:rsidRPr="00E3331A" w:rsidRDefault="001F5B33" w:rsidP="00D77378">
            <w:pPr>
              <w:pStyle w:val="Tablecontents"/>
              <w:rPr>
                <w:rFonts w:eastAsia="Lucida Sans" w:cs="Lucida Sans"/>
              </w:rPr>
            </w:pPr>
            <w:r w:rsidRPr="00E3331A">
              <w:t>&lt;.0001</w:t>
            </w:r>
          </w:p>
        </w:tc>
      </w:tr>
      <w:tr w:rsidR="001F5B33" w:rsidRPr="00E3331A" w:rsidTr="00493DDF">
        <w:trPr>
          <w:trHeight w:val="227"/>
        </w:trPr>
        <w:tc>
          <w:tcPr>
            <w:tcW w:w="2762" w:type="pct"/>
            <w:shd w:val="clear" w:color="auto" w:fill="auto"/>
          </w:tcPr>
          <w:p w:rsidR="001F5B33" w:rsidRPr="00E3331A" w:rsidRDefault="001F5B33" w:rsidP="00D77378">
            <w:pPr>
              <w:pStyle w:val="Tablecontents"/>
            </w:pPr>
            <w:r w:rsidRPr="00E3331A">
              <w:t>ER</w:t>
            </w:r>
          </w:p>
        </w:tc>
        <w:tc>
          <w:tcPr>
            <w:tcW w:w="720" w:type="pct"/>
            <w:shd w:val="clear" w:color="auto" w:fill="auto"/>
          </w:tcPr>
          <w:p w:rsidR="001F5B33" w:rsidRPr="00E3331A" w:rsidRDefault="001F5B33" w:rsidP="00D77378">
            <w:pPr>
              <w:pStyle w:val="Tablecontents"/>
              <w:rPr>
                <w:rFonts w:eastAsia="Lucida Sans" w:cs="Lucida Sans"/>
              </w:rPr>
            </w:pPr>
            <w:r w:rsidRPr="00E3331A">
              <w:t>1,188</w:t>
            </w:r>
          </w:p>
        </w:tc>
        <w:tc>
          <w:tcPr>
            <w:tcW w:w="722" w:type="pct"/>
            <w:shd w:val="clear" w:color="auto" w:fill="auto"/>
          </w:tcPr>
          <w:p w:rsidR="001F5B33" w:rsidRPr="00E3331A" w:rsidRDefault="001F5B33" w:rsidP="00D77378">
            <w:pPr>
              <w:pStyle w:val="Tablecontents"/>
              <w:rPr>
                <w:rFonts w:eastAsia="Lucida Sans" w:cs="Lucida Sans"/>
              </w:rPr>
            </w:pPr>
            <w:r w:rsidRPr="00E3331A">
              <w:t>468</w:t>
            </w:r>
          </w:p>
        </w:tc>
        <w:tc>
          <w:tcPr>
            <w:tcW w:w="796" w:type="pct"/>
            <w:shd w:val="clear" w:color="auto" w:fill="auto"/>
          </w:tcPr>
          <w:p w:rsidR="001F5B33" w:rsidRPr="00E3331A" w:rsidRDefault="001F5B33" w:rsidP="00D77378">
            <w:pPr>
              <w:pStyle w:val="Tablecontents"/>
              <w:rPr>
                <w:rFonts w:eastAsia="Lucida Sans" w:cs="Lucida Sans"/>
              </w:rPr>
            </w:pPr>
            <w:r w:rsidRPr="00E3331A">
              <w:t>&lt;.0001</w:t>
            </w:r>
          </w:p>
        </w:tc>
      </w:tr>
      <w:tr w:rsidR="001F5B33" w:rsidRPr="00E3331A" w:rsidTr="00493DDF">
        <w:trPr>
          <w:trHeight w:val="227"/>
        </w:trPr>
        <w:tc>
          <w:tcPr>
            <w:tcW w:w="2762" w:type="pct"/>
            <w:shd w:val="clear" w:color="auto" w:fill="auto"/>
          </w:tcPr>
          <w:p w:rsidR="001F5B33" w:rsidRPr="00E3331A" w:rsidRDefault="001F5B33" w:rsidP="00D77378">
            <w:pPr>
              <w:pStyle w:val="Tablecontents"/>
            </w:pPr>
            <w:r w:rsidRPr="00E3331A">
              <w:rPr>
                <w:w w:val="95"/>
              </w:rPr>
              <w:t>Physician</w:t>
            </w:r>
            <w:r w:rsidRPr="00E3331A">
              <w:rPr>
                <w:spacing w:val="20"/>
                <w:w w:val="95"/>
              </w:rPr>
              <w:t xml:space="preserve"> </w:t>
            </w:r>
            <w:r w:rsidRPr="00E3331A">
              <w:rPr>
                <w:w w:val="95"/>
              </w:rPr>
              <w:t>office</w:t>
            </w:r>
          </w:p>
        </w:tc>
        <w:tc>
          <w:tcPr>
            <w:tcW w:w="720" w:type="pct"/>
            <w:shd w:val="clear" w:color="auto" w:fill="auto"/>
          </w:tcPr>
          <w:p w:rsidR="001F5B33" w:rsidRPr="00E3331A" w:rsidRDefault="001F5B33" w:rsidP="00D77378">
            <w:pPr>
              <w:pStyle w:val="Tablecontents"/>
              <w:rPr>
                <w:rFonts w:eastAsia="Lucida Sans" w:cs="Lucida Sans"/>
              </w:rPr>
            </w:pPr>
            <w:r w:rsidRPr="00E3331A">
              <w:t>5,122</w:t>
            </w:r>
          </w:p>
        </w:tc>
        <w:tc>
          <w:tcPr>
            <w:tcW w:w="722" w:type="pct"/>
            <w:shd w:val="clear" w:color="auto" w:fill="auto"/>
          </w:tcPr>
          <w:p w:rsidR="001F5B33" w:rsidRPr="00E3331A" w:rsidRDefault="001F5B33" w:rsidP="00D77378">
            <w:pPr>
              <w:pStyle w:val="Tablecontents"/>
              <w:rPr>
                <w:rFonts w:eastAsia="Lucida Sans" w:cs="Lucida Sans"/>
              </w:rPr>
            </w:pPr>
            <w:r w:rsidRPr="00E3331A">
              <w:t>2,208</w:t>
            </w:r>
          </w:p>
        </w:tc>
        <w:tc>
          <w:tcPr>
            <w:tcW w:w="796" w:type="pct"/>
            <w:shd w:val="clear" w:color="auto" w:fill="auto"/>
          </w:tcPr>
          <w:p w:rsidR="001F5B33" w:rsidRPr="00E3331A" w:rsidRDefault="001F5B33" w:rsidP="00D77378">
            <w:pPr>
              <w:pStyle w:val="Tablecontents"/>
              <w:rPr>
                <w:rFonts w:eastAsia="Lucida Sans" w:cs="Lucida Sans"/>
              </w:rPr>
            </w:pPr>
            <w:r w:rsidRPr="00E3331A">
              <w:t>&lt;.0001</w:t>
            </w:r>
          </w:p>
        </w:tc>
      </w:tr>
      <w:tr w:rsidR="001F5B33" w:rsidRPr="00E3331A" w:rsidTr="00493DDF">
        <w:trPr>
          <w:trHeight w:val="227"/>
        </w:trPr>
        <w:tc>
          <w:tcPr>
            <w:tcW w:w="2762" w:type="pct"/>
            <w:shd w:val="clear" w:color="auto" w:fill="auto"/>
          </w:tcPr>
          <w:p w:rsidR="001F5B33" w:rsidRPr="00E3331A" w:rsidRDefault="001F5B33" w:rsidP="00D77378">
            <w:pPr>
              <w:pStyle w:val="Tablecontents"/>
            </w:pPr>
            <w:r w:rsidRPr="00E3331A">
              <w:t>Outpatient</w:t>
            </w:r>
            <w:r w:rsidRPr="00E3331A">
              <w:rPr>
                <w:spacing w:val="17"/>
              </w:rPr>
              <w:t xml:space="preserve"> </w:t>
            </w:r>
            <w:r w:rsidRPr="00E3331A">
              <w:t>surgery</w:t>
            </w:r>
          </w:p>
        </w:tc>
        <w:tc>
          <w:tcPr>
            <w:tcW w:w="720" w:type="pct"/>
            <w:shd w:val="clear" w:color="auto" w:fill="auto"/>
          </w:tcPr>
          <w:p w:rsidR="001F5B33" w:rsidRPr="00E3331A" w:rsidRDefault="001F5B33" w:rsidP="00D77378">
            <w:pPr>
              <w:pStyle w:val="Tablecontents"/>
              <w:rPr>
                <w:rFonts w:eastAsia="Lucida Sans" w:cs="Lucida Sans"/>
              </w:rPr>
            </w:pPr>
            <w:r w:rsidRPr="00E3331A">
              <w:t>3,204</w:t>
            </w:r>
          </w:p>
        </w:tc>
        <w:tc>
          <w:tcPr>
            <w:tcW w:w="722" w:type="pct"/>
            <w:shd w:val="clear" w:color="auto" w:fill="auto"/>
          </w:tcPr>
          <w:p w:rsidR="001F5B33" w:rsidRPr="00E3331A" w:rsidRDefault="001F5B33" w:rsidP="00D77378">
            <w:pPr>
              <w:pStyle w:val="Tablecontents"/>
              <w:rPr>
                <w:rFonts w:eastAsia="Lucida Sans" w:cs="Lucida Sans"/>
              </w:rPr>
            </w:pPr>
            <w:r w:rsidRPr="00E3331A">
              <w:t>1,157</w:t>
            </w:r>
          </w:p>
        </w:tc>
        <w:tc>
          <w:tcPr>
            <w:tcW w:w="796" w:type="pct"/>
            <w:shd w:val="clear" w:color="auto" w:fill="auto"/>
          </w:tcPr>
          <w:p w:rsidR="001F5B33" w:rsidRPr="00E3331A" w:rsidRDefault="001F5B33" w:rsidP="00D77378">
            <w:pPr>
              <w:pStyle w:val="Tablecontents"/>
              <w:rPr>
                <w:rFonts w:eastAsia="Lucida Sans" w:cs="Lucida Sans"/>
              </w:rPr>
            </w:pPr>
            <w:r w:rsidRPr="00E3331A">
              <w:t>&lt;.0001</w:t>
            </w:r>
          </w:p>
        </w:tc>
      </w:tr>
      <w:tr w:rsidR="001F5B33" w:rsidRPr="00E3331A" w:rsidTr="00493DDF">
        <w:trPr>
          <w:trHeight w:val="227"/>
        </w:trPr>
        <w:tc>
          <w:tcPr>
            <w:tcW w:w="2762" w:type="pct"/>
            <w:shd w:val="clear" w:color="auto" w:fill="auto"/>
          </w:tcPr>
          <w:p w:rsidR="001F5B33" w:rsidRPr="00E3331A" w:rsidRDefault="001F5B33" w:rsidP="00D77378">
            <w:pPr>
              <w:pStyle w:val="Tablecontents"/>
            </w:pPr>
            <w:r w:rsidRPr="00E3331A">
              <w:t>Lab/path</w:t>
            </w:r>
            <w:r w:rsidRPr="00E3331A">
              <w:rPr>
                <w:spacing w:val="-2"/>
              </w:rPr>
              <w:t>ology</w:t>
            </w:r>
          </w:p>
        </w:tc>
        <w:tc>
          <w:tcPr>
            <w:tcW w:w="720" w:type="pct"/>
            <w:shd w:val="clear" w:color="auto" w:fill="auto"/>
          </w:tcPr>
          <w:p w:rsidR="001F5B33" w:rsidRPr="00E3331A" w:rsidRDefault="001F5B33" w:rsidP="00D77378">
            <w:pPr>
              <w:pStyle w:val="Tablecontents"/>
              <w:rPr>
                <w:rFonts w:eastAsia="Lucida Sans" w:cs="Lucida Sans"/>
              </w:rPr>
            </w:pPr>
            <w:r w:rsidRPr="00E3331A">
              <w:t>2,907</w:t>
            </w:r>
          </w:p>
        </w:tc>
        <w:tc>
          <w:tcPr>
            <w:tcW w:w="722" w:type="pct"/>
            <w:shd w:val="clear" w:color="auto" w:fill="auto"/>
          </w:tcPr>
          <w:p w:rsidR="001F5B33" w:rsidRPr="00E3331A" w:rsidRDefault="001F5B33" w:rsidP="00D77378">
            <w:pPr>
              <w:pStyle w:val="Tablecontents"/>
              <w:rPr>
                <w:rFonts w:eastAsia="Lucida Sans" w:cs="Lucida Sans"/>
              </w:rPr>
            </w:pPr>
            <w:r w:rsidRPr="00E3331A">
              <w:t>648</w:t>
            </w:r>
          </w:p>
        </w:tc>
        <w:tc>
          <w:tcPr>
            <w:tcW w:w="796" w:type="pct"/>
            <w:shd w:val="clear" w:color="auto" w:fill="auto"/>
          </w:tcPr>
          <w:p w:rsidR="001F5B33" w:rsidRPr="00E3331A" w:rsidRDefault="001F5B33" w:rsidP="00D77378">
            <w:pPr>
              <w:pStyle w:val="Tablecontents"/>
              <w:rPr>
                <w:rFonts w:eastAsia="Lucida Sans" w:cs="Lucida Sans"/>
              </w:rPr>
            </w:pPr>
            <w:r w:rsidRPr="00E3331A">
              <w:t>&lt;.0001</w:t>
            </w:r>
          </w:p>
        </w:tc>
      </w:tr>
      <w:tr w:rsidR="001F5B33" w:rsidRPr="00E3331A" w:rsidTr="00493DDF">
        <w:trPr>
          <w:trHeight w:val="227"/>
        </w:trPr>
        <w:tc>
          <w:tcPr>
            <w:tcW w:w="2762" w:type="pct"/>
            <w:shd w:val="clear" w:color="auto" w:fill="auto"/>
          </w:tcPr>
          <w:p w:rsidR="001F5B33" w:rsidRPr="00E3331A" w:rsidRDefault="001F5B33" w:rsidP="00D77378">
            <w:pPr>
              <w:pStyle w:val="Tablecontents"/>
            </w:pPr>
            <w:r w:rsidRPr="00E3331A">
              <w:lastRenderedPageBreak/>
              <w:t>Outpatient ancillary</w:t>
            </w:r>
            <w:r w:rsidRPr="00E3331A">
              <w:rPr>
                <w:spacing w:val="-2"/>
              </w:rPr>
              <w:t>,</w:t>
            </w:r>
            <w:r w:rsidRPr="00E3331A">
              <w:rPr>
                <w:spacing w:val="1"/>
              </w:rPr>
              <w:t xml:space="preserve"> </w:t>
            </w:r>
            <w:r w:rsidRPr="00E3331A">
              <w:t>radiology and HCPCS drugs</w:t>
            </w:r>
          </w:p>
        </w:tc>
        <w:tc>
          <w:tcPr>
            <w:tcW w:w="720" w:type="pct"/>
            <w:shd w:val="clear" w:color="auto" w:fill="auto"/>
          </w:tcPr>
          <w:p w:rsidR="001F5B33" w:rsidRPr="00E3331A" w:rsidRDefault="001F5B33" w:rsidP="00D77378">
            <w:pPr>
              <w:pStyle w:val="Tablecontents"/>
              <w:rPr>
                <w:rFonts w:eastAsia="Lucida Sans" w:cs="Lucida Sans"/>
              </w:rPr>
            </w:pPr>
            <w:r w:rsidRPr="00E3331A">
              <w:t>76,366</w:t>
            </w:r>
          </w:p>
        </w:tc>
        <w:tc>
          <w:tcPr>
            <w:tcW w:w="722" w:type="pct"/>
            <w:shd w:val="clear" w:color="auto" w:fill="auto"/>
          </w:tcPr>
          <w:p w:rsidR="001F5B33" w:rsidRPr="00E3331A" w:rsidRDefault="001F5B33" w:rsidP="00D77378">
            <w:pPr>
              <w:pStyle w:val="Tablecontents"/>
              <w:rPr>
                <w:rFonts w:eastAsia="Lucida Sans" w:cs="Lucida Sans"/>
              </w:rPr>
            </w:pPr>
            <w:r w:rsidRPr="00E3331A">
              <w:t>4,292</w:t>
            </w:r>
          </w:p>
        </w:tc>
        <w:tc>
          <w:tcPr>
            <w:tcW w:w="796" w:type="pct"/>
            <w:shd w:val="clear" w:color="auto" w:fill="auto"/>
          </w:tcPr>
          <w:p w:rsidR="001F5B33" w:rsidRPr="00E3331A" w:rsidRDefault="001F5B33" w:rsidP="00D77378">
            <w:pPr>
              <w:pStyle w:val="Tablecontents"/>
              <w:rPr>
                <w:rFonts w:eastAsia="Lucida Sans" w:cs="Lucida Sans"/>
              </w:rPr>
            </w:pPr>
            <w:r w:rsidRPr="00E3331A">
              <w:t>&lt;.0001</w:t>
            </w:r>
          </w:p>
        </w:tc>
      </w:tr>
      <w:tr w:rsidR="001F5B33" w:rsidRPr="00E3331A" w:rsidTr="00493DDF">
        <w:trPr>
          <w:trHeight w:val="227"/>
        </w:trPr>
        <w:tc>
          <w:tcPr>
            <w:tcW w:w="2762" w:type="pct"/>
            <w:shd w:val="clear" w:color="auto" w:fill="auto"/>
          </w:tcPr>
          <w:p w:rsidR="001F5B33" w:rsidRPr="00E3331A" w:rsidRDefault="001F5B33" w:rsidP="00D77378">
            <w:pPr>
              <w:pStyle w:val="Tablecontents"/>
            </w:pPr>
            <w:r w:rsidRPr="00E3331A">
              <w:rPr>
                <w:w w:val="95"/>
              </w:rPr>
              <w:t>TOTAL</w:t>
            </w:r>
            <w:r w:rsidRPr="00E3331A">
              <w:rPr>
                <w:spacing w:val="-9"/>
                <w:w w:val="95"/>
              </w:rPr>
              <w:t xml:space="preserve"> </w:t>
            </w:r>
            <w:r w:rsidRPr="00E3331A">
              <w:rPr>
                <w:w w:val="95"/>
              </w:rPr>
              <w:t>COST</w:t>
            </w:r>
          </w:p>
        </w:tc>
        <w:tc>
          <w:tcPr>
            <w:tcW w:w="720" w:type="pct"/>
            <w:shd w:val="clear" w:color="auto" w:fill="auto"/>
          </w:tcPr>
          <w:p w:rsidR="001F5B33" w:rsidRPr="00E3331A" w:rsidRDefault="001F5B33" w:rsidP="00D77378">
            <w:pPr>
              <w:pStyle w:val="Tablecontents"/>
              <w:rPr>
                <w:rFonts w:eastAsia="Lucida Sans" w:cs="Lucida Sans"/>
              </w:rPr>
            </w:pPr>
            <w:r w:rsidRPr="00E3331A">
              <w:t>116,330</w:t>
            </w:r>
          </w:p>
        </w:tc>
        <w:tc>
          <w:tcPr>
            <w:tcW w:w="722" w:type="pct"/>
            <w:shd w:val="clear" w:color="auto" w:fill="auto"/>
          </w:tcPr>
          <w:p w:rsidR="001F5B33" w:rsidRPr="00E3331A" w:rsidRDefault="001F5B33" w:rsidP="00D77378">
            <w:pPr>
              <w:pStyle w:val="Tablecontents"/>
              <w:rPr>
                <w:rFonts w:eastAsia="Lucida Sans" w:cs="Lucida Sans"/>
              </w:rPr>
            </w:pPr>
            <w:r w:rsidRPr="00E3331A">
              <w:t>15,586</w:t>
            </w:r>
          </w:p>
        </w:tc>
        <w:tc>
          <w:tcPr>
            <w:tcW w:w="796" w:type="pct"/>
            <w:shd w:val="clear" w:color="auto" w:fill="auto"/>
          </w:tcPr>
          <w:p w:rsidR="001F5B33" w:rsidRPr="00E3331A" w:rsidRDefault="001F5B33" w:rsidP="00D77378">
            <w:pPr>
              <w:pStyle w:val="Tablecontents"/>
              <w:rPr>
                <w:rFonts w:eastAsia="Lucida Sans" w:cs="Lucida Sans"/>
              </w:rPr>
            </w:pPr>
            <w:r w:rsidRPr="00E3331A">
              <w:t>&lt;.0001</w:t>
            </w:r>
          </w:p>
        </w:tc>
      </w:tr>
      <w:tr w:rsidR="001F5B33" w:rsidRPr="00E3331A" w:rsidTr="00493DDF">
        <w:trPr>
          <w:trHeight w:val="227"/>
        </w:trPr>
        <w:tc>
          <w:tcPr>
            <w:tcW w:w="2762" w:type="pct"/>
            <w:shd w:val="clear" w:color="auto" w:fill="auto"/>
          </w:tcPr>
          <w:p w:rsidR="001F5B33" w:rsidRPr="00E3331A" w:rsidRDefault="001F5B33" w:rsidP="00D77378">
            <w:pPr>
              <w:pStyle w:val="Tablecontents"/>
            </w:pPr>
            <w:r w:rsidRPr="00E3331A">
              <w:t>Total</w:t>
            </w:r>
            <w:r w:rsidRPr="00E3331A">
              <w:rPr>
                <w:spacing w:val="-23"/>
              </w:rPr>
              <w:t xml:space="preserve"> </w:t>
            </w:r>
            <w:r w:rsidRPr="00E3331A">
              <w:t>CIDP</w:t>
            </w:r>
            <w:r w:rsidRPr="00E3331A">
              <w:rPr>
                <w:spacing w:val="-21"/>
              </w:rPr>
              <w:t xml:space="preserve"> </w:t>
            </w:r>
            <w:r w:rsidRPr="00E3331A">
              <w:t>Therapy</w:t>
            </w:r>
          </w:p>
        </w:tc>
        <w:tc>
          <w:tcPr>
            <w:tcW w:w="720" w:type="pct"/>
            <w:shd w:val="clear" w:color="auto" w:fill="auto"/>
          </w:tcPr>
          <w:p w:rsidR="001F5B33" w:rsidRPr="00E3331A" w:rsidRDefault="001F5B33" w:rsidP="00D77378">
            <w:pPr>
              <w:pStyle w:val="Tablecontents"/>
              <w:rPr>
                <w:rFonts w:eastAsia="Lucida Sans" w:cs="Lucida Sans"/>
              </w:rPr>
            </w:pPr>
            <w:r w:rsidRPr="00E3331A">
              <w:t>59,619</w:t>
            </w:r>
          </w:p>
        </w:tc>
        <w:tc>
          <w:tcPr>
            <w:tcW w:w="722" w:type="pct"/>
            <w:shd w:val="clear" w:color="auto" w:fill="auto"/>
          </w:tcPr>
          <w:p w:rsidR="001F5B33" w:rsidRPr="00E3331A" w:rsidRDefault="001F5B33" w:rsidP="00D77378">
            <w:pPr>
              <w:pStyle w:val="Tablecontents"/>
              <w:rPr>
                <w:rFonts w:eastAsia="Lucida Sans" w:cs="Lucida Sans"/>
              </w:rPr>
            </w:pPr>
          </w:p>
        </w:tc>
        <w:tc>
          <w:tcPr>
            <w:tcW w:w="796" w:type="pct"/>
            <w:shd w:val="clear" w:color="auto" w:fill="auto"/>
          </w:tcPr>
          <w:p w:rsidR="001F5B33" w:rsidRPr="00E3331A" w:rsidRDefault="001F5B33" w:rsidP="00D77378">
            <w:pPr>
              <w:pStyle w:val="Tablecontents"/>
              <w:rPr>
                <w:rFonts w:eastAsia="Lucida Sans" w:cs="Lucida Sans"/>
              </w:rPr>
            </w:pPr>
          </w:p>
        </w:tc>
      </w:tr>
    </w:tbl>
    <w:p w:rsidR="001F5B33" w:rsidRPr="00E3331A" w:rsidRDefault="001F5B33" w:rsidP="0037150F">
      <w:pPr>
        <w:pStyle w:val="Tablenotes1"/>
      </w:pPr>
      <w:r w:rsidRPr="00E3331A">
        <w:t>CIDP = chronic inflammatory demyelinating polyneuropathy; ER = emergency room; HCPCS = Healthcare Common Procedure Coding System</w:t>
      </w:r>
      <w:r w:rsidR="00CF3D84" w:rsidRPr="00E3331A">
        <w:t>.</w:t>
      </w:r>
      <w:r w:rsidRPr="00E3331A">
        <w:t xml:space="preserve"> </w:t>
      </w:r>
      <w:r w:rsidR="00CF3D84" w:rsidRPr="00E3331A">
        <w:t>All figures in US$.</w:t>
      </w:r>
    </w:p>
    <w:p w:rsidR="001F5B33" w:rsidRPr="00E3331A" w:rsidRDefault="001F5B33" w:rsidP="0037150F">
      <w:pPr>
        <w:pStyle w:val="Tablenotes1"/>
      </w:pPr>
      <w:r w:rsidRPr="00E3331A">
        <w:t xml:space="preserve">Source: Divino </w:t>
      </w:r>
      <w:r w:rsidR="00983BA7">
        <w:t xml:space="preserve">et al. </w:t>
      </w:r>
      <w:r w:rsidRPr="00E3331A">
        <w:t>(2018</w:t>
      </w:r>
      <w:r w:rsidR="001B576E">
        <w:t>)</w:t>
      </w:r>
    </w:p>
    <w:p w:rsidR="001F5B33" w:rsidRPr="00E3331A" w:rsidRDefault="001F5B33" w:rsidP="00B30C0B">
      <w:pPr>
        <w:pStyle w:val="Heading6"/>
      </w:pPr>
      <w:r w:rsidRPr="00E3331A">
        <w:t xml:space="preserve">Mahdi-Rogers </w:t>
      </w:r>
      <w:r w:rsidR="00983BA7">
        <w:t xml:space="preserve">et al. </w:t>
      </w:r>
      <w:r w:rsidRPr="00E3331A">
        <w:t>(2014)</w:t>
      </w:r>
    </w:p>
    <w:p w:rsidR="001F5B33" w:rsidRPr="00E3331A" w:rsidRDefault="001F5B33" w:rsidP="00BB6E4C">
      <w:pPr>
        <w:pStyle w:val="BodyTextSTD"/>
      </w:pPr>
      <w:r w:rsidRPr="00E3331A">
        <w:t xml:space="preserve">Cost-of-illness studies and </w:t>
      </w:r>
      <w:r w:rsidR="002D3966" w:rsidRPr="00E3331A">
        <w:t>HRQoL</w:t>
      </w:r>
      <w:r w:rsidRPr="00E3331A">
        <w:t xml:space="preserve"> was assessed across southeast England </w:t>
      </w:r>
      <w:r w:rsidR="00CF3D84" w:rsidRPr="00E3331A">
        <w:t xml:space="preserve">in 2008 </w:t>
      </w:r>
      <w:r w:rsidRPr="00E3331A">
        <w:t>using client service receipt inventory and service costs. The EuroQo</w:t>
      </w:r>
      <w:r w:rsidR="00BE54F2">
        <w:t>L</w:t>
      </w:r>
      <w:r w:rsidRPr="00E3331A">
        <w:t xml:space="preserve"> (EQ-5D) survey were sent to 50 randomly selected individuals</w:t>
      </w:r>
      <w:r w:rsidR="00CF3D84" w:rsidRPr="00E3331A">
        <w:t xml:space="preserve"> and </w:t>
      </w:r>
      <w:r w:rsidRPr="00E3331A">
        <w:t xml:space="preserve">was completed by 43 of </w:t>
      </w:r>
      <w:r w:rsidR="00CF3D84" w:rsidRPr="00E3331A">
        <w:t>them</w:t>
      </w:r>
      <w:r w:rsidRPr="00E3331A">
        <w:t xml:space="preserve">. Results are outlined in </w:t>
      </w:r>
      <w:r w:rsidR="006F35B9" w:rsidRPr="00E3331A">
        <w:t xml:space="preserve">Table </w:t>
      </w:r>
      <w:r w:rsidR="006F35B9">
        <w:rPr>
          <w:noProof/>
        </w:rPr>
        <w:t>66</w:t>
      </w:r>
      <w:r w:rsidRPr="00E3331A">
        <w:t xml:space="preserve">. The authors reported </w:t>
      </w:r>
      <w:r w:rsidR="00CF3D84" w:rsidRPr="00E3331A">
        <w:t xml:space="preserve">that </w:t>
      </w:r>
      <w:r w:rsidR="00EE3DC5" w:rsidRPr="00E3331A">
        <w:t>mean</w:t>
      </w:r>
      <w:r w:rsidRPr="00E3331A">
        <w:t xml:space="preserve"> utility scores </w:t>
      </w:r>
      <w:r w:rsidR="00EE3DC5" w:rsidRPr="00E3331A">
        <w:t xml:space="preserve">(standard devaluation) </w:t>
      </w:r>
      <w:r w:rsidRPr="00E3331A">
        <w:t xml:space="preserve">for CIDP </w:t>
      </w:r>
      <w:r w:rsidR="00CF3D84" w:rsidRPr="00E3331A">
        <w:t xml:space="preserve">of </w:t>
      </w:r>
      <w:r w:rsidRPr="00E3331A">
        <w:t xml:space="preserve">0.62 (0.23), PDN </w:t>
      </w:r>
      <w:r w:rsidR="00CF3D84" w:rsidRPr="00E3331A">
        <w:t xml:space="preserve">of </w:t>
      </w:r>
      <w:r w:rsidRPr="00E3331A">
        <w:t xml:space="preserve">0.63 (0.22) and MMN </w:t>
      </w:r>
      <w:r w:rsidR="00CF3D84" w:rsidRPr="00E3331A">
        <w:t xml:space="preserve">of </w:t>
      </w:r>
      <w:r w:rsidRPr="00E3331A">
        <w:t>0.72 (0.14), were lower than the UK average of 0.86 (0.28) but were higher than the score of 0.55 (0.33) for multiple sclerosis in the UK (Kobelt</w:t>
      </w:r>
      <w:r w:rsidRPr="00E3331A">
        <w:rPr>
          <w:rStyle w:val="FootnoteReference"/>
          <w:vertAlign w:val="baseline"/>
        </w:rPr>
        <w:t xml:space="preserve"> </w:t>
      </w:r>
      <w:r w:rsidR="00983BA7">
        <w:t xml:space="preserve">et al. </w:t>
      </w:r>
      <w:r w:rsidRPr="00E3331A">
        <w:t xml:space="preserve">2006). There was no relationship </w:t>
      </w:r>
      <w:r w:rsidR="00CF3D84" w:rsidRPr="00E3331A">
        <w:t xml:space="preserve">between </w:t>
      </w:r>
      <w:r w:rsidRPr="00E3331A">
        <w:t xml:space="preserve">the HRQoL in CIDP, PDN and MMN to age, disease duration or </w:t>
      </w:r>
      <w:r w:rsidR="00CF3D84" w:rsidRPr="00E3331A">
        <w:t>gender</w:t>
      </w:r>
      <w:r w:rsidRPr="00E3331A">
        <w:t xml:space="preserve">. The average utility score for those on IVIg was 0.65 and </w:t>
      </w:r>
      <w:r w:rsidR="00CF3D84" w:rsidRPr="00E3331A">
        <w:t xml:space="preserve">for those </w:t>
      </w:r>
      <w:r w:rsidRPr="00E3331A">
        <w:t xml:space="preserve">not on IVIg </w:t>
      </w:r>
      <w:r w:rsidR="00CF3D84" w:rsidRPr="00E3331A">
        <w:t xml:space="preserve">it was </w:t>
      </w:r>
      <w:r w:rsidRPr="00E3331A">
        <w:t>0.63 (P = 0.77). Responses to the EuroQo</w:t>
      </w:r>
      <w:r w:rsidR="00BE54F2">
        <w:t>L</w:t>
      </w:r>
      <w:r w:rsidRPr="00E3331A">
        <w:t xml:space="preserve"> are outlined in </w:t>
      </w:r>
      <w:r w:rsidR="006F35B9" w:rsidRPr="00E3331A">
        <w:t xml:space="preserve">Table </w:t>
      </w:r>
      <w:r w:rsidR="006F35B9">
        <w:rPr>
          <w:noProof/>
        </w:rPr>
        <w:t>66</w:t>
      </w:r>
      <w:r w:rsidRPr="00E3331A">
        <w:t>, with mobility being a major problem for CIDP</w:t>
      </w:r>
      <w:r w:rsidR="00CF3D84" w:rsidRPr="00E3331A">
        <w:t xml:space="preserve"> </w:t>
      </w:r>
      <w:r w:rsidR="00E810A5" w:rsidRPr="00E3331A">
        <w:t>patients</w:t>
      </w:r>
      <w:r w:rsidRPr="00E3331A">
        <w:t>.</w:t>
      </w:r>
    </w:p>
    <w:p w:rsidR="001F5B33" w:rsidRPr="00E3331A" w:rsidRDefault="001F5B33" w:rsidP="00B30C0B">
      <w:pPr>
        <w:pStyle w:val="Caption"/>
      </w:pPr>
      <w:bookmarkStart w:id="411" w:name="_Ref8150571"/>
      <w:bookmarkStart w:id="412" w:name="_Toc24103372"/>
      <w:r w:rsidRPr="00E3331A">
        <w:t xml:space="preserve">Table </w:t>
      </w:r>
      <w:r w:rsidR="006F35B9">
        <w:rPr>
          <w:noProof/>
        </w:rPr>
        <w:t>66</w:t>
      </w:r>
      <w:bookmarkEnd w:id="411"/>
      <w:r w:rsidR="00CF3D84" w:rsidRPr="00E3331A">
        <w:tab/>
      </w:r>
      <w:r w:rsidRPr="00E3331A">
        <w:t>Responses to each of the domains of the EuroQo</w:t>
      </w:r>
      <w:r w:rsidR="00BE54F2">
        <w:t>L</w:t>
      </w:r>
      <w:bookmarkEnd w:id="412"/>
      <w:r w:rsidRPr="00E3331A">
        <w:t xml:space="preserve"> </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787"/>
        <w:gridCol w:w="1488"/>
        <w:gridCol w:w="1342"/>
        <w:gridCol w:w="1404"/>
      </w:tblGrid>
      <w:tr w:rsidR="00B30C0B" w:rsidRPr="00E3331A" w:rsidTr="005C6F6D">
        <w:trPr>
          <w:trHeight w:val="227"/>
        </w:trPr>
        <w:tc>
          <w:tcPr>
            <w:tcW w:w="2653" w:type="pct"/>
            <w:vAlign w:val="center"/>
          </w:tcPr>
          <w:p w:rsidR="00B30C0B" w:rsidRPr="00E3331A" w:rsidRDefault="00B30C0B" w:rsidP="00D77378">
            <w:pPr>
              <w:pStyle w:val="Tableheading1"/>
              <w:jc w:val="center"/>
            </w:pPr>
          </w:p>
        </w:tc>
        <w:tc>
          <w:tcPr>
            <w:tcW w:w="825" w:type="pct"/>
            <w:vAlign w:val="center"/>
          </w:tcPr>
          <w:p w:rsidR="00B30C0B" w:rsidRPr="00E3331A" w:rsidRDefault="00B30C0B" w:rsidP="00D77378">
            <w:pPr>
              <w:pStyle w:val="Tableheading1"/>
              <w:jc w:val="center"/>
            </w:pPr>
            <w:r w:rsidRPr="00E3331A">
              <w:t>CIDP</w:t>
            </w:r>
          </w:p>
          <w:p w:rsidR="00EE3DC5" w:rsidRPr="00E3331A" w:rsidRDefault="00EE3DC5" w:rsidP="00D77378">
            <w:pPr>
              <w:pStyle w:val="Tableheading1"/>
              <w:jc w:val="center"/>
            </w:pPr>
            <w:r w:rsidRPr="00E3331A">
              <w:t>(%)</w:t>
            </w:r>
          </w:p>
        </w:tc>
        <w:tc>
          <w:tcPr>
            <w:tcW w:w="744" w:type="pct"/>
            <w:vAlign w:val="center"/>
          </w:tcPr>
          <w:p w:rsidR="00B30C0B" w:rsidRPr="00E3331A" w:rsidRDefault="00B30C0B" w:rsidP="00D77378">
            <w:pPr>
              <w:pStyle w:val="Tableheading1"/>
              <w:jc w:val="center"/>
            </w:pPr>
            <w:r w:rsidRPr="00E3331A">
              <w:t>MMN</w:t>
            </w:r>
          </w:p>
          <w:p w:rsidR="00EE3DC5" w:rsidRPr="00E3331A" w:rsidRDefault="00EE3DC5" w:rsidP="00D77378">
            <w:pPr>
              <w:pStyle w:val="Tableheading1"/>
              <w:jc w:val="center"/>
            </w:pPr>
            <w:r w:rsidRPr="00E3331A">
              <w:t>(%)</w:t>
            </w:r>
          </w:p>
        </w:tc>
        <w:tc>
          <w:tcPr>
            <w:tcW w:w="778" w:type="pct"/>
            <w:vAlign w:val="center"/>
          </w:tcPr>
          <w:p w:rsidR="00B30C0B" w:rsidRPr="00E3331A" w:rsidRDefault="00B30C0B" w:rsidP="00D77378">
            <w:pPr>
              <w:pStyle w:val="Tableheading1"/>
              <w:jc w:val="center"/>
            </w:pPr>
            <w:r w:rsidRPr="00E3331A">
              <w:t>PDN</w:t>
            </w:r>
          </w:p>
          <w:p w:rsidR="00EE3DC5" w:rsidRPr="00E3331A" w:rsidRDefault="00EE3DC5" w:rsidP="00D77378">
            <w:pPr>
              <w:pStyle w:val="Tableheading1"/>
              <w:jc w:val="center"/>
            </w:pPr>
            <w:r w:rsidRPr="00E3331A">
              <w:t>(%)</w:t>
            </w:r>
          </w:p>
        </w:tc>
      </w:tr>
      <w:tr w:rsidR="005C6F6D" w:rsidRPr="00E3331A" w:rsidTr="005C6F6D">
        <w:trPr>
          <w:trHeight w:val="227"/>
        </w:trPr>
        <w:tc>
          <w:tcPr>
            <w:tcW w:w="5000" w:type="pct"/>
            <w:gridSpan w:val="4"/>
            <w:vAlign w:val="center"/>
          </w:tcPr>
          <w:p w:rsidR="005C6F6D" w:rsidRPr="00E3331A" w:rsidRDefault="005C6F6D" w:rsidP="005C6F6D">
            <w:pPr>
              <w:pStyle w:val="TableParagraph"/>
              <w:ind w:left="98"/>
              <w:jc w:val="left"/>
              <w:rPr>
                <w:rFonts w:ascii="Arial Narrow" w:hAnsi="Arial Narrow"/>
                <w:b/>
                <w:color w:val="231F20"/>
                <w:sz w:val="20"/>
                <w:szCs w:val="20"/>
              </w:rPr>
            </w:pPr>
            <w:r w:rsidRPr="00E3331A">
              <w:rPr>
                <w:rFonts w:ascii="Arial Narrow" w:hAnsi="Arial Narrow"/>
                <w:b/>
                <w:color w:val="231F20"/>
                <w:sz w:val="20"/>
                <w:szCs w:val="20"/>
              </w:rPr>
              <w:t>Mobility</w:t>
            </w:r>
          </w:p>
        </w:tc>
      </w:tr>
      <w:tr w:rsidR="00B30C0B" w:rsidRPr="00E3331A" w:rsidTr="005C6F6D">
        <w:trPr>
          <w:trHeight w:val="227"/>
        </w:trPr>
        <w:tc>
          <w:tcPr>
            <w:tcW w:w="2653" w:type="pct"/>
            <w:vAlign w:val="center"/>
          </w:tcPr>
          <w:p w:rsidR="00B30C0B" w:rsidRPr="00E3331A" w:rsidRDefault="00B30C0B" w:rsidP="00906C5E">
            <w:pPr>
              <w:pStyle w:val="TableParagraph"/>
              <w:spacing w:line="158" w:lineRule="exact"/>
              <w:ind w:left="55"/>
              <w:rPr>
                <w:rFonts w:ascii="Arial Narrow" w:hAnsi="Arial Narrow"/>
                <w:color w:val="231F20"/>
                <w:sz w:val="20"/>
                <w:szCs w:val="20"/>
              </w:rPr>
            </w:pPr>
            <w:r w:rsidRPr="00E3331A">
              <w:rPr>
                <w:rFonts w:ascii="Arial Narrow" w:hAnsi="Arial Narrow"/>
                <w:color w:val="231F20"/>
                <w:w w:val="110"/>
                <w:sz w:val="20"/>
                <w:szCs w:val="20"/>
              </w:rPr>
              <w:t xml:space="preserve">  No</w:t>
            </w:r>
            <w:r w:rsidRPr="00E3331A">
              <w:rPr>
                <w:rFonts w:ascii="Arial Narrow" w:hAnsi="Arial Narrow"/>
                <w:color w:val="231F20"/>
                <w:spacing w:val="-9"/>
                <w:w w:val="110"/>
                <w:sz w:val="20"/>
                <w:szCs w:val="20"/>
              </w:rPr>
              <w:t xml:space="preserve"> </w:t>
            </w:r>
            <w:r w:rsidRPr="00E3331A">
              <w:rPr>
                <w:rFonts w:ascii="Arial Narrow" w:hAnsi="Arial Narrow"/>
                <w:color w:val="231F20"/>
                <w:w w:val="110"/>
                <w:sz w:val="20"/>
                <w:szCs w:val="20"/>
              </w:rPr>
              <w:t>problem</w:t>
            </w:r>
          </w:p>
        </w:tc>
        <w:tc>
          <w:tcPr>
            <w:tcW w:w="825" w:type="pct"/>
          </w:tcPr>
          <w:p w:rsidR="00B30C0B" w:rsidRPr="00E3331A" w:rsidRDefault="00B30C0B" w:rsidP="00906C5E">
            <w:pPr>
              <w:pStyle w:val="TableParagraph"/>
              <w:ind w:left="98"/>
              <w:jc w:val="center"/>
              <w:rPr>
                <w:rFonts w:ascii="Arial Narrow" w:hAnsi="Arial Narrow"/>
                <w:color w:val="231F20"/>
                <w:sz w:val="20"/>
                <w:szCs w:val="20"/>
              </w:rPr>
            </w:pPr>
            <w:r w:rsidRPr="00E3331A">
              <w:rPr>
                <w:rFonts w:ascii="Arial Narrow" w:hAnsi="Arial Narrow" w:cs="AdvTimes"/>
                <w:sz w:val="20"/>
                <w:szCs w:val="20"/>
              </w:rPr>
              <w:t xml:space="preserve">7 (16.7) </w:t>
            </w:r>
          </w:p>
        </w:tc>
        <w:tc>
          <w:tcPr>
            <w:tcW w:w="744" w:type="pct"/>
          </w:tcPr>
          <w:p w:rsidR="00B30C0B" w:rsidRPr="00E3331A" w:rsidRDefault="00B30C0B" w:rsidP="00906C5E">
            <w:pPr>
              <w:pStyle w:val="TableParagraph"/>
              <w:ind w:left="98"/>
              <w:jc w:val="center"/>
              <w:rPr>
                <w:rFonts w:ascii="Arial Narrow" w:hAnsi="Arial Narrow"/>
                <w:color w:val="231F20"/>
                <w:sz w:val="20"/>
                <w:szCs w:val="20"/>
              </w:rPr>
            </w:pPr>
            <w:r w:rsidRPr="00E3331A">
              <w:rPr>
                <w:rFonts w:ascii="Arial Narrow" w:hAnsi="Arial Narrow" w:cs="AdvTimes"/>
                <w:sz w:val="20"/>
                <w:szCs w:val="20"/>
              </w:rPr>
              <w:t>5 (62.5</w:t>
            </w:r>
            <w:r w:rsidR="001B576E">
              <w:rPr>
                <w:rFonts w:ascii="Arial Narrow" w:hAnsi="Arial Narrow" w:cs="AdvTimes"/>
                <w:sz w:val="20"/>
                <w:szCs w:val="20"/>
              </w:rPr>
              <w:t>)</w:t>
            </w:r>
          </w:p>
        </w:tc>
        <w:tc>
          <w:tcPr>
            <w:tcW w:w="778" w:type="pct"/>
          </w:tcPr>
          <w:p w:rsidR="00B30C0B" w:rsidRPr="00E3331A" w:rsidRDefault="00B30C0B" w:rsidP="00906C5E">
            <w:pPr>
              <w:pStyle w:val="TableParagraph"/>
              <w:ind w:left="98"/>
              <w:jc w:val="center"/>
              <w:rPr>
                <w:rFonts w:ascii="Arial Narrow" w:hAnsi="Arial Narrow"/>
                <w:color w:val="231F20"/>
                <w:sz w:val="20"/>
                <w:szCs w:val="20"/>
              </w:rPr>
            </w:pPr>
            <w:r w:rsidRPr="00E3331A">
              <w:rPr>
                <w:rFonts w:ascii="Arial Narrow" w:hAnsi="Arial Narrow" w:cs="AdvTimes"/>
                <w:sz w:val="20"/>
                <w:szCs w:val="20"/>
              </w:rPr>
              <w:t>5 (19.2)</w:t>
            </w:r>
          </w:p>
        </w:tc>
      </w:tr>
      <w:tr w:rsidR="00B30C0B" w:rsidRPr="00E3331A" w:rsidTr="005C6F6D">
        <w:trPr>
          <w:trHeight w:val="227"/>
        </w:trPr>
        <w:tc>
          <w:tcPr>
            <w:tcW w:w="2653" w:type="pct"/>
            <w:vAlign w:val="center"/>
          </w:tcPr>
          <w:p w:rsidR="00B30C0B" w:rsidRPr="00E3331A" w:rsidRDefault="00B30C0B" w:rsidP="00906C5E">
            <w:pPr>
              <w:pStyle w:val="TableParagraph"/>
              <w:spacing w:line="158" w:lineRule="exact"/>
              <w:ind w:left="55"/>
              <w:rPr>
                <w:rFonts w:ascii="Arial Narrow" w:hAnsi="Arial Narrow"/>
                <w:color w:val="231F20"/>
                <w:sz w:val="20"/>
                <w:szCs w:val="20"/>
              </w:rPr>
            </w:pPr>
            <w:r w:rsidRPr="00E3331A">
              <w:rPr>
                <w:rFonts w:ascii="Arial Narrow" w:hAnsi="Arial Narrow"/>
                <w:color w:val="231F20"/>
                <w:w w:val="105"/>
                <w:sz w:val="20"/>
                <w:szCs w:val="20"/>
              </w:rPr>
              <w:t xml:space="preserve">  Some</w:t>
            </w:r>
            <w:r w:rsidRPr="00E3331A">
              <w:rPr>
                <w:rFonts w:ascii="Arial Narrow" w:hAnsi="Arial Narrow"/>
                <w:color w:val="231F20"/>
                <w:spacing w:val="9"/>
                <w:w w:val="105"/>
                <w:sz w:val="20"/>
                <w:szCs w:val="20"/>
              </w:rPr>
              <w:t xml:space="preserve"> </w:t>
            </w:r>
            <w:r w:rsidRPr="00E3331A">
              <w:rPr>
                <w:rFonts w:ascii="Arial Narrow" w:hAnsi="Arial Narrow"/>
                <w:color w:val="231F20"/>
                <w:w w:val="105"/>
                <w:sz w:val="20"/>
                <w:szCs w:val="20"/>
              </w:rPr>
              <w:t>problem</w:t>
            </w:r>
          </w:p>
        </w:tc>
        <w:tc>
          <w:tcPr>
            <w:tcW w:w="825" w:type="pct"/>
          </w:tcPr>
          <w:p w:rsidR="00B30C0B" w:rsidRPr="00E3331A" w:rsidRDefault="00B30C0B" w:rsidP="00906C5E">
            <w:pPr>
              <w:pStyle w:val="TableParagraph"/>
              <w:ind w:left="98"/>
              <w:jc w:val="center"/>
              <w:rPr>
                <w:rFonts w:ascii="Arial Narrow" w:hAnsi="Arial Narrow"/>
                <w:color w:val="231F20"/>
                <w:sz w:val="20"/>
                <w:szCs w:val="20"/>
              </w:rPr>
            </w:pPr>
            <w:r w:rsidRPr="00E3331A">
              <w:rPr>
                <w:rFonts w:ascii="Arial Narrow" w:hAnsi="Arial Narrow" w:cs="AdvTimes"/>
                <w:sz w:val="20"/>
                <w:szCs w:val="20"/>
              </w:rPr>
              <w:t xml:space="preserve">35 (83.3) </w:t>
            </w:r>
          </w:p>
        </w:tc>
        <w:tc>
          <w:tcPr>
            <w:tcW w:w="744" w:type="pct"/>
          </w:tcPr>
          <w:p w:rsidR="00B30C0B" w:rsidRPr="00E3331A" w:rsidRDefault="00B30C0B" w:rsidP="00906C5E">
            <w:pPr>
              <w:pStyle w:val="TableParagraph"/>
              <w:ind w:left="98"/>
              <w:jc w:val="center"/>
              <w:rPr>
                <w:rFonts w:ascii="Arial Narrow" w:hAnsi="Arial Narrow"/>
                <w:color w:val="231F20"/>
                <w:sz w:val="20"/>
                <w:szCs w:val="20"/>
              </w:rPr>
            </w:pPr>
            <w:r w:rsidRPr="00E3331A">
              <w:rPr>
                <w:rFonts w:ascii="Arial Narrow" w:hAnsi="Arial Narrow" w:cs="AdvTimes"/>
                <w:sz w:val="20"/>
                <w:szCs w:val="20"/>
              </w:rPr>
              <w:t>3 (37.5)</w:t>
            </w:r>
          </w:p>
        </w:tc>
        <w:tc>
          <w:tcPr>
            <w:tcW w:w="778" w:type="pct"/>
          </w:tcPr>
          <w:p w:rsidR="00B30C0B" w:rsidRPr="00E3331A" w:rsidRDefault="00B30C0B" w:rsidP="00906C5E">
            <w:pPr>
              <w:pStyle w:val="TableParagraph"/>
              <w:ind w:left="98"/>
              <w:jc w:val="center"/>
              <w:rPr>
                <w:rFonts w:ascii="Arial Narrow" w:hAnsi="Arial Narrow"/>
                <w:color w:val="231F20"/>
                <w:sz w:val="20"/>
                <w:szCs w:val="20"/>
              </w:rPr>
            </w:pPr>
            <w:r w:rsidRPr="00E3331A">
              <w:rPr>
                <w:rFonts w:ascii="Arial Narrow" w:hAnsi="Arial Narrow" w:cs="AdvTimes"/>
                <w:sz w:val="20"/>
                <w:szCs w:val="20"/>
              </w:rPr>
              <w:t>21 (80.8)</w:t>
            </w:r>
          </w:p>
        </w:tc>
      </w:tr>
      <w:tr w:rsidR="00B30C0B" w:rsidRPr="00E3331A" w:rsidTr="005C6F6D">
        <w:trPr>
          <w:trHeight w:val="227"/>
        </w:trPr>
        <w:tc>
          <w:tcPr>
            <w:tcW w:w="2653" w:type="pct"/>
            <w:vAlign w:val="center"/>
          </w:tcPr>
          <w:p w:rsidR="00B30C0B" w:rsidRPr="00E3331A" w:rsidRDefault="00B30C0B" w:rsidP="00906C5E">
            <w:pPr>
              <w:pStyle w:val="TableParagraph"/>
              <w:spacing w:line="158" w:lineRule="exact"/>
              <w:ind w:left="55"/>
              <w:rPr>
                <w:rFonts w:ascii="Arial Narrow" w:hAnsi="Arial Narrow"/>
                <w:color w:val="231F20"/>
                <w:sz w:val="20"/>
                <w:szCs w:val="20"/>
              </w:rPr>
            </w:pPr>
            <w:r w:rsidRPr="00E3331A">
              <w:rPr>
                <w:rFonts w:ascii="Arial Narrow" w:hAnsi="Arial Narrow"/>
                <w:color w:val="231F20"/>
                <w:w w:val="105"/>
                <w:sz w:val="20"/>
                <w:szCs w:val="20"/>
              </w:rPr>
              <w:t xml:space="preserve">  Extreme</w:t>
            </w:r>
            <w:r w:rsidRPr="00E3331A">
              <w:rPr>
                <w:rFonts w:ascii="Arial Narrow" w:hAnsi="Arial Narrow"/>
                <w:color w:val="231F20"/>
                <w:spacing w:val="17"/>
                <w:w w:val="105"/>
                <w:sz w:val="20"/>
                <w:szCs w:val="20"/>
              </w:rPr>
              <w:t xml:space="preserve"> </w:t>
            </w:r>
            <w:r w:rsidRPr="00E3331A">
              <w:rPr>
                <w:rFonts w:ascii="Arial Narrow" w:hAnsi="Arial Narrow"/>
                <w:color w:val="231F20"/>
                <w:w w:val="105"/>
                <w:sz w:val="20"/>
                <w:szCs w:val="20"/>
              </w:rPr>
              <w:t>problem</w:t>
            </w:r>
          </w:p>
        </w:tc>
        <w:tc>
          <w:tcPr>
            <w:tcW w:w="825" w:type="pct"/>
          </w:tcPr>
          <w:p w:rsidR="00B30C0B" w:rsidRPr="00E3331A" w:rsidRDefault="00B30C0B" w:rsidP="00906C5E">
            <w:pPr>
              <w:pStyle w:val="TableParagraph"/>
              <w:ind w:left="98"/>
              <w:jc w:val="center"/>
              <w:rPr>
                <w:rFonts w:ascii="Arial Narrow" w:hAnsi="Arial Narrow"/>
                <w:color w:val="231F20"/>
                <w:sz w:val="20"/>
                <w:szCs w:val="20"/>
              </w:rPr>
            </w:pPr>
            <w:r w:rsidRPr="00E3331A">
              <w:rPr>
                <w:rFonts w:ascii="Arial Narrow" w:hAnsi="Arial Narrow"/>
                <w:color w:val="231F20"/>
                <w:sz w:val="20"/>
                <w:szCs w:val="20"/>
              </w:rPr>
              <w:t>0</w:t>
            </w:r>
            <w:r w:rsidRPr="00E3331A">
              <w:rPr>
                <w:rFonts w:ascii="Arial Narrow" w:hAnsi="Arial Narrow"/>
                <w:color w:val="231F20"/>
                <w:spacing w:val="8"/>
                <w:sz w:val="20"/>
                <w:szCs w:val="20"/>
              </w:rPr>
              <w:t xml:space="preserve"> </w:t>
            </w:r>
            <w:r w:rsidRPr="00E3331A">
              <w:rPr>
                <w:rFonts w:ascii="Arial Narrow" w:hAnsi="Arial Narrow"/>
                <w:color w:val="231F20"/>
                <w:sz w:val="20"/>
                <w:szCs w:val="20"/>
              </w:rPr>
              <w:t>(0)</w:t>
            </w:r>
          </w:p>
        </w:tc>
        <w:tc>
          <w:tcPr>
            <w:tcW w:w="744" w:type="pct"/>
          </w:tcPr>
          <w:p w:rsidR="00B30C0B" w:rsidRPr="00E3331A" w:rsidRDefault="00B30C0B" w:rsidP="00906C5E">
            <w:pPr>
              <w:pStyle w:val="TableParagraph"/>
              <w:ind w:left="98"/>
              <w:jc w:val="center"/>
              <w:rPr>
                <w:rFonts w:ascii="Arial Narrow" w:hAnsi="Arial Narrow"/>
                <w:color w:val="231F20"/>
                <w:sz w:val="20"/>
                <w:szCs w:val="20"/>
              </w:rPr>
            </w:pPr>
            <w:r w:rsidRPr="00E3331A">
              <w:rPr>
                <w:rFonts w:ascii="Arial Narrow" w:hAnsi="Arial Narrow"/>
                <w:color w:val="231F20"/>
                <w:sz w:val="20"/>
                <w:szCs w:val="20"/>
              </w:rPr>
              <w:t>0</w:t>
            </w:r>
            <w:r w:rsidRPr="00E3331A">
              <w:rPr>
                <w:rFonts w:ascii="Arial Narrow" w:hAnsi="Arial Narrow"/>
                <w:color w:val="231F20"/>
                <w:spacing w:val="8"/>
                <w:sz w:val="20"/>
                <w:szCs w:val="20"/>
              </w:rPr>
              <w:t xml:space="preserve"> </w:t>
            </w:r>
            <w:r w:rsidRPr="00E3331A">
              <w:rPr>
                <w:rFonts w:ascii="Arial Narrow" w:hAnsi="Arial Narrow"/>
                <w:color w:val="231F20"/>
                <w:sz w:val="20"/>
                <w:szCs w:val="20"/>
              </w:rPr>
              <w:t>(0)</w:t>
            </w:r>
          </w:p>
        </w:tc>
        <w:tc>
          <w:tcPr>
            <w:tcW w:w="778" w:type="pct"/>
          </w:tcPr>
          <w:p w:rsidR="00B30C0B" w:rsidRPr="00E3331A" w:rsidRDefault="00B30C0B" w:rsidP="00906C5E">
            <w:pPr>
              <w:pStyle w:val="TableParagraph"/>
              <w:ind w:left="98"/>
              <w:jc w:val="center"/>
              <w:rPr>
                <w:rFonts w:ascii="Arial Narrow" w:hAnsi="Arial Narrow"/>
                <w:color w:val="231F20"/>
                <w:sz w:val="20"/>
                <w:szCs w:val="20"/>
              </w:rPr>
            </w:pPr>
            <w:r w:rsidRPr="00E3331A">
              <w:rPr>
                <w:rFonts w:ascii="Arial Narrow" w:hAnsi="Arial Narrow"/>
                <w:color w:val="231F20"/>
                <w:sz w:val="20"/>
                <w:szCs w:val="20"/>
              </w:rPr>
              <w:t>0</w:t>
            </w:r>
            <w:r w:rsidRPr="00E3331A">
              <w:rPr>
                <w:rFonts w:ascii="Arial Narrow" w:hAnsi="Arial Narrow"/>
                <w:color w:val="231F20"/>
                <w:spacing w:val="8"/>
                <w:sz w:val="20"/>
                <w:szCs w:val="20"/>
              </w:rPr>
              <w:t xml:space="preserve"> </w:t>
            </w:r>
            <w:r w:rsidRPr="00E3331A">
              <w:rPr>
                <w:rFonts w:ascii="Arial Narrow" w:hAnsi="Arial Narrow"/>
                <w:color w:val="231F20"/>
                <w:sz w:val="20"/>
                <w:szCs w:val="20"/>
              </w:rPr>
              <w:t>(0)</w:t>
            </w:r>
          </w:p>
        </w:tc>
      </w:tr>
      <w:tr w:rsidR="005C6F6D" w:rsidRPr="00E3331A" w:rsidTr="005C6F6D">
        <w:trPr>
          <w:trHeight w:val="227"/>
        </w:trPr>
        <w:tc>
          <w:tcPr>
            <w:tcW w:w="5000" w:type="pct"/>
            <w:gridSpan w:val="4"/>
            <w:vAlign w:val="center"/>
          </w:tcPr>
          <w:p w:rsidR="005C6F6D" w:rsidRPr="00E3331A" w:rsidRDefault="005C6F6D" w:rsidP="005C6F6D">
            <w:pPr>
              <w:pStyle w:val="TableParagraph"/>
              <w:ind w:left="98"/>
              <w:jc w:val="left"/>
              <w:rPr>
                <w:rFonts w:ascii="Arial Narrow" w:hAnsi="Arial Narrow"/>
                <w:color w:val="231F20"/>
                <w:sz w:val="20"/>
                <w:szCs w:val="20"/>
              </w:rPr>
            </w:pPr>
            <w:r w:rsidRPr="00E3331A">
              <w:rPr>
                <w:rFonts w:ascii="Arial Narrow" w:hAnsi="Arial Narrow"/>
                <w:b/>
                <w:color w:val="231F20"/>
                <w:sz w:val="20"/>
                <w:szCs w:val="20"/>
              </w:rPr>
              <w:t>Self-care</w:t>
            </w:r>
          </w:p>
        </w:tc>
      </w:tr>
      <w:tr w:rsidR="00B30C0B" w:rsidRPr="00E3331A" w:rsidTr="005C6F6D">
        <w:trPr>
          <w:trHeight w:val="227"/>
        </w:trPr>
        <w:tc>
          <w:tcPr>
            <w:tcW w:w="2653" w:type="pct"/>
            <w:vAlign w:val="center"/>
          </w:tcPr>
          <w:p w:rsidR="00B30C0B" w:rsidRPr="00E3331A" w:rsidRDefault="00B30C0B" w:rsidP="00906C5E">
            <w:pPr>
              <w:pStyle w:val="TableParagraph"/>
              <w:spacing w:before="26"/>
              <w:ind w:left="194"/>
              <w:rPr>
                <w:rFonts w:ascii="Arial Narrow" w:eastAsia="Times New Roman" w:hAnsi="Arial Narrow"/>
                <w:sz w:val="20"/>
                <w:szCs w:val="20"/>
              </w:rPr>
            </w:pPr>
            <w:r w:rsidRPr="00E3331A">
              <w:rPr>
                <w:rFonts w:ascii="Arial Narrow" w:hAnsi="Arial Narrow"/>
                <w:color w:val="231F20"/>
                <w:w w:val="110"/>
                <w:sz w:val="20"/>
                <w:szCs w:val="20"/>
              </w:rPr>
              <w:t>No</w:t>
            </w:r>
            <w:r w:rsidRPr="00E3331A">
              <w:rPr>
                <w:rFonts w:ascii="Arial Narrow" w:hAnsi="Arial Narrow"/>
                <w:color w:val="231F20"/>
                <w:spacing w:val="-9"/>
                <w:w w:val="110"/>
                <w:sz w:val="20"/>
                <w:szCs w:val="20"/>
              </w:rPr>
              <w:t xml:space="preserve"> </w:t>
            </w:r>
            <w:r w:rsidRPr="00E3331A">
              <w:rPr>
                <w:rFonts w:ascii="Arial Narrow" w:hAnsi="Arial Narrow"/>
                <w:color w:val="231F20"/>
                <w:w w:val="110"/>
                <w:sz w:val="20"/>
                <w:szCs w:val="20"/>
              </w:rPr>
              <w:t>problem</w:t>
            </w:r>
          </w:p>
        </w:tc>
        <w:tc>
          <w:tcPr>
            <w:tcW w:w="825"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24</w:t>
            </w:r>
            <w:r w:rsidRPr="00E3331A">
              <w:rPr>
                <w:rFonts w:ascii="Arial Narrow" w:hAnsi="Arial Narrow"/>
                <w:color w:val="231F20"/>
                <w:spacing w:val="10"/>
                <w:sz w:val="20"/>
                <w:szCs w:val="20"/>
              </w:rPr>
              <w:t xml:space="preserve"> </w:t>
            </w:r>
            <w:r w:rsidRPr="00E3331A">
              <w:rPr>
                <w:rFonts w:ascii="Arial Narrow" w:hAnsi="Arial Narrow"/>
                <w:color w:val="231F20"/>
                <w:sz w:val="20"/>
                <w:szCs w:val="20"/>
              </w:rPr>
              <w:t>(57.1)</w:t>
            </w:r>
          </w:p>
        </w:tc>
        <w:tc>
          <w:tcPr>
            <w:tcW w:w="744"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5</w:t>
            </w:r>
            <w:r w:rsidRPr="00E3331A">
              <w:rPr>
                <w:rFonts w:ascii="Arial Narrow" w:hAnsi="Arial Narrow"/>
                <w:color w:val="231F20"/>
                <w:spacing w:val="11"/>
                <w:sz w:val="20"/>
                <w:szCs w:val="20"/>
              </w:rPr>
              <w:t xml:space="preserve"> </w:t>
            </w:r>
            <w:r w:rsidRPr="00E3331A">
              <w:rPr>
                <w:rFonts w:ascii="Arial Narrow" w:hAnsi="Arial Narrow"/>
                <w:color w:val="231F20"/>
                <w:sz w:val="20"/>
                <w:szCs w:val="20"/>
              </w:rPr>
              <w:t>(62.5)</w:t>
            </w:r>
          </w:p>
        </w:tc>
        <w:tc>
          <w:tcPr>
            <w:tcW w:w="778"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18</w:t>
            </w:r>
            <w:r w:rsidRPr="00E3331A">
              <w:rPr>
                <w:rFonts w:ascii="Arial Narrow" w:hAnsi="Arial Narrow"/>
                <w:color w:val="231F20"/>
                <w:spacing w:val="9"/>
                <w:sz w:val="20"/>
                <w:szCs w:val="20"/>
              </w:rPr>
              <w:t xml:space="preserve"> </w:t>
            </w:r>
            <w:r w:rsidRPr="00E3331A">
              <w:rPr>
                <w:rFonts w:ascii="Arial Narrow" w:hAnsi="Arial Narrow"/>
                <w:color w:val="231F20"/>
                <w:sz w:val="20"/>
                <w:szCs w:val="20"/>
              </w:rPr>
              <w:t>(69.2)</w:t>
            </w:r>
          </w:p>
        </w:tc>
      </w:tr>
      <w:tr w:rsidR="00B30C0B" w:rsidRPr="00E3331A" w:rsidTr="005C6F6D">
        <w:trPr>
          <w:trHeight w:val="227"/>
        </w:trPr>
        <w:tc>
          <w:tcPr>
            <w:tcW w:w="2653" w:type="pct"/>
            <w:vAlign w:val="center"/>
          </w:tcPr>
          <w:p w:rsidR="00B30C0B" w:rsidRPr="00E3331A" w:rsidRDefault="00B30C0B" w:rsidP="00906C5E">
            <w:pPr>
              <w:pStyle w:val="TableParagraph"/>
              <w:ind w:left="194"/>
              <w:rPr>
                <w:rFonts w:ascii="Arial Narrow" w:eastAsia="Times New Roman" w:hAnsi="Arial Narrow"/>
                <w:sz w:val="20"/>
                <w:szCs w:val="20"/>
              </w:rPr>
            </w:pPr>
            <w:r w:rsidRPr="00E3331A">
              <w:rPr>
                <w:rFonts w:ascii="Arial Narrow" w:hAnsi="Arial Narrow"/>
                <w:color w:val="231F20"/>
                <w:w w:val="105"/>
                <w:sz w:val="20"/>
                <w:szCs w:val="20"/>
              </w:rPr>
              <w:t>Some</w:t>
            </w:r>
            <w:r w:rsidRPr="00E3331A">
              <w:rPr>
                <w:rFonts w:ascii="Arial Narrow" w:hAnsi="Arial Narrow"/>
                <w:color w:val="231F20"/>
                <w:spacing w:val="9"/>
                <w:w w:val="105"/>
                <w:sz w:val="20"/>
                <w:szCs w:val="20"/>
              </w:rPr>
              <w:t xml:space="preserve"> </w:t>
            </w:r>
            <w:r w:rsidRPr="00E3331A">
              <w:rPr>
                <w:rFonts w:ascii="Arial Narrow" w:hAnsi="Arial Narrow"/>
                <w:color w:val="231F20"/>
                <w:w w:val="105"/>
                <w:sz w:val="20"/>
                <w:szCs w:val="20"/>
              </w:rPr>
              <w:t>problem</w:t>
            </w:r>
          </w:p>
        </w:tc>
        <w:tc>
          <w:tcPr>
            <w:tcW w:w="825"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17</w:t>
            </w:r>
            <w:r w:rsidRPr="00E3331A">
              <w:rPr>
                <w:rFonts w:ascii="Arial Narrow" w:hAnsi="Arial Narrow"/>
                <w:color w:val="231F20"/>
                <w:spacing w:val="10"/>
                <w:sz w:val="20"/>
                <w:szCs w:val="20"/>
              </w:rPr>
              <w:t xml:space="preserve"> </w:t>
            </w:r>
            <w:r w:rsidRPr="00E3331A">
              <w:rPr>
                <w:rFonts w:ascii="Arial Narrow" w:hAnsi="Arial Narrow"/>
                <w:color w:val="231F20"/>
                <w:sz w:val="20"/>
                <w:szCs w:val="20"/>
              </w:rPr>
              <w:t>(40.5)</w:t>
            </w:r>
          </w:p>
        </w:tc>
        <w:tc>
          <w:tcPr>
            <w:tcW w:w="744"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3</w:t>
            </w:r>
            <w:r w:rsidRPr="00E3331A">
              <w:rPr>
                <w:rFonts w:ascii="Arial Narrow" w:hAnsi="Arial Narrow"/>
                <w:color w:val="231F20"/>
                <w:spacing w:val="11"/>
                <w:sz w:val="20"/>
                <w:szCs w:val="20"/>
              </w:rPr>
              <w:t xml:space="preserve"> </w:t>
            </w:r>
            <w:r w:rsidRPr="00E3331A">
              <w:rPr>
                <w:rFonts w:ascii="Arial Narrow" w:hAnsi="Arial Narrow"/>
                <w:color w:val="231F20"/>
                <w:sz w:val="20"/>
                <w:szCs w:val="20"/>
              </w:rPr>
              <w:t>(37.5)</w:t>
            </w:r>
          </w:p>
        </w:tc>
        <w:tc>
          <w:tcPr>
            <w:tcW w:w="778" w:type="pct"/>
            <w:vAlign w:val="center"/>
          </w:tcPr>
          <w:p w:rsidR="00B30C0B" w:rsidRPr="00E3331A" w:rsidRDefault="00B30C0B" w:rsidP="00906C5E">
            <w:pPr>
              <w:pStyle w:val="TableParagraph"/>
              <w:ind w:left="173"/>
              <w:jc w:val="center"/>
              <w:rPr>
                <w:rFonts w:ascii="Arial Narrow" w:eastAsia="Times New Roman" w:hAnsi="Arial Narrow"/>
                <w:sz w:val="20"/>
                <w:szCs w:val="20"/>
              </w:rPr>
            </w:pPr>
            <w:r w:rsidRPr="00E3331A">
              <w:rPr>
                <w:rFonts w:ascii="Arial Narrow" w:hAnsi="Arial Narrow"/>
                <w:color w:val="231F20"/>
                <w:sz w:val="20"/>
                <w:szCs w:val="20"/>
              </w:rPr>
              <w:t>8</w:t>
            </w:r>
            <w:r w:rsidRPr="00E3331A">
              <w:rPr>
                <w:rFonts w:ascii="Arial Narrow" w:hAnsi="Arial Narrow"/>
                <w:color w:val="231F20"/>
                <w:spacing w:val="10"/>
                <w:sz w:val="20"/>
                <w:szCs w:val="20"/>
              </w:rPr>
              <w:t xml:space="preserve"> </w:t>
            </w:r>
            <w:r w:rsidRPr="00E3331A">
              <w:rPr>
                <w:rFonts w:ascii="Arial Narrow" w:hAnsi="Arial Narrow"/>
                <w:color w:val="231F20"/>
                <w:sz w:val="20"/>
                <w:szCs w:val="20"/>
              </w:rPr>
              <w:t>(30.8)</w:t>
            </w:r>
          </w:p>
        </w:tc>
      </w:tr>
      <w:tr w:rsidR="00B30C0B" w:rsidRPr="00E3331A" w:rsidTr="005C6F6D">
        <w:trPr>
          <w:trHeight w:val="227"/>
        </w:trPr>
        <w:tc>
          <w:tcPr>
            <w:tcW w:w="2653" w:type="pct"/>
            <w:vAlign w:val="center"/>
          </w:tcPr>
          <w:p w:rsidR="00B30C0B" w:rsidRPr="00E3331A" w:rsidRDefault="00B30C0B" w:rsidP="00906C5E">
            <w:pPr>
              <w:pStyle w:val="TableParagraph"/>
              <w:ind w:left="194"/>
              <w:rPr>
                <w:rFonts w:ascii="Arial Narrow" w:eastAsia="Times New Roman" w:hAnsi="Arial Narrow"/>
                <w:sz w:val="20"/>
                <w:szCs w:val="20"/>
              </w:rPr>
            </w:pPr>
            <w:r w:rsidRPr="00E3331A">
              <w:rPr>
                <w:rFonts w:ascii="Arial Narrow" w:hAnsi="Arial Narrow"/>
                <w:color w:val="231F20"/>
                <w:w w:val="105"/>
                <w:sz w:val="20"/>
                <w:szCs w:val="20"/>
              </w:rPr>
              <w:t>Extreme</w:t>
            </w:r>
            <w:r w:rsidRPr="00E3331A">
              <w:rPr>
                <w:rFonts w:ascii="Arial Narrow" w:hAnsi="Arial Narrow"/>
                <w:color w:val="231F20"/>
                <w:spacing w:val="17"/>
                <w:w w:val="105"/>
                <w:sz w:val="20"/>
                <w:szCs w:val="20"/>
              </w:rPr>
              <w:t xml:space="preserve"> </w:t>
            </w:r>
            <w:r w:rsidRPr="00E3331A">
              <w:rPr>
                <w:rFonts w:ascii="Arial Narrow" w:hAnsi="Arial Narrow"/>
                <w:color w:val="231F20"/>
                <w:w w:val="105"/>
                <w:sz w:val="20"/>
                <w:szCs w:val="20"/>
              </w:rPr>
              <w:t>problem</w:t>
            </w:r>
          </w:p>
        </w:tc>
        <w:tc>
          <w:tcPr>
            <w:tcW w:w="825" w:type="pct"/>
            <w:vAlign w:val="center"/>
          </w:tcPr>
          <w:p w:rsidR="00B30C0B" w:rsidRPr="00E3331A" w:rsidRDefault="00B30C0B" w:rsidP="00906C5E">
            <w:pPr>
              <w:pStyle w:val="TableParagraph"/>
              <w:ind w:left="173"/>
              <w:jc w:val="center"/>
              <w:rPr>
                <w:rFonts w:ascii="Arial Narrow" w:eastAsia="Times New Roman" w:hAnsi="Arial Narrow"/>
                <w:sz w:val="20"/>
                <w:szCs w:val="20"/>
              </w:rPr>
            </w:pPr>
            <w:r w:rsidRPr="00E3331A">
              <w:rPr>
                <w:rFonts w:ascii="Arial Narrow" w:hAnsi="Arial Narrow"/>
                <w:color w:val="231F20"/>
                <w:sz w:val="20"/>
                <w:szCs w:val="20"/>
              </w:rPr>
              <w:t>1</w:t>
            </w:r>
            <w:r w:rsidRPr="00E3331A">
              <w:rPr>
                <w:rFonts w:ascii="Arial Narrow" w:hAnsi="Arial Narrow"/>
                <w:color w:val="231F20"/>
                <w:spacing w:val="11"/>
                <w:sz w:val="20"/>
                <w:szCs w:val="20"/>
              </w:rPr>
              <w:t xml:space="preserve"> </w:t>
            </w:r>
            <w:r w:rsidRPr="00E3331A">
              <w:rPr>
                <w:rFonts w:ascii="Arial Narrow" w:hAnsi="Arial Narrow"/>
                <w:color w:val="231F20"/>
                <w:sz w:val="20"/>
                <w:szCs w:val="20"/>
              </w:rPr>
              <w:t>(2.4)</w:t>
            </w:r>
          </w:p>
        </w:tc>
        <w:tc>
          <w:tcPr>
            <w:tcW w:w="744"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0</w:t>
            </w:r>
            <w:r w:rsidRPr="00E3331A">
              <w:rPr>
                <w:rFonts w:ascii="Arial Narrow" w:hAnsi="Arial Narrow"/>
                <w:color w:val="231F20"/>
                <w:spacing w:val="9"/>
                <w:sz w:val="20"/>
                <w:szCs w:val="20"/>
              </w:rPr>
              <w:t xml:space="preserve"> </w:t>
            </w:r>
            <w:r w:rsidRPr="00E3331A">
              <w:rPr>
                <w:rFonts w:ascii="Arial Narrow" w:hAnsi="Arial Narrow"/>
                <w:color w:val="231F20"/>
                <w:sz w:val="20"/>
                <w:szCs w:val="20"/>
              </w:rPr>
              <w:t>(0)</w:t>
            </w:r>
          </w:p>
        </w:tc>
        <w:tc>
          <w:tcPr>
            <w:tcW w:w="778" w:type="pct"/>
            <w:vAlign w:val="center"/>
          </w:tcPr>
          <w:p w:rsidR="00B30C0B" w:rsidRPr="00E3331A" w:rsidRDefault="00B30C0B" w:rsidP="00906C5E">
            <w:pPr>
              <w:pStyle w:val="TableParagraph"/>
              <w:ind w:left="173"/>
              <w:jc w:val="center"/>
              <w:rPr>
                <w:rFonts w:ascii="Arial Narrow" w:eastAsia="Times New Roman" w:hAnsi="Arial Narrow"/>
                <w:sz w:val="20"/>
                <w:szCs w:val="20"/>
              </w:rPr>
            </w:pPr>
            <w:r w:rsidRPr="00E3331A">
              <w:rPr>
                <w:rFonts w:ascii="Arial Narrow" w:hAnsi="Arial Narrow"/>
                <w:color w:val="231F20"/>
                <w:sz w:val="20"/>
                <w:szCs w:val="20"/>
              </w:rPr>
              <w:t>0</w:t>
            </w:r>
            <w:r w:rsidRPr="00E3331A">
              <w:rPr>
                <w:rFonts w:ascii="Arial Narrow" w:hAnsi="Arial Narrow"/>
                <w:color w:val="231F20"/>
                <w:spacing w:val="8"/>
                <w:sz w:val="20"/>
                <w:szCs w:val="20"/>
              </w:rPr>
              <w:t xml:space="preserve"> </w:t>
            </w:r>
            <w:r w:rsidRPr="00E3331A">
              <w:rPr>
                <w:rFonts w:ascii="Arial Narrow" w:hAnsi="Arial Narrow"/>
                <w:color w:val="231F20"/>
                <w:sz w:val="20"/>
                <w:szCs w:val="20"/>
              </w:rPr>
              <w:t>(0)</w:t>
            </w:r>
          </w:p>
        </w:tc>
      </w:tr>
      <w:tr w:rsidR="005C6F6D" w:rsidRPr="00E3331A" w:rsidTr="005C6F6D">
        <w:trPr>
          <w:trHeight w:val="227"/>
        </w:trPr>
        <w:tc>
          <w:tcPr>
            <w:tcW w:w="5000" w:type="pct"/>
            <w:gridSpan w:val="4"/>
            <w:vAlign w:val="center"/>
          </w:tcPr>
          <w:p w:rsidR="005C6F6D" w:rsidRPr="00E3331A" w:rsidRDefault="005C6F6D" w:rsidP="005C6F6D">
            <w:pPr>
              <w:spacing w:after="0"/>
              <w:rPr>
                <w:rFonts w:ascii="Arial Narrow" w:hAnsi="Arial Narrow"/>
                <w:b/>
                <w:sz w:val="20"/>
                <w:szCs w:val="20"/>
              </w:rPr>
            </w:pPr>
            <w:r w:rsidRPr="00E3331A">
              <w:rPr>
                <w:rFonts w:ascii="Arial Narrow" w:hAnsi="Arial Narrow"/>
                <w:b/>
                <w:color w:val="231F20"/>
                <w:w w:val="105"/>
                <w:sz w:val="20"/>
                <w:szCs w:val="20"/>
              </w:rPr>
              <w:t>Usual</w:t>
            </w:r>
            <w:r w:rsidRPr="00E3331A">
              <w:rPr>
                <w:rFonts w:ascii="Arial Narrow" w:hAnsi="Arial Narrow"/>
                <w:b/>
                <w:color w:val="231F20"/>
                <w:spacing w:val="13"/>
                <w:w w:val="105"/>
                <w:sz w:val="20"/>
                <w:szCs w:val="20"/>
              </w:rPr>
              <w:t xml:space="preserve"> </w:t>
            </w:r>
            <w:r w:rsidRPr="00E3331A">
              <w:rPr>
                <w:rFonts w:ascii="Arial Narrow" w:hAnsi="Arial Narrow"/>
                <w:b/>
                <w:color w:val="231F20"/>
                <w:w w:val="105"/>
                <w:sz w:val="20"/>
                <w:szCs w:val="20"/>
              </w:rPr>
              <w:t>activity</w:t>
            </w:r>
          </w:p>
        </w:tc>
      </w:tr>
      <w:tr w:rsidR="00B30C0B" w:rsidRPr="00E3331A" w:rsidTr="005C6F6D">
        <w:trPr>
          <w:trHeight w:val="227"/>
        </w:trPr>
        <w:tc>
          <w:tcPr>
            <w:tcW w:w="2653" w:type="pct"/>
            <w:vAlign w:val="center"/>
          </w:tcPr>
          <w:p w:rsidR="00B30C0B" w:rsidRPr="00E3331A" w:rsidRDefault="00B30C0B" w:rsidP="00906C5E">
            <w:pPr>
              <w:pStyle w:val="TableParagraph"/>
              <w:ind w:left="194"/>
              <w:rPr>
                <w:rFonts w:ascii="Arial Narrow" w:eastAsia="Times New Roman" w:hAnsi="Arial Narrow"/>
                <w:sz w:val="20"/>
                <w:szCs w:val="20"/>
              </w:rPr>
            </w:pPr>
            <w:r w:rsidRPr="00E3331A">
              <w:rPr>
                <w:rFonts w:ascii="Arial Narrow" w:hAnsi="Arial Narrow"/>
                <w:color w:val="231F20"/>
                <w:w w:val="110"/>
                <w:sz w:val="20"/>
                <w:szCs w:val="20"/>
              </w:rPr>
              <w:t>No</w:t>
            </w:r>
            <w:r w:rsidRPr="00E3331A">
              <w:rPr>
                <w:rFonts w:ascii="Arial Narrow" w:hAnsi="Arial Narrow"/>
                <w:color w:val="231F20"/>
                <w:spacing w:val="-9"/>
                <w:w w:val="110"/>
                <w:sz w:val="20"/>
                <w:szCs w:val="20"/>
              </w:rPr>
              <w:t xml:space="preserve"> </w:t>
            </w:r>
            <w:r w:rsidRPr="00E3331A">
              <w:rPr>
                <w:rFonts w:ascii="Arial Narrow" w:hAnsi="Arial Narrow"/>
                <w:color w:val="231F20"/>
                <w:w w:val="110"/>
                <w:sz w:val="20"/>
                <w:szCs w:val="20"/>
              </w:rPr>
              <w:t>problem</w:t>
            </w:r>
          </w:p>
        </w:tc>
        <w:tc>
          <w:tcPr>
            <w:tcW w:w="825" w:type="pct"/>
            <w:vAlign w:val="center"/>
          </w:tcPr>
          <w:p w:rsidR="00B30C0B" w:rsidRPr="00E3331A" w:rsidRDefault="00B30C0B" w:rsidP="00906C5E">
            <w:pPr>
              <w:pStyle w:val="TableParagraph"/>
              <w:ind w:left="173"/>
              <w:jc w:val="center"/>
              <w:rPr>
                <w:rFonts w:ascii="Arial Narrow" w:eastAsia="Times New Roman" w:hAnsi="Arial Narrow"/>
                <w:sz w:val="20"/>
                <w:szCs w:val="20"/>
              </w:rPr>
            </w:pPr>
            <w:r w:rsidRPr="00E3331A">
              <w:rPr>
                <w:rFonts w:ascii="Arial Narrow" w:hAnsi="Arial Narrow"/>
                <w:color w:val="231F20"/>
                <w:sz w:val="20"/>
                <w:szCs w:val="20"/>
              </w:rPr>
              <w:t>9</w:t>
            </w:r>
            <w:r w:rsidRPr="00E3331A">
              <w:rPr>
                <w:rFonts w:ascii="Arial Narrow" w:hAnsi="Arial Narrow"/>
                <w:color w:val="231F20"/>
                <w:spacing w:val="11"/>
                <w:sz w:val="20"/>
                <w:szCs w:val="20"/>
              </w:rPr>
              <w:t xml:space="preserve"> </w:t>
            </w:r>
            <w:r w:rsidRPr="00E3331A">
              <w:rPr>
                <w:rFonts w:ascii="Arial Narrow" w:hAnsi="Arial Narrow"/>
                <w:color w:val="231F20"/>
                <w:sz w:val="20"/>
                <w:szCs w:val="20"/>
              </w:rPr>
              <w:t>(21.4)</w:t>
            </w:r>
          </w:p>
        </w:tc>
        <w:tc>
          <w:tcPr>
            <w:tcW w:w="744"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2</w:t>
            </w:r>
            <w:r w:rsidRPr="00E3331A">
              <w:rPr>
                <w:rFonts w:ascii="Arial Narrow" w:hAnsi="Arial Narrow"/>
                <w:color w:val="231F20"/>
                <w:spacing w:val="8"/>
                <w:sz w:val="20"/>
                <w:szCs w:val="20"/>
              </w:rPr>
              <w:t xml:space="preserve"> </w:t>
            </w:r>
            <w:r w:rsidRPr="00E3331A">
              <w:rPr>
                <w:rFonts w:ascii="Arial Narrow" w:hAnsi="Arial Narrow"/>
                <w:color w:val="231F20"/>
                <w:sz w:val="20"/>
                <w:szCs w:val="20"/>
              </w:rPr>
              <w:t>(25)</w:t>
            </w:r>
          </w:p>
        </w:tc>
        <w:tc>
          <w:tcPr>
            <w:tcW w:w="778" w:type="pct"/>
            <w:vAlign w:val="center"/>
          </w:tcPr>
          <w:p w:rsidR="00B30C0B" w:rsidRPr="00E3331A" w:rsidRDefault="00B30C0B" w:rsidP="00906C5E">
            <w:pPr>
              <w:pStyle w:val="TableParagraph"/>
              <w:ind w:left="173"/>
              <w:jc w:val="center"/>
              <w:rPr>
                <w:rFonts w:ascii="Arial Narrow" w:eastAsia="Times New Roman" w:hAnsi="Arial Narrow"/>
                <w:sz w:val="20"/>
                <w:szCs w:val="20"/>
              </w:rPr>
            </w:pPr>
            <w:r w:rsidRPr="00E3331A">
              <w:rPr>
                <w:rFonts w:ascii="Arial Narrow" w:hAnsi="Arial Narrow"/>
                <w:color w:val="231F20"/>
                <w:sz w:val="20"/>
                <w:szCs w:val="20"/>
              </w:rPr>
              <w:t>5</w:t>
            </w:r>
            <w:r w:rsidRPr="00E3331A">
              <w:rPr>
                <w:rFonts w:ascii="Arial Narrow" w:hAnsi="Arial Narrow"/>
                <w:color w:val="231F20"/>
                <w:spacing w:val="10"/>
                <w:sz w:val="20"/>
                <w:szCs w:val="20"/>
              </w:rPr>
              <w:t xml:space="preserve"> </w:t>
            </w:r>
            <w:r w:rsidRPr="00E3331A">
              <w:rPr>
                <w:rFonts w:ascii="Arial Narrow" w:hAnsi="Arial Narrow"/>
                <w:color w:val="231F20"/>
                <w:sz w:val="20"/>
                <w:szCs w:val="20"/>
              </w:rPr>
              <w:t>(19.2)</w:t>
            </w:r>
          </w:p>
        </w:tc>
      </w:tr>
      <w:tr w:rsidR="00B30C0B" w:rsidRPr="00E3331A" w:rsidTr="005C6F6D">
        <w:trPr>
          <w:trHeight w:val="227"/>
        </w:trPr>
        <w:tc>
          <w:tcPr>
            <w:tcW w:w="2653" w:type="pct"/>
            <w:vAlign w:val="center"/>
          </w:tcPr>
          <w:p w:rsidR="00B30C0B" w:rsidRPr="00E3331A" w:rsidRDefault="00B30C0B" w:rsidP="00906C5E">
            <w:pPr>
              <w:pStyle w:val="TableParagraph"/>
              <w:ind w:left="194"/>
              <w:rPr>
                <w:rFonts w:ascii="Arial Narrow" w:eastAsia="Times New Roman" w:hAnsi="Arial Narrow"/>
                <w:sz w:val="20"/>
                <w:szCs w:val="20"/>
              </w:rPr>
            </w:pPr>
            <w:r w:rsidRPr="00E3331A">
              <w:rPr>
                <w:rFonts w:ascii="Arial Narrow" w:hAnsi="Arial Narrow"/>
                <w:color w:val="231F20"/>
                <w:w w:val="105"/>
                <w:sz w:val="20"/>
                <w:szCs w:val="20"/>
              </w:rPr>
              <w:t>Some</w:t>
            </w:r>
            <w:r w:rsidRPr="00E3331A">
              <w:rPr>
                <w:rFonts w:ascii="Arial Narrow" w:hAnsi="Arial Narrow"/>
                <w:color w:val="231F20"/>
                <w:spacing w:val="9"/>
                <w:w w:val="105"/>
                <w:sz w:val="20"/>
                <w:szCs w:val="20"/>
              </w:rPr>
              <w:t xml:space="preserve"> </w:t>
            </w:r>
            <w:r w:rsidRPr="00E3331A">
              <w:rPr>
                <w:rFonts w:ascii="Arial Narrow" w:hAnsi="Arial Narrow"/>
                <w:color w:val="231F20"/>
                <w:w w:val="105"/>
                <w:sz w:val="20"/>
                <w:szCs w:val="20"/>
              </w:rPr>
              <w:t>problem</w:t>
            </w:r>
          </w:p>
        </w:tc>
        <w:tc>
          <w:tcPr>
            <w:tcW w:w="825"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29</w:t>
            </w:r>
            <w:r w:rsidRPr="00E3331A">
              <w:rPr>
                <w:rFonts w:ascii="Arial Narrow" w:hAnsi="Arial Narrow"/>
                <w:color w:val="231F20"/>
                <w:spacing w:val="10"/>
                <w:sz w:val="20"/>
                <w:szCs w:val="20"/>
              </w:rPr>
              <w:t xml:space="preserve"> </w:t>
            </w:r>
            <w:r w:rsidRPr="00E3331A">
              <w:rPr>
                <w:rFonts w:ascii="Arial Narrow" w:hAnsi="Arial Narrow"/>
                <w:color w:val="231F20"/>
                <w:sz w:val="20"/>
                <w:szCs w:val="20"/>
              </w:rPr>
              <w:t>(69.0)</w:t>
            </w:r>
          </w:p>
        </w:tc>
        <w:tc>
          <w:tcPr>
            <w:tcW w:w="744"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6</w:t>
            </w:r>
            <w:r w:rsidRPr="00E3331A">
              <w:rPr>
                <w:rFonts w:ascii="Arial Narrow" w:hAnsi="Arial Narrow"/>
                <w:color w:val="231F20"/>
                <w:spacing w:val="8"/>
                <w:sz w:val="20"/>
                <w:szCs w:val="20"/>
              </w:rPr>
              <w:t xml:space="preserve"> </w:t>
            </w:r>
            <w:r w:rsidRPr="00E3331A">
              <w:rPr>
                <w:rFonts w:ascii="Arial Narrow" w:hAnsi="Arial Narrow"/>
                <w:color w:val="231F20"/>
                <w:sz w:val="20"/>
                <w:szCs w:val="20"/>
              </w:rPr>
              <w:t>(75)</w:t>
            </w:r>
          </w:p>
        </w:tc>
        <w:tc>
          <w:tcPr>
            <w:tcW w:w="778"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20</w:t>
            </w:r>
            <w:r w:rsidRPr="00E3331A">
              <w:rPr>
                <w:rFonts w:ascii="Arial Narrow" w:hAnsi="Arial Narrow"/>
                <w:color w:val="231F20"/>
                <w:spacing w:val="9"/>
                <w:sz w:val="20"/>
                <w:szCs w:val="20"/>
              </w:rPr>
              <w:t xml:space="preserve"> </w:t>
            </w:r>
            <w:r w:rsidRPr="00E3331A">
              <w:rPr>
                <w:rFonts w:ascii="Arial Narrow" w:hAnsi="Arial Narrow"/>
                <w:color w:val="231F20"/>
                <w:sz w:val="20"/>
                <w:szCs w:val="20"/>
              </w:rPr>
              <w:t>(76.9)</w:t>
            </w:r>
          </w:p>
        </w:tc>
      </w:tr>
      <w:tr w:rsidR="00B30C0B" w:rsidRPr="00E3331A" w:rsidTr="005C6F6D">
        <w:trPr>
          <w:trHeight w:val="227"/>
        </w:trPr>
        <w:tc>
          <w:tcPr>
            <w:tcW w:w="2653" w:type="pct"/>
            <w:vAlign w:val="center"/>
          </w:tcPr>
          <w:p w:rsidR="00B30C0B" w:rsidRPr="00E3331A" w:rsidRDefault="00B30C0B" w:rsidP="00906C5E">
            <w:pPr>
              <w:pStyle w:val="TableParagraph"/>
              <w:ind w:left="194"/>
              <w:rPr>
                <w:rFonts w:ascii="Arial Narrow" w:eastAsia="Times New Roman" w:hAnsi="Arial Narrow"/>
                <w:sz w:val="20"/>
                <w:szCs w:val="20"/>
              </w:rPr>
            </w:pPr>
            <w:r w:rsidRPr="00E3331A">
              <w:rPr>
                <w:rFonts w:ascii="Arial Narrow" w:hAnsi="Arial Narrow"/>
                <w:color w:val="231F20"/>
                <w:w w:val="105"/>
                <w:sz w:val="20"/>
                <w:szCs w:val="20"/>
              </w:rPr>
              <w:t>Extreme</w:t>
            </w:r>
            <w:r w:rsidRPr="00E3331A">
              <w:rPr>
                <w:rFonts w:ascii="Arial Narrow" w:hAnsi="Arial Narrow"/>
                <w:color w:val="231F20"/>
                <w:spacing w:val="17"/>
                <w:w w:val="105"/>
                <w:sz w:val="20"/>
                <w:szCs w:val="20"/>
              </w:rPr>
              <w:t xml:space="preserve"> </w:t>
            </w:r>
            <w:r w:rsidRPr="00E3331A">
              <w:rPr>
                <w:rFonts w:ascii="Arial Narrow" w:hAnsi="Arial Narrow"/>
                <w:color w:val="231F20"/>
                <w:w w:val="105"/>
                <w:sz w:val="20"/>
                <w:szCs w:val="20"/>
              </w:rPr>
              <w:t>problem</w:t>
            </w:r>
          </w:p>
        </w:tc>
        <w:tc>
          <w:tcPr>
            <w:tcW w:w="825" w:type="pct"/>
            <w:vAlign w:val="center"/>
          </w:tcPr>
          <w:p w:rsidR="00B30C0B" w:rsidRPr="00E3331A" w:rsidRDefault="00B30C0B" w:rsidP="00906C5E">
            <w:pPr>
              <w:pStyle w:val="TableParagraph"/>
              <w:ind w:left="173"/>
              <w:jc w:val="center"/>
              <w:rPr>
                <w:rFonts w:ascii="Arial Narrow" w:eastAsia="Times New Roman" w:hAnsi="Arial Narrow"/>
                <w:sz w:val="20"/>
                <w:szCs w:val="20"/>
              </w:rPr>
            </w:pPr>
            <w:r w:rsidRPr="00E3331A">
              <w:rPr>
                <w:rFonts w:ascii="Arial Narrow" w:hAnsi="Arial Narrow"/>
                <w:color w:val="231F20"/>
                <w:sz w:val="20"/>
                <w:szCs w:val="20"/>
              </w:rPr>
              <w:t>4</w:t>
            </w:r>
            <w:r w:rsidRPr="00E3331A">
              <w:rPr>
                <w:rFonts w:ascii="Arial Narrow" w:hAnsi="Arial Narrow"/>
                <w:color w:val="231F20"/>
                <w:spacing w:val="11"/>
                <w:sz w:val="20"/>
                <w:szCs w:val="20"/>
              </w:rPr>
              <w:t xml:space="preserve"> </w:t>
            </w:r>
            <w:r w:rsidRPr="00E3331A">
              <w:rPr>
                <w:rFonts w:ascii="Arial Narrow" w:hAnsi="Arial Narrow"/>
                <w:color w:val="231F20"/>
                <w:sz w:val="20"/>
                <w:szCs w:val="20"/>
              </w:rPr>
              <w:t>(9.5)</w:t>
            </w:r>
          </w:p>
        </w:tc>
        <w:tc>
          <w:tcPr>
            <w:tcW w:w="744"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0</w:t>
            </w:r>
            <w:r w:rsidRPr="00E3331A">
              <w:rPr>
                <w:rFonts w:ascii="Arial Narrow" w:hAnsi="Arial Narrow"/>
                <w:color w:val="231F20"/>
                <w:spacing w:val="9"/>
                <w:sz w:val="20"/>
                <w:szCs w:val="20"/>
              </w:rPr>
              <w:t xml:space="preserve"> </w:t>
            </w:r>
            <w:r w:rsidRPr="00E3331A">
              <w:rPr>
                <w:rFonts w:ascii="Arial Narrow" w:hAnsi="Arial Narrow"/>
                <w:color w:val="231F20"/>
                <w:sz w:val="20"/>
                <w:szCs w:val="20"/>
              </w:rPr>
              <w:t>(0)</w:t>
            </w:r>
          </w:p>
        </w:tc>
        <w:tc>
          <w:tcPr>
            <w:tcW w:w="778" w:type="pct"/>
            <w:vAlign w:val="center"/>
          </w:tcPr>
          <w:p w:rsidR="00B30C0B" w:rsidRPr="00E3331A" w:rsidRDefault="00B30C0B" w:rsidP="00906C5E">
            <w:pPr>
              <w:pStyle w:val="TableParagraph"/>
              <w:ind w:left="173"/>
              <w:jc w:val="center"/>
              <w:rPr>
                <w:rFonts w:ascii="Arial Narrow" w:eastAsia="Times New Roman" w:hAnsi="Arial Narrow"/>
                <w:sz w:val="20"/>
                <w:szCs w:val="20"/>
              </w:rPr>
            </w:pPr>
            <w:r w:rsidRPr="00E3331A">
              <w:rPr>
                <w:rFonts w:ascii="Arial Narrow" w:hAnsi="Arial Narrow"/>
                <w:color w:val="231F20"/>
                <w:sz w:val="20"/>
                <w:szCs w:val="20"/>
              </w:rPr>
              <w:t>1</w:t>
            </w:r>
            <w:r w:rsidRPr="00E3331A">
              <w:rPr>
                <w:rFonts w:ascii="Arial Narrow" w:hAnsi="Arial Narrow"/>
                <w:color w:val="231F20"/>
                <w:spacing w:val="10"/>
                <w:sz w:val="20"/>
                <w:szCs w:val="20"/>
              </w:rPr>
              <w:t xml:space="preserve"> </w:t>
            </w:r>
            <w:r w:rsidRPr="00E3331A">
              <w:rPr>
                <w:rFonts w:ascii="Arial Narrow" w:hAnsi="Arial Narrow"/>
                <w:color w:val="231F20"/>
                <w:sz w:val="20"/>
                <w:szCs w:val="20"/>
              </w:rPr>
              <w:t>(3.8)</w:t>
            </w:r>
          </w:p>
        </w:tc>
      </w:tr>
      <w:tr w:rsidR="005C6F6D" w:rsidRPr="00E3331A" w:rsidTr="005C6F6D">
        <w:trPr>
          <w:trHeight w:val="221"/>
        </w:trPr>
        <w:tc>
          <w:tcPr>
            <w:tcW w:w="5000" w:type="pct"/>
            <w:gridSpan w:val="4"/>
            <w:vAlign w:val="center"/>
          </w:tcPr>
          <w:p w:rsidR="005C6F6D" w:rsidRPr="00E3331A" w:rsidRDefault="005C6F6D" w:rsidP="005C6F6D">
            <w:pPr>
              <w:spacing w:after="0"/>
              <w:rPr>
                <w:rFonts w:ascii="Arial Narrow" w:hAnsi="Arial Narrow"/>
                <w:b/>
                <w:sz w:val="20"/>
                <w:szCs w:val="20"/>
              </w:rPr>
            </w:pPr>
            <w:r w:rsidRPr="00E3331A">
              <w:rPr>
                <w:rFonts w:ascii="Arial Narrow" w:hAnsi="Arial Narrow"/>
                <w:b/>
                <w:color w:val="231F20"/>
                <w:w w:val="110"/>
                <w:sz w:val="20"/>
                <w:szCs w:val="20"/>
              </w:rPr>
              <w:t>Pain</w:t>
            </w:r>
            <w:r w:rsidRPr="00E3331A">
              <w:rPr>
                <w:rFonts w:ascii="Arial Narrow" w:hAnsi="Arial Narrow"/>
                <w:b/>
                <w:color w:val="231F20"/>
                <w:spacing w:val="-9"/>
                <w:w w:val="110"/>
                <w:sz w:val="20"/>
                <w:szCs w:val="20"/>
              </w:rPr>
              <w:t xml:space="preserve"> </w:t>
            </w:r>
            <w:r w:rsidRPr="00E3331A">
              <w:rPr>
                <w:rFonts w:ascii="Arial Narrow" w:hAnsi="Arial Narrow"/>
                <w:b/>
                <w:color w:val="231F20"/>
                <w:w w:val="110"/>
                <w:sz w:val="20"/>
                <w:szCs w:val="20"/>
              </w:rPr>
              <w:t>and</w:t>
            </w:r>
            <w:r w:rsidRPr="00E3331A">
              <w:rPr>
                <w:rFonts w:ascii="Arial Narrow" w:hAnsi="Arial Narrow"/>
                <w:b/>
                <w:color w:val="231F20"/>
                <w:spacing w:val="-8"/>
                <w:w w:val="110"/>
                <w:sz w:val="20"/>
                <w:szCs w:val="20"/>
              </w:rPr>
              <w:t xml:space="preserve"> </w:t>
            </w:r>
            <w:r w:rsidRPr="00E3331A">
              <w:rPr>
                <w:rFonts w:ascii="Arial Narrow" w:hAnsi="Arial Narrow"/>
                <w:b/>
                <w:color w:val="231F20"/>
                <w:w w:val="110"/>
                <w:sz w:val="20"/>
                <w:szCs w:val="20"/>
              </w:rPr>
              <w:t>discomfort</w:t>
            </w:r>
          </w:p>
        </w:tc>
      </w:tr>
      <w:tr w:rsidR="00B30C0B" w:rsidRPr="00E3331A" w:rsidTr="005C6F6D">
        <w:trPr>
          <w:trHeight w:val="227"/>
        </w:trPr>
        <w:tc>
          <w:tcPr>
            <w:tcW w:w="2653" w:type="pct"/>
            <w:vAlign w:val="center"/>
          </w:tcPr>
          <w:p w:rsidR="00B30C0B" w:rsidRPr="00E3331A" w:rsidRDefault="00B30C0B" w:rsidP="00906C5E">
            <w:pPr>
              <w:pStyle w:val="TableParagraph"/>
              <w:ind w:left="194"/>
              <w:rPr>
                <w:rFonts w:ascii="Arial Narrow" w:eastAsia="Times New Roman" w:hAnsi="Arial Narrow"/>
                <w:sz w:val="20"/>
                <w:szCs w:val="20"/>
              </w:rPr>
            </w:pPr>
            <w:r w:rsidRPr="00E3331A">
              <w:rPr>
                <w:rFonts w:ascii="Arial Narrow" w:hAnsi="Arial Narrow"/>
                <w:color w:val="231F20"/>
                <w:w w:val="110"/>
                <w:sz w:val="20"/>
                <w:szCs w:val="20"/>
              </w:rPr>
              <w:t>No</w:t>
            </w:r>
            <w:r w:rsidRPr="00E3331A">
              <w:rPr>
                <w:rFonts w:ascii="Arial Narrow" w:hAnsi="Arial Narrow"/>
                <w:color w:val="231F20"/>
                <w:spacing w:val="6"/>
                <w:w w:val="110"/>
                <w:sz w:val="20"/>
                <w:szCs w:val="20"/>
              </w:rPr>
              <w:t xml:space="preserve"> </w:t>
            </w:r>
            <w:r w:rsidRPr="00E3331A">
              <w:rPr>
                <w:rFonts w:ascii="Arial Narrow" w:hAnsi="Arial Narrow"/>
                <w:color w:val="231F20"/>
                <w:w w:val="110"/>
                <w:sz w:val="20"/>
                <w:szCs w:val="20"/>
              </w:rPr>
              <w:t>pain</w:t>
            </w:r>
          </w:p>
        </w:tc>
        <w:tc>
          <w:tcPr>
            <w:tcW w:w="825"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11</w:t>
            </w:r>
            <w:r w:rsidRPr="00E3331A">
              <w:rPr>
                <w:rFonts w:ascii="Arial Narrow" w:hAnsi="Arial Narrow"/>
                <w:color w:val="231F20"/>
                <w:spacing w:val="10"/>
                <w:sz w:val="20"/>
                <w:szCs w:val="20"/>
              </w:rPr>
              <w:t xml:space="preserve"> </w:t>
            </w:r>
            <w:r w:rsidRPr="00E3331A">
              <w:rPr>
                <w:rFonts w:ascii="Arial Narrow" w:hAnsi="Arial Narrow"/>
                <w:color w:val="231F20"/>
                <w:sz w:val="20"/>
                <w:szCs w:val="20"/>
              </w:rPr>
              <w:t>(26.2)</w:t>
            </w:r>
          </w:p>
        </w:tc>
        <w:tc>
          <w:tcPr>
            <w:tcW w:w="744"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2</w:t>
            </w:r>
            <w:r w:rsidRPr="00E3331A">
              <w:rPr>
                <w:rFonts w:ascii="Arial Narrow" w:hAnsi="Arial Narrow"/>
                <w:color w:val="231F20"/>
                <w:spacing w:val="8"/>
                <w:sz w:val="20"/>
                <w:szCs w:val="20"/>
              </w:rPr>
              <w:t xml:space="preserve"> </w:t>
            </w:r>
            <w:r w:rsidRPr="00E3331A">
              <w:rPr>
                <w:rFonts w:ascii="Arial Narrow" w:hAnsi="Arial Narrow"/>
                <w:color w:val="231F20"/>
                <w:sz w:val="20"/>
                <w:szCs w:val="20"/>
              </w:rPr>
              <w:t>(25)</w:t>
            </w:r>
          </w:p>
        </w:tc>
        <w:tc>
          <w:tcPr>
            <w:tcW w:w="778" w:type="pct"/>
            <w:vAlign w:val="center"/>
          </w:tcPr>
          <w:p w:rsidR="00B30C0B" w:rsidRPr="00E3331A" w:rsidRDefault="00B30C0B" w:rsidP="00906C5E">
            <w:pPr>
              <w:pStyle w:val="TableParagraph"/>
              <w:ind w:left="173"/>
              <w:jc w:val="center"/>
              <w:rPr>
                <w:rFonts w:ascii="Arial Narrow" w:eastAsia="Times New Roman" w:hAnsi="Arial Narrow"/>
                <w:sz w:val="20"/>
                <w:szCs w:val="20"/>
              </w:rPr>
            </w:pPr>
            <w:r w:rsidRPr="00E3331A">
              <w:rPr>
                <w:rFonts w:ascii="Arial Narrow" w:hAnsi="Arial Narrow"/>
                <w:color w:val="231F20"/>
                <w:sz w:val="20"/>
                <w:szCs w:val="20"/>
              </w:rPr>
              <w:t>6</w:t>
            </w:r>
            <w:r w:rsidRPr="00E3331A">
              <w:rPr>
                <w:rFonts w:ascii="Arial Narrow" w:hAnsi="Arial Narrow"/>
                <w:color w:val="231F20"/>
                <w:spacing w:val="10"/>
                <w:sz w:val="20"/>
                <w:szCs w:val="20"/>
              </w:rPr>
              <w:t xml:space="preserve"> </w:t>
            </w:r>
            <w:r w:rsidRPr="00E3331A">
              <w:rPr>
                <w:rFonts w:ascii="Arial Narrow" w:hAnsi="Arial Narrow"/>
                <w:color w:val="231F20"/>
                <w:sz w:val="20"/>
                <w:szCs w:val="20"/>
              </w:rPr>
              <w:t>(23.1)</w:t>
            </w:r>
          </w:p>
        </w:tc>
      </w:tr>
      <w:tr w:rsidR="00B30C0B" w:rsidRPr="00E3331A" w:rsidTr="005C6F6D">
        <w:trPr>
          <w:trHeight w:val="227"/>
        </w:trPr>
        <w:tc>
          <w:tcPr>
            <w:tcW w:w="2653" w:type="pct"/>
            <w:vAlign w:val="center"/>
          </w:tcPr>
          <w:p w:rsidR="00B30C0B" w:rsidRPr="00E3331A" w:rsidRDefault="00B30C0B" w:rsidP="00906C5E">
            <w:pPr>
              <w:pStyle w:val="TableParagraph"/>
              <w:ind w:left="194"/>
              <w:rPr>
                <w:rFonts w:ascii="Arial Narrow" w:eastAsia="Times New Roman" w:hAnsi="Arial Narrow"/>
                <w:sz w:val="20"/>
                <w:szCs w:val="20"/>
              </w:rPr>
            </w:pPr>
            <w:r w:rsidRPr="00E3331A">
              <w:rPr>
                <w:rFonts w:ascii="Arial Narrow" w:hAnsi="Arial Narrow"/>
                <w:color w:val="231F20"/>
                <w:w w:val="110"/>
                <w:sz w:val="20"/>
                <w:szCs w:val="20"/>
              </w:rPr>
              <w:t>Moderate</w:t>
            </w:r>
            <w:r w:rsidRPr="00E3331A">
              <w:rPr>
                <w:rFonts w:ascii="Arial Narrow" w:hAnsi="Arial Narrow"/>
                <w:color w:val="231F20"/>
                <w:spacing w:val="-9"/>
                <w:w w:val="110"/>
                <w:sz w:val="20"/>
                <w:szCs w:val="20"/>
              </w:rPr>
              <w:t xml:space="preserve"> </w:t>
            </w:r>
            <w:r w:rsidRPr="00E3331A">
              <w:rPr>
                <w:rFonts w:ascii="Arial Narrow" w:hAnsi="Arial Narrow"/>
                <w:color w:val="231F20"/>
                <w:w w:val="110"/>
                <w:sz w:val="20"/>
                <w:szCs w:val="20"/>
              </w:rPr>
              <w:t>pain</w:t>
            </w:r>
          </w:p>
        </w:tc>
        <w:tc>
          <w:tcPr>
            <w:tcW w:w="825"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28</w:t>
            </w:r>
            <w:r w:rsidRPr="00E3331A">
              <w:rPr>
                <w:rFonts w:ascii="Arial Narrow" w:hAnsi="Arial Narrow"/>
                <w:color w:val="231F20"/>
                <w:spacing w:val="10"/>
                <w:sz w:val="20"/>
                <w:szCs w:val="20"/>
              </w:rPr>
              <w:t xml:space="preserve"> </w:t>
            </w:r>
            <w:r w:rsidRPr="00E3331A">
              <w:rPr>
                <w:rFonts w:ascii="Arial Narrow" w:hAnsi="Arial Narrow"/>
                <w:color w:val="231F20"/>
                <w:sz w:val="20"/>
                <w:szCs w:val="20"/>
              </w:rPr>
              <w:t>(66.7)</w:t>
            </w:r>
          </w:p>
        </w:tc>
        <w:tc>
          <w:tcPr>
            <w:tcW w:w="744"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6</w:t>
            </w:r>
            <w:r w:rsidRPr="00E3331A">
              <w:rPr>
                <w:rFonts w:ascii="Arial Narrow" w:hAnsi="Arial Narrow"/>
                <w:color w:val="231F20"/>
                <w:spacing w:val="8"/>
                <w:sz w:val="20"/>
                <w:szCs w:val="20"/>
              </w:rPr>
              <w:t xml:space="preserve"> </w:t>
            </w:r>
            <w:r w:rsidRPr="00E3331A">
              <w:rPr>
                <w:rFonts w:ascii="Arial Narrow" w:hAnsi="Arial Narrow"/>
                <w:color w:val="231F20"/>
                <w:sz w:val="20"/>
                <w:szCs w:val="20"/>
              </w:rPr>
              <w:t>(75)</w:t>
            </w:r>
          </w:p>
        </w:tc>
        <w:tc>
          <w:tcPr>
            <w:tcW w:w="778"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17</w:t>
            </w:r>
            <w:r w:rsidRPr="00E3331A">
              <w:rPr>
                <w:rFonts w:ascii="Arial Narrow" w:hAnsi="Arial Narrow"/>
                <w:color w:val="231F20"/>
                <w:spacing w:val="9"/>
                <w:sz w:val="20"/>
                <w:szCs w:val="20"/>
              </w:rPr>
              <w:t xml:space="preserve"> </w:t>
            </w:r>
            <w:r w:rsidRPr="00E3331A">
              <w:rPr>
                <w:rFonts w:ascii="Arial Narrow" w:hAnsi="Arial Narrow"/>
                <w:color w:val="231F20"/>
                <w:sz w:val="20"/>
                <w:szCs w:val="20"/>
              </w:rPr>
              <w:t>(65.4)</w:t>
            </w:r>
          </w:p>
        </w:tc>
      </w:tr>
      <w:tr w:rsidR="00B30C0B" w:rsidRPr="00E3331A" w:rsidTr="005C6F6D">
        <w:trPr>
          <w:trHeight w:val="227"/>
        </w:trPr>
        <w:tc>
          <w:tcPr>
            <w:tcW w:w="2653" w:type="pct"/>
            <w:vAlign w:val="center"/>
          </w:tcPr>
          <w:p w:rsidR="00B30C0B" w:rsidRPr="00E3331A" w:rsidRDefault="00B30C0B" w:rsidP="00906C5E">
            <w:pPr>
              <w:pStyle w:val="TableParagraph"/>
              <w:ind w:left="194"/>
              <w:rPr>
                <w:rFonts w:ascii="Arial Narrow" w:eastAsia="Times New Roman" w:hAnsi="Arial Narrow"/>
                <w:sz w:val="20"/>
                <w:szCs w:val="20"/>
              </w:rPr>
            </w:pPr>
            <w:r w:rsidRPr="00E3331A">
              <w:rPr>
                <w:rFonts w:ascii="Arial Narrow" w:hAnsi="Arial Narrow"/>
                <w:color w:val="231F20"/>
                <w:w w:val="105"/>
                <w:sz w:val="20"/>
                <w:szCs w:val="20"/>
              </w:rPr>
              <w:t>Extreme</w:t>
            </w:r>
            <w:r w:rsidRPr="00E3331A">
              <w:rPr>
                <w:rFonts w:ascii="Arial Narrow" w:hAnsi="Arial Narrow"/>
                <w:color w:val="231F20"/>
                <w:spacing w:val="17"/>
                <w:w w:val="105"/>
                <w:sz w:val="20"/>
                <w:szCs w:val="20"/>
              </w:rPr>
              <w:t xml:space="preserve"> </w:t>
            </w:r>
            <w:r w:rsidRPr="00E3331A">
              <w:rPr>
                <w:rFonts w:ascii="Arial Narrow" w:hAnsi="Arial Narrow"/>
                <w:color w:val="231F20"/>
                <w:w w:val="105"/>
                <w:sz w:val="20"/>
                <w:szCs w:val="20"/>
              </w:rPr>
              <w:t>pain</w:t>
            </w:r>
          </w:p>
        </w:tc>
        <w:tc>
          <w:tcPr>
            <w:tcW w:w="825" w:type="pct"/>
            <w:vAlign w:val="center"/>
          </w:tcPr>
          <w:p w:rsidR="00B30C0B" w:rsidRPr="00E3331A" w:rsidRDefault="00B30C0B" w:rsidP="00906C5E">
            <w:pPr>
              <w:pStyle w:val="TableParagraph"/>
              <w:ind w:left="173"/>
              <w:jc w:val="center"/>
              <w:rPr>
                <w:rFonts w:ascii="Arial Narrow" w:eastAsia="Times New Roman" w:hAnsi="Arial Narrow"/>
                <w:sz w:val="20"/>
                <w:szCs w:val="20"/>
              </w:rPr>
            </w:pPr>
            <w:r w:rsidRPr="00E3331A">
              <w:rPr>
                <w:rFonts w:ascii="Arial Narrow" w:hAnsi="Arial Narrow"/>
                <w:color w:val="231F20"/>
                <w:sz w:val="20"/>
                <w:szCs w:val="20"/>
              </w:rPr>
              <w:t>3</w:t>
            </w:r>
            <w:r w:rsidRPr="00E3331A">
              <w:rPr>
                <w:rFonts w:ascii="Arial Narrow" w:hAnsi="Arial Narrow"/>
                <w:color w:val="231F20"/>
                <w:spacing w:val="11"/>
                <w:sz w:val="20"/>
                <w:szCs w:val="20"/>
              </w:rPr>
              <w:t xml:space="preserve"> </w:t>
            </w:r>
            <w:r w:rsidRPr="00E3331A">
              <w:rPr>
                <w:rFonts w:ascii="Arial Narrow" w:hAnsi="Arial Narrow"/>
                <w:color w:val="231F20"/>
                <w:sz w:val="20"/>
                <w:szCs w:val="20"/>
              </w:rPr>
              <w:t>(7.1)</w:t>
            </w:r>
          </w:p>
        </w:tc>
        <w:tc>
          <w:tcPr>
            <w:tcW w:w="744"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0</w:t>
            </w:r>
            <w:r w:rsidRPr="00E3331A">
              <w:rPr>
                <w:rFonts w:ascii="Arial Narrow" w:hAnsi="Arial Narrow"/>
                <w:color w:val="231F20"/>
                <w:spacing w:val="9"/>
                <w:sz w:val="20"/>
                <w:szCs w:val="20"/>
              </w:rPr>
              <w:t xml:space="preserve"> </w:t>
            </w:r>
            <w:r w:rsidRPr="00E3331A">
              <w:rPr>
                <w:rFonts w:ascii="Arial Narrow" w:hAnsi="Arial Narrow"/>
                <w:color w:val="231F20"/>
                <w:sz w:val="20"/>
                <w:szCs w:val="20"/>
              </w:rPr>
              <w:t>(0)</w:t>
            </w:r>
          </w:p>
        </w:tc>
        <w:tc>
          <w:tcPr>
            <w:tcW w:w="778" w:type="pct"/>
            <w:vAlign w:val="center"/>
          </w:tcPr>
          <w:p w:rsidR="00B30C0B" w:rsidRPr="00E3331A" w:rsidRDefault="00B30C0B" w:rsidP="00906C5E">
            <w:pPr>
              <w:pStyle w:val="TableParagraph"/>
              <w:ind w:left="173"/>
              <w:jc w:val="center"/>
              <w:rPr>
                <w:rFonts w:ascii="Arial Narrow" w:eastAsia="Times New Roman" w:hAnsi="Arial Narrow"/>
                <w:sz w:val="20"/>
                <w:szCs w:val="20"/>
              </w:rPr>
            </w:pPr>
            <w:r w:rsidRPr="00E3331A">
              <w:rPr>
                <w:rFonts w:ascii="Arial Narrow" w:hAnsi="Arial Narrow"/>
                <w:color w:val="231F20"/>
                <w:sz w:val="20"/>
                <w:szCs w:val="20"/>
              </w:rPr>
              <w:t>3</w:t>
            </w:r>
            <w:r w:rsidRPr="00E3331A">
              <w:rPr>
                <w:rFonts w:ascii="Arial Narrow" w:hAnsi="Arial Narrow"/>
                <w:color w:val="231F20"/>
                <w:spacing w:val="10"/>
                <w:sz w:val="20"/>
                <w:szCs w:val="20"/>
              </w:rPr>
              <w:t xml:space="preserve"> </w:t>
            </w:r>
            <w:r w:rsidRPr="00E3331A">
              <w:rPr>
                <w:rFonts w:ascii="Arial Narrow" w:hAnsi="Arial Narrow"/>
                <w:color w:val="231F20"/>
                <w:sz w:val="20"/>
                <w:szCs w:val="20"/>
              </w:rPr>
              <w:t>(11.5)</w:t>
            </w:r>
          </w:p>
        </w:tc>
      </w:tr>
      <w:tr w:rsidR="005C6F6D" w:rsidRPr="00E3331A" w:rsidTr="005C6F6D">
        <w:trPr>
          <w:trHeight w:val="227"/>
        </w:trPr>
        <w:tc>
          <w:tcPr>
            <w:tcW w:w="5000" w:type="pct"/>
            <w:gridSpan w:val="4"/>
            <w:vAlign w:val="center"/>
          </w:tcPr>
          <w:p w:rsidR="005C6F6D" w:rsidRPr="00E3331A" w:rsidRDefault="005C6F6D" w:rsidP="005C6F6D">
            <w:pPr>
              <w:pStyle w:val="TableParagraph"/>
              <w:spacing w:before="5"/>
              <w:jc w:val="left"/>
              <w:rPr>
                <w:rFonts w:ascii="Arial Narrow" w:eastAsia="Times New Roman" w:hAnsi="Arial Narrow"/>
                <w:b/>
                <w:sz w:val="20"/>
                <w:szCs w:val="20"/>
              </w:rPr>
            </w:pPr>
            <w:r w:rsidRPr="00E3331A">
              <w:rPr>
                <w:rFonts w:ascii="Arial Narrow" w:hAnsi="Arial Narrow"/>
                <w:b/>
                <w:color w:val="231F20"/>
                <w:w w:val="105"/>
                <w:sz w:val="20"/>
                <w:szCs w:val="20"/>
              </w:rPr>
              <w:t>Anxiety</w:t>
            </w:r>
            <w:r w:rsidRPr="00E3331A">
              <w:rPr>
                <w:rFonts w:ascii="Arial Narrow" w:hAnsi="Arial Narrow"/>
                <w:b/>
                <w:color w:val="231F20"/>
                <w:spacing w:val="8"/>
                <w:w w:val="105"/>
                <w:sz w:val="20"/>
                <w:szCs w:val="20"/>
              </w:rPr>
              <w:t xml:space="preserve"> </w:t>
            </w:r>
            <w:r w:rsidRPr="00E3331A">
              <w:rPr>
                <w:rFonts w:ascii="Arial Narrow" w:hAnsi="Arial Narrow"/>
                <w:b/>
                <w:color w:val="231F20"/>
                <w:w w:val="105"/>
                <w:sz w:val="20"/>
                <w:szCs w:val="20"/>
              </w:rPr>
              <w:t>and</w:t>
            </w:r>
            <w:r w:rsidRPr="00E3331A">
              <w:rPr>
                <w:rFonts w:ascii="Arial Narrow" w:hAnsi="Arial Narrow"/>
                <w:b/>
                <w:color w:val="231F20"/>
                <w:spacing w:val="7"/>
                <w:w w:val="105"/>
                <w:sz w:val="20"/>
                <w:szCs w:val="20"/>
              </w:rPr>
              <w:t xml:space="preserve"> </w:t>
            </w:r>
            <w:r w:rsidRPr="00E3331A">
              <w:rPr>
                <w:rFonts w:ascii="Arial Narrow" w:hAnsi="Arial Narrow"/>
                <w:b/>
                <w:color w:val="231F20"/>
                <w:w w:val="105"/>
                <w:sz w:val="20"/>
                <w:szCs w:val="20"/>
              </w:rPr>
              <w:t>depression</w:t>
            </w:r>
          </w:p>
        </w:tc>
      </w:tr>
      <w:tr w:rsidR="00B30C0B" w:rsidRPr="00E3331A" w:rsidTr="005C6F6D">
        <w:trPr>
          <w:trHeight w:val="227"/>
        </w:trPr>
        <w:tc>
          <w:tcPr>
            <w:tcW w:w="2653" w:type="pct"/>
            <w:vAlign w:val="center"/>
          </w:tcPr>
          <w:p w:rsidR="00B30C0B" w:rsidRPr="00E3331A" w:rsidRDefault="00B30C0B" w:rsidP="00906C5E">
            <w:pPr>
              <w:pStyle w:val="TableParagraph"/>
              <w:spacing w:before="27"/>
              <w:ind w:left="194"/>
              <w:rPr>
                <w:rFonts w:ascii="Arial Narrow" w:eastAsia="Times New Roman" w:hAnsi="Arial Narrow"/>
                <w:sz w:val="20"/>
                <w:szCs w:val="20"/>
              </w:rPr>
            </w:pPr>
            <w:r w:rsidRPr="00E3331A">
              <w:rPr>
                <w:rFonts w:ascii="Arial Narrow" w:hAnsi="Arial Narrow"/>
                <w:color w:val="231F20"/>
                <w:w w:val="105"/>
                <w:sz w:val="20"/>
                <w:szCs w:val="20"/>
              </w:rPr>
              <w:t>Not</w:t>
            </w:r>
            <w:r w:rsidRPr="00E3331A">
              <w:rPr>
                <w:rFonts w:ascii="Arial Narrow" w:hAnsi="Arial Narrow"/>
                <w:color w:val="231F20"/>
                <w:spacing w:val="18"/>
                <w:w w:val="105"/>
                <w:sz w:val="20"/>
                <w:szCs w:val="20"/>
              </w:rPr>
              <w:t xml:space="preserve"> </w:t>
            </w:r>
            <w:r w:rsidRPr="00E3331A">
              <w:rPr>
                <w:rFonts w:ascii="Arial Narrow" w:hAnsi="Arial Narrow"/>
                <w:color w:val="231F20"/>
                <w:w w:val="105"/>
                <w:sz w:val="20"/>
                <w:szCs w:val="20"/>
              </w:rPr>
              <w:t>anxious</w:t>
            </w:r>
            <w:r w:rsidRPr="00E3331A">
              <w:rPr>
                <w:rFonts w:ascii="Arial Narrow" w:hAnsi="Arial Narrow"/>
                <w:color w:val="231F20"/>
                <w:spacing w:val="20"/>
                <w:w w:val="105"/>
                <w:sz w:val="20"/>
                <w:szCs w:val="20"/>
              </w:rPr>
              <w:t xml:space="preserve"> </w:t>
            </w:r>
            <w:r w:rsidRPr="00E3331A">
              <w:rPr>
                <w:rFonts w:ascii="Arial Narrow" w:hAnsi="Arial Narrow"/>
                <w:color w:val="231F20"/>
                <w:w w:val="105"/>
                <w:sz w:val="20"/>
                <w:szCs w:val="20"/>
              </w:rPr>
              <w:t>or</w:t>
            </w:r>
            <w:r w:rsidRPr="00E3331A">
              <w:rPr>
                <w:rFonts w:ascii="Arial Narrow" w:hAnsi="Arial Narrow"/>
                <w:color w:val="231F20"/>
                <w:spacing w:val="18"/>
                <w:w w:val="105"/>
                <w:sz w:val="20"/>
                <w:szCs w:val="20"/>
              </w:rPr>
              <w:t xml:space="preserve"> </w:t>
            </w:r>
            <w:r w:rsidRPr="00E3331A">
              <w:rPr>
                <w:rFonts w:ascii="Arial Narrow" w:hAnsi="Arial Narrow"/>
                <w:color w:val="231F20"/>
                <w:w w:val="105"/>
                <w:sz w:val="20"/>
                <w:szCs w:val="20"/>
              </w:rPr>
              <w:t>depressed</w:t>
            </w:r>
          </w:p>
        </w:tc>
        <w:tc>
          <w:tcPr>
            <w:tcW w:w="825"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25</w:t>
            </w:r>
            <w:r w:rsidRPr="00E3331A">
              <w:rPr>
                <w:rFonts w:ascii="Arial Narrow" w:hAnsi="Arial Narrow"/>
                <w:color w:val="231F20"/>
                <w:spacing w:val="10"/>
                <w:sz w:val="20"/>
                <w:szCs w:val="20"/>
              </w:rPr>
              <w:t xml:space="preserve"> </w:t>
            </w:r>
            <w:r w:rsidRPr="00E3331A">
              <w:rPr>
                <w:rFonts w:ascii="Arial Narrow" w:hAnsi="Arial Narrow"/>
                <w:color w:val="231F20"/>
                <w:sz w:val="20"/>
                <w:szCs w:val="20"/>
              </w:rPr>
              <w:t>(59.5)</w:t>
            </w:r>
          </w:p>
        </w:tc>
        <w:tc>
          <w:tcPr>
            <w:tcW w:w="744"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5</w:t>
            </w:r>
            <w:r w:rsidRPr="00E3331A">
              <w:rPr>
                <w:rFonts w:ascii="Arial Narrow" w:hAnsi="Arial Narrow"/>
                <w:color w:val="231F20"/>
                <w:spacing w:val="11"/>
                <w:sz w:val="20"/>
                <w:szCs w:val="20"/>
              </w:rPr>
              <w:t xml:space="preserve"> </w:t>
            </w:r>
            <w:r w:rsidRPr="00E3331A">
              <w:rPr>
                <w:rFonts w:ascii="Arial Narrow" w:hAnsi="Arial Narrow"/>
                <w:color w:val="231F20"/>
                <w:sz w:val="20"/>
                <w:szCs w:val="20"/>
              </w:rPr>
              <w:t>(62.5)</w:t>
            </w:r>
          </w:p>
        </w:tc>
        <w:tc>
          <w:tcPr>
            <w:tcW w:w="778"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14</w:t>
            </w:r>
            <w:r w:rsidRPr="00E3331A">
              <w:rPr>
                <w:rFonts w:ascii="Arial Narrow" w:hAnsi="Arial Narrow"/>
                <w:color w:val="231F20"/>
                <w:spacing w:val="9"/>
                <w:sz w:val="20"/>
                <w:szCs w:val="20"/>
              </w:rPr>
              <w:t xml:space="preserve"> </w:t>
            </w:r>
            <w:r w:rsidRPr="00E3331A">
              <w:rPr>
                <w:rFonts w:ascii="Arial Narrow" w:hAnsi="Arial Narrow"/>
                <w:color w:val="231F20"/>
                <w:sz w:val="20"/>
                <w:szCs w:val="20"/>
              </w:rPr>
              <w:t>(53.8)</w:t>
            </w:r>
          </w:p>
        </w:tc>
      </w:tr>
      <w:tr w:rsidR="00B30C0B" w:rsidRPr="00E3331A" w:rsidTr="005C6F6D">
        <w:trPr>
          <w:trHeight w:val="227"/>
        </w:trPr>
        <w:tc>
          <w:tcPr>
            <w:tcW w:w="2653" w:type="pct"/>
            <w:vAlign w:val="center"/>
          </w:tcPr>
          <w:p w:rsidR="00B30C0B" w:rsidRPr="00E3331A" w:rsidRDefault="00B30C0B" w:rsidP="00906C5E">
            <w:pPr>
              <w:pStyle w:val="TableParagraph"/>
              <w:ind w:left="194"/>
              <w:rPr>
                <w:rFonts w:ascii="Arial Narrow" w:eastAsia="Times New Roman" w:hAnsi="Arial Narrow"/>
                <w:sz w:val="20"/>
                <w:szCs w:val="20"/>
              </w:rPr>
            </w:pPr>
            <w:r w:rsidRPr="00E3331A">
              <w:rPr>
                <w:rFonts w:ascii="Arial Narrow" w:hAnsi="Arial Narrow"/>
                <w:color w:val="231F20"/>
                <w:w w:val="105"/>
                <w:sz w:val="20"/>
                <w:szCs w:val="20"/>
              </w:rPr>
              <w:t>Moderately</w:t>
            </w:r>
            <w:r w:rsidRPr="00E3331A">
              <w:rPr>
                <w:rFonts w:ascii="Arial Narrow" w:hAnsi="Arial Narrow"/>
                <w:color w:val="231F20"/>
                <w:spacing w:val="17"/>
                <w:w w:val="105"/>
                <w:sz w:val="20"/>
                <w:szCs w:val="20"/>
              </w:rPr>
              <w:t xml:space="preserve"> </w:t>
            </w:r>
            <w:r w:rsidRPr="00E3331A">
              <w:rPr>
                <w:rFonts w:ascii="Arial Narrow" w:hAnsi="Arial Narrow"/>
                <w:color w:val="231F20"/>
                <w:w w:val="105"/>
                <w:sz w:val="20"/>
                <w:szCs w:val="20"/>
              </w:rPr>
              <w:t>anxious</w:t>
            </w:r>
            <w:r w:rsidRPr="00E3331A">
              <w:rPr>
                <w:rFonts w:ascii="Arial Narrow" w:hAnsi="Arial Narrow"/>
                <w:color w:val="231F20"/>
                <w:spacing w:val="18"/>
                <w:w w:val="105"/>
                <w:sz w:val="20"/>
                <w:szCs w:val="20"/>
              </w:rPr>
              <w:t xml:space="preserve"> </w:t>
            </w:r>
            <w:r w:rsidRPr="00E3331A">
              <w:rPr>
                <w:rFonts w:ascii="Arial Narrow" w:hAnsi="Arial Narrow"/>
                <w:color w:val="231F20"/>
                <w:w w:val="105"/>
                <w:sz w:val="20"/>
                <w:szCs w:val="20"/>
              </w:rPr>
              <w:t>or</w:t>
            </w:r>
            <w:r w:rsidRPr="00E3331A">
              <w:rPr>
                <w:rFonts w:ascii="Arial Narrow" w:hAnsi="Arial Narrow"/>
                <w:color w:val="231F20"/>
                <w:spacing w:val="15"/>
                <w:w w:val="105"/>
                <w:sz w:val="20"/>
                <w:szCs w:val="20"/>
              </w:rPr>
              <w:t xml:space="preserve"> </w:t>
            </w:r>
            <w:r w:rsidRPr="00E3331A">
              <w:rPr>
                <w:rFonts w:ascii="Arial Narrow" w:hAnsi="Arial Narrow"/>
                <w:color w:val="231F20"/>
                <w:w w:val="105"/>
                <w:sz w:val="20"/>
                <w:szCs w:val="20"/>
              </w:rPr>
              <w:t>depressed</w:t>
            </w:r>
          </w:p>
        </w:tc>
        <w:tc>
          <w:tcPr>
            <w:tcW w:w="825"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16</w:t>
            </w:r>
            <w:r w:rsidRPr="00E3331A">
              <w:rPr>
                <w:rFonts w:ascii="Arial Narrow" w:hAnsi="Arial Narrow"/>
                <w:color w:val="231F20"/>
                <w:spacing w:val="10"/>
                <w:sz w:val="20"/>
                <w:szCs w:val="20"/>
              </w:rPr>
              <w:t xml:space="preserve"> </w:t>
            </w:r>
            <w:r w:rsidRPr="00E3331A">
              <w:rPr>
                <w:rFonts w:ascii="Arial Narrow" w:hAnsi="Arial Narrow"/>
                <w:color w:val="231F20"/>
                <w:sz w:val="20"/>
                <w:szCs w:val="20"/>
              </w:rPr>
              <w:t>(38.1)</w:t>
            </w:r>
          </w:p>
        </w:tc>
        <w:tc>
          <w:tcPr>
            <w:tcW w:w="744"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3</w:t>
            </w:r>
            <w:r w:rsidRPr="00E3331A">
              <w:rPr>
                <w:rFonts w:ascii="Arial Narrow" w:hAnsi="Arial Narrow"/>
                <w:color w:val="231F20"/>
                <w:spacing w:val="11"/>
                <w:sz w:val="20"/>
                <w:szCs w:val="20"/>
              </w:rPr>
              <w:t xml:space="preserve"> </w:t>
            </w:r>
            <w:r w:rsidRPr="00E3331A">
              <w:rPr>
                <w:rFonts w:ascii="Arial Narrow" w:hAnsi="Arial Narrow"/>
                <w:color w:val="231F20"/>
                <w:sz w:val="20"/>
                <w:szCs w:val="20"/>
              </w:rPr>
              <w:t>(37.5)</w:t>
            </w:r>
          </w:p>
        </w:tc>
        <w:tc>
          <w:tcPr>
            <w:tcW w:w="778" w:type="pct"/>
            <w:vAlign w:val="center"/>
          </w:tcPr>
          <w:p w:rsidR="00B30C0B" w:rsidRPr="00E3331A" w:rsidRDefault="00B30C0B" w:rsidP="00906C5E">
            <w:pPr>
              <w:pStyle w:val="TableParagraph"/>
              <w:ind w:left="98"/>
              <w:jc w:val="center"/>
              <w:rPr>
                <w:rFonts w:ascii="Arial Narrow" w:eastAsia="Times New Roman" w:hAnsi="Arial Narrow"/>
                <w:sz w:val="20"/>
                <w:szCs w:val="20"/>
              </w:rPr>
            </w:pPr>
            <w:r w:rsidRPr="00E3331A">
              <w:rPr>
                <w:rFonts w:ascii="Arial Narrow" w:hAnsi="Arial Narrow"/>
                <w:color w:val="231F20"/>
                <w:sz w:val="20"/>
                <w:szCs w:val="20"/>
              </w:rPr>
              <w:t>10</w:t>
            </w:r>
            <w:r w:rsidRPr="00E3331A">
              <w:rPr>
                <w:rFonts w:ascii="Arial Narrow" w:hAnsi="Arial Narrow"/>
                <w:color w:val="231F20"/>
                <w:spacing w:val="9"/>
                <w:sz w:val="20"/>
                <w:szCs w:val="20"/>
              </w:rPr>
              <w:t xml:space="preserve"> </w:t>
            </w:r>
            <w:r w:rsidRPr="00E3331A">
              <w:rPr>
                <w:rFonts w:ascii="Arial Narrow" w:hAnsi="Arial Narrow"/>
                <w:color w:val="231F20"/>
                <w:sz w:val="20"/>
                <w:szCs w:val="20"/>
              </w:rPr>
              <w:t>(38.5)</w:t>
            </w:r>
          </w:p>
        </w:tc>
      </w:tr>
      <w:tr w:rsidR="00B30C0B" w:rsidRPr="00E3331A" w:rsidTr="005C6F6D">
        <w:trPr>
          <w:trHeight w:val="227"/>
        </w:trPr>
        <w:tc>
          <w:tcPr>
            <w:tcW w:w="2653" w:type="pct"/>
            <w:vAlign w:val="center"/>
          </w:tcPr>
          <w:p w:rsidR="00B30C0B" w:rsidRPr="00E3331A" w:rsidRDefault="00B30C0B" w:rsidP="00906C5E">
            <w:pPr>
              <w:pStyle w:val="TableParagraph"/>
              <w:spacing w:line="172" w:lineRule="exact"/>
              <w:ind w:left="194"/>
              <w:rPr>
                <w:rFonts w:ascii="Arial Narrow" w:eastAsia="Times New Roman" w:hAnsi="Arial Narrow"/>
                <w:sz w:val="20"/>
                <w:szCs w:val="20"/>
              </w:rPr>
            </w:pPr>
            <w:r w:rsidRPr="00E3331A">
              <w:rPr>
                <w:rFonts w:ascii="Arial Narrow" w:hAnsi="Arial Narrow"/>
                <w:color w:val="231F20"/>
                <w:w w:val="105"/>
                <w:sz w:val="20"/>
                <w:szCs w:val="20"/>
              </w:rPr>
              <w:t>Extremely</w:t>
            </w:r>
            <w:r w:rsidRPr="00E3331A">
              <w:rPr>
                <w:rFonts w:ascii="Arial Narrow" w:hAnsi="Arial Narrow"/>
                <w:color w:val="231F20"/>
                <w:spacing w:val="11"/>
                <w:w w:val="105"/>
                <w:sz w:val="20"/>
                <w:szCs w:val="20"/>
              </w:rPr>
              <w:t xml:space="preserve"> </w:t>
            </w:r>
            <w:r w:rsidRPr="00E3331A">
              <w:rPr>
                <w:rFonts w:ascii="Arial Narrow" w:hAnsi="Arial Narrow"/>
                <w:color w:val="231F20"/>
                <w:w w:val="105"/>
                <w:sz w:val="20"/>
                <w:szCs w:val="20"/>
              </w:rPr>
              <w:t>anxious</w:t>
            </w:r>
            <w:r w:rsidRPr="00E3331A">
              <w:rPr>
                <w:rFonts w:ascii="Arial Narrow" w:hAnsi="Arial Narrow"/>
                <w:color w:val="231F20"/>
                <w:spacing w:val="12"/>
                <w:w w:val="105"/>
                <w:sz w:val="20"/>
                <w:szCs w:val="20"/>
              </w:rPr>
              <w:t xml:space="preserve"> </w:t>
            </w:r>
            <w:r w:rsidRPr="00E3331A">
              <w:rPr>
                <w:rFonts w:ascii="Arial Narrow" w:hAnsi="Arial Narrow"/>
                <w:color w:val="231F20"/>
                <w:w w:val="105"/>
                <w:sz w:val="20"/>
                <w:szCs w:val="20"/>
              </w:rPr>
              <w:t>or</w:t>
            </w:r>
            <w:r w:rsidRPr="00E3331A">
              <w:rPr>
                <w:rFonts w:ascii="Arial Narrow" w:hAnsi="Arial Narrow"/>
                <w:color w:val="231F20"/>
                <w:spacing w:val="10"/>
                <w:w w:val="105"/>
                <w:sz w:val="20"/>
                <w:szCs w:val="20"/>
              </w:rPr>
              <w:t xml:space="preserve"> </w:t>
            </w:r>
            <w:r w:rsidRPr="00E3331A">
              <w:rPr>
                <w:rFonts w:ascii="Arial Narrow" w:hAnsi="Arial Narrow"/>
                <w:color w:val="231F20"/>
                <w:w w:val="105"/>
                <w:sz w:val="20"/>
                <w:szCs w:val="20"/>
              </w:rPr>
              <w:t>depressed</w:t>
            </w:r>
          </w:p>
        </w:tc>
        <w:tc>
          <w:tcPr>
            <w:tcW w:w="825" w:type="pct"/>
            <w:vAlign w:val="center"/>
          </w:tcPr>
          <w:p w:rsidR="00B30C0B" w:rsidRPr="00E3331A" w:rsidRDefault="00B30C0B" w:rsidP="00906C5E">
            <w:pPr>
              <w:pStyle w:val="TableParagraph"/>
              <w:spacing w:line="172" w:lineRule="exact"/>
              <w:ind w:left="173"/>
              <w:jc w:val="center"/>
              <w:rPr>
                <w:rFonts w:ascii="Arial Narrow" w:eastAsia="Times New Roman" w:hAnsi="Arial Narrow"/>
                <w:sz w:val="20"/>
                <w:szCs w:val="20"/>
              </w:rPr>
            </w:pPr>
            <w:r w:rsidRPr="00E3331A">
              <w:rPr>
                <w:rFonts w:ascii="Arial Narrow" w:hAnsi="Arial Narrow"/>
                <w:color w:val="231F20"/>
                <w:sz w:val="20"/>
                <w:szCs w:val="20"/>
              </w:rPr>
              <w:t>1</w:t>
            </w:r>
            <w:r w:rsidRPr="00E3331A">
              <w:rPr>
                <w:rFonts w:ascii="Arial Narrow" w:hAnsi="Arial Narrow"/>
                <w:color w:val="231F20"/>
                <w:spacing w:val="11"/>
                <w:sz w:val="20"/>
                <w:szCs w:val="20"/>
              </w:rPr>
              <w:t xml:space="preserve"> </w:t>
            </w:r>
            <w:r w:rsidRPr="00E3331A">
              <w:rPr>
                <w:rFonts w:ascii="Arial Narrow" w:hAnsi="Arial Narrow"/>
                <w:color w:val="231F20"/>
                <w:sz w:val="20"/>
                <w:szCs w:val="20"/>
              </w:rPr>
              <w:t>(2.4)</w:t>
            </w:r>
          </w:p>
        </w:tc>
        <w:tc>
          <w:tcPr>
            <w:tcW w:w="744" w:type="pct"/>
            <w:vAlign w:val="center"/>
          </w:tcPr>
          <w:p w:rsidR="00B30C0B" w:rsidRPr="00E3331A" w:rsidRDefault="00B30C0B" w:rsidP="00906C5E">
            <w:pPr>
              <w:pStyle w:val="TableParagraph"/>
              <w:spacing w:line="172" w:lineRule="exact"/>
              <w:ind w:left="98"/>
              <w:jc w:val="center"/>
              <w:rPr>
                <w:rFonts w:ascii="Arial Narrow" w:eastAsia="Times New Roman" w:hAnsi="Arial Narrow"/>
                <w:sz w:val="20"/>
                <w:szCs w:val="20"/>
              </w:rPr>
            </w:pPr>
            <w:r w:rsidRPr="00E3331A">
              <w:rPr>
                <w:rFonts w:ascii="Arial Narrow" w:hAnsi="Arial Narrow"/>
                <w:color w:val="231F20"/>
                <w:sz w:val="20"/>
                <w:szCs w:val="20"/>
              </w:rPr>
              <w:t>0</w:t>
            </w:r>
            <w:r w:rsidRPr="00E3331A">
              <w:rPr>
                <w:rFonts w:ascii="Arial Narrow" w:hAnsi="Arial Narrow"/>
                <w:color w:val="231F20"/>
                <w:spacing w:val="9"/>
                <w:sz w:val="20"/>
                <w:szCs w:val="20"/>
              </w:rPr>
              <w:t xml:space="preserve"> </w:t>
            </w:r>
            <w:r w:rsidRPr="00E3331A">
              <w:rPr>
                <w:rFonts w:ascii="Arial Narrow" w:hAnsi="Arial Narrow"/>
                <w:color w:val="231F20"/>
                <w:sz w:val="20"/>
                <w:szCs w:val="20"/>
              </w:rPr>
              <w:t>(0)</w:t>
            </w:r>
          </w:p>
        </w:tc>
        <w:tc>
          <w:tcPr>
            <w:tcW w:w="778" w:type="pct"/>
            <w:vAlign w:val="center"/>
          </w:tcPr>
          <w:p w:rsidR="00B30C0B" w:rsidRPr="00E3331A" w:rsidRDefault="00B30C0B" w:rsidP="00906C5E">
            <w:pPr>
              <w:pStyle w:val="TableParagraph"/>
              <w:spacing w:line="172" w:lineRule="exact"/>
              <w:ind w:left="173"/>
              <w:jc w:val="center"/>
              <w:rPr>
                <w:rFonts w:ascii="Arial Narrow" w:eastAsia="Times New Roman" w:hAnsi="Arial Narrow"/>
                <w:sz w:val="20"/>
                <w:szCs w:val="20"/>
              </w:rPr>
            </w:pPr>
            <w:r w:rsidRPr="00E3331A">
              <w:rPr>
                <w:rFonts w:ascii="Arial Narrow" w:hAnsi="Arial Narrow"/>
                <w:color w:val="231F20"/>
                <w:sz w:val="20"/>
                <w:szCs w:val="20"/>
              </w:rPr>
              <w:t>2</w:t>
            </w:r>
            <w:r w:rsidRPr="00E3331A">
              <w:rPr>
                <w:rFonts w:ascii="Arial Narrow" w:hAnsi="Arial Narrow"/>
                <w:color w:val="231F20"/>
                <w:spacing w:val="10"/>
                <w:sz w:val="20"/>
                <w:szCs w:val="20"/>
              </w:rPr>
              <w:t xml:space="preserve"> </w:t>
            </w:r>
            <w:r w:rsidRPr="00E3331A">
              <w:rPr>
                <w:rFonts w:ascii="Arial Narrow" w:hAnsi="Arial Narrow"/>
                <w:color w:val="231F20"/>
                <w:sz w:val="20"/>
                <w:szCs w:val="20"/>
              </w:rPr>
              <w:t>(7.7)</w:t>
            </w:r>
          </w:p>
        </w:tc>
      </w:tr>
    </w:tbl>
    <w:p w:rsidR="001F5B33" w:rsidRPr="00E3331A" w:rsidRDefault="001F5B33" w:rsidP="0037150F">
      <w:pPr>
        <w:pStyle w:val="Tablenotes1"/>
        <w:rPr>
          <w:w w:val="105"/>
        </w:rPr>
      </w:pPr>
      <w:r w:rsidRPr="00E3331A">
        <w:rPr>
          <w:w w:val="105"/>
        </w:rPr>
        <w:t>CIDP</w:t>
      </w:r>
      <w:r w:rsidR="00CF3D84" w:rsidRPr="00E3331A">
        <w:rPr>
          <w:w w:val="105"/>
        </w:rPr>
        <w:t xml:space="preserve"> =</w:t>
      </w:r>
      <w:r w:rsidRPr="00E3331A">
        <w:rPr>
          <w:spacing w:val="32"/>
          <w:w w:val="105"/>
        </w:rPr>
        <w:t xml:space="preserve"> </w:t>
      </w:r>
      <w:r w:rsidRPr="00E3331A">
        <w:rPr>
          <w:w w:val="105"/>
        </w:rPr>
        <w:t>chronic</w:t>
      </w:r>
      <w:r w:rsidRPr="00E3331A">
        <w:rPr>
          <w:spacing w:val="31"/>
          <w:w w:val="105"/>
        </w:rPr>
        <w:t xml:space="preserve"> </w:t>
      </w:r>
      <w:r w:rsidRPr="00E3331A">
        <w:rPr>
          <w:w w:val="105"/>
        </w:rPr>
        <w:t>inﬂammatory</w:t>
      </w:r>
      <w:r w:rsidRPr="00E3331A">
        <w:rPr>
          <w:spacing w:val="31"/>
          <w:w w:val="105"/>
        </w:rPr>
        <w:t xml:space="preserve"> </w:t>
      </w:r>
      <w:r w:rsidRPr="00E3331A">
        <w:rPr>
          <w:w w:val="105"/>
        </w:rPr>
        <w:t>demyelinating</w:t>
      </w:r>
      <w:r w:rsidRPr="00E3331A">
        <w:rPr>
          <w:spacing w:val="32"/>
          <w:w w:val="105"/>
        </w:rPr>
        <w:t xml:space="preserve"> </w:t>
      </w:r>
      <w:r w:rsidRPr="00E3331A">
        <w:rPr>
          <w:w w:val="105"/>
        </w:rPr>
        <w:t>polyradiculoneuropathy;</w:t>
      </w:r>
      <w:r w:rsidRPr="00E3331A">
        <w:rPr>
          <w:spacing w:val="22"/>
          <w:w w:val="107"/>
        </w:rPr>
        <w:t xml:space="preserve"> </w:t>
      </w:r>
      <w:r w:rsidRPr="00E3331A">
        <w:rPr>
          <w:w w:val="105"/>
        </w:rPr>
        <w:t>MMN</w:t>
      </w:r>
      <w:r w:rsidR="00CF3D84" w:rsidRPr="00E3331A">
        <w:rPr>
          <w:w w:val="105"/>
        </w:rPr>
        <w:t xml:space="preserve"> =</w:t>
      </w:r>
      <w:r w:rsidRPr="00E3331A">
        <w:rPr>
          <w:spacing w:val="28"/>
          <w:w w:val="105"/>
        </w:rPr>
        <w:t xml:space="preserve"> </w:t>
      </w:r>
      <w:r w:rsidRPr="00E3331A">
        <w:rPr>
          <w:w w:val="105"/>
        </w:rPr>
        <w:t>multifocal</w:t>
      </w:r>
      <w:r w:rsidRPr="00E3331A">
        <w:rPr>
          <w:spacing w:val="29"/>
          <w:w w:val="105"/>
        </w:rPr>
        <w:t xml:space="preserve"> </w:t>
      </w:r>
      <w:r w:rsidRPr="00E3331A">
        <w:rPr>
          <w:w w:val="105"/>
        </w:rPr>
        <w:t>motor</w:t>
      </w:r>
      <w:r w:rsidRPr="00E3331A">
        <w:rPr>
          <w:spacing w:val="27"/>
          <w:w w:val="105"/>
        </w:rPr>
        <w:t xml:space="preserve"> </w:t>
      </w:r>
      <w:r w:rsidRPr="00E3331A">
        <w:rPr>
          <w:w w:val="105"/>
        </w:rPr>
        <w:t>neuropathy;</w:t>
      </w:r>
      <w:r w:rsidRPr="00E3331A">
        <w:rPr>
          <w:spacing w:val="29"/>
          <w:w w:val="105"/>
        </w:rPr>
        <w:t xml:space="preserve"> </w:t>
      </w:r>
      <w:r w:rsidRPr="00E3331A">
        <w:rPr>
          <w:w w:val="105"/>
        </w:rPr>
        <w:t>PDN</w:t>
      </w:r>
      <w:r w:rsidR="00CF3D84" w:rsidRPr="00E3331A">
        <w:rPr>
          <w:w w:val="105"/>
        </w:rPr>
        <w:t xml:space="preserve"> =</w:t>
      </w:r>
      <w:r w:rsidRPr="00E3331A">
        <w:rPr>
          <w:spacing w:val="27"/>
          <w:w w:val="105"/>
        </w:rPr>
        <w:t xml:space="preserve"> </w:t>
      </w:r>
      <w:r w:rsidR="00E810A5" w:rsidRPr="00E3331A">
        <w:rPr>
          <w:w w:val="105"/>
        </w:rPr>
        <w:t>paraproteinemic</w:t>
      </w:r>
      <w:r w:rsidR="00643445" w:rsidRPr="00E3331A">
        <w:rPr>
          <w:spacing w:val="11"/>
          <w:w w:val="105"/>
        </w:rPr>
        <w:t xml:space="preserve"> </w:t>
      </w:r>
      <w:r w:rsidR="00643445" w:rsidRPr="00E3331A">
        <w:rPr>
          <w:w w:val="105"/>
        </w:rPr>
        <w:t>demyelinating</w:t>
      </w:r>
      <w:r w:rsidR="00643445" w:rsidRPr="00E3331A">
        <w:rPr>
          <w:spacing w:val="25"/>
          <w:w w:val="104"/>
        </w:rPr>
        <w:t xml:space="preserve"> </w:t>
      </w:r>
      <w:r w:rsidR="00643445" w:rsidRPr="00E3331A">
        <w:rPr>
          <w:w w:val="105"/>
        </w:rPr>
        <w:t>neuropathy</w:t>
      </w:r>
    </w:p>
    <w:p w:rsidR="00EE3DC5" w:rsidRPr="00E3331A" w:rsidRDefault="00EE3DC5" w:rsidP="0037150F">
      <w:pPr>
        <w:pStyle w:val="Tablenotes1"/>
        <w:rPr>
          <w:w w:val="105"/>
        </w:rPr>
      </w:pPr>
      <w:r w:rsidRPr="00E3331A">
        <w:rPr>
          <w:w w:val="105"/>
        </w:rPr>
        <w:t xml:space="preserve">Source: Mahdi-Rogers </w:t>
      </w:r>
      <w:r w:rsidR="00983BA7">
        <w:rPr>
          <w:w w:val="105"/>
        </w:rPr>
        <w:t xml:space="preserve">et al. </w:t>
      </w:r>
      <w:r w:rsidRPr="00E3331A">
        <w:rPr>
          <w:w w:val="105"/>
        </w:rPr>
        <w:t>(2014), Table 8, p. 38.</w:t>
      </w:r>
    </w:p>
    <w:p w:rsidR="001F5B33" w:rsidRPr="00E3331A" w:rsidRDefault="001F5B33" w:rsidP="00BB6E4C">
      <w:pPr>
        <w:pStyle w:val="BodyTextSTD"/>
      </w:pPr>
      <w:r w:rsidRPr="00E3331A">
        <w:t>IVIg was the key driver of cost (</w:t>
      </w:r>
      <w:r w:rsidR="00CF3D84" w:rsidRPr="00E3331A">
        <w:t>s</w:t>
      </w:r>
      <w:r w:rsidRPr="00E3331A">
        <w:t xml:space="preserve">ee </w:t>
      </w:r>
      <w:r w:rsidR="006F35B9" w:rsidRPr="00E3331A">
        <w:t xml:space="preserve">Table </w:t>
      </w:r>
      <w:r w:rsidR="006F35B9">
        <w:rPr>
          <w:noProof/>
        </w:rPr>
        <w:t>67</w:t>
      </w:r>
      <w:r w:rsidRPr="00E3331A">
        <w:t>) in all three diseases and the higher frequency of its use in CIDP and MMN accounted for the much greater average cost per patient in these diseases. The total annual cost-of-illness per patient was £22</w:t>
      </w:r>
      <w:r w:rsidR="00CF3D84" w:rsidRPr="00E3331A">
        <w:t>,</w:t>
      </w:r>
      <w:r w:rsidRPr="00E3331A">
        <w:t>085 for CIDP, £22</w:t>
      </w:r>
      <w:r w:rsidR="00CF3D84" w:rsidRPr="00E3331A">
        <w:t>,</w:t>
      </w:r>
      <w:r w:rsidRPr="00E3331A">
        <w:t>812 for MMN and £7</w:t>
      </w:r>
      <w:r w:rsidR="00CF3D84" w:rsidRPr="00E3331A">
        <w:t>,</w:t>
      </w:r>
      <w:r w:rsidRPr="00E3331A">
        <w:t xml:space="preserve">566 for PDN. </w:t>
      </w:r>
      <w:r w:rsidRPr="00E3331A">
        <w:lastRenderedPageBreak/>
        <w:t xml:space="preserve">The total </w:t>
      </w:r>
      <w:r w:rsidR="00CF3D84" w:rsidRPr="00E3331A">
        <w:t xml:space="preserve">annual </w:t>
      </w:r>
      <w:r w:rsidRPr="00E3331A">
        <w:t>cost per patient was £49</w:t>
      </w:r>
      <w:r w:rsidR="00CF3D84" w:rsidRPr="00E3331A">
        <w:t>,</w:t>
      </w:r>
      <w:r w:rsidRPr="00E3331A">
        <w:t xml:space="preserve">430 for </w:t>
      </w:r>
      <w:r w:rsidR="00CF3D84" w:rsidRPr="00E3331A">
        <w:t xml:space="preserve">those </w:t>
      </w:r>
      <w:r w:rsidRPr="00E3331A">
        <w:t>on IVIg and £9</w:t>
      </w:r>
      <w:r w:rsidR="00CF3D84" w:rsidRPr="00E3331A">
        <w:t>,</w:t>
      </w:r>
      <w:r w:rsidRPr="00E3331A">
        <w:t>046 for those not on IVIg (P &lt; 0.01).</w:t>
      </w:r>
    </w:p>
    <w:p w:rsidR="001F5B33" w:rsidRPr="00E3331A" w:rsidRDefault="001F5B33" w:rsidP="00D77378">
      <w:pPr>
        <w:pStyle w:val="Caption"/>
      </w:pPr>
      <w:bookmarkStart w:id="413" w:name="_Ref8150772"/>
      <w:bookmarkStart w:id="414" w:name="_Toc24103373"/>
      <w:r w:rsidRPr="00E3331A">
        <w:t xml:space="preserve">Table </w:t>
      </w:r>
      <w:r w:rsidR="006F35B9">
        <w:rPr>
          <w:noProof/>
        </w:rPr>
        <w:t>67</w:t>
      </w:r>
      <w:bookmarkEnd w:id="413"/>
      <w:r w:rsidR="00C90F6D" w:rsidRPr="00E3331A">
        <w:rPr>
          <w:noProof/>
        </w:rPr>
        <w:tab/>
      </w:r>
      <w:r w:rsidRPr="00E3331A">
        <w:t>The annual cost of the components of healthcare provision, social services and productivity per patient</w:t>
      </w:r>
      <w:bookmarkEnd w:id="4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25"/>
        <w:gridCol w:w="743"/>
        <w:gridCol w:w="743"/>
        <w:gridCol w:w="743"/>
        <w:gridCol w:w="743"/>
        <w:gridCol w:w="745"/>
        <w:gridCol w:w="743"/>
        <w:gridCol w:w="743"/>
        <w:gridCol w:w="743"/>
        <w:gridCol w:w="745"/>
      </w:tblGrid>
      <w:tr w:rsidR="001F5B33" w:rsidRPr="00E3331A" w:rsidTr="00493DDF">
        <w:trPr>
          <w:trHeight w:hRule="exact" w:val="284"/>
        </w:trPr>
        <w:tc>
          <w:tcPr>
            <w:tcW w:w="1290" w:type="pct"/>
            <w:vMerge w:val="restart"/>
            <w:vAlign w:val="center"/>
          </w:tcPr>
          <w:p w:rsidR="001F5B33" w:rsidRPr="00E3331A" w:rsidRDefault="001F5B33" w:rsidP="00B30C0B">
            <w:pPr>
              <w:pStyle w:val="TableHeading"/>
            </w:pPr>
          </w:p>
        </w:tc>
        <w:tc>
          <w:tcPr>
            <w:tcW w:w="1236" w:type="pct"/>
            <w:gridSpan w:val="3"/>
            <w:vAlign w:val="center"/>
          </w:tcPr>
          <w:p w:rsidR="001F5B33" w:rsidRPr="00E3331A" w:rsidRDefault="001F5B33" w:rsidP="00B30C0B">
            <w:pPr>
              <w:pStyle w:val="TableHeading"/>
              <w:rPr>
                <w:b w:val="0"/>
              </w:rPr>
            </w:pPr>
            <w:r w:rsidRPr="00E3331A">
              <w:rPr>
                <w:color w:val="231F20"/>
                <w:w w:val="110"/>
              </w:rPr>
              <w:t>CIDP</w:t>
            </w:r>
          </w:p>
        </w:tc>
        <w:tc>
          <w:tcPr>
            <w:tcW w:w="1237" w:type="pct"/>
            <w:gridSpan w:val="3"/>
            <w:vAlign w:val="center"/>
          </w:tcPr>
          <w:p w:rsidR="001F5B33" w:rsidRPr="00E3331A" w:rsidRDefault="001F5B33" w:rsidP="00B30C0B">
            <w:pPr>
              <w:pStyle w:val="TableHeading"/>
              <w:rPr>
                <w:b w:val="0"/>
              </w:rPr>
            </w:pPr>
            <w:r w:rsidRPr="00E3331A">
              <w:rPr>
                <w:color w:val="231F20"/>
                <w:w w:val="110"/>
              </w:rPr>
              <w:t>MMN</w:t>
            </w:r>
          </w:p>
        </w:tc>
        <w:tc>
          <w:tcPr>
            <w:tcW w:w="1237" w:type="pct"/>
            <w:gridSpan w:val="3"/>
            <w:vAlign w:val="center"/>
          </w:tcPr>
          <w:p w:rsidR="001F5B33" w:rsidRPr="00E3331A" w:rsidRDefault="001F5B33" w:rsidP="00B30C0B">
            <w:pPr>
              <w:pStyle w:val="TableHeading"/>
              <w:rPr>
                <w:b w:val="0"/>
              </w:rPr>
            </w:pPr>
            <w:r w:rsidRPr="00E3331A">
              <w:rPr>
                <w:color w:val="231F20"/>
                <w:w w:val="110"/>
              </w:rPr>
              <w:t>PDN</w:t>
            </w:r>
          </w:p>
        </w:tc>
      </w:tr>
      <w:tr w:rsidR="001F5B33" w:rsidRPr="00E3331A" w:rsidTr="00493DDF">
        <w:trPr>
          <w:trHeight w:hRule="exact" w:val="284"/>
        </w:trPr>
        <w:tc>
          <w:tcPr>
            <w:tcW w:w="1290" w:type="pct"/>
            <w:vMerge/>
            <w:vAlign w:val="center"/>
          </w:tcPr>
          <w:p w:rsidR="001F5B33" w:rsidRPr="00E3331A" w:rsidRDefault="001F5B33" w:rsidP="00B30C0B">
            <w:pPr>
              <w:pStyle w:val="TableHeading"/>
            </w:pPr>
          </w:p>
        </w:tc>
        <w:tc>
          <w:tcPr>
            <w:tcW w:w="412" w:type="pct"/>
            <w:vAlign w:val="center"/>
          </w:tcPr>
          <w:p w:rsidR="001F5B33" w:rsidRPr="00E3331A" w:rsidRDefault="001F5B33" w:rsidP="00B30C0B">
            <w:pPr>
              <w:pStyle w:val="TableHeading"/>
              <w:rPr>
                <w:rFonts w:cs="Times New Roman"/>
              </w:rPr>
            </w:pPr>
            <w:r w:rsidRPr="00E3331A">
              <w:rPr>
                <w:color w:val="231F20"/>
                <w:w w:val="110"/>
              </w:rPr>
              <w:t>Mean</w:t>
            </w:r>
          </w:p>
        </w:tc>
        <w:tc>
          <w:tcPr>
            <w:tcW w:w="412" w:type="pct"/>
            <w:vAlign w:val="center"/>
          </w:tcPr>
          <w:p w:rsidR="001F5B33" w:rsidRPr="00E3331A" w:rsidRDefault="001F5B33" w:rsidP="00B30C0B">
            <w:pPr>
              <w:pStyle w:val="TableHeading"/>
              <w:rPr>
                <w:rFonts w:cs="Times New Roman"/>
              </w:rPr>
            </w:pPr>
            <w:r w:rsidRPr="00E3331A">
              <w:rPr>
                <w:color w:val="231F20"/>
                <w:w w:val="105"/>
              </w:rPr>
              <w:t>SD</w:t>
            </w:r>
          </w:p>
        </w:tc>
        <w:tc>
          <w:tcPr>
            <w:tcW w:w="412" w:type="pct"/>
            <w:vAlign w:val="center"/>
          </w:tcPr>
          <w:p w:rsidR="001F5B33" w:rsidRPr="00E3331A" w:rsidRDefault="001F5B33" w:rsidP="00B30C0B">
            <w:pPr>
              <w:pStyle w:val="TableHeading"/>
              <w:rPr>
                <w:rFonts w:cs="Times New Roman"/>
              </w:rPr>
            </w:pPr>
            <w:r w:rsidRPr="00E3331A">
              <w:rPr>
                <w:color w:val="231F20"/>
                <w:w w:val="110"/>
              </w:rPr>
              <w:t>%</w:t>
            </w:r>
          </w:p>
        </w:tc>
        <w:tc>
          <w:tcPr>
            <w:tcW w:w="412" w:type="pct"/>
            <w:vAlign w:val="center"/>
          </w:tcPr>
          <w:p w:rsidR="001F5B33" w:rsidRPr="00E3331A" w:rsidRDefault="001F5B33" w:rsidP="00B30C0B">
            <w:pPr>
              <w:pStyle w:val="TableHeading"/>
              <w:rPr>
                <w:rFonts w:cs="Times New Roman"/>
              </w:rPr>
            </w:pPr>
            <w:r w:rsidRPr="00E3331A">
              <w:rPr>
                <w:color w:val="231F20"/>
                <w:w w:val="105"/>
              </w:rPr>
              <w:t>Mean</w:t>
            </w:r>
          </w:p>
        </w:tc>
        <w:tc>
          <w:tcPr>
            <w:tcW w:w="413" w:type="pct"/>
            <w:vAlign w:val="center"/>
          </w:tcPr>
          <w:p w:rsidR="001F5B33" w:rsidRPr="00E3331A" w:rsidRDefault="001F5B33" w:rsidP="00B30C0B">
            <w:pPr>
              <w:pStyle w:val="TableHeading"/>
              <w:rPr>
                <w:rFonts w:cs="Times New Roman"/>
              </w:rPr>
            </w:pPr>
            <w:r w:rsidRPr="00E3331A">
              <w:rPr>
                <w:color w:val="231F20"/>
                <w:w w:val="105"/>
              </w:rPr>
              <w:t>SD</w:t>
            </w:r>
          </w:p>
        </w:tc>
        <w:tc>
          <w:tcPr>
            <w:tcW w:w="412" w:type="pct"/>
            <w:vAlign w:val="center"/>
          </w:tcPr>
          <w:p w:rsidR="001F5B33" w:rsidRPr="00E3331A" w:rsidRDefault="001F5B33" w:rsidP="00B30C0B">
            <w:pPr>
              <w:pStyle w:val="TableHeading"/>
              <w:rPr>
                <w:rFonts w:cs="Times New Roman"/>
              </w:rPr>
            </w:pPr>
            <w:r w:rsidRPr="00E3331A">
              <w:rPr>
                <w:color w:val="231F20"/>
                <w:w w:val="110"/>
              </w:rPr>
              <w:t>%</w:t>
            </w:r>
          </w:p>
        </w:tc>
        <w:tc>
          <w:tcPr>
            <w:tcW w:w="412" w:type="pct"/>
            <w:vAlign w:val="center"/>
          </w:tcPr>
          <w:p w:rsidR="001F5B33" w:rsidRPr="00E3331A" w:rsidRDefault="001F5B33" w:rsidP="00B30C0B">
            <w:pPr>
              <w:pStyle w:val="TableHeading"/>
              <w:rPr>
                <w:rFonts w:cs="Times New Roman"/>
              </w:rPr>
            </w:pPr>
            <w:r w:rsidRPr="00E3331A">
              <w:rPr>
                <w:color w:val="231F20"/>
                <w:w w:val="110"/>
              </w:rPr>
              <w:t>Mean</w:t>
            </w:r>
          </w:p>
        </w:tc>
        <w:tc>
          <w:tcPr>
            <w:tcW w:w="412" w:type="pct"/>
            <w:vAlign w:val="center"/>
          </w:tcPr>
          <w:p w:rsidR="001F5B33" w:rsidRPr="00E3331A" w:rsidRDefault="001F5B33" w:rsidP="00B30C0B">
            <w:pPr>
              <w:pStyle w:val="TableHeading"/>
              <w:rPr>
                <w:rFonts w:cs="Times New Roman"/>
              </w:rPr>
            </w:pPr>
            <w:r w:rsidRPr="00E3331A">
              <w:rPr>
                <w:color w:val="231F20"/>
                <w:w w:val="105"/>
              </w:rPr>
              <w:t>SD</w:t>
            </w:r>
          </w:p>
        </w:tc>
        <w:tc>
          <w:tcPr>
            <w:tcW w:w="413" w:type="pct"/>
            <w:vAlign w:val="center"/>
          </w:tcPr>
          <w:p w:rsidR="001F5B33" w:rsidRPr="00E3331A" w:rsidRDefault="001F5B33" w:rsidP="00B30C0B">
            <w:pPr>
              <w:pStyle w:val="TableHeading"/>
              <w:rPr>
                <w:rFonts w:cs="Times New Roman"/>
              </w:rPr>
            </w:pPr>
            <w:r w:rsidRPr="00E3331A">
              <w:rPr>
                <w:color w:val="231F20"/>
                <w:w w:val="110"/>
              </w:rPr>
              <w:t>%</w:t>
            </w:r>
          </w:p>
        </w:tc>
      </w:tr>
      <w:tr w:rsidR="001F5B33" w:rsidRPr="00E3331A" w:rsidTr="00493DDF">
        <w:trPr>
          <w:trHeight w:hRule="exact" w:val="391"/>
        </w:trPr>
        <w:tc>
          <w:tcPr>
            <w:tcW w:w="1290" w:type="pct"/>
            <w:vAlign w:val="center"/>
          </w:tcPr>
          <w:p w:rsidR="001F5B33" w:rsidRPr="00E3331A" w:rsidRDefault="001F5B33" w:rsidP="00493DDF">
            <w:pPr>
              <w:pStyle w:val="TableParagraph"/>
              <w:spacing w:before="86"/>
              <w:ind w:left="55"/>
              <w:rPr>
                <w:rFonts w:ascii="Arial Narrow" w:eastAsia="Times New Roman" w:hAnsi="Arial Narrow"/>
                <w:sz w:val="20"/>
                <w:szCs w:val="20"/>
              </w:rPr>
            </w:pPr>
            <w:r w:rsidRPr="00E3331A">
              <w:rPr>
                <w:rFonts w:ascii="Arial Narrow" w:hAnsi="Arial Narrow"/>
                <w:color w:val="231F20"/>
                <w:sz w:val="20"/>
                <w:szCs w:val="20"/>
              </w:rPr>
              <w:t>Hospital</w:t>
            </w:r>
            <w:r w:rsidRPr="00E3331A">
              <w:rPr>
                <w:rFonts w:ascii="Arial Narrow" w:hAnsi="Arial Narrow"/>
                <w:color w:val="231F20"/>
                <w:spacing w:val="28"/>
                <w:sz w:val="20"/>
                <w:szCs w:val="20"/>
              </w:rPr>
              <w:t xml:space="preserve"> </w:t>
            </w:r>
            <w:r w:rsidRPr="00E3331A">
              <w:rPr>
                <w:rFonts w:ascii="Arial Narrow" w:hAnsi="Arial Narrow"/>
                <w:color w:val="231F20"/>
                <w:sz w:val="20"/>
                <w:szCs w:val="20"/>
              </w:rPr>
              <w:t>services</w:t>
            </w:r>
            <w:r w:rsidRPr="00E3331A">
              <w:rPr>
                <w:rFonts w:ascii="Arial Narrow" w:hAnsi="Arial Narrow"/>
                <w:color w:val="231F20"/>
                <w:spacing w:val="32"/>
                <w:sz w:val="20"/>
                <w:szCs w:val="20"/>
              </w:rPr>
              <w:t xml:space="preserve"> </w:t>
            </w:r>
            <w:r w:rsidRPr="00E3331A">
              <w:rPr>
                <w:rFonts w:ascii="Arial Narrow" w:hAnsi="Arial Narrow"/>
                <w:color w:val="231F20"/>
                <w:sz w:val="20"/>
                <w:szCs w:val="20"/>
              </w:rPr>
              <w:t>(£)</w:t>
            </w:r>
          </w:p>
        </w:tc>
        <w:tc>
          <w:tcPr>
            <w:tcW w:w="412" w:type="pct"/>
            <w:vAlign w:val="center"/>
          </w:tcPr>
          <w:p w:rsidR="001F5B33" w:rsidRPr="00E3331A" w:rsidRDefault="001F5B33" w:rsidP="00493DDF">
            <w:pPr>
              <w:pStyle w:val="TableParagraph"/>
              <w:spacing w:before="86"/>
              <w:ind w:left="129"/>
              <w:rPr>
                <w:rFonts w:ascii="Arial Narrow" w:eastAsia="Times New Roman" w:hAnsi="Arial Narrow"/>
                <w:sz w:val="20"/>
                <w:szCs w:val="20"/>
              </w:rPr>
            </w:pPr>
            <w:r w:rsidRPr="00E3331A">
              <w:rPr>
                <w:rFonts w:ascii="Arial Narrow" w:hAnsi="Arial Narrow"/>
                <w:color w:val="231F20"/>
                <w:sz w:val="20"/>
                <w:szCs w:val="20"/>
              </w:rPr>
              <w:t>2903</w:t>
            </w:r>
          </w:p>
        </w:tc>
        <w:tc>
          <w:tcPr>
            <w:tcW w:w="412" w:type="pct"/>
            <w:vAlign w:val="center"/>
          </w:tcPr>
          <w:p w:rsidR="001F5B33" w:rsidRPr="00E3331A" w:rsidRDefault="001F5B33" w:rsidP="00493DDF">
            <w:pPr>
              <w:pStyle w:val="TableParagraph"/>
              <w:spacing w:before="86"/>
              <w:ind w:left="242"/>
              <w:rPr>
                <w:rFonts w:ascii="Arial Narrow" w:eastAsia="Times New Roman" w:hAnsi="Arial Narrow"/>
                <w:sz w:val="20"/>
                <w:szCs w:val="20"/>
              </w:rPr>
            </w:pPr>
            <w:r w:rsidRPr="00E3331A">
              <w:rPr>
                <w:rFonts w:ascii="Arial Narrow" w:hAnsi="Arial Narrow"/>
                <w:color w:val="231F20"/>
                <w:sz w:val="20"/>
                <w:szCs w:val="20"/>
              </w:rPr>
              <w:t>4313</w:t>
            </w:r>
          </w:p>
        </w:tc>
        <w:tc>
          <w:tcPr>
            <w:tcW w:w="412" w:type="pct"/>
            <w:vAlign w:val="center"/>
          </w:tcPr>
          <w:p w:rsidR="001F5B33" w:rsidRPr="00E3331A" w:rsidRDefault="001F5B33" w:rsidP="00493DDF">
            <w:pPr>
              <w:pStyle w:val="TableParagraph"/>
              <w:spacing w:before="86"/>
              <w:ind w:left="114"/>
              <w:rPr>
                <w:rFonts w:ascii="Arial Narrow" w:eastAsia="Times New Roman" w:hAnsi="Arial Narrow"/>
                <w:sz w:val="20"/>
                <w:szCs w:val="20"/>
              </w:rPr>
            </w:pPr>
            <w:r w:rsidRPr="00E3331A">
              <w:rPr>
                <w:rFonts w:ascii="Arial Narrow" w:hAnsi="Arial Narrow"/>
                <w:color w:val="231F20"/>
                <w:sz w:val="20"/>
                <w:szCs w:val="20"/>
              </w:rPr>
              <w:t>13.1</w:t>
            </w:r>
          </w:p>
        </w:tc>
        <w:tc>
          <w:tcPr>
            <w:tcW w:w="412" w:type="pct"/>
            <w:vAlign w:val="center"/>
          </w:tcPr>
          <w:p w:rsidR="001F5B33" w:rsidRPr="00E3331A" w:rsidRDefault="001F5B33" w:rsidP="00493DDF">
            <w:pPr>
              <w:pStyle w:val="TableParagraph"/>
              <w:spacing w:before="86"/>
              <w:ind w:left="170"/>
              <w:rPr>
                <w:rFonts w:ascii="Arial Narrow" w:eastAsia="Times New Roman" w:hAnsi="Arial Narrow"/>
                <w:sz w:val="20"/>
                <w:szCs w:val="20"/>
              </w:rPr>
            </w:pPr>
            <w:r w:rsidRPr="00E3331A">
              <w:rPr>
                <w:rFonts w:ascii="Arial Narrow" w:hAnsi="Arial Narrow"/>
                <w:color w:val="231F20"/>
                <w:sz w:val="20"/>
                <w:szCs w:val="20"/>
              </w:rPr>
              <w:t>2267</w:t>
            </w:r>
          </w:p>
        </w:tc>
        <w:tc>
          <w:tcPr>
            <w:tcW w:w="413" w:type="pct"/>
            <w:vAlign w:val="center"/>
          </w:tcPr>
          <w:p w:rsidR="001F5B33" w:rsidRPr="00E3331A" w:rsidRDefault="001F5B33" w:rsidP="00493DDF">
            <w:pPr>
              <w:pStyle w:val="TableParagraph"/>
              <w:spacing w:before="86"/>
              <w:ind w:left="242"/>
              <w:rPr>
                <w:rFonts w:ascii="Arial Narrow" w:eastAsia="Times New Roman" w:hAnsi="Arial Narrow"/>
                <w:sz w:val="20"/>
                <w:szCs w:val="20"/>
              </w:rPr>
            </w:pPr>
            <w:r w:rsidRPr="00E3331A">
              <w:rPr>
                <w:rFonts w:ascii="Arial Narrow" w:hAnsi="Arial Narrow"/>
                <w:color w:val="231F20"/>
                <w:sz w:val="20"/>
                <w:szCs w:val="20"/>
              </w:rPr>
              <w:t>2122</w:t>
            </w:r>
          </w:p>
        </w:tc>
        <w:tc>
          <w:tcPr>
            <w:tcW w:w="412" w:type="pct"/>
            <w:vAlign w:val="center"/>
          </w:tcPr>
          <w:p w:rsidR="001F5B33" w:rsidRPr="00E3331A" w:rsidRDefault="001F5B33" w:rsidP="00493DDF">
            <w:pPr>
              <w:pStyle w:val="TableParagraph"/>
              <w:spacing w:before="86"/>
              <w:ind w:left="188"/>
              <w:rPr>
                <w:rFonts w:ascii="Arial Narrow" w:eastAsia="Times New Roman" w:hAnsi="Arial Narrow"/>
                <w:sz w:val="20"/>
                <w:szCs w:val="20"/>
              </w:rPr>
            </w:pPr>
            <w:r w:rsidRPr="00E3331A">
              <w:rPr>
                <w:rFonts w:ascii="Arial Narrow" w:hAnsi="Arial Narrow"/>
                <w:color w:val="231F20"/>
                <w:sz w:val="20"/>
                <w:szCs w:val="20"/>
              </w:rPr>
              <w:t>9.9</w:t>
            </w:r>
          </w:p>
        </w:tc>
        <w:tc>
          <w:tcPr>
            <w:tcW w:w="412" w:type="pct"/>
            <w:vAlign w:val="center"/>
          </w:tcPr>
          <w:p w:rsidR="001F5B33" w:rsidRPr="00E3331A" w:rsidRDefault="001F5B33" w:rsidP="00493DDF">
            <w:pPr>
              <w:pStyle w:val="TableParagraph"/>
              <w:spacing w:before="86"/>
              <w:ind w:left="114"/>
              <w:rPr>
                <w:rFonts w:ascii="Arial Narrow" w:eastAsia="Times New Roman" w:hAnsi="Arial Narrow"/>
                <w:sz w:val="20"/>
                <w:szCs w:val="20"/>
              </w:rPr>
            </w:pPr>
            <w:r w:rsidRPr="00E3331A">
              <w:rPr>
                <w:rFonts w:ascii="Arial Narrow" w:hAnsi="Arial Narrow"/>
                <w:color w:val="231F20"/>
                <w:sz w:val="20"/>
                <w:szCs w:val="20"/>
              </w:rPr>
              <w:t>694</w:t>
            </w:r>
          </w:p>
        </w:tc>
        <w:tc>
          <w:tcPr>
            <w:tcW w:w="412" w:type="pct"/>
            <w:vAlign w:val="center"/>
          </w:tcPr>
          <w:p w:rsidR="001F5B33" w:rsidRPr="00E3331A" w:rsidRDefault="001F5B33" w:rsidP="00493DDF">
            <w:pPr>
              <w:pStyle w:val="TableParagraph"/>
              <w:spacing w:before="86"/>
              <w:ind w:left="317"/>
              <w:rPr>
                <w:rFonts w:ascii="Arial Narrow" w:eastAsia="Times New Roman" w:hAnsi="Arial Narrow"/>
                <w:sz w:val="20"/>
                <w:szCs w:val="20"/>
              </w:rPr>
            </w:pPr>
            <w:r w:rsidRPr="00E3331A">
              <w:rPr>
                <w:rFonts w:ascii="Arial Narrow" w:hAnsi="Arial Narrow"/>
                <w:color w:val="231F20"/>
                <w:sz w:val="20"/>
                <w:szCs w:val="20"/>
              </w:rPr>
              <w:t>446</w:t>
            </w:r>
          </w:p>
        </w:tc>
        <w:tc>
          <w:tcPr>
            <w:tcW w:w="413" w:type="pct"/>
            <w:vAlign w:val="center"/>
          </w:tcPr>
          <w:p w:rsidR="001F5B33" w:rsidRPr="00E3331A" w:rsidRDefault="001F5B33" w:rsidP="00493DDF">
            <w:pPr>
              <w:pStyle w:val="TableParagraph"/>
              <w:spacing w:before="86"/>
              <w:ind w:left="188"/>
              <w:rPr>
                <w:rFonts w:ascii="Arial Narrow" w:eastAsia="Times New Roman" w:hAnsi="Arial Narrow"/>
                <w:sz w:val="20"/>
                <w:szCs w:val="20"/>
              </w:rPr>
            </w:pPr>
            <w:r w:rsidRPr="00E3331A">
              <w:rPr>
                <w:rFonts w:ascii="Arial Narrow" w:hAnsi="Arial Narrow"/>
                <w:color w:val="231F20"/>
                <w:sz w:val="20"/>
                <w:szCs w:val="20"/>
              </w:rPr>
              <w:t>9.1</w:t>
            </w:r>
          </w:p>
        </w:tc>
      </w:tr>
      <w:tr w:rsidR="001F5B33" w:rsidRPr="00E3331A" w:rsidTr="00493DDF">
        <w:trPr>
          <w:trHeight w:hRule="exact" w:val="284"/>
        </w:trPr>
        <w:tc>
          <w:tcPr>
            <w:tcW w:w="1290" w:type="pct"/>
            <w:vAlign w:val="center"/>
          </w:tcPr>
          <w:p w:rsidR="001F5B33" w:rsidRPr="00E3331A" w:rsidRDefault="001F5B33" w:rsidP="00493DDF">
            <w:pPr>
              <w:pStyle w:val="TableParagraph"/>
              <w:spacing w:before="16"/>
              <w:ind w:left="55"/>
              <w:rPr>
                <w:rFonts w:ascii="Arial Narrow" w:eastAsia="Times New Roman" w:hAnsi="Arial Narrow"/>
                <w:sz w:val="20"/>
                <w:szCs w:val="20"/>
              </w:rPr>
            </w:pPr>
            <w:r w:rsidRPr="00E3331A">
              <w:rPr>
                <w:rFonts w:ascii="Arial Narrow" w:hAnsi="Arial Narrow"/>
                <w:color w:val="231F20"/>
                <w:sz w:val="20"/>
                <w:szCs w:val="20"/>
              </w:rPr>
              <w:t>Primary</w:t>
            </w:r>
            <w:r w:rsidRPr="00E3331A">
              <w:rPr>
                <w:rFonts w:ascii="Arial Narrow" w:hAnsi="Arial Narrow"/>
                <w:color w:val="231F20"/>
                <w:spacing w:val="25"/>
                <w:sz w:val="20"/>
                <w:szCs w:val="20"/>
              </w:rPr>
              <w:t xml:space="preserve"> </w:t>
            </w:r>
            <w:r w:rsidRPr="00E3331A">
              <w:rPr>
                <w:rFonts w:ascii="Arial Narrow" w:hAnsi="Arial Narrow"/>
                <w:color w:val="231F20"/>
                <w:sz w:val="20"/>
                <w:szCs w:val="20"/>
              </w:rPr>
              <w:t>care</w:t>
            </w:r>
            <w:r w:rsidRPr="00E3331A">
              <w:rPr>
                <w:rFonts w:ascii="Arial Narrow" w:hAnsi="Arial Narrow"/>
                <w:color w:val="231F20"/>
                <w:spacing w:val="26"/>
                <w:sz w:val="20"/>
                <w:szCs w:val="20"/>
              </w:rPr>
              <w:t xml:space="preserve"> </w:t>
            </w:r>
            <w:r w:rsidRPr="00E3331A">
              <w:rPr>
                <w:rFonts w:ascii="Arial Narrow" w:hAnsi="Arial Narrow"/>
                <w:color w:val="231F20"/>
                <w:sz w:val="20"/>
                <w:szCs w:val="20"/>
              </w:rPr>
              <w:t>services</w:t>
            </w:r>
            <w:r w:rsidRPr="00E3331A">
              <w:rPr>
                <w:rFonts w:ascii="Arial Narrow" w:hAnsi="Arial Narrow"/>
                <w:color w:val="231F20"/>
                <w:spacing w:val="25"/>
                <w:sz w:val="20"/>
                <w:szCs w:val="20"/>
              </w:rPr>
              <w:t xml:space="preserve"> </w:t>
            </w:r>
            <w:r w:rsidRPr="00E3331A">
              <w:rPr>
                <w:rFonts w:ascii="Arial Narrow" w:hAnsi="Arial Narrow"/>
                <w:color w:val="231F20"/>
                <w:sz w:val="20"/>
                <w:szCs w:val="20"/>
              </w:rPr>
              <w:t>(£)</w:t>
            </w:r>
          </w:p>
        </w:tc>
        <w:tc>
          <w:tcPr>
            <w:tcW w:w="412" w:type="pct"/>
            <w:vAlign w:val="center"/>
          </w:tcPr>
          <w:p w:rsidR="001F5B33" w:rsidRPr="00E3331A" w:rsidRDefault="001F5B33" w:rsidP="00493DDF">
            <w:pPr>
              <w:pStyle w:val="TableParagraph"/>
              <w:spacing w:before="16"/>
              <w:ind w:left="204"/>
              <w:rPr>
                <w:rFonts w:ascii="Arial Narrow" w:eastAsia="Times New Roman" w:hAnsi="Arial Narrow"/>
                <w:sz w:val="20"/>
                <w:szCs w:val="20"/>
              </w:rPr>
            </w:pPr>
            <w:r w:rsidRPr="00E3331A">
              <w:rPr>
                <w:rFonts w:ascii="Arial Narrow" w:hAnsi="Arial Narrow"/>
                <w:color w:val="231F20"/>
                <w:sz w:val="20"/>
                <w:szCs w:val="20"/>
              </w:rPr>
              <w:t>191</w:t>
            </w:r>
          </w:p>
        </w:tc>
        <w:tc>
          <w:tcPr>
            <w:tcW w:w="412" w:type="pct"/>
            <w:vAlign w:val="center"/>
          </w:tcPr>
          <w:p w:rsidR="001F5B33" w:rsidRPr="00E3331A" w:rsidRDefault="001F5B33" w:rsidP="00493DDF">
            <w:pPr>
              <w:pStyle w:val="TableParagraph"/>
              <w:spacing w:before="16"/>
              <w:ind w:left="317"/>
              <w:rPr>
                <w:rFonts w:ascii="Arial Narrow" w:eastAsia="Times New Roman" w:hAnsi="Arial Narrow"/>
                <w:sz w:val="20"/>
                <w:szCs w:val="20"/>
              </w:rPr>
            </w:pPr>
            <w:r w:rsidRPr="00E3331A">
              <w:rPr>
                <w:rFonts w:ascii="Arial Narrow" w:hAnsi="Arial Narrow"/>
                <w:color w:val="231F20"/>
                <w:sz w:val="20"/>
                <w:szCs w:val="20"/>
              </w:rPr>
              <w:t>284</w:t>
            </w:r>
          </w:p>
        </w:tc>
        <w:tc>
          <w:tcPr>
            <w:tcW w:w="412" w:type="pct"/>
            <w:vAlign w:val="center"/>
          </w:tcPr>
          <w:p w:rsidR="001F5B33" w:rsidRPr="00E3331A" w:rsidRDefault="001F5B33" w:rsidP="00493DDF">
            <w:pPr>
              <w:pStyle w:val="TableParagraph"/>
              <w:spacing w:before="16"/>
              <w:ind w:left="188"/>
              <w:rPr>
                <w:rFonts w:ascii="Arial Narrow" w:eastAsia="Times New Roman" w:hAnsi="Arial Narrow"/>
                <w:sz w:val="20"/>
                <w:szCs w:val="20"/>
              </w:rPr>
            </w:pPr>
            <w:r w:rsidRPr="00E3331A">
              <w:rPr>
                <w:rFonts w:ascii="Arial Narrow" w:hAnsi="Arial Narrow"/>
                <w:color w:val="231F20"/>
                <w:sz w:val="20"/>
                <w:szCs w:val="20"/>
              </w:rPr>
              <w:t>0.9</w:t>
            </w:r>
          </w:p>
        </w:tc>
        <w:tc>
          <w:tcPr>
            <w:tcW w:w="412" w:type="pct"/>
            <w:vAlign w:val="center"/>
          </w:tcPr>
          <w:p w:rsidR="001F5B33" w:rsidRPr="00E3331A" w:rsidRDefault="001F5B33" w:rsidP="00493DDF">
            <w:pPr>
              <w:pStyle w:val="TableParagraph"/>
              <w:spacing w:before="16"/>
              <w:ind w:left="320"/>
              <w:rPr>
                <w:rFonts w:ascii="Arial Narrow" w:eastAsia="Times New Roman" w:hAnsi="Arial Narrow"/>
                <w:sz w:val="20"/>
                <w:szCs w:val="20"/>
              </w:rPr>
            </w:pPr>
            <w:r w:rsidRPr="00E3331A">
              <w:rPr>
                <w:rFonts w:ascii="Arial Narrow" w:hAnsi="Arial Narrow"/>
                <w:color w:val="231F20"/>
                <w:sz w:val="20"/>
                <w:szCs w:val="20"/>
              </w:rPr>
              <w:t>69</w:t>
            </w:r>
          </w:p>
        </w:tc>
        <w:tc>
          <w:tcPr>
            <w:tcW w:w="413" w:type="pct"/>
            <w:vAlign w:val="center"/>
          </w:tcPr>
          <w:p w:rsidR="001F5B33" w:rsidRPr="00E3331A" w:rsidRDefault="001F5B33" w:rsidP="00493DDF">
            <w:pPr>
              <w:pStyle w:val="TableParagraph"/>
              <w:spacing w:before="16"/>
              <w:ind w:left="392"/>
              <w:rPr>
                <w:rFonts w:ascii="Arial Narrow" w:eastAsia="Times New Roman" w:hAnsi="Arial Narrow"/>
                <w:sz w:val="20"/>
                <w:szCs w:val="20"/>
              </w:rPr>
            </w:pPr>
            <w:r w:rsidRPr="00E3331A">
              <w:rPr>
                <w:rFonts w:ascii="Arial Narrow" w:hAnsi="Arial Narrow"/>
                <w:color w:val="231F20"/>
                <w:sz w:val="20"/>
                <w:szCs w:val="20"/>
              </w:rPr>
              <w:t>48</w:t>
            </w:r>
          </w:p>
        </w:tc>
        <w:tc>
          <w:tcPr>
            <w:tcW w:w="412" w:type="pct"/>
            <w:vAlign w:val="center"/>
          </w:tcPr>
          <w:p w:rsidR="001F5B33" w:rsidRPr="00E3331A" w:rsidRDefault="001F5B33" w:rsidP="00493DDF">
            <w:pPr>
              <w:pStyle w:val="TableParagraph"/>
              <w:spacing w:before="16"/>
              <w:ind w:left="188"/>
              <w:rPr>
                <w:rFonts w:ascii="Arial Narrow" w:eastAsia="Times New Roman" w:hAnsi="Arial Narrow"/>
                <w:sz w:val="20"/>
                <w:szCs w:val="20"/>
              </w:rPr>
            </w:pPr>
            <w:r w:rsidRPr="00E3331A">
              <w:rPr>
                <w:rFonts w:ascii="Arial Narrow" w:hAnsi="Arial Narrow"/>
                <w:color w:val="231F20"/>
                <w:sz w:val="20"/>
                <w:szCs w:val="20"/>
              </w:rPr>
              <w:t>0.3</w:t>
            </w:r>
          </w:p>
        </w:tc>
        <w:tc>
          <w:tcPr>
            <w:tcW w:w="412" w:type="pct"/>
            <w:vAlign w:val="center"/>
          </w:tcPr>
          <w:p w:rsidR="001F5B33" w:rsidRPr="00E3331A" w:rsidRDefault="001F5B33" w:rsidP="00493DDF">
            <w:pPr>
              <w:pStyle w:val="TableParagraph"/>
              <w:spacing w:before="16"/>
              <w:ind w:left="114"/>
              <w:rPr>
                <w:rFonts w:ascii="Arial Narrow" w:eastAsia="Times New Roman" w:hAnsi="Arial Narrow"/>
                <w:sz w:val="20"/>
                <w:szCs w:val="20"/>
              </w:rPr>
            </w:pPr>
            <w:r w:rsidRPr="00E3331A">
              <w:rPr>
                <w:rFonts w:ascii="Arial Narrow" w:hAnsi="Arial Narrow"/>
                <w:color w:val="231F20"/>
                <w:sz w:val="20"/>
                <w:szCs w:val="20"/>
              </w:rPr>
              <w:t>231</w:t>
            </w:r>
          </w:p>
        </w:tc>
        <w:tc>
          <w:tcPr>
            <w:tcW w:w="412" w:type="pct"/>
            <w:vAlign w:val="center"/>
          </w:tcPr>
          <w:p w:rsidR="001F5B33" w:rsidRPr="00E3331A" w:rsidRDefault="001F5B33" w:rsidP="00493DDF">
            <w:pPr>
              <w:pStyle w:val="TableParagraph"/>
              <w:spacing w:before="16"/>
              <w:ind w:left="317"/>
              <w:rPr>
                <w:rFonts w:ascii="Arial Narrow" w:eastAsia="Times New Roman" w:hAnsi="Arial Narrow"/>
                <w:sz w:val="20"/>
                <w:szCs w:val="20"/>
              </w:rPr>
            </w:pPr>
            <w:r w:rsidRPr="00E3331A">
              <w:rPr>
                <w:rFonts w:ascii="Arial Narrow" w:hAnsi="Arial Narrow"/>
                <w:color w:val="231F20"/>
                <w:sz w:val="20"/>
                <w:szCs w:val="20"/>
              </w:rPr>
              <w:t>410</w:t>
            </w:r>
          </w:p>
        </w:tc>
        <w:tc>
          <w:tcPr>
            <w:tcW w:w="413" w:type="pct"/>
            <w:vAlign w:val="center"/>
          </w:tcPr>
          <w:p w:rsidR="001F5B33" w:rsidRPr="00E3331A" w:rsidRDefault="001F5B33" w:rsidP="00493DDF">
            <w:pPr>
              <w:pStyle w:val="TableParagraph"/>
              <w:spacing w:before="16"/>
              <w:ind w:left="188"/>
              <w:rPr>
                <w:rFonts w:ascii="Arial Narrow" w:eastAsia="Times New Roman" w:hAnsi="Arial Narrow"/>
                <w:sz w:val="20"/>
                <w:szCs w:val="20"/>
              </w:rPr>
            </w:pPr>
            <w:r w:rsidRPr="00E3331A">
              <w:rPr>
                <w:rFonts w:ascii="Arial Narrow" w:hAnsi="Arial Narrow"/>
                <w:color w:val="231F20"/>
                <w:sz w:val="20"/>
                <w:szCs w:val="20"/>
              </w:rPr>
              <w:t>3.0</w:t>
            </w:r>
          </w:p>
        </w:tc>
      </w:tr>
      <w:tr w:rsidR="001F5B33" w:rsidRPr="00E3331A" w:rsidTr="00493DDF">
        <w:trPr>
          <w:trHeight w:hRule="exact" w:val="284"/>
        </w:trPr>
        <w:tc>
          <w:tcPr>
            <w:tcW w:w="1290" w:type="pct"/>
            <w:vAlign w:val="center"/>
          </w:tcPr>
          <w:p w:rsidR="001F5B33" w:rsidRPr="00E3331A" w:rsidRDefault="001F5B33" w:rsidP="00493DDF">
            <w:pPr>
              <w:pStyle w:val="TableParagraph"/>
              <w:spacing w:before="15"/>
              <w:ind w:left="55"/>
              <w:rPr>
                <w:rFonts w:ascii="Arial Narrow" w:eastAsia="Times New Roman" w:hAnsi="Arial Narrow"/>
                <w:sz w:val="20"/>
                <w:szCs w:val="20"/>
              </w:rPr>
            </w:pPr>
            <w:r w:rsidRPr="00E3331A">
              <w:rPr>
                <w:rFonts w:ascii="Arial Narrow" w:hAnsi="Arial Narrow"/>
                <w:color w:val="231F20"/>
                <w:w w:val="105"/>
                <w:sz w:val="20"/>
                <w:szCs w:val="20"/>
              </w:rPr>
              <w:t>Cost</w:t>
            </w:r>
            <w:r w:rsidRPr="00E3331A">
              <w:rPr>
                <w:rFonts w:ascii="Arial Narrow" w:hAnsi="Arial Narrow"/>
                <w:color w:val="231F20"/>
                <w:spacing w:val="5"/>
                <w:w w:val="105"/>
                <w:sz w:val="20"/>
                <w:szCs w:val="20"/>
              </w:rPr>
              <w:t xml:space="preserve"> </w:t>
            </w:r>
            <w:r w:rsidRPr="00E3331A">
              <w:rPr>
                <w:rFonts w:ascii="Arial Narrow" w:hAnsi="Arial Narrow"/>
                <w:color w:val="231F20"/>
                <w:w w:val="105"/>
                <w:sz w:val="20"/>
                <w:szCs w:val="20"/>
              </w:rPr>
              <w:t>of</w:t>
            </w:r>
            <w:r w:rsidRPr="00E3331A">
              <w:rPr>
                <w:rFonts w:ascii="Arial Narrow" w:hAnsi="Arial Narrow"/>
                <w:color w:val="231F20"/>
                <w:spacing w:val="6"/>
                <w:w w:val="105"/>
                <w:sz w:val="20"/>
                <w:szCs w:val="20"/>
              </w:rPr>
              <w:t xml:space="preserve"> </w:t>
            </w:r>
            <w:r w:rsidRPr="00E3331A">
              <w:rPr>
                <w:rFonts w:ascii="Arial Narrow" w:hAnsi="Arial Narrow"/>
                <w:color w:val="231F20"/>
                <w:w w:val="105"/>
                <w:sz w:val="20"/>
                <w:szCs w:val="20"/>
              </w:rPr>
              <w:t>IVIg</w:t>
            </w:r>
            <w:r w:rsidRPr="00E3331A">
              <w:rPr>
                <w:rFonts w:ascii="Arial Narrow" w:hAnsi="Arial Narrow"/>
                <w:color w:val="231F20"/>
                <w:spacing w:val="6"/>
                <w:w w:val="105"/>
                <w:sz w:val="20"/>
                <w:szCs w:val="20"/>
              </w:rPr>
              <w:t xml:space="preserve"> </w:t>
            </w:r>
            <w:r w:rsidRPr="00E3331A">
              <w:rPr>
                <w:rFonts w:ascii="Arial Narrow" w:hAnsi="Arial Narrow"/>
                <w:color w:val="231F20"/>
                <w:w w:val="105"/>
                <w:sz w:val="20"/>
                <w:szCs w:val="20"/>
              </w:rPr>
              <w:t>(£)</w:t>
            </w:r>
          </w:p>
        </w:tc>
        <w:tc>
          <w:tcPr>
            <w:tcW w:w="412" w:type="pct"/>
            <w:vAlign w:val="center"/>
          </w:tcPr>
          <w:p w:rsidR="001F5B33" w:rsidRPr="00E3331A" w:rsidRDefault="001F5B33" w:rsidP="00493DDF">
            <w:pPr>
              <w:pStyle w:val="TableParagraph"/>
              <w:spacing w:before="15"/>
              <w:rPr>
                <w:rFonts w:ascii="Arial Narrow" w:eastAsia="Times New Roman" w:hAnsi="Arial Narrow"/>
                <w:sz w:val="20"/>
                <w:szCs w:val="20"/>
              </w:rPr>
            </w:pPr>
            <w:r w:rsidRPr="00E3331A">
              <w:rPr>
                <w:rFonts w:ascii="Arial Narrow" w:hAnsi="Arial Narrow"/>
                <w:color w:val="231F20"/>
                <w:sz w:val="20"/>
                <w:szCs w:val="20"/>
              </w:rPr>
              <w:t>10</w:t>
            </w:r>
            <w:r w:rsidR="00575F01" w:rsidRPr="00E3331A">
              <w:rPr>
                <w:rFonts w:ascii="Arial Narrow" w:hAnsi="Arial Narrow"/>
                <w:color w:val="231F20"/>
                <w:spacing w:val="13"/>
                <w:sz w:val="20"/>
                <w:szCs w:val="20"/>
              </w:rPr>
              <w:t>,</w:t>
            </w:r>
            <w:r w:rsidRPr="00E3331A">
              <w:rPr>
                <w:rFonts w:ascii="Arial Narrow" w:hAnsi="Arial Narrow"/>
                <w:color w:val="231F20"/>
                <w:sz w:val="20"/>
                <w:szCs w:val="20"/>
              </w:rPr>
              <w:t>348</w:t>
            </w:r>
          </w:p>
        </w:tc>
        <w:tc>
          <w:tcPr>
            <w:tcW w:w="412" w:type="pct"/>
            <w:vAlign w:val="center"/>
          </w:tcPr>
          <w:p w:rsidR="001F5B33" w:rsidRPr="00E3331A" w:rsidRDefault="001F5B33" w:rsidP="00493DDF">
            <w:pPr>
              <w:pStyle w:val="TableParagraph"/>
              <w:spacing w:before="15"/>
              <w:ind w:left="113"/>
              <w:rPr>
                <w:rFonts w:ascii="Arial Narrow" w:eastAsia="Times New Roman" w:hAnsi="Arial Narrow"/>
                <w:sz w:val="20"/>
                <w:szCs w:val="20"/>
              </w:rPr>
            </w:pPr>
            <w:r w:rsidRPr="00E3331A">
              <w:rPr>
                <w:rFonts w:ascii="Arial Narrow" w:hAnsi="Arial Narrow"/>
                <w:color w:val="231F20"/>
                <w:sz w:val="20"/>
                <w:szCs w:val="20"/>
              </w:rPr>
              <w:t>21</w:t>
            </w:r>
            <w:r w:rsidR="00575F01" w:rsidRPr="00E3331A">
              <w:rPr>
                <w:rFonts w:ascii="Arial Narrow" w:hAnsi="Arial Narrow"/>
                <w:color w:val="231F20"/>
                <w:spacing w:val="13"/>
                <w:sz w:val="20"/>
                <w:szCs w:val="20"/>
              </w:rPr>
              <w:t>,</w:t>
            </w:r>
            <w:r w:rsidRPr="00E3331A">
              <w:rPr>
                <w:rFonts w:ascii="Arial Narrow" w:hAnsi="Arial Narrow"/>
                <w:color w:val="231F20"/>
                <w:sz w:val="20"/>
                <w:szCs w:val="20"/>
              </w:rPr>
              <w:t>070</w:t>
            </w:r>
          </w:p>
        </w:tc>
        <w:tc>
          <w:tcPr>
            <w:tcW w:w="412" w:type="pct"/>
            <w:vAlign w:val="center"/>
          </w:tcPr>
          <w:p w:rsidR="001F5B33" w:rsidRPr="00E3331A" w:rsidRDefault="001F5B33" w:rsidP="00493DDF">
            <w:pPr>
              <w:pStyle w:val="TableParagraph"/>
              <w:spacing w:before="15"/>
              <w:ind w:left="114"/>
              <w:rPr>
                <w:rFonts w:ascii="Arial Narrow" w:eastAsia="Times New Roman" w:hAnsi="Arial Narrow"/>
                <w:sz w:val="20"/>
                <w:szCs w:val="20"/>
              </w:rPr>
            </w:pPr>
            <w:r w:rsidRPr="00E3331A">
              <w:rPr>
                <w:rFonts w:ascii="Arial Narrow" w:hAnsi="Arial Narrow"/>
                <w:color w:val="231F20"/>
                <w:sz w:val="20"/>
                <w:szCs w:val="20"/>
              </w:rPr>
              <w:t>46.9</w:t>
            </w:r>
          </w:p>
        </w:tc>
        <w:tc>
          <w:tcPr>
            <w:tcW w:w="412" w:type="pct"/>
            <w:vAlign w:val="center"/>
          </w:tcPr>
          <w:p w:rsidR="001F5B33" w:rsidRPr="00E3331A" w:rsidRDefault="001F5B33" w:rsidP="00493DDF">
            <w:pPr>
              <w:pStyle w:val="TableParagraph"/>
              <w:spacing w:before="15"/>
              <w:ind w:left="40"/>
              <w:rPr>
                <w:rFonts w:ascii="Arial Narrow" w:eastAsia="Times New Roman" w:hAnsi="Arial Narrow"/>
                <w:sz w:val="20"/>
                <w:szCs w:val="20"/>
              </w:rPr>
            </w:pPr>
            <w:r w:rsidRPr="00E3331A">
              <w:rPr>
                <w:rFonts w:ascii="Arial Narrow" w:hAnsi="Arial Narrow"/>
                <w:color w:val="231F20"/>
                <w:sz w:val="20"/>
                <w:szCs w:val="20"/>
              </w:rPr>
              <w:t>11</w:t>
            </w:r>
            <w:r w:rsidR="00575F01" w:rsidRPr="00E3331A">
              <w:rPr>
                <w:rFonts w:ascii="Arial Narrow" w:hAnsi="Arial Narrow"/>
                <w:color w:val="231F20"/>
                <w:spacing w:val="14"/>
                <w:sz w:val="20"/>
                <w:szCs w:val="20"/>
              </w:rPr>
              <w:t>,</w:t>
            </w:r>
            <w:r w:rsidRPr="00E3331A">
              <w:rPr>
                <w:rFonts w:ascii="Arial Narrow" w:hAnsi="Arial Narrow"/>
                <w:color w:val="231F20"/>
                <w:sz w:val="20"/>
                <w:szCs w:val="20"/>
              </w:rPr>
              <w:t>252</w:t>
            </w:r>
          </w:p>
        </w:tc>
        <w:tc>
          <w:tcPr>
            <w:tcW w:w="413" w:type="pct"/>
            <w:vAlign w:val="center"/>
          </w:tcPr>
          <w:p w:rsidR="001F5B33" w:rsidRPr="00E3331A" w:rsidRDefault="001F5B33" w:rsidP="00493DDF">
            <w:pPr>
              <w:pStyle w:val="TableParagraph"/>
              <w:spacing w:before="15"/>
              <w:ind w:left="113"/>
              <w:rPr>
                <w:rFonts w:ascii="Arial Narrow" w:eastAsia="Times New Roman" w:hAnsi="Arial Narrow"/>
                <w:sz w:val="20"/>
                <w:szCs w:val="20"/>
              </w:rPr>
            </w:pPr>
            <w:r w:rsidRPr="00E3331A">
              <w:rPr>
                <w:rFonts w:ascii="Arial Narrow" w:hAnsi="Arial Narrow"/>
                <w:color w:val="231F20"/>
                <w:sz w:val="20"/>
                <w:szCs w:val="20"/>
              </w:rPr>
              <w:t>15</w:t>
            </w:r>
            <w:r w:rsidR="00575F01" w:rsidRPr="00E3331A">
              <w:rPr>
                <w:rFonts w:ascii="Arial Narrow" w:hAnsi="Arial Narrow"/>
                <w:color w:val="231F20"/>
                <w:spacing w:val="13"/>
                <w:sz w:val="20"/>
                <w:szCs w:val="20"/>
              </w:rPr>
              <w:t>,</w:t>
            </w:r>
            <w:r w:rsidRPr="00E3331A">
              <w:rPr>
                <w:rFonts w:ascii="Arial Narrow" w:hAnsi="Arial Narrow"/>
                <w:color w:val="231F20"/>
                <w:sz w:val="20"/>
                <w:szCs w:val="20"/>
              </w:rPr>
              <w:t>018</w:t>
            </w:r>
          </w:p>
        </w:tc>
        <w:tc>
          <w:tcPr>
            <w:tcW w:w="412" w:type="pct"/>
            <w:vAlign w:val="center"/>
          </w:tcPr>
          <w:p w:rsidR="001F5B33" w:rsidRPr="00E3331A" w:rsidRDefault="001F5B33" w:rsidP="00493DDF">
            <w:pPr>
              <w:pStyle w:val="TableParagraph"/>
              <w:spacing w:before="15"/>
              <w:ind w:left="113"/>
              <w:rPr>
                <w:rFonts w:ascii="Arial Narrow" w:eastAsia="Times New Roman" w:hAnsi="Arial Narrow"/>
                <w:sz w:val="20"/>
                <w:szCs w:val="20"/>
              </w:rPr>
            </w:pPr>
            <w:r w:rsidRPr="00E3331A">
              <w:rPr>
                <w:rFonts w:ascii="Arial Narrow" w:hAnsi="Arial Narrow"/>
                <w:color w:val="231F20"/>
                <w:sz w:val="20"/>
                <w:szCs w:val="20"/>
              </w:rPr>
              <w:t>49.3</w:t>
            </w:r>
          </w:p>
        </w:tc>
        <w:tc>
          <w:tcPr>
            <w:tcW w:w="412" w:type="pct"/>
            <w:vAlign w:val="center"/>
          </w:tcPr>
          <w:p w:rsidR="001F5B33" w:rsidRPr="00E3331A" w:rsidRDefault="001F5B33" w:rsidP="00493DDF">
            <w:pPr>
              <w:pStyle w:val="TableParagraph"/>
              <w:spacing w:before="15"/>
              <w:ind w:left="79"/>
              <w:jc w:val="center"/>
              <w:rPr>
                <w:rFonts w:ascii="Arial Narrow" w:eastAsia="Times New Roman" w:hAnsi="Arial Narrow"/>
                <w:sz w:val="20"/>
                <w:szCs w:val="20"/>
              </w:rPr>
            </w:pPr>
            <w:r w:rsidRPr="00E3331A">
              <w:rPr>
                <w:rFonts w:ascii="Arial Narrow" w:hAnsi="Arial Narrow"/>
                <w:color w:val="231F20"/>
                <w:sz w:val="20"/>
                <w:szCs w:val="20"/>
              </w:rPr>
              <w:t>0</w:t>
            </w:r>
          </w:p>
        </w:tc>
        <w:tc>
          <w:tcPr>
            <w:tcW w:w="412" w:type="pct"/>
            <w:vAlign w:val="center"/>
          </w:tcPr>
          <w:p w:rsidR="001F5B33" w:rsidRPr="00E3331A" w:rsidRDefault="001F5B33" w:rsidP="00493DDF">
            <w:pPr>
              <w:pStyle w:val="TableParagraph"/>
              <w:spacing w:before="15"/>
              <w:ind w:right="113"/>
              <w:jc w:val="right"/>
              <w:rPr>
                <w:rFonts w:ascii="Arial Narrow" w:eastAsia="Times New Roman" w:hAnsi="Arial Narrow"/>
                <w:sz w:val="20"/>
                <w:szCs w:val="20"/>
              </w:rPr>
            </w:pPr>
            <w:r w:rsidRPr="00E3331A">
              <w:rPr>
                <w:rFonts w:ascii="Arial Narrow" w:hAnsi="Arial Narrow"/>
                <w:color w:val="231F20"/>
                <w:w w:val="95"/>
                <w:sz w:val="20"/>
                <w:szCs w:val="20"/>
              </w:rPr>
              <w:t>0</w:t>
            </w:r>
          </w:p>
        </w:tc>
        <w:tc>
          <w:tcPr>
            <w:tcW w:w="413" w:type="pct"/>
            <w:vAlign w:val="center"/>
          </w:tcPr>
          <w:p w:rsidR="001F5B33" w:rsidRPr="00E3331A" w:rsidRDefault="001F5B33" w:rsidP="00493DDF">
            <w:pPr>
              <w:pStyle w:val="TableParagraph"/>
              <w:spacing w:before="15"/>
              <w:ind w:left="188"/>
              <w:rPr>
                <w:rFonts w:ascii="Arial Narrow" w:eastAsia="Times New Roman" w:hAnsi="Arial Narrow"/>
                <w:sz w:val="20"/>
                <w:szCs w:val="20"/>
              </w:rPr>
            </w:pPr>
            <w:r w:rsidRPr="00E3331A">
              <w:rPr>
                <w:rFonts w:ascii="Arial Narrow" w:hAnsi="Arial Narrow"/>
                <w:color w:val="231F20"/>
                <w:sz w:val="20"/>
                <w:szCs w:val="20"/>
              </w:rPr>
              <w:t>0</w:t>
            </w:r>
          </w:p>
        </w:tc>
      </w:tr>
      <w:tr w:rsidR="001F5B33" w:rsidRPr="00E3331A" w:rsidTr="00493DDF">
        <w:trPr>
          <w:trHeight w:hRule="exact" w:val="284"/>
        </w:trPr>
        <w:tc>
          <w:tcPr>
            <w:tcW w:w="1290" w:type="pct"/>
            <w:vAlign w:val="center"/>
          </w:tcPr>
          <w:p w:rsidR="001F5B33" w:rsidRPr="00E3331A" w:rsidRDefault="001F5B33" w:rsidP="00493DDF">
            <w:pPr>
              <w:pStyle w:val="TableParagraph"/>
              <w:spacing w:before="16"/>
              <w:ind w:left="55"/>
              <w:rPr>
                <w:rFonts w:ascii="Arial Narrow" w:eastAsia="Times New Roman" w:hAnsi="Arial Narrow"/>
                <w:sz w:val="20"/>
                <w:szCs w:val="20"/>
              </w:rPr>
            </w:pPr>
            <w:r w:rsidRPr="00E3331A">
              <w:rPr>
                <w:rFonts w:ascii="Arial Narrow" w:hAnsi="Arial Narrow"/>
                <w:color w:val="231F20"/>
                <w:w w:val="105"/>
                <w:sz w:val="20"/>
                <w:szCs w:val="20"/>
              </w:rPr>
              <w:t>Cost</w:t>
            </w:r>
            <w:r w:rsidRPr="00E3331A">
              <w:rPr>
                <w:rFonts w:ascii="Arial Narrow" w:hAnsi="Arial Narrow"/>
                <w:color w:val="231F20"/>
                <w:spacing w:val="15"/>
                <w:w w:val="105"/>
                <w:sz w:val="20"/>
                <w:szCs w:val="20"/>
              </w:rPr>
              <w:t xml:space="preserve"> </w:t>
            </w:r>
            <w:r w:rsidRPr="00E3331A">
              <w:rPr>
                <w:rFonts w:ascii="Arial Narrow" w:hAnsi="Arial Narrow"/>
                <w:color w:val="231F20"/>
                <w:w w:val="105"/>
                <w:sz w:val="20"/>
                <w:szCs w:val="20"/>
              </w:rPr>
              <w:t>of</w:t>
            </w:r>
            <w:r w:rsidRPr="00E3331A">
              <w:rPr>
                <w:rFonts w:ascii="Arial Narrow" w:hAnsi="Arial Narrow"/>
                <w:color w:val="231F20"/>
                <w:spacing w:val="15"/>
                <w:w w:val="105"/>
                <w:sz w:val="20"/>
                <w:szCs w:val="20"/>
              </w:rPr>
              <w:t xml:space="preserve"> </w:t>
            </w:r>
            <w:r w:rsidRPr="00E3331A">
              <w:rPr>
                <w:rFonts w:ascii="Arial Narrow" w:hAnsi="Arial Narrow"/>
                <w:color w:val="231F20"/>
                <w:w w:val="105"/>
                <w:sz w:val="20"/>
                <w:szCs w:val="20"/>
              </w:rPr>
              <w:t>other</w:t>
            </w:r>
            <w:r w:rsidRPr="00E3331A">
              <w:rPr>
                <w:rFonts w:ascii="Arial Narrow" w:hAnsi="Arial Narrow"/>
                <w:color w:val="231F20"/>
                <w:spacing w:val="16"/>
                <w:w w:val="105"/>
                <w:sz w:val="20"/>
                <w:szCs w:val="20"/>
              </w:rPr>
              <w:t xml:space="preserve"> </w:t>
            </w:r>
            <w:r w:rsidRPr="00E3331A">
              <w:rPr>
                <w:rFonts w:ascii="Arial Narrow" w:hAnsi="Arial Narrow"/>
                <w:color w:val="231F20"/>
                <w:w w:val="105"/>
                <w:sz w:val="20"/>
                <w:szCs w:val="20"/>
              </w:rPr>
              <w:t>treatments</w:t>
            </w:r>
            <w:r w:rsidRPr="00E3331A">
              <w:rPr>
                <w:rFonts w:ascii="Arial Narrow" w:hAnsi="Arial Narrow"/>
                <w:color w:val="231F20"/>
                <w:spacing w:val="17"/>
                <w:w w:val="105"/>
                <w:sz w:val="20"/>
                <w:szCs w:val="20"/>
              </w:rPr>
              <w:t xml:space="preserve"> </w:t>
            </w:r>
            <w:r w:rsidRPr="00E3331A">
              <w:rPr>
                <w:rFonts w:ascii="Arial Narrow" w:hAnsi="Arial Narrow"/>
                <w:color w:val="231F20"/>
                <w:w w:val="105"/>
                <w:sz w:val="20"/>
                <w:szCs w:val="20"/>
              </w:rPr>
              <w:t>(£)</w:t>
            </w:r>
          </w:p>
        </w:tc>
        <w:tc>
          <w:tcPr>
            <w:tcW w:w="412" w:type="pct"/>
            <w:vAlign w:val="center"/>
          </w:tcPr>
          <w:p w:rsidR="001F5B33" w:rsidRPr="00E3331A" w:rsidRDefault="001F5B33" w:rsidP="00493DDF">
            <w:pPr>
              <w:pStyle w:val="TableParagraph"/>
              <w:spacing w:before="16"/>
              <w:ind w:left="204"/>
              <w:rPr>
                <w:rFonts w:ascii="Arial Narrow" w:eastAsia="Times New Roman" w:hAnsi="Arial Narrow"/>
                <w:sz w:val="20"/>
                <w:szCs w:val="20"/>
              </w:rPr>
            </w:pPr>
            <w:r w:rsidRPr="00E3331A">
              <w:rPr>
                <w:rFonts w:ascii="Arial Narrow" w:hAnsi="Arial Narrow"/>
                <w:color w:val="231F20"/>
                <w:sz w:val="20"/>
                <w:szCs w:val="20"/>
              </w:rPr>
              <w:t>131</w:t>
            </w:r>
          </w:p>
        </w:tc>
        <w:tc>
          <w:tcPr>
            <w:tcW w:w="412" w:type="pct"/>
            <w:vAlign w:val="center"/>
          </w:tcPr>
          <w:p w:rsidR="001F5B33" w:rsidRPr="00E3331A" w:rsidRDefault="001F5B33" w:rsidP="00493DDF">
            <w:pPr>
              <w:pStyle w:val="TableParagraph"/>
              <w:spacing w:before="16"/>
              <w:ind w:left="317"/>
              <w:rPr>
                <w:rFonts w:ascii="Arial Narrow" w:eastAsia="Times New Roman" w:hAnsi="Arial Narrow"/>
                <w:sz w:val="20"/>
                <w:szCs w:val="20"/>
              </w:rPr>
            </w:pPr>
            <w:r w:rsidRPr="00E3331A">
              <w:rPr>
                <w:rFonts w:ascii="Arial Narrow" w:hAnsi="Arial Narrow"/>
                <w:color w:val="231F20"/>
                <w:sz w:val="20"/>
                <w:szCs w:val="20"/>
              </w:rPr>
              <w:t>270</w:t>
            </w:r>
          </w:p>
        </w:tc>
        <w:tc>
          <w:tcPr>
            <w:tcW w:w="412" w:type="pct"/>
            <w:vAlign w:val="center"/>
          </w:tcPr>
          <w:p w:rsidR="001F5B33" w:rsidRPr="00E3331A" w:rsidRDefault="001F5B33" w:rsidP="00493DDF">
            <w:pPr>
              <w:pStyle w:val="TableParagraph"/>
              <w:spacing w:before="16"/>
              <w:ind w:left="188"/>
              <w:rPr>
                <w:rFonts w:ascii="Arial Narrow" w:eastAsia="Times New Roman" w:hAnsi="Arial Narrow"/>
                <w:sz w:val="20"/>
                <w:szCs w:val="20"/>
              </w:rPr>
            </w:pPr>
            <w:r w:rsidRPr="00E3331A">
              <w:rPr>
                <w:rFonts w:ascii="Arial Narrow" w:hAnsi="Arial Narrow"/>
                <w:color w:val="231F20"/>
                <w:sz w:val="20"/>
                <w:szCs w:val="20"/>
              </w:rPr>
              <w:t>0.6</w:t>
            </w:r>
          </w:p>
        </w:tc>
        <w:tc>
          <w:tcPr>
            <w:tcW w:w="412" w:type="pct"/>
            <w:vAlign w:val="center"/>
          </w:tcPr>
          <w:p w:rsidR="001F5B33" w:rsidRPr="00E3331A" w:rsidRDefault="001F5B33" w:rsidP="00493DDF">
            <w:pPr>
              <w:pStyle w:val="TableParagraph"/>
              <w:spacing w:before="16"/>
              <w:ind w:right="112"/>
              <w:jc w:val="right"/>
              <w:rPr>
                <w:rFonts w:ascii="Arial Narrow" w:eastAsia="Times New Roman" w:hAnsi="Arial Narrow"/>
                <w:sz w:val="20"/>
                <w:szCs w:val="20"/>
              </w:rPr>
            </w:pPr>
            <w:r w:rsidRPr="00E3331A">
              <w:rPr>
                <w:rFonts w:ascii="Arial Narrow" w:hAnsi="Arial Narrow"/>
                <w:color w:val="231F20"/>
                <w:w w:val="95"/>
                <w:sz w:val="20"/>
                <w:szCs w:val="20"/>
              </w:rPr>
              <w:t>0</w:t>
            </w:r>
          </w:p>
        </w:tc>
        <w:tc>
          <w:tcPr>
            <w:tcW w:w="413" w:type="pct"/>
            <w:vAlign w:val="center"/>
          </w:tcPr>
          <w:p w:rsidR="001F5B33" w:rsidRPr="00E3331A" w:rsidRDefault="001F5B33" w:rsidP="00493DDF">
            <w:pPr>
              <w:pStyle w:val="TableParagraph"/>
              <w:spacing w:before="16"/>
              <w:ind w:right="111"/>
              <w:jc w:val="right"/>
              <w:rPr>
                <w:rFonts w:ascii="Arial Narrow" w:eastAsia="Times New Roman" w:hAnsi="Arial Narrow"/>
                <w:sz w:val="20"/>
                <w:szCs w:val="20"/>
              </w:rPr>
            </w:pPr>
            <w:r w:rsidRPr="00E3331A">
              <w:rPr>
                <w:rFonts w:ascii="Arial Narrow" w:hAnsi="Arial Narrow"/>
                <w:color w:val="231F20"/>
                <w:w w:val="95"/>
                <w:sz w:val="20"/>
                <w:szCs w:val="20"/>
              </w:rPr>
              <w:t>0</w:t>
            </w:r>
          </w:p>
        </w:tc>
        <w:tc>
          <w:tcPr>
            <w:tcW w:w="412" w:type="pct"/>
            <w:vAlign w:val="center"/>
          </w:tcPr>
          <w:p w:rsidR="001F5B33" w:rsidRPr="00E3331A" w:rsidRDefault="001F5B33" w:rsidP="00493DDF">
            <w:pPr>
              <w:pStyle w:val="TableParagraph"/>
              <w:spacing w:before="16"/>
              <w:ind w:left="188"/>
              <w:rPr>
                <w:rFonts w:ascii="Arial Narrow" w:eastAsia="Times New Roman" w:hAnsi="Arial Narrow"/>
                <w:sz w:val="20"/>
                <w:szCs w:val="20"/>
              </w:rPr>
            </w:pPr>
            <w:r w:rsidRPr="00E3331A">
              <w:rPr>
                <w:rFonts w:ascii="Arial Narrow" w:hAnsi="Arial Narrow"/>
                <w:color w:val="231F20"/>
                <w:sz w:val="20"/>
                <w:szCs w:val="20"/>
              </w:rPr>
              <w:t>0</w:t>
            </w:r>
          </w:p>
        </w:tc>
        <w:tc>
          <w:tcPr>
            <w:tcW w:w="412" w:type="pct"/>
            <w:vAlign w:val="center"/>
          </w:tcPr>
          <w:p w:rsidR="001F5B33" w:rsidRPr="00E3331A" w:rsidRDefault="001F5B33" w:rsidP="00493DDF">
            <w:pPr>
              <w:pStyle w:val="TableParagraph"/>
              <w:spacing w:before="16"/>
              <w:ind w:left="114"/>
              <w:rPr>
                <w:rFonts w:ascii="Arial Narrow" w:eastAsia="Times New Roman" w:hAnsi="Arial Narrow"/>
                <w:sz w:val="20"/>
                <w:szCs w:val="20"/>
              </w:rPr>
            </w:pPr>
            <w:r w:rsidRPr="00E3331A">
              <w:rPr>
                <w:rFonts w:ascii="Arial Narrow" w:hAnsi="Arial Narrow"/>
                <w:color w:val="231F20"/>
                <w:sz w:val="20"/>
                <w:szCs w:val="20"/>
              </w:rPr>
              <w:t>113</w:t>
            </w:r>
          </w:p>
        </w:tc>
        <w:tc>
          <w:tcPr>
            <w:tcW w:w="412" w:type="pct"/>
            <w:vAlign w:val="center"/>
          </w:tcPr>
          <w:p w:rsidR="001F5B33" w:rsidRPr="00E3331A" w:rsidRDefault="001F5B33" w:rsidP="00493DDF">
            <w:pPr>
              <w:pStyle w:val="TableParagraph"/>
              <w:spacing w:before="16"/>
              <w:ind w:left="317"/>
              <w:rPr>
                <w:rFonts w:ascii="Arial Narrow" w:eastAsia="Times New Roman" w:hAnsi="Arial Narrow"/>
                <w:sz w:val="20"/>
                <w:szCs w:val="20"/>
              </w:rPr>
            </w:pPr>
            <w:r w:rsidRPr="00E3331A">
              <w:rPr>
                <w:rFonts w:ascii="Arial Narrow" w:hAnsi="Arial Narrow"/>
                <w:color w:val="231F20"/>
                <w:sz w:val="20"/>
                <w:szCs w:val="20"/>
              </w:rPr>
              <w:t>285</w:t>
            </w:r>
          </w:p>
        </w:tc>
        <w:tc>
          <w:tcPr>
            <w:tcW w:w="413" w:type="pct"/>
            <w:vAlign w:val="center"/>
          </w:tcPr>
          <w:p w:rsidR="001F5B33" w:rsidRPr="00E3331A" w:rsidRDefault="001F5B33" w:rsidP="00493DDF">
            <w:pPr>
              <w:pStyle w:val="TableParagraph"/>
              <w:spacing w:before="16"/>
              <w:ind w:left="188"/>
              <w:rPr>
                <w:rFonts w:ascii="Arial Narrow" w:eastAsia="Times New Roman" w:hAnsi="Arial Narrow"/>
                <w:sz w:val="20"/>
                <w:szCs w:val="20"/>
              </w:rPr>
            </w:pPr>
            <w:r w:rsidRPr="00E3331A">
              <w:rPr>
                <w:rFonts w:ascii="Arial Narrow" w:hAnsi="Arial Narrow"/>
                <w:color w:val="231F20"/>
                <w:sz w:val="20"/>
                <w:szCs w:val="20"/>
              </w:rPr>
              <w:t>1.5</w:t>
            </w:r>
          </w:p>
        </w:tc>
      </w:tr>
      <w:tr w:rsidR="001F5B33" w:rsidRPr="00E3331A" w:rsidTr="00493DDF">
        <w:trPr>
          <w:trHeight w:hRule="exact" w:val="284"/>
        </w:trPr>
        <w:tc>
          <w:tcPr>
            <w:tcW w:w="1290" w:type="pct"/>
            <w:vAlign w:val="center"/>
          </w:tcPr>
          <w:p w:rsidR="001F5B33" w:rsidRPr="00E3331A" w:rsidRDefault="001F5B33" w:rsidP="00493DDF">
            <w:pPr>
              <w:pStyle w:val="TableParagraph"/>
              <w:spacing w:before="16"/>
              <w:ind w:left="55"/>
              <w:rPr>
                <w:rFonts w:ascii="Arial Narrow" w:eastAsia="Times New Roman" w:hAnsi="Arial Narrow"/>
                <w:sz w:val="20"/>
                <w:szCs w:val="20"/>
              </w:rPr>
            </w:pPr>
            <w:r w:rsidRPr="00E3331A">
              <w:rPr>
                <w:rFonts w:ascii="Arial Narrow" w:hAnsi="Arial Narrow"/>
                <w:color w:val="231F20"/>
                <w:sz w:val="20"/>
                <w:szCs w:val="20"/>
              </w:rPr>
              <w:t>Investigations (£)</w:t>
            </w:r>
          </w:p>
        </w:tc>
        <w:tc>
          <w:tcPr>
            <w:tcW w:w="412" w:type="pct"/>
            <w:vAlign w:val="center"/>
          </w:tcPr>
          <w:p w:rsidR="001F5B33" w:rsidRPr="00E3331A" w:rsidRDefault="001F5B33" w:rsidP="00493DDF">
            <w:pPr>
              <w:pStyle w:val="TableParagraph"/>
              <w:spacing w:before="16"/>
              <w:ind w:left="204"/>
              <w:rPr>
                <w:rFonts w:ascii="Arial Narrow" w:eastAsia="Times New Roman" w:hAnsi="Arial Narrow"/>
                <w:sz w:val="20"/>
                <w:szCs w:val="20"/>
              </w:rPr>
            </w:pPr>
            <w:r w:rsidRPr="00E3331A">
              <w:rPr>
                <w:rFonts w:ascii="Arial Narrow" w:hAnsi="Arial Narrow"/>
                <w:color w:val="231F20"/>
                <w:sz w:val="20"/>
                <w:szCs w:val="20"/>
              </w:rPr>
              <w:t>104</w:t>
            </w:r>
          </w:p>
        </w:tc>
        <w:tc>
          <w:tcPr>
            <w:tcW w:w="412" w:type="pct"/>
            <w:vAlign w:val="center"/>
          </w:tcPr>
          <w:p w:rsidR="001F5B33" w:rsidRPr="00E3331A" w:rsidRDefault="001F5B33" w:rsidP="00493DDF">
            <w:pPr>
              <w:pStyle w:val="TableParagraph"/>
              <w:spacing w:before="16"/>
              <w:ind w:left="317"/>
              <w:rPr>
                <w:rFonts w:ascii="Arial Narrow" w:eastAsia="Times New Roman" w:hAnsi="Arial Narrow"/>
                <w:sz w:val="20"/>
                <w:szCs w:val="20"/>
              </w:rPr>
            </w:pPr>
            <w:r w:rsidRPr="00E3331A">
              <w:rPr>
                <w:rFonts w:ascii="Arial Narrow" w:hAnsi="Arial Narrow"/>
                <w:color w:val="231F20"/>
                <w:sz w:val="20"/>
                <w:szCs w:val="20"/>
              </w:rPr>
              <w:t>184</w:t>
            </w:r>
          </w:p>
        </w:tc>
        <w:tc>
          <w:tcPr>
            <w:tcW w:w="412" w:type="pct"/>
            <w:vAlign w:val="center"/>
          </w:tcPr>
          <w:p w:rsidR="001F5B33" w:rsidRPr="00E3331A" w:rsidRDefault="001F5B33" w:rsidP="00493DDF">
            <w:pPr>
              <w:pStyle w:val="TableParagraph"/>
              <w:spacing w:before="16"/>
              <w:ind w:left="188"/>
              <w:rPr>
                <w:rFonts w:ascii="Arial Narrow" w:eastAsia="Times New Roman" w:hAnsi="Arial Narrow"/>
                <w:sz w:val="20"/>
                <w:szCs w:val="20"/>
              </w:rPr>
            </w:pPr>
            <w:r w:rsidRPr="00E3331A">
              <w:rPr>
                <w:rFonts w:ascii="Arial Narrow" w:hAnsi="Arial Narrow"/>
                <w:color w:val="231F20"/>
                <w:sz w:val="20"/>
                <w:szCs w:val="20"/>
              </w:rPr>
              <w:t>0.5</w:t>
            </w:r>
          </w:p>
        </w:tc>
        <w:tc>
          <w:tcPr>
            <w:tcW w:w="412" w:type="pct"/>
            <w:vAlign w:val="center"/>
          </w:tcPr>
          <w:p w:rsidR="001F5B33" w:rsidRPr="00E3331A" w:rsidRDefault="001F5B33" w:rsidP="00493DDF">
            <w:pPr>
              <w:pStyle w:val="TableParagraph"/>
              <w:spacing w:before="16"/>
              <w:ind w:left="245"/>
              <w:rPr>
                <w:rFonts w:ascii="Arial Narrow" w:eastAsia="Times New Roman" w:hAnsi="Arial Narrow"/>
                <w:sz w:val="20"/>
                <w:szCs w:val="20"/>
              </w:rPr>
            </w:pPr>
            <w:r w:rsidRPr="00E3331A">
              <w:rPr>
                <w:rFonts w:ascii="Arial Narrow" w:hAnsi="Arial Narrow"/>
                <w:color w:val="231F20"/>
                <w:sz w:val="20"/>
                <w:szCs w:val="20"/>
              </w:rPr>
              <w:t>164</w:t>
            </w:r>
          </w:p>
        </w:tc>
        <w:tc>
          <w:tcPr>
            <w:tcW w:w="413" w:type="pct"/>
            <w:vAlign w:val="center"/>
          </w:tcPr>
          <w:p w:rsidR="001F5B33" w:rsidRPr="00E3331A" w:rsidRDefault="001F5B33" w:rsidP="00493DDF">
            <w:pPr>
              <w:pStyle w:val="TableParagraph"/>
              <w:spacing w:before="16"/>
              <w:ind w:left="317"/>
              <w:rPr>
                <w:rFonts w:ascii="Arial Narrow" w:eastAsia="Times New Roman" w:hAnsi="Arial Narrow"/>
                <w:sz w:val="20"/>
                <w:szCs w:val="20"/>
              </w:rPr>
            </w:pPr>
            <w:r w:rsidRPr="00E3331A">
              <w:rPr>
                <w:rFonts w:ascii="Arial Narrow" w:hAnsi="Arial Narrow"/>
                <w:color w:val="231F20"/>
                <w:sz w:val="20"/>
                <w:szCs w:val="20"/>
              </w:rPr>
              <w:t>294</w:t>
            </w:r>
          </w:p>
        </w:tc>
        <w:tc>
          <w:tcPr>
            <w:tcW w:w="412" w:type="pct"/>
            <w:vAlign w:val="center"/>
          </w:tcPr>
          <w:p w:rsidR="001F5B33" w:rsidRPr="00E3331A" w:rsidRDefault="001F5B33" w:rsidP="00493DDF">
            <w:pPr>
              <w:pStyle w:val="TableParagraph"/>
              <w:spacing w:before="16"/>
              <w:ind w:left="188"/>
              <w:rPr>
                <w:rFonts w:ascii="Arial Narrow" w:eastAsia="Times New Roman" w:hAnsi="Arial Narrow"/>
                <w:sz w:val="20"/>
                <w:szCs w:val="20"/>
              </w:rPr>
            </w:pPr>
            <w:r w:rsidRPr="00E3331A">
              <w:rPr>
                <w:rFonts w:ascii="Arial Narrow" w:hAnsi="Arial Narrow"/>
                <w:color w:val="231F20"/>
                <w:sz w:val="20"/>
                <w:szCs w:val="20"/>
              </w:rPr>
              <w:t>0.7</w:t>
            </w:r>
          </w:p>
        </w:tc>
        <w:tc>
          <w:tcPr>
            <w:tcW w:w="412" w:type="pct"/>
            <w:vAlign w:val="center"/>
          </w:tcPr>
          <w:p w:rsidR="001F5B33" w:rsidRPr="00E3331A" w:rsidRDefault="001F5B33" w:rsidP="00493DDF">
            <w:pPr>
              <w:pStyle w:val="TableParagraph"/>
              <w:spacing w:before="16"/>
              <w:ind w:left="4"/>
              <w:jc w:val="center"/>
              <w:rPr>
                <w:rFonts w:ascii="Arial Narrow" w:eastAsia="Times New Roman" w:hAnsi="Arial Narrow"/>
                <w:sz w:val="20"/>
                <w:szCs w:val="20"/>
              </w:rPr>
            </w:pPr>
            <w:r w:rsidRPr="00E3331A">
              <w:rPr>
                <w:rFonts w:ascii="Arial Narrow" w:hAnsi="Arial Narrow"/>
                <w:color w:val="231F20"/>
                <w:sz w:val="20"/>
                <w:szCs w:val="20"/>
              </w:rPr>
              <w:t>56</w:t>
            </w:r>
          </w:p>
        </w:tc>
        <w:tc>
          <w:tcPr>
            <w:tcW w:w="412" w:type="pct"/>
            <w:vAlign w:val="center"/>
          </w:tcPr>
          <w:p w:rsidR="001F5B33" w:rsidRPr="00E3331A" w:rsidRDefault="001F5B33" w:rsidP="00493DDF">
            <w:pPr>
              <w:pStyle w:val="TableParagraph"/>
              <w:spacing w:before="16"/>
              <w:ind w:left="392"/>
              <w:rPr>
                <w:rFonts w:ascii="Arial Narrow" w:eastAsia="Times New Roman" w:hAnsi="Arial Narrow"/>
                <w:sz w:val="20"/>
                <w:szCs w:val="20"/>
              </w:rPr>
            </w:pPr>
            <w:r w:rsidRPr="00E3331A">
              <w:rPr>
                <w:rFonts w:ascii="Arial Narrow" w:hAnsi="Arial Narrow"/>
                <w:color w:val="231F20"/>
                <w:sz w:val="20"/>
                <w:szCs w:val="20"/>
              </w:rPr>
              <w:t>91</w:t>
            </w:r>
          </w:p>
        </w:tc>
        <w:tc>
          <w:tcPr>
            <w:tcW w:w="413" w:type="pct"/>
            <w:vAlign w:val="center"/>
          </w:tcPr>
          <w:p w:rsidR="001F5B33" w:rsidRPr="00E3331A" w:rsidRDefault="001F5B33" w:rsidP="00493DDF">
            <w:pPr>
              <w:pStyle w:val="TableParagraph"/>
              <w:spacing w:before="16"/>
              <w:ind w:left="188"/>
              <w:rPr>
                <w:rFonts w:ascii="Arial Narrow" w:eastAsia="Times New Roman" w:hAnsi="Arial Narrow"/>
                <w:sz w:val="20"/>
                <w:szCs w:val="20"/>
              </w:rPr>
            </w:pPr>
            <w:r w:rsidRPr="00E3331A">
              <w:rPr>
                <w:rFonts w:ascii="Arial Narrow" w:hAnsi="Arial Narrow"/>
                <w:color w:val="231F20"/>
                <w:sz w:val="20"/>
                <w:szCs w:val="20"/>
              </w:rPr>
              <w:t>0.8</w:t>
            </w:r>
          </w:p>
        </w:tc>
      </w:tr>
      <w:tr w:rsidR="001F5B33" w:rsidRPr="00E3331A" w:rsidTr="00493DDF">
        <w:trPr>
          <w:trHeight w:hRule="exact" w:val="284"/>
        </w:trPr>
        <w:tc>
          <w:tcPr>
            <w:tcW w:w="1290" w:type="pct"/>
            <w:vAlign w:val="center"/>
          </w:tcPr>
          <w:p w:rsidR="001F5B33" w:rsidRPr="00E3331A" w:rsidRDefault="001F5B33" w:rsidP="00493DDF">
            <w:pPr>
              <w:pStyle w:val="TableParagraph"/>
              <w:spacing w:before="16"/>
              <w:ind w:left="55"/>
              <w:rPr>
                <w:rFonts w:ascii="Arial Narrow" w:eastAsia="Times New Roman" w:hAnsi="Arial Narrow"/>
                <w:sz w:val="20"/>
                <w:szCs w:val="20"/>
              </w:rPr>
            </w:pPr>
            <w:r w:rsidRPr="00E3331A">
              <w:rPr>
                <w:rFonts w:ascii="Arial Narrow" w:hAnsi="Arial Narrow"/>
                <w:color w:val="231F20"/>
                <w:sz w:val="20"/>
                <w:szCs w:val="20"/>
              </w:rPr>
              <w:t>Social</w:t>
            </w:r>
            <w:r w:rsidRPr="00E3331A">
              <w:rPr>
                <w:rFonts w:ascii="Arial Narrow" w:hAnsi="Arial Narrow"/>
                <w:color w:val="231F20"/>
                <w:spacing w:val="13"/>
                <w:sz w:val="20"/>
                <w:szCs w:val="20"/>
              </w:rPr>
              <w:t xml:space="preserve"> </w:t>
            </w:r>
            <w:r w:rsidRPr="00E3331A">
              <w:rPr>
                <w:rFonts w:ascii="Arial Narrow" w:hAnsi="Arial Narrow"/>
                <w:color w:val="231F20"/>
                <w:sz w:val="20"/>
                <w:szCs w:val="20"/>
              </w:rPr>
              <w:t>services</w:t>
            </w:r>
            <w:r w:rsidRPr="00E3331A">
              <w:rPr>
                <w:rFonts w:ascii="Arial Narrow" w:hAnsi="Arial Narrow"/>
                <w:color w:val="231F20"/>
                <w:spacing w:val="12"/>
                <w:sz w:val="20"/>
                <w:szCs w:val="20"/>
              </w:rPr>
              <w:t xml:space="preserve"> </w:t>
            </w:r>
            <w:r w:rsidRPr="00E3331A">
              <w:rPr>
                <w:rFonts w:ascii="Arial Narrow" w:hAnsi="Arial Narrow"/>
                <w:color w:val="231F20"/>
                <w:sz w:val="20"/>
                <w:szCs w:val="20"/>
              </w:rPr>
              <w:t>(£)</w:t>
            </w:r>
          </w:p>
        </w:tc>
        <w:tc>
          <w:tcPr>
            <w:tcW w:w="412" w:type="pct"/>
            <w:vAlign w:val="center"/>
          </w:tcPr>
          <w:p w:rsidR="001F5B33" w:rsidRPr="00E3331A" w:rsidRDefault="001F5B33" w:rsidP="00493DDF">
            <w:pPr>
              <w:pStyle w:val="TableParagraph"/>
              <w:spacing w:before="16"/>
              <w:ind w:left="129"/>
              <w:rPr>
                <w:rFonts w:ascii="Arial Narrow" w:eastAsia="Times New Roman" w:hAnsi="Arial Narrow"/>
                <w:sz w:val="20"/>
                <w:szCs w:val="20"/>
              </w:rPr>
            </w:pPr>
            <w:r w:rsidRPr="00E3331A">
              <w:rPr>
                <w:rFonts w:ascii="Arial Narrow" w:hAnsi="Arial Narrow"/>
                <w:color w:val="231F20"/>
                <w:sz w:val="20"/>
                <w:szCs w:val="20"/>
              </w:rPr>
              <w:t>2</w:t>
            </w:r>
            <w:r w:rsidR="00575F01" w:rsidRPr="00E3331A">
              <w:rPr>
                <w:rFonts w:ascii="Arial Narrow" w:hAnsi="Arial Narrow"/>
                <w:color w:val="231F20"/>
                <w:sz w:val="20"/>
                <w:szCs w:val="20"/>
              </w:rPr>
              <w:t>,</w:t>
            </w:r>
            <w:r w:rsidRPr="00E3331A">
              <w:rPr>
                <w:rFonts w:ascii="Arial Narrow" w:hAnsi="Arial Narrow"/>
                <w:color w:val="231F20"/>
                <w:sz w:val="20"/>
                <w:szCs w:val="20"/>
              </w:rPr>
              <w:t>592</w:t>
            </w:r>
          </w:p>
        </w:tc>
        <w:tc>
          <w:tcPr>
            <w:tcW w:w="412" w:type="pct"/>
            <w:vAlign w:val="center"/>
          </w:tcPr>
          <w:p w:rsidR="001F5B33" w:rsidRPr="00E3331A" w:rsidRDefault="001F5B33" w:rsidP="00493DDF">
            <w:pPr>
              <w:pStyle w:val="TableParagraph"/>
              <w:spacing w:before="16"/>
              <w:ind w:left="242"/>
              <w:rPr>
                <w:rFonts w:ascii="Arial Narrow" w:eastAsia="Times New Roman" w:hAnsi="Arial Narrow"/>
                <w:sz w:val="20"/>
                <w:szCs w:val="20"/>
              </w:rPr>
            </w:pPr>
            <w:r w:rsidRPr="00E3331A">
              <w:rPr>
                <w:rFonts w:ascii="Arial Narrow" w:hAnsi="Arial Narrow"/>
                <w:color w:val="231F20"/>
                <w:sz w:val="20"/>
                <w:szCs w:val="20"/>
              </w:rPr>
              <w:t>5</w:t>
            </w:r>
            <w:r w:rsidR="00575F01" w:rsidRPr="00E3331A">
              <w:rPr>
                <w:rFonts w:ascii="Arial Narrow" w:hAnsi="Arial Narrow"/>
                <w:color w:val="231F20"/>
                <w:sz w:val="20"/>
                <w:szCs w:val="20"/>
              </w:rPr>
              <w:t>,</w:t>
            </w:r>
            <w:r w:rsidRPr="00E3331A">
              <w:rPr>
                <w:rFonts w:ascii="Arial Narrow" w:hAnsi="Arial Narrow"/>
                <w:color w:val="231F20"/>
                <w:sz w:val="20"/>
                <w:szCs w:val="20"/>
              </w:rPr>
              <w:t>097</w:t>
            </w:r>
          </w:p>
        </w:tc>
        <w:tc>
          <w:tcPr>
            <w:tcW w:w="412" w:type="pct"/>
            <w:vAlign w:val="center"/>
          </w:tcPr>
          <w:p w:rsidR="001F5B33" w:rsidRPr="00E3331A" w:rsidRDefault="001F5B33" w:rsidP="00493DDF">
            <w:pPr>
              <w:pStyle w:val="TableParagraph"/>
              <w:spacing w:before="16"/>
              <w:ind w:left="114"/>
              <w:rPr>
                <w:rFonts w:ascii="Arial Narrow" w:eastAsia="Times New Roman" w:hAnsi="Arial Narrow"/>
                <w:sz w:val="20"/>
                <w:szCs w:val="20"/>
              </w:rPr>
            </w:pPr>
            <w:r w:rsidRPr="00E3331A">
              <w:rPr>
                <w:rFonts w:ascii="Arial Narrow" w:hAnsi="Arial Narrow"/>
                <w:color w:val="231F20"/>
                <w:sz w:val="20"/>
                <w:szCs w:val="20"/>
              </w:rPr>
              <w:t>11.7</w:t>
            </w:r>
          </w:p>
        </w:tc>
        <w:tc>
          <w:tcPr>
            <w:tcW w:w="412" w:type="pct"/>
            <w:vAlign w:val="center"/>
          </w:tcPr>
          <w:p w:rsidR="001F5B33" w:rsidRPr="00E3331A" w:rsidRDefault="001F5B33" w:rsidP="00493DDF">
            <w:pPr>
              <w:pStyle w:val="TableParagraph"/>
              <w:spacing w:before="16"/>
              <w:ind w:left="170"/>
              <w:rPr>
                <w:rFonts w:ascii="Arial Narrow" w:eastAsia="Times New Roman" w:hAnsi="Arial Narrow"/>
                <w:sz w:val="20"/>
                <w:szCs w:val="20"/>
              </w:rPr>
            </w:pPr>
            <w:r w:rsidRPr="00E3331A">
              <w:rPr>
                <w:rFonts w:ascii="Arial Narrow" w:hAnsi="Arial Narrow"/>
                <w:color w:val="231F20"/>
                <w:sz w:val="20"/>
                <w:szCs w:val="20"/>
              </w:rPr>
              <w:t>3</w:t>
            </w:r>
            <w:r w:rsidR="00575F01" w:rsidRPr="00E3331A">
              <w:rPr>
                <w:rFonts w:ascii="Arial Narrow" w:hAnsi="Arial Narrow"/>
                <w:color w:val="231F20"/>
                <w:sz w:val="20"/>
                <w:szCs w:val="20"/>
              </w:rPr>
              <w:t>,</w:t>
            </w:r>
            <w:r w:rsidRPr="00E3331A">
              <w:rPr>
                <w:rFonts w:ascii="Arial Narrow" w:hAnsi="Arial Narrow"/>
                <w:color w:val="231F20"/>
                <w:sz w:val="20"/>
                <w:szCs w:val="20"/>
              </w:rPr>
              <w:t>051</w:t>
            </w:r>
          </w:p>
        </w:tc>
        <w:tc>
          <w:tcPr>
            <w:tcW w:w="413" w:type="pct"/>
            <w:vAlign w:val="center"/>
          </w:tcPr>
          <w:p w:rsidR="001F5B33" w:rsidRPr="00E3331A" w:rsidRDefault="001F5B33" w:rsidP="00493DDF">
            <w:pPr>
              <w:pStyle w:val="TableParagraph"/>
              <w:spacing w:before="16"/>
              <w:ind w:left="242"/>
              <w:rPr>
                <w:rFonts w:ascii="Arial Narrow" w:eastAsia="Times New Roman" w:hAnsi="Arial Narrow"/>
                <w:sz w:val="20"/>
                <w:szCs w:val="20"/>
              </w:rPr>
            </w:pPr>
            <w:r w:rsidRPr="00E3331A">
              <w:rPr>
                <w:rFonts w:ascii="Arial Narrow" w:hAnsi="Arial Narrow"/>
                <w:color w:val="231F20"/>
                <w:sz w:val="20"/>
                <w:szCs w:val="20"/>
              </w:rPr>
              <w:t>4</w:t>
            </w:r>
            <w:r w:rsidR="00575F01" w:rsidRPr="00E3331A">
              <w:rPr>
                <w:rFonts w:ascii="Arial Narrow" w:hAnsi="Arial Narrow"/>
                <w:color w:val="231F20"/>
                <w:sz w:val="20"/>
                <w:szCs w:val="20"/>
              </w:rPr>
              <w:t>,</w:t>
            </w:r>
            <w:r w:rsidRPr="00E3331A">
              <w:rPr>
                <w:rFonts w:ascii="Arial Narrow" w:hAnsi="Arial Narrow"/>
                <w:color w:val="231F20"/>
                <w:sz w:val="20"/>
                <w:szCs w:val="20"/>
              </w:rPr>
              <w:t>798</w:t>
            </w:r>
          </w:p>
        </w:tc>
        <w:tc>
          <w:tcPr>
            <w:tcW w:w="412" w:type="pct"/>
            <w:vAlign w:val="center"/>
          </w:tcPr>
          <w:p w:rsidR="001F5B33" w:rsidRPr="00E3331A" w:rsidRDefault="001F5B33" w:rsidP="00493DDF">
            <w:pPr>
              <w:pStyle w:val="TableParagraph"/>
              <w:spacing w:before="16"/>
              <w:ind w:left="113"/>
              <w:rPr>
                <w:rFonts w:ascii="Arial Narrow" w:eastAsia="Times New Roman" w:hAnsi="Arial Narrow"/>
                <w:sz w:val="20"/>
                <w:szCs w:val="20"/>
              </w:rPr>
            </w:pPr>
            <w:r w:rsidRPr="00E3331A">
              <w:rPr>
                <w:rFonts w:ascii="Arial Narrow" w:hAnsi="Arial Narrow"/>
                <w:color w:val="231F20"/>
                <w:sz w:val="20"/>
                <w:szCs w:val="20"/>
              </w:rPr>
              <w:t>13.4</w:t>
            </w:r>
          </w:p>
        </w:tc>
        <w:tc>
          <w:tcPr>
            <w:tcW w:w="412" w:type="pct"/>
            <w:vAlign w:val="center"/>
          </w:tcPr>
          <w:p w:rsidR="001F5B33" w:rsidRPr="00E3331A" w:rsidRDefault="001F5B33" w:rsidP="00493DDF">
            <w:pPr>
              <w:pStyle w:val="TableParagraph"/>
              <w:spacing w:before="16"/>
              <w:ind w:left="40"/>
              <w:rPr>
                <w:rFonts w:ascii="Arial Narrow" w:eastAsia="Times New Roman" w:hAnsi="Arial Narrow"/>
                <w:sz w:val="20"/>
                <w:szCs w:val="20"/>
              </w:rPr>
            </w:pPr>
            <w:r w:rsidRPr="00E3331A">
              <w:rPr>
                <w:rFonts w:ascii="Arial Narrow" w:hAnsi="Arial Narrow"/>
                <w:color w:val="231F20"/>
                <w:sz w:val="20"/>
                <w:szCs w:val="20"/>
              </w:rPr>
              <w:t>2</w:t>
            </w:r>
            <w:r w:rsidR="00575F01" w:rsidRPr="00E3331A">
              <w:rPr>
                <w:rFonts w:ascii="Arial Narrow" w:hAnsi="Arial Narrow"/>
                <w:color w:val="231F20"/>
                <w:sz w:val="20"/>
                <w:szCs w:val="20"/>
              </w:rPr>
              <w:t>,</w:t>
            </w:r>
            <w:r w:rsidRPr="00E3331A">
              <w:rPr>
                <w:rFonts w:ascii="Arial Narrow" w:hAnsi="Arial Narrow"/>
                <w:color w:val="231F20"/>
                <w:sz w:val="20"/>
                <w:szCs w:val="20"/>
              </w:rPr>
              <w:t>224</w:t>
            </w:r>
          </w:p>
        </w:tc>
        <w:tc>
          <w:tcPr>
            <w:tcW w:w="412" w:type="pct"/>
            <w:vAlign w:val="center"/>
          </w:tcPr>
          <w:p w:rsidR="001F5B33" w:rsidRPr="00E3331A" w:rsidRDefault="001F5B33" w:rsidP="00493DDF">
            <w:pPr>
              <w:pStyle w:val="TableParagraph"/>
              <w:spacing w:before="16"/>
              <w:ind w:left="242"/>
              <w:rPr>
                <w:rFonts w:ascii="Arial Narrow" w:eastAsia="Times New Roman" w:hAnsi="Arial Narrow"/>
                <w:sz w:val="20"/>
                <w:szCs w:val="20"/>
              </w:rPr>
            </w:pPr>
            <w:r w:rsidRPr="00E3331A">
              <w:rPr>
                <w:rFonts w:ascii="Arial Narrow" w:hAnsi="Arial Narrow"/>
                <w:color w:val="231F20"/>
                <w:sz w:val="20"/>
                <w:szCs w:val="20"/>
              </w:rPr>
              <w:t>3</w:t>
            </w:r>
            <w:r w:rsidR="00575F01" w:rsidRPr="00E3331A">
              <w:rPr>
                <w:rFonts w:ascii="Arial Narrow" w:hAnsi="Arial Narrow"/>
                <w:color w:val="231F20"/>
                <w:sz w:val="20"/>
                <w:szCs w:val="20"/>
              </w:rPr>
              <w:t>,</w:t>
            </w:r>
            <w:r w:rsidRPr="00E3331A">
              <w:rPr>
                <w:rFonts w:ascii="Arial Narrow" w:hAnsi="Arial Narrow"/>
                <w:color w:val="231F20"/>
                <w:sz w:val="20"/>
                <w:szCs w:val="20"/>
              </w:rPr>
              <w:t>814</w:t>
            </w:r>
          </w:p>
        </w:tc>
        <w:tc>
          <w:tcPr>
            <w:tcW w:w="413" w:type="pct"/>
            <w:vAlign w:val="center"/>
          </w:tcPr>
          <w:p w:rsidR="001F5B33" w:rsidRPr="00E3331A" w:rsidRDefault="001F5B33" w:rsidP="00493DDF">
            <w:pPr>
              <w:pStyle w:val="TableParagraph"/>
              <w:spacing w:before="16"/>
              <w:ind w:left="114"/>
              <w:rPr>
                <w:rFonts w:ascii="Arial Narrow" w:eastAsia="Times New Roman" w:hAnsi="Arial Narrow"/>
                <w:sz w:val="20"/>
                <w:szCs w:val="20"/>
              </w:rPr>
            </w:pPr>
            <w:r w:rsidRPr="00E3331A">
              <w:rPr>
                <w:rFonts w:ascii="Arial Narrow" w:hAnsi="Arial Narrow"/>
                <w:color w:val="231F20"/>
                <w:sz w:val="20"/>
                <w:szCs w:val="20"/>
              </w:rPr>
              <w:t>29.4</w:t>
            </w:r>
          </w:p>
        </w:tc>
      </w:tr>
      <w:tr w:rsidR="001F5B33" w:rsidRPr="00E3331A" w:rsidTr="00493DDF">
        <w:trPr>
          <w:trHeight w:hRule="exact" w:val="284"/>
        </w:trPr>
        <w:tc>
          <w:tcPr>
            <w:tcW w:w="1290" w:type="pct"/>
            <w:vAlign w:val="center"/>
          </w:tcPr>
          <w:p w:rsidR="001F5B33" w:rsidRPr="00E3331A" w:rsidRDefault="001F5B33" w:rsidP="00493DDF">
            <w:pPr>
              <w:pStyle w:val="TableParagraph"/>
              <w:spacing w:before="15"/>
              <w:ind w:left="55"/>
              <w:rPr>
                <w:rFonts w:ascii="Arial Narrow" w:eastAsia="Times New Roman" w:hAnsi="Arial Narrow"/>
                <w:sz w:val="20"/>
                <w:szCs w:val="20"/>
              </w:rPr>
            </w:pPr>
            <w:r w:rsidRPr="00E3331A">
              <w:rPr>
                <w:rFonts w:ascii="Arial Narrow" w:hAnsi="Arial Narrow"/>
                <w:color w:val="231F20"/>
                <w:w w:val="105"/>
                <w:sz w:val="20"/>
                <w:szCs w:val="20"/>
              </w:rPr>
              <w:t>Loss</w:t>
            </w:r>
            <w:r w:rsidRPr="00E3331A">
              <w:rPr>
                <w:rFonts w:ascii="Arial Narrow" w:hAnsi="Arial Narrow"/>
                <w:color w:val="231F20"/>
                <w:spacing w:val="6"/>
                <w:w w:val="105"/>
                <w:sz w:val="20"/>
                <w:szCs w:val="20"/>
              </w:rPr>
              <w:t xml:space="preserve"> </w:t>
            </w:r>
            <w:r w:rsidRPr="00E3331A">
              <w:rPr>
                <w:rFonts w:ascii="Arial Narrow" w:hAnsi="Arial Narrow"/>
                <w:color w:val="231F20"/>
                <w:w w:val="105"/>
                <w:sz w:val="20"/>
                <w:szCs w:val="20"/>
              </w:rPr>
              <w:t>of</w:t>
            </w:r>
            <w:r w:rsidRPr="00E3331A">
              <w:rPr>
                <w:rFonts w:ascii="Arial Narrow" w:hAnsi="Arial Narrow"/>
                <w:color w:val="231F20"/>
                <w:spacing w:val="6"/>
                <w:w w:val="105"/>
                <w:sz w:val="20"/>
                <w:szCs w:val="20"/>
              </w:rPr>
              <w:t xml:space="preserve"> </w:t>
            </w:r>
            <w:r w:rsidRPr="00E3331A">
              <w:rPr>
                <w:rFonts w:ascii="Arial Narrow" w:hAnsi="Arial Narrow"/>
                <w:color w:val="231F20"/>
                <w:w w:val="105"/>
                <w:sz w:val="20"/>
                <w:szCs w:val="20"/>
              </w:rPr>
              <w:t>productivity</w:t>
            </w:r>
            <w:r w:rsidRPr="00E3331A">
              <w:rPr>
                <w:rFonts w:ascii="Arial Narrow" w:hAnsi="Arial Narrow"/>
                <w:color w:val="231F20"/>
                <w:spacing w:val="8"/>
                <w:w w:val="105"/>
                <w:sz w:val="20"/>
                <w:szCs w:val="20"/>
              </w:rPr>
              <w:t xml:space="preserve"> </w:t>
            </w:r>
            <w:r w:rsidRPr="00E3331A">
              <w:rPr>
                <w:rFonts w:ascii="Arial Narrow" w:hAnsi="Arial Narrow"/>
                <w:color w:val="231F20"/>
                <w:w w:val="105"/>
                <w:sz w:val="20"/>
                <w:szCs w:val="20"/>
              </w:rPr>
              <w:t>(£)</w:t>
            </w:r>
          </w:p>
        </w:tc>
        <w:tc>
          <w:tcPr>
            <w:tcW w:w="412" w:type="pct"/>
            <w:vAlign w:val="center"/>
          </w:tcPr>
          <w:p w:rsidR="001F5B33" w:rsidRPr="00E3331A" w:rsidRDefault="001F5B33" w:rsidP="00493DDF">
            <w:pPr>
              <w:pStyle w:val="TableParagraph"/>
              <w:spacing w:before="15"/>
              <w:ind w:left="129"/>
              <w:rPr>
                <w:rFonts w:ascii="Arial Narrow" w:eastAsia="Times New Roman" w:hAnsi="Arial Narrow"/>
                <w:sz w:val="20"/>
                <w:szCs w:val="20"/>
              </w:rPr>
            </w:pPr>
            <w:r w:rsidRPr="00E3331A">
              <w:rPr>
                <w:rFonts w:ascii="Arial Narrow" w:hAnsi="Arial Narrow"/>
                <w:color w:val="231F20"/>
                <w:sz w:val="20"/>
                <w:szCs w:val="20"/>
              </w:rPr>
              <w:t>5</w:t>
            </w:r>
            <w:r w:rsidR="00575F01" w:rsidRPr="00E3331A">
              <w:rPr>
                <w:rFonts w:ascii="Arial Narrow" w:hAnsi="Arial Narrow"/>
                <w:color w:val="231F20"/>
                <w:sz w:val="20"/>
                <w:szCs w:val="20"/>
              </w:rPr>
              <w:t>,</w:t>
            </w:r>
            <w:r w:rsidRPr="00E3331A">
              <w:rPr>
                <w:rFonts w:ascii="Arial Narrow" w:hAnsi="Arial Narrow"/>
                <w:color w:val="231F20"/>
                <w:sz w:val="20"/>
                <w:szCs w:val="20"/>
              </w:rPr>
              <w:t>815</w:t>
            </w:r>
          </w:p>
        </w:tc>
        <w:tc>
          <w:tcPr>
            <w:tcW w:w="412" w:type="pct"/>
            <w:vAlign w:val="center"/>
          </w:tcPr>
          <w:p w:rsidR="001F5B33" w:rsidRPr="00E3331A" w:rsidRDefault="001F5B33" w:rsidP="00493DDF">
            <w:pPr>
              <w:pStyle w:val="TableParagraph"/>
              <w:spacing w:before="15"/>
              <w:ind w:left="113"/>
              <w:rPr>
                <w:rFonts w:ascii="Arial Narrow" w:eastAsia="Times New Roman" w:hAnsi="Arial Narrow"/>
                <w:sz w:val="20"/>
                <w:szCs w:val="20"/>
              </w:rPr>
            </w:pPr>
            <w:r w:rsidRPr="00E3331A">
              <w:rPr>
                <w:rFonts w:ascii="Arial Narrow" w:hAnsi="Arial Narrow"/>
                <w:color w:val="231F20"/>
                <w:sz w:val="20"/>
                <w:szCs w:val="20"/>
              </w:rPr>
              <w:t>11</w:t>
            </w:r>
            <w:r w:rsidR="00575F01" w:rsidRPr="00E3331A">
              <w:rPr>
                <w:rFonts w:ascii="Arial Narrow" w:hAnsi="Arial Narrow"/>
                <w:color w:val="231F20"/>
                <w:spacing w:val="13"/>
                <w:sz w:val="20"/>
                <w:szCs w:val="20"/>
              </w:rPr>
              <w:t>,</w:t>
            </w:r>
            <w:r w:rsidRPr="00E3331A">
              <w:rPr>
                <w:rFonts w:ascii="Arial Narrow" w:hAnsi="Arial Narrow"/>
                <w:color w:val="231F20"/>
                <w:sz w:val="20"/>
                <w:szCs w:val="20"/>
              </w:rPr>
              <w:t>479</w:t>
            </w:r>
          </w:p>
        </w:tc>
        <w:tc>
          <w:tcPr>
            <w:tcW w:w="412" w:type="pct"/>
            <w:vAlign w:val="center"/>
          </w:tcPr>
          <w:p w:rsidR="001F5B33" w:rsidRPr="00E3331A" w:rsidRDefault="001F5B33" w:rsidP="00493DDF">
            <w:pPr>
              <w:pStyle w:val="TableParagraph"/>
              <w:spacing w:before="15"/>
              <w:ind w:left="114"/>
              <w:rPr>
                <w:rFonts w:ascii="Arial Narrow" w:eastAsia="Times New Roman" w:hAnsi="Arial Narrow"/>
                <w:sz w:val="20"/>
                <w:szCs w:val="20"/>
              </w:rPr>
            </w:pPr>
            <w:r w:rsidRPr="00E3331A">
              <w:rPr>
                <w:rFonts w:ascii="Arial Narrow" w:hAnsi="Arial Narrow"/>
                <w:color w:val="231F20"/>
                <w:sz w:val="20"/>
                <w:szCs w:val="20"/>
              </w:rPr>
              <w:t>26.3</w:t>
            </w:r>
          </w:p>
        </w:tc>
        <w:tc>
          <w:tcPr>
            <w:tcW w:w="412" w:type="pct"/>
            <w:vAlign w:val="center"/>
          </w:tcPr>
          <w:p w:rsidR="001F5B33" w:rsidRPr="00E3331A" w:rsidRDefault="001F5B33" w:rsidP="00493DDF">
            <w:pPr>
              <w:pStyle w:val="TableParagraph"/>
              <w:spacing w:before="15"/>
              <w:ind w:left="170"/>
              <w:rPr>
                <w:rFonts w:ascii="Arial Narrow" w:eastAsia="Times New Roman" w:hAnsi="Arial Narrow"/>
                <w:sz w:val="20"/>
                <w:szCs w:val="20"/>
              </w:rPr>
            </w:pPr>
            <w:r w:rsidRPr="00E3331A">
              <w:rPr>
                <w:rFonts w:ascii="Arial Narrow" w:hAnsi="Arial Narrow"/>
                <w:color w:val="231F20"/>
                <w:sz w:val="20"/>
                <w:szCs w:val="20"/>
              </w:rPr>
              <w:t>6</w:t>
            </w:r>
            <w:r w:rsidR="00575F01" w:rsidRPr="00E3331A">
              <w:rPr>
                <w:rFonts w:ascii="Arial Narrow" w:hAnsi="Arial Narrow"/>
                <w:color w:val="231F20"/>
                <w:sz w:val="20"/>
                <w:szCs w:val="20"/>
              </w:rPr>
              <w:t>,</w:t>
            </w:r>
            <w:r w:rsidRPr="00E3331A">
              <w:rPr>
                <w:rFonts w:ascii="Arial Narrow" w:hAnsi="Arial Narrow"/>
                <w:color w:val="231F20"/>
                <w:sz w:val="20"/>
                <w:szCs w:val="20"/>
              </w:rPr>
              <w:t>009</w:t>
            </w:r>
          </w:p>
        </w:tc>
        <w:tc>
          <w:tcPr>
            <w:tcW w:w="413" w:type="pct"/>
            <w:vAlign w:val="center"/>
          </w:tcPr>
          <w:p w:rsidR="001F5B33" w:rsidRPr="00E3331A" w:rsidRDefault="001F5B33" w:rsidP="00493DDF">
            <w:pPr>
              <w:pStyle w:val="TableParagraph"/>
              <w:spacing w:before="15"/>
              <w:ind w:left="113"/>
              <w:rPr>
                <w:rFonts w:ascii="Arial Narrow" w:eastAsia="Times New Roman" w:hAnsi="Arial Narrow"/>
                <w:sz w:val="20"/>
                <w:szCs w:val="20"/>
              </w:rPr>
            </w:pPr>
            <w:r w:rsidRPr="00E3331A">
              <w:rPr>
                <w:rFonts w:ascii="Arial Narrow" w:hAnsi="Arial Narrow"/>
                <w:color w:val="231F20"/>
                <w:sz w:val="20"/>
                <w:szCs w:val="20"/>
              </w:rPr>
              <w:t>10</w:t>
            </w:r>
            <w:r w:rsidR="00575F01" w:rsidRPr="00E3331A">
              <w:rPr>
                <w:rFonts w:ascii="Arial Narrow" w:hAnsi="Arial Narrow"/>
                <w:color w:val="231F20"/>
                <w:spacing w:val="13"/>
                <w:sz w:val="20"/>
                <w:szCs w:val="20"/>
              </w:rPr>
              <w:t>,</w:t>
            </w:r>
            <w:r w:rsidRPr="00E3331A">
              <w:rPr>
                <w:rFonts w:ascii="Arial Narrow" w:hAnsi="Arial Narrow"/>
                <w:color w:val="231F20"/>
                <w:sz w:val="20"/>
                <w:szCs w:val="20"/>
              </w:rPr>
              <w:t>660</w:t>
            </w:r>
          </w:p>
        </w:tc>
        <w:tc>
          <w:tcPr>
            <w:tcW w:w="412" w:type="pct"/>
            <w:vAlign w:val="center"/>
          </w:tcPr>
          <w:p w:rsidR="001F5B33" w:rsidRPr="00E3331A" w:rsidRDefault="001F5B33" w:rsidP="00493DDF">
            <w:pPr>
              <w:pStyle w:val="TableParagraph"/>
              <w:spacing w:before="15"/>
              <w:ind w:left="113"/>
              <w:rPr>
                <w:rFonts w:ascii="Arial Narrow" w:eastAsia="Times New Roman" w:hAnsi="Arial Narrow"/>
                <w:sz w:val="20"/>
                <w:szCs w:val="20"/>
              </w:rPr>
            </w:pPr>
            <w:r w:rsidRPr="00E3331A">
              <w:rPr>
                <w:rFonts w:ascii="Arial Narrow" w:hAnsi="Arial Narrow"/>
                <w:color w:val="231F20"/>
                <w:sz w:val="20"/>
                <w:szCs w:val="20"/>
              </w:rPr>
              <w:t>26.3</w:t>
            </w:r>
          </w:p>
        </w:tc>
        <w:tc>
          <w:tcPr>
            <w:tcW w:w="412" w:type="pct"/>
            <w:vAlign w:val="center"/>
          </w:tcPr>
          <w:p w:rsidR="001F5B33" w:rsidRPr="00E3331A" w:rsidRDefault="001F5B33" w:rsidP="00493DDF">
            <w:pPr>
              <w:pStyle w:val="TableParagraph"/>
              <w:spacing w:before="15"/>
              <w:ind w:left="40"/>
              <w:rPr>
                <w:rFonts w:ascii="Arial Narrow" w:eastAsia="Times New Roman" w:hAnsi="Arial Narrow"/>
                <w:sz w:val="20"/>
                <w:szCs w:val="20"/>
              </w:rPr>
            </w:pPr>
            <w:r w:rsidRPr="00E3331A">
              <w:rPr>
                <w:rFonts w:ascii="Arial Narrow" w:hAnsi="Arial Narrow"/>
                <w:color w:val="231F20"/>
                <w:sz w:val="20"/>
                <w:szCs w:val="20"/>
              </w:rPr>
              <w:t>4</w:t>
            </w:r>
            <w:r w:rsidR="00575F01" w:rsidRPr="00E3331A">
              <w:rPr>
                <w:rFonts w:ascii="Arial Narrow" w:hAnsi="Arial Narrow"/>
                <w:color w:val="231F20"/>
                <w:sz w:val="20"/>
                <w:szCs w:val="20"/>
              </w:rPr>
              <w:t>,</w:t>
            </w:r>
            <w:r w:rsidRPr="00E3331A">
              <w:rPr>
                <w:rFonts w:ascii="Arial Narrow" w:hAnsi="Arial Narrow"/>
                <w:color w:val="231F20"/>
                <w:sz w:val="20"/>
                <w:szCs w:val="20"/>
              </w:rPr>
              <w:t>247</w:t>
            </w:r>
          </w:p>
        </w:tc>
        <w:tc>
          <w:tcPr>
            <w:tcW w:w="412" w:type="pct"/>
            <w:vAlign w:val="center"/>
          </w:tcPr>
          <w:p w:rsidR="001F5B33" w:rsidRPr="00E3331A" w:rsidRDefault="001F5B33" w:rsidP="00493DDF">
            <w:pPr>
              <w:pStyle w:val="TableParagraph"/>
              <w:spacing w:before="15"/>
              <w:ind w:left="113"/>
              <w:rPr>
                <w:rFonts w:ascii="Arial Narrow" w:eastAsia="Times New Roman" w:hAnsi="Arial Narrow"/>
                <w:sz w:val="20"/>
                <w:szCs w:val="20"/>
              </w:rPr>
            </w:pPr>
            <w:r w:rsidRPr="00E3331A">
              <w:rPr>
                <w:rFonts w:ascii="Arial Narrow" w:hAnsi="Arial Narrow"/>
                <w:color w:val="231F20"/>
                <w:sz w:val="20"/>
                <w:szCs w:val="20"/>
              </w:rPr>
              <w:t>10</w:t>
            </w:r>
            <w:r w:rsidR="00575F01" w:rsidRPr="00E3331A">
              <w:rPr>
                <w:rFonts w:ascii="Arial Narrow" w:hAnsi="Arial Narrow"/>
                <w:color w:val="231F20"/>
                <w:spacing w:val="13"/>
                <w:sz w:val="20"/>
                <w:szCs w:val="20"/>
              </w:rPr>
              <w:t>,</w:t>
            </w:r>
            <w:r w:rsidRPr="00E3331A">
              <w:rPr>
                <w:rFonts w:ascii="Arial Narrow" w:hAnsi="Arial Narrow"/>
                <w:color w:val="231F20"/>
                <w:sz w:val="20"/>
                <w:szCs w:val="20"/>
              </w:rPr>
              <w:t>158</w:t>
            </w:r>
          </w:p>
        </w:tc>
        <w:tc>
          <w:tcPr>
            <w:tcW w:w="413" w:type="pct"/>
            <w:vAlign w:val="center"/>
          </w:tcPr>
          <w:p w:rsidR="001F5B33" w:rsidRPr="00E3331A" w:rsidRDefault="001F5B33" w:rsidP="00493DDF">
            <w:pPr>
              <w:pStyle w:val="TableParagraph"/>
              <w:spacing w:before="15"/>
              <w:ind w:left="114"/>
              <w:rPr>
                <w:rFonts w:ascii="Arial Narrow" w:eastAsia="Times New Roman" w:hAnsi="Arial Narrow"/>
                <w:sz w:val="20"/>
                <w:szCs w:val="20"/>
              </w:rPr>
            </w:pPr>
            <w:r w:rsidRPr="00E3331A">
              <w:rPr>
                <w:rFonts w:ascii="Arial Narrow" w:hAnsi="Arial Narrow"/>
                <w:color w:val="231F20"/>
                <w:sz w:val="20"/>
                <w:szCs w:val="20"/>
              </w:rPr>
              <w:t>56.1</w:t>
            </w:r>
          </w:p>
        </w:tc>
      </w:tr>
    </w:tbl>
    <w:p w:rsidR="001F5B33" w:rsidRPr="00E3331A" w:rsidRDefault="001F5B33" w:rsidP="0037150F">
      <w:pPr>
        <w:pStyle w:val="Tablenotes1"/>
      </w:pPr>
      <w:r w:rsidRPr="00E3331A">
        <w:rPr>
          <w:w w:val="105"/>
        </w:rPr>
        <w:t>CIDP</w:t>
      </w:r>
      <w:r w:rsidR="00575F01" w:rsidRPr="00E3331A">
        <w:rPr>
          <w:w w:val="105"/>
        </w:rPr>
        <w:t xml:space="preserve"> =</w:t>
      </w:r>
      <w:r w:rsidRPr="00E3331A">
        <w:rPr>
          <w:spacing w:val="11"/>
          <w:w w:val="105"/>
        </w:rPr>
        <w:t xml:space="preserve"> </w:t>
      </w:r>
      <w:r w:rsidRPr="00E3331A">
        <w:rPr>
          <w:w w:val="105"/>
        </w:rPr>
        <w:t>chronic</w:t>
      </w:r>
      <w:r w:rsidRPr="00E3331A">
        <w:rPr>
          <w:spacing w:val="11"/>
          <w:w w:val="105"/>
        </w:rPr>
        <w:t xml:space="preserve"> </w:t>
      </w:r>
      <w:r w:rsidRPr="00E3331A">
        <w:rPr>
          <w:w w:val="105"/>
        </w:rPr>
        <w:t>inﬂammatory</w:t>
      </w:r>
      <w:r w:rsidRPr="00E3331A">
        <w:rPr>
          <w:spacing w:val="12"/>
          <w:w w:val="105"/>
        </w:rPr>
        <w:t xml:space="preserve"> </w:t>
      </w:r>
      <w:r w:rsidRPr="00E3331A">
        <w:rPr>
          <w:w w:val="105"/>
        </w:rPr>
        <w:t>demyelinating</w:t>
      </w:r>
      <w:r w:rsidRPr="00E3331A">
        <w:rPr>
          <w:spacing w:val="10"/>
          <w:w w:val="105"/>
        </w:rPr>
        <w:t xml:space="preserve"> </w:t>
      </w:r>
      <w:r w:rsidRPr="00E3331A">
        <w:rPr>
          <w:w w:val="105"/>
        </w:rPr>
        <w:t>polyradiculoneuropathy;</w:t>
      </w:r>
      <w:r w:rsidRPr="00E3331A">
        <w:rPr>
          <w:spacing w:val="11"/>
          <w:w w:val="105"/>
        </w:rPr>
        <w:t xml:space="preserve"> </w:t>
      </w:r>
      <w:r w:rsidRPr="00E3331A">
        <w:rPr>
          <w:w w:val="105"/>
        </w:rPr>
        <w:t>MMN</w:t>
      </w:r>
      <w:r w:rsidR="00575F01" w:rsidRPr="00E3331A">
        <w:rPr>
          <w:w w:val="105"/>
        </w:rPr>
        <w:t xml:space="preserve"> =</w:t>
      </w:r>
      <w:r w:rsidRPr="00E3331A">
        <w:rPr>
          <w:spacing w:val="12"/>
          <w:w w:val="105"/>
        </w:rPr>
        <w:t xml:space="preserve"> </w:t>
      </w:r>
      <w:r w:rsidRPr="00E3331A">
        <w:rPr>
          <w:w w:val="105"/>
        </w:rPr>
        <w:t>multifocal</w:t>
      </w:r>
      <w:r w:rsidRPr="00E3331A">
        <w:rPr>
          <w:spacing w:val="10"/>
          <w:w w:val="105"/>
        </w:rPr>
        <w:t xml:space="preserve"> </w:t>
      </w:r>
      <w:r w:rsidRPr="00E3331A">
        <w:rPr>
          <w:w w:val="105"/>
        </w:rPr>
        <w:t>motor</w:t>
      </w:r>
      <w:r w:rsidRPr="00E3331A">
        <w:rPr>
          <w:spacing w:val="11"/>
          <w:w w:val="105"/>
        </w:rPr>
        <w:t xml:space="preserve"> </w:t>
      </w:r>
      <w:r w:rsidRPr="00E3331A">
        <w:rPr>
          <w:w w:val="105"/>
        </w:rPr>
        <w:t>neuropathy;</w:t>
      </w:r>
      <w:r w:rsidRPr="00E3331A">
        <w:rPr>
          <w:spacing w:val="11"/>
          <w:w w:val="105"/>
        </w:rPr>
        <w:t xml:space="preserve"> </w:t>
      </w:r>
      <w:r w:rsidRPr="00E3331A">
        <w:rPr>
          <w:w w:val="105"/>
        </w:rPr>
        <w:t>PDN</w:t>
      </w:r>
      <w:r w:rsidR="00575F01" w:rsidRPr="00E3331A">
        <w:rPr>
          <w:w w:val="105"/>
        </w:rPr>
        <w:t xml:space="preserve"> =</w:t>
      </w:r>
      <w:r w:rsidRPr="00E3331A">
        <w:rPr>
          <w:spacing w:val="12"/>
          <w:w w:val="105"/>
        </w:rPr>
        <w:t xml:space="preserve"> </w:t>
      </w:r>
      <w:r w:rsidR="00E810A5" w:rsidRPr="00E3331A">
        <w:rPr>
          <w:w w:val="105"/>
        </w:rPr>
        <w:t>paraproteinemic</w:t>
      </w:r>
      <w:r w:rsidRPr="00E3331A">
        <w:rPr>
          <w:spacing w:val="11"/>
          <w:w w:val="105"/>
        </w:rPr>
        <w:t xml:space="preserve"> </w:t>
      </w:r>
      <w:r w:rsidRPr="00E3331A">
        <w:rPr>
          <w:w w:val="105"/>
        </w:rPr>
        <w:t>demyelinating</w:t>
      </w:r>
      <w:r w:rsidRPr="00E3331A">
        <w:rPr>
          <w:spacing w:val="25"/>
          <w:w w:val="104"/>
        </w:rPr>
        <w:t xml:space="preserve"> </w:t>
      </w:r>
      <w:r w:rsidRPr="00E3331A">
        <w:rPr>
          <w:w w:val="105"/>
        </w:rPr>
        <w:t>neuropathy;</w:t>
      </w:r>
      <w:r w:rsidRPr="00E3331A">
        <w:rPr>
          <w:spacing w:val="10"/>
          <w:w w:val="105"/>
        </w:rPr>
        <w:t xml:space="preserve"> </w:t>
      </w:r>
      <w:r w:rsidRPr="00E3331A">
        <w:rPr>
          <w:w w:val="105"/>
        </w:rPr>
        <w:t>IVIg</w:t>
      </w:r>
      <w:r w:rsidR="00575F01" w:rsidRPr="00E3331A">
        <w:rPr>
          <w:w w:val="105"/>
        </w:rPr>
        <w:t xml:space="preserve"> =</w:t>
      </w:r>
      <w:r w:rsidRPr="00E3331A">
        <w:rPr>
          <w:spacing w:val="11"/>
          <w:w w:val="105"/>
        </w:rPr>
        <w:t xml:space="preserve"> </w:t>
      </w:r>
      <w:r w:rsidRPr="00E3331A">
        <w:rPr>
          <w:w w:val="105"/>
        </w:rPr>
        <w:t>intravenous</w:t>
      </w:r>
      <w:r w:rsidRPr="00E3331A">
        <w:rPr>
          <w:spacing w:val="10"/>
          <w:w w:val="105"/>
        </w:rPr>
        <w:t xml:space="preserve"> </w:t>
      </w:r>
      <w:r w:rsidRPr="00E3331A">
        <w:rPr>
          <w:w w:val="105"/>
        </w:rPr>
        <w:t>immunoglobulin.</w:t>
      </w:r>
    </w:p>
    <w:p w:rsidR="001F5B33" w:rsidRPr="00E3331A" w:rsidRDefault="001F5B33" w:rsidP="00B30C0B">
      <w:pPr>
        <w:pStyle w:val="Heading6"/>
      </w:pPr>
      <w:r w:rsidRPr="00E3331A">
        <w:t xml:space="preserve">Mengel </w:t>
      </w:r>
      <w:r w:rsidR="00983BA7">
        <w:t xml:space="preserve">et al. </w:t>
      </w:r>
      <w:r w:rsidRPr="00E3331A">
        <w:t>(2018)</w:t>
      </w:r>
    </w:p>
    <w:p w:rsidR="001F5B33" w:rsidRPr="00E3331A" w:rsidRDefault="001F5B33" w:rsidP="00BB6E4C">
      <w:pPr>
        <w:pStyle w:val="BodyTextSTD"/>
      </w:pPr>
      <w:r w:rsidRPr="00E3331A">
        <w:t>This was a multi</w:t>
      </w:r>
      <w:r w:rsidR="00D45BCF" w:rsidRPr="00E3331A">
        <w:t>centre</w:t>
      </w:r>
      <w:r w:rsidRPr="00E3331A">
        <w:t xml:space="preserve"> study cohort in Germany, with 108 patients recruited from </w:t>
      </w:r>
      <w:r w:rsidR="00591599" w:rsidRPr="00E3331A">
        <w:t>three</w:t>
      </w:r>
      <w:r w:rsidRPr="00E3331A">
        <w:t xml:space="preserve"> speciali</w:t>
      </w:r>
      <w:r w:rsidR="00BB1AFD" w:rsidRPr="00E3331A">
        <w:t>s</w:t>
      </w:r>
      <w:r w:rsidRPr="00E3331A">
        <w:t>ed clinics. Costs were calculated for a 3-month period between January 2013 and June 2014. Total quarterly costs were €11,333, with dosing over a range of 20</w:t>
      </w:r>
      <w:r w:rsidR="00BB1AFD" w:rsidRPr="00E3331A">
        <w:t>-</w:t>
      </w:r>
      <w:r w:rsidRPr="00E3331A">
        <w:t xml:space="preserve">180g per administration. The following outcomes were assessed: </w:t>
      </w:r>
      <w:r w:rsidR="00BB1AFD" w:rsidRPr="00E3331A">
        <w:t>INCAT</w:t>
      </w:r>
      <w:r w:rsidRPr="00E3331A">
        <w:t xml:space="preserve"> disability scale, Mini-Mental State Examination, Beck Depression Inventory, Charlson comorbidity index, EuroQo</w:t>
      </w:r>
      <w:r w:rsidR="00BE54F2">
        <w:t>L</w:t>
      </w:r>
      <w:r w:rsidRPr="00E3331A">
        <w:t>-5D, World Health Organi</w:t>
      </w:r>
      <w:r w:rsidR="00591599" w:rsidRPr="00E3331A">
        <w:t>z</w:t>
      </w:r>
      <w:r w:rsidRPr="00E3331A">
        <w:t xml:space="preserve">ation </w:t>
      </w:r>
      <w:r w:rsidR="00BB1AFD" w:rsidRPr="00E3331A">
        <w:t>QoL</w:t>
      </w:r>
      <w:r w:rsidRPr="00E3331A">
        <w:t xml:space="preserve"> instrument, and socioeconomic status. An EQ-5D of 0.68 was reported for CIDP patients.</w:t>
      </w:r>
    </w:p>
    <w:p w:rsidR="001F5B33" w:rsidRPr="00E3331A" w:rsidRDefault="001F5B33" w:rsidP="00B30C0B">
      <w:pPr>
        <w:pStyle w:val="Heading6"/>
      </w:pPr>
      <w:r w:rsidRPr="00E3331A">
        <w:t>Suryavanshi and Khanna (2016)</w:t>
      </w:r>
    </w:p>
    <w:p w:rsidR="001F5B33" w:rsidRPr="00E3331A" w:rsidRDefault="001F5B33" w:rsidP="00BB6E4C">
      <w:pPr>
        <w:pStyle w:val="BodyTextSTD"/>
      </w:pPr>
      <w:r w:rsidRPr="00E3331A">
        <w:t>Patients with CIDP-related hospitali</w:t>
      </w:r>
      <w:r w:rsidR="00591599" w:rsidRPr="00E3331A">
        <w:t>s</w:t>
      </w:r>
      <w:r w:rsidRPr="00E3331A">
        <w:t xml:space="preserve">ations </w:t>
      </w:r>
      <w:r w:rsidR="00EE3DC5" w:rsidRPr="00E3331A">
        <w:t xml:space="preserve">in the United States </w:t>
      </w:r>
      <w:r w:rsidRPr="00E3331A">
        <w:t xml:space="preserve">were matched with </w:t>
      </w:r>
      <w:r w:rsidR="00591599" w:rsidRPr="00E3331A">
        <w:t>four</w:t>
      </w:r>
      <w:r w:rsidRPr="00E3331A">
        <w:t xml:space="preserve"> control hospitali</w:t>
      </w:r>
      <w:r w:rsidR="00591599" w:rsidRPr="00E3331A">
        <w:t>s</w:t>
      </w:r>
      <w:r w:rsidRPr="00E3331A">
        <w:t>ations based on gender and age. There were 31,451 weighted records of CIDP hospitali</w:t>
      </w:r>
      <w:r w:rsidR="00591599" w:rsidRPr="00E3331A">
        <w:t>s</w:t>
      </w:r>
      <w:r w:rsidRPr="00E3331A">
        <w:t xml:space="preserve">ation during the study period. </w:t>
      </w:r>
      <w:r w:rsidR="00BB1AFD" w:rsidRPr="00E3331A">
        <w:t>T</w:t>
      </w:r>
      <w:r w:rsidRPr="00E3331A">
        <w:t>he estimated cost of hospitali</w:t>
      </w:r>
      <w:r w:rsidR="00591599" w:rsidRPr="00E3331A">
        <w:t>s</w:t>
      </w:r>
      <w:r w:rsidRPr="00E3331A">
        <w:t>ations for CIDP from 2010 to 2012 was $</w:t>
      </w:r>
      <w:r w:rsidR="00EE3DC5" w:rsidRPr="00E3331A">
        <w:t>US</w:t>
      </w:r>
      <w:r w:rsidRPr="00E3331A">
        <w:t>2.1 billion in the United States alone. The mean cost of CIDP-related hospitali</w:t>
      </w:r>
      <w:r w:rsidR="00591599" w:rsidRPr="00E3331A">
        <w:t>s</w:t>
      </w:r>
      <w:r w:rsidRPr="00E3331A">
        <w:t>ation was $</w:t>
      </w:r>
      <w:r w:rsidR="00EE3DC5" w:rsidRPr="00E3331A">
        <w:t xml:space="preserve">US </w:t>
      </w:r>
      <w:r w:rsidRPr="00E3331A">
        <w:t>68,231.</w:t>
      </w:r>
    </w:p>
    <w:p w:rsidR="001F5B33" w:rsidRPr="00E3331A" w:rsidRDefault="001F5B33" w:rsidP="00B30C0B">
      <w:pPr>
        <w:pStyle w:val="Heading6"/>
      </w:pPr>
      <w:r w:rsidRPr="00E3331A">
        <w:t xml:space="preserve">Guptill </w:t>
      </w:r>
      <w:r w:rsidR="00983BA7">
        <w:t xml:space="preserve">et al. </w:t>
      </w:r>
      <w:r w:rsidRPr="00E3331A">
        <w:t>(2014)</w:t>
      </w:r>
    </w:p>
    <w:p w:rsidR="001F5B33" w:rsidRPr="00E3331A" w:rsidRDefault="001F5B33" w:rsidP="00BB6E4C">
      <w:pPr>
        <w:pStyle w:val="BodyTextSTD"/>
      </w:pPr>
      <w:r w:rsidRPr="00E3331A">
        <w:t xml:space="preserve">The costs of CIDP were estimated from patients enrolled in </w:t>
      </w:r>
      <w:r w:rsidR="00BB1AFD" w:rsidRPr="00E3331A">
        <w:t>nine</w:t>
      </w:r>
      <w:r w:rsidRPr="00E3331A">
        <w:t xml:space="preserve"> commercial health plans in the United States in 2011. Average health plan-paid costs were </w:t>
      </w:r>
      <w:r w:rsidR="00BB1AFD" w:rsidRPr="00E3331A">
        <w:t xml:space="preserve">calculated at </w:t>
      </w:r>
      <w:r w:rsidRPr="00E3331A">
        <w:t>$</w:t>
      </w:r>
      <w:r w:rsidR="00EE3DC5" w:rsidRPr="00E3331A">
        <w:t xml:space="preserve">US </w:t>
      </w:r>
      <w:r w:rsidRPr="00E3331A">
        <w:t>56,953</w:t>
      </w:r>
      <w:r w:rsidR="00BB1AFD" w:rsidRPr="00E3331A">
        <w:t>, m</w:t>
      </w:r>
      <w:r w:rsidRPr="00E3331A">
        <w:t>edical costs were $</w:t>
      </w:r>
      <w:r w:rsidR="00EE3DC5" w:rsidRPr="00E3331A">
        <w:t xml:space="preserve">US </w:t>
      </w:r>
      <w:r w:rsidRPr="00E3331A">
        <w:t>25,054 and pharmacy costs were $</w:t>
      </w:r>
      <w:r w:rsidR="00EE3DC5" w:rsidRPr="00E3331A">
        <w:t xml:space="preserve">US </w:t>
      </w:r>
      <w:r w:rsidRPr="00E3331A">
        <w:t>31,899.</w:t>
      </w:r>
    </w:p>
    <w:p w:rsidR="001F5B33" w:rsidRPr="00E3331A" w:rsidRDefault="001F5B33" w:rsidP="00B30C0B">
      <w:pPr>
        <w:pStyle w:val="Heading5"/>
      </w:pPr>
      <w:r w:rsidRPr="00E3331A">
        <w:t>Summary</w:t>
      </w:r>
    </w:p>
    <w:p w:rsidR="001F5B33" w:rsidRPr="00E3331A" w:rsidRDefault="001F5B33" w:rsidP="00AC0ED4">
      <w:pPr>
        <w:pStyle w:val="BodyTextSTD"/>
      </w:pPr>
      <w:r w:rsidRPr="00E3331A">
        <w:t xml:space="preserve">Only a limited number of economics studies relating to CIDP intervention cost-effectiveness were identified. The key economic study is that by Blackhouse </w:t>
      </w:r>
      <w:r w:rsidR="00983BA7">
        <w:t xml:space="preserve">et al. </w:t>
      </w:r>
      <w:r w:rsidRPr="00E3331A">
        <w:t xml:space="preserve">(2010) undertaken in Canada where Ig was compared to steroids. This study used clinical data from the Hughes </w:t>
      </w:r>
      <w:r w:rsidR="00983BA7">
        <w:t xml:space="preserve">et al. </w:t>
      </w:r>
      <w:r w:rsidRPr="00E3331A">
        <w:t xml:space="preserve">(2001) trial </w:t>
      </w:r>
      <w:r w:rsidR="00CA01A4" w:rsidRPr="00E3331A">
        <w:t xml:space="preserve">that </w:t>
      </w:r>
      <w:r w:rsidRPr="00E3331A">
        <w:t>included steroid</w:t>
      </w:r>
      <w:r w:rsidR="00CA01A4" w:rsidRPr="00E3331A">
        <w:t>-</w:t>
      </w:r>
      <w:r w:rsidRPr="00E3331A">
        <w:t xml:space="preserve">resistant and </w:t>
      </w:r>
      <w:r w:rsidR="00CA01A4" w:rsidRPr="00E3331A">
        <w:t>-</w:t>
      </w:r>
      <w:r w:rsidRPr="00E3331A">
        <w:t>responder patients. One study in Thailand investigated Ig vers</w:t>
      </w:r>
      <w:r w:rsidR="00CA01A4" w:rsidRPr="00E3331A">
        <w:t>us</w:t>
      </w:r>
      <w:r w:rsidRPr="00E3331A">
        <w:t xml:space="preserve"> </w:t>
      </w:r>
      <w:r w:rsidR="00BE54F2">
        <w:lastRenderedPageBreak/>
        <w:t>azathioprine</w:t>
      </w:r>
      <w:r w:rsidR="00AC0ED4">
        <w:t xml:space="preserve">/mycophenolate mofetil </w:t>
      </w:r>
      <w:r w:rsidRPr="00E3331A">
        <w:t>in steroid</w:t>
      </w:r>
      <w:r w:rsidR="00CA01A4" w:rsidRPr="00E3331A">
        <w:t>-</w:t>
      </w:r>
      <w:r w:rsidRPr="00E3331A">
        <w:t>resistant patients</w:t>
      </w:r>
      <w:r w:rsidR="00CA01A4" w:rsidRPr="00E3331A">
        <w:t>,</w:t>
      </w:r>
      <w:r w:rsidRPr="00E3331A">
        <w:t xml:space="preserve"> based on a small survey of patients (&lt;10) to generate utility values. Most other economic studies compare SCIg with IVIg as part of costing or cost</w:t>
      </w:r>
      <w:r w:rsidR="00CA01A4" w:rsidRPr="00E3331A">
        <w:t>-</w:t>
      </w:r>
      <w:r w:rsidRPr="00E3331A">
        <w:t>minimisation analysis. Population</w:t>
      </w:r>
      <w:r w:rsidR="00CA01A4" w:rsidRPr="00E3331A">
        <w:t>-</w:t>
      </w:r>
      <w:r w:rsidRPr="00E3331A">
        <w:t xml:space="preserve">level studies have been undertaken to estimate the costs of CIDP cases in the UK, Germany and the USA. The large share </w:t>
      </w:r>
      <w:r w:rsidR="00CA01A4" w:rsidRPr="00E3331A">
        <w:t xml:space="preserve">that </w:t>
      </w:r>
      <w:r w:rsidRPr="00E3331A">
        <w:t>Ig product cost</w:t>
      </w:r>
      <w:r w:rsidR="00CA01A4" w:rsidRPr="00E3331A">
        <w:t>s</w:t>
      </w:r>
      <w:r w:rsidRPr="00E3331A">
        <w:t xml:space="preserve"> </w:t>
      </w:r>
      <w:r w:rsidR="00CA01A4" w:rsidRPr="00E3331A">
        <w:t>contribute to</w:t>
      </w:r>
      <w:r w:rsidRPr="00E3331A">
        <w:t xml:space="preserve"> overall intervention costs was evident. </w:t>
      </w:r>
    </w:p>
    <w:p w:rsidR="001F5B33" w:rsidRPr="00E3331A" w:rsidRDefault="001F5B33" w:rsidP="001F5B33">
      <w:pPr>
        <w:pStyle w:val="Heading3"/>
      </w:pPr>
      <w:bookmarkStart w:id="415" w:name="_Toc24103509"/>
      <w:r w:rsidRPr="00E3331A">
        <w:t>D.3.2.</w:t>
      </w:r>
      <w:r w:rsidRPr="00E3331A">
        <w:tab/>
        <w:t>Structure of the economic evaluation</w:t>
      </w:r>
      <w:bookmarkEnd w:id="415"/>
    </w:p>
    <w:p w:rsidR="0014300A" w:rsidRDefault="001F5B33">
      <w:pPr>
        <w:pStyle w:val="BodyTextSTD"/>
      </w:pPr>
      <w:r w:rsidRPr="00E3331A">
        <w:t xml:space="preserve">A cost-utility model </w:t>
      </w:r>
      <w:r w:rsidR="00CA01A4" w:rsidRPr="00E3331A">
        <w:t xml:space="preserve">was developed </w:t>
      </w:r>
      <w:r w:rsidRPr="00E3331A">
        <w:t xml:space="preserve">based on the </w:t>
      </w:r>
      <w:r w:rsidR="00831648">
        <w:t>Markov structure</w:t>
      </w:r>
      <w:r w:rsidRPr="00E3331A">
        <w:t xml:space="preserve"> in </w:t>
      </w:r>
      <w:r w:rsidR="006F35B9" w:rsidRPr="00E3331A">
        <w:t xml:space="preserve">Figure </w:t>
      </w:r>
      <w:r w:rsidR="006F35B9">
        <w:rPr>
          <w:noProof/>
        </w:rPr>
        <w:t>4</w:t>
      </w:r>
      <w:r w:rsidRPr="00E3331A">
        <w:t xml:space="preserve"> to estimate the expected costs and QALYs associated with Ig compared to corticosteroids. </w:t>
      </w:r>
    </w:p>
    <w:p w:rsidR="0086559B" w:rsidRPr="00E3331A" w:rsidRDefault="0086559B" w:rsidP="0086559B">
      <w:pPr>
        <w:pStyle w:val="BodyTextSTD"/>
      </w:pPr>
      <w:r w:rsidRPr="00E3331A">
        <w:t xml:space="preserve">The Microsoft Excel 2010 Markov model (included as an attachment to this Assessment) is based on that developed in Canada by Blackhouse </w:t>
      </w:r>
      <w:r w:rsidR="00983BA7">
        <w:t xml:space="preserve">et al. </w:t>
      </w:r>
      <w:r w:rsidRPr="00E3331A">
        <w:t xml:space="preserve">(2010), however is extended to allow for </w:t>
      </w:r>
      <w:r w:rsidR="00A808AC">
        <w:t>a</w:t>
      </w:r>
      <w:r w:rsidRPr="00AC0ED4">
        <w:t>zathioprine</w:t>
      </w:r>
      <w:r w:rsidRPr="00E3331A">
        <w:t xml:space="preserve"> use </w:t>
      </w:r>
      <w:r w:rsidR="00A808AC">
        <w:t xml:space="preserve">among </w:t>
      </w:r>
      <w:r w:rsidR="00E810A5">
        <w:t>steroid</w:t>
      </w:r>
      <w:r w:rsidR="00A808AC">
        <w:t xml:space="preserve"> non-responders </w:t>
      </w:r>
      <w:r w:rsidRPr="00E3331A">
        <w:t xml:space="preserve">and patient progression to disability. The Canadian model is adapted to Australia using local resource costs and a range of updated assumptions based on recent studies. There are eleven states in the model including Ig treatment, corticosteroids (no adverse events) and a range of corticosteroid adverse events including fracture, diabetes, glaucoma, cataract, and infection. </w:t>
      </w:r>
      <w:r>
        <w:t xml:space="preserve">Each of the AE states include the use of </w:t>
      </w:r>
      <w:r w:rsidR="00A808AC">
        <w:t>a</w:t>
      </w:r>
      <w:r w:rsidRPr="00AC0ED4">
        <w:t>zathioprine</w:t>
      </w:r>
      <w:r>
        <w:t xml:space="preserve"> as an </w:t>
      </w:r>
      <w:r w:rsidRPr="00AC0ED4">
        <w:t>immunosuppressant</w:t>
      </w:r>
      <w:r>
        <w:t xml:space="preserve">. </w:t>
      </w:r>
      <w:r w:rsidRPr="00E3331A">
        <w:t>Second</w:t>
      </w:r>
      <w:r w:rsidR="00417823">
        <w:t>-line</w:t>
      </w:r>
      <w:r w:rsidRPr="00E3331A">
        <w:t xml:space="preserve"> treatment states include </w:t>
      </w:r>
      <w:r w:rsidRPr="00AC0ED4">
        <w:t>corticosteroid</w:t>
      </w:r>
      <w:r>
        <w:t xml:space="preserve"> non-responders treated with </w:t>
      </w:r>
      <w:r w:rsidR="00A808AC">
        <w:t>a</w:t>
      </w:r>
      <w:r w:rsidRPr="00AC0ED4">
        <w:t>zathioprine</w:t>
      </w:r>
      <w:r w:rsidRPr="00E3331A">
        <w:t xml:space="preserve">, </w:t>
      </w:r>
      <w:r w:rsidR="00A808AC">
        <w:t>a</w:t>
      </w:r>
      <w:r w:rsidRPr="00AC0ED4">
        <w:t>zathioprine</w:t>
      </w:r>
      <w:r w:rsidRPr="00AC0ED4" w:rsidDel="00AC0ED4">
        <w:t xml:space="preserve"> </w:t>
      </w:r>
      <w:r w:rsidRPr="00E3331A">
        <w:t>(non-responder) and disability. Death is an absorbing state to which patients can transition from all states.</w:t>
      </w:r>
    </w:p>
    <w:p w:rsidR="00895A09" w:rsidRDefault="0086559B" w:rsidP="0086559B">
      <w:pPr>
        <w:pStyle w:val="BodyTextSTD"/>
      </w:pPr>
      <w:r w:rsidRPr="00E3331A">
        <w:t xml:space="preserve">A cohort of 1,000 confirmed CIDP patients (as per clinical algorithm </w:t>
      </w:r>
      <w:r w:rsidR="006F35B9" w:rsidRPr="00E3331A">
        <w:t xml:space="preserve">Figure </w:t>
      </w:r>
      <w:r w:rsidR="006F35B9">
        <w:rPr>
          <w:noProof/>
        </w:rPr>
        <w:t>1</w:t>
      </w:r>
      <w:r w:rsidRPr="00E3331A">
        <w:t xml:space="preserve">) begins in the Ig arm of the model in the Ig state. If Ig-responsive, they continue in this state or else transition to corticosteroids (no AEs), and a range of corticosteroid adverse events, </w:t>
      </w:r>
      <w:r w:rsidR="00A808AC">
        <w:t>a</w:t>
      </w:r>
      <w:r w:rsidRPr="00AC0ED4">
        <w:t>zathioprine</w:t>
      </w:r>
      <w:r w:rsidRPr="00AC0ED4" w:rsidDel="00AC0ED4">
        <w:t xml:space="preserve"> </w:t>
      </w:r>
      <w:r>
        <w:t xml:space="preserve">use as an </w:t>
      </w:r>
      <w:r w:rsidRPr="004C5E7B">
        <w:t>immunosuppressant</w:t>
      </w:r>
      <w:r w:rsidRPr="00E3331A">
        <w:t xml:space="preserve">, </w:t>
      </w:r>
      <w:r w:rsidR="00E810A5" w:rsidRPr="00E3331A">
        <w:t>disability</w:t>
      </w:r>
      <w:r w:rsidRPr="00E3331A">
        <w:t xml:space="preserve"> and death based on weekly probabilities for each week of the model projection. Patients cannot transition to corticosteroid and related-AE states for the first four months, prior to </w:t>
      </w:r>
      <w:r w:rsidR="00E810A5" w:rsidRPr="00E3331A">
        <w:t>initial</w:t>
      </w:r>
      <w:r w:rsidRPr="00E3331A">
        <w:t xml:space="preserve"> assessment.</w:t>
      </w:r>
    </w:p>
    <w:p w:rsidR="00660D4B" w:rsidRDefault="00895A09" w:rsidP="0086559B">
      <w:pPr>
        <w:pStyle w:val="BodyTextSTD"/>
      </w:pPr>
      <w:r>
        <w:t>The</w:t>
      </w:r>
      <w:r w:rsidR="007977AC">
        <w:t xml:space="preserve"> Ig Review Reference Group</w:t>
      </w:r>
      <w:r>
        <w:t xml:space="preserve"> noted that the economic model is based </w:t>
      </w:r>
      <w:r w:rsidR="00335ED1">
        <w:t>on a number of assumptions that</w:t>
      </w:r>
      <w:r>
        <w:t xml:space="preserve"> may not reflect current clinical </w:t>
      </w:r>
      <w:r w:rsidR="00335ED1">
        <w:t>practice in Australia. S</w:t>
      </w:r>
      <w:r>
        <w:t>pecifically</w:t>
      </w:r>
      <w:r w:rsidR="00335ED1">
        <w:t>, the Reference Group commented</w:t>
      </w:r>
      <w:r w:rsidR="00660D4B">
        <w:t xml:space="preserve"> that:</w:t>
      </w:r>
    </w:p>
    <w:p w:rsidR="00660D4B" w:rsidRDefault="00895A09" w:rsidP="009B58B9">
      <w:pPr>
        <w:pStyle w:val="BodyTextSTD"/>
        <w:numPr>
          <w:ilvl w:val="0"/>
          <w:numId w:val="51"/>
        </w:numPr>
      </w:pPr>
      <w:r>
        <w:t>corticosteroids and Ig may be used concurrently to manage CIDP</w:t>
      </w:r>
      <w:r w:rsidR="00660D4B">
        <w:t xml:space="preserve"> rather than sequentially as indicated by the model</w:t>
      </w:r>
    </w:p>
    <w:p w:rsidR="00895A09" w:rsidRDefault="00660D4B" w:rsidP="009B58B9">
      <w:pPr>
        <w:pStyle w:val="BodyTextSTD"/>
        <w:numPr>
          <w:ilvl w:val="0"/>
          <w:numId w:val="51"/>
        </w:numPr>
        <w:sectPr w:rsidR="00895A09" w:rsidSect="0080059D">
          <w:footerReference w:type="even" r:id="rId26"/>
          <w:type w:val="oddPage"/>
          <w:pgSz w:w="11906" w:h="16838"/>
          <w:pgMar w:top="1440" w:right="1440" w:bottom="1440" w:left="1440" w:header="720" w:footer="720" w:gutter="0"/>
          <w:paperSrc w:first="7" w:other="7"/>
          <w:cols w:space="720"/>
        </w:sectPr>
      </w:pPr>
      <w:r>
        <w:t xml:space="preserve">the model assumes that patients discontinue corticosteroids if an adverse event occurs; however, in clinical practice a proportion of patients will continue corticosteroids if the adverse event can be appropriately managed. </w:t>
      </w:r>
    </w:p>
    <w:p w:rsidR="001F5B33" w:rsidRPr="00E3331A" w:rsidRDefault="001F5B33" w:rsidP="001F5B33">
      <w:pPr>
        <w:pStyle w:val="Caption"/>
      </w:pPr>
      <w:bookmarkStart w:id="416" w:name="_Ref462737200"/>
      <w:bookmarkStart w:id="417" w:name="_Ref462737195"/>
      <w:bookmarkStart w:id="418" w:name="_Toc474318285"/>
      <w:bookmarkStart w:id="419" w:name="_Toc23767046"/>
      <w:r w:rsidRPr="00E3331A">
        <w:lastRenderedPageBreak/>
        <w:t xml:space="preserve">Figure </w:t>
      </w:r>
      <w:r w:rsidR="006F35B9">
        <w:rPr>
          <w:noProof/>
        </w:rPr>
        <w:t>4</w:t>
      </w:r>
      <w:bookmarkEnd w:id="416"/>
      <w:r w:rsidR="00523FF6" w:rsidRPr="00E3331A">
        <w:rPr>
          <w:noProof/>
        </w:rPr>
        <w:tab/>
      </w:r>
      <w:bookmarkEnd w:id="417"/>
      <w:bookmarkEnd w:id="418"/>
      <w:r w:rsidR="0014300A">
        <w:t>Makov model structure</w:t>
      </w:r>
      <w:bookmarkEnd w:id="419"/>
    </w:p>
    <w:p w:rsidR="0014300A" w:rsidRDefault="003216E7" w:rsidP="00E8442C">
      <w:pPr>
        <w:jc w:val="center"/>
      </w:pPr>
      <w:r>
        <w:rPr>
          <w:noProof/>
        </w:rPr>
        <w:drawing>
          <wp:inline distT="0" distB="0" distL="0" distR="0" wp14:anchorId="2FFBFEE6" wp14:editId="4FCC2F04">
            <wp:extent cx="8048625" cy="4645470"/>
            <wp:effectExtent l="0" t="0" r="0" b="3175"/>
            <wp:docPr id="22" name="Picture 22" descr="Structure of the Model (Markov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IDP chart.png"/>
                    <pic:cNvPicPr/>
                  </pic:nvPicPr>
                  <pic:blipFill rotWithShape="1">
                    <a:blip r:embed="rId27"/>
                    <a:srcRect l="19344" t="9464" r="-967" b="5259"/>
                    <a:stretch/>
                  </pic:blipFill>
                  <pic:spPr bwMode="auto">
                    <a:xfrm>
                      <a:off x="0" y="0"/>
                      <a:ext cx="8064604" cy="4654693"/>
                    </a:xfrm>
                    <a:prstGeom prst="rect">
                      <a:avLst/>
                    </a:prstGeom>
                    <a:ln>
                      <a:noFill/>
                    </a:ln>
                    <a:extLst>
                      <a:ext uri="{53640926-AAD7-44D8-BBD7-CCE9431645EC}">
                        <a14:shadowObscured xmlns:a14="http://schemas.microsoft.com/office/drawing/2010/main"/>
                      </a:ext>
                    </a:extLst>
                  </pic:spPr>
                </pic:pic>
              </a:graphicData>
            </a:graphic>
          </wp:inline>
        </w:drawing>
      </w:r>
    </w:p>
    <w:p w:rsidR="0014300A" w:rsidRPr="00E3331A" w:rsidRDefault="0014300A" w:rsidP="00304276">
      <w:pPr>
        <w:rPr>
          <w:rFonts w:ascii="Arial Narrow" w:hAnsi="Arial Narrow"/>
          <w:sz w:val="18"/>
        </w:rPr>
      </w:pPr>
      <w:r w:rsidRPr="00E3331A">
        <w:rPr>
          <w:rFonts w:ascii="Arial Narrow" w:hAnsi="Arial Narrow"/>
          <w:sz w:val="18"/>
        </w:rPr>
        <w:t>Abbreviations: AE = adverse events, Ig = immunoglobulin</w:t>
      </w:r>
    </w:p>
    <w:p w:rsidR="0014300A" w:rsidRDefault="0014300A" w:rsidP="000E61AD">
      <w:pPr>
        <w:jc w:val="center"/>
        <w:sectPr w:rsidR="0014300A" w:rsidSect="0014300A">
          <w:pgSz w:w="16838" w:h="11906" w:orient="landscape"/>
          <w:pgMar w:top="1440" w:right="1440" w:bottom="1440" w:left="1440" w:header="720" w:footer="720" w:gutter="0"/>
          <w:paperSrc w:first="7" w:other="7"/>
          <w:cols w:space="720"/>
          <w:docGrid w:linePitch="299"/>
        </w:sectPr>
      </w:pPr>
    </w:p>
    <w:p w:rsidR="00BB4D88" w:rsidRPr="00E3331A" w:rsidRDefault="00983BA7" w:rsidP="000E3F05">
      <w:pPr>
        <w:pStyle w:val="BodyTextSTD"/>
      </w:pPr>
      <w:r>
        <w:lastRenderedPageBreak/>
        <w:t xml:space="preserve">et al. </w:t>
      </w:r>
      <w:r w:rsidR="000E3F05" w:rsidRPr="00E3331A">
        <w:t xml:space="preserve">The model is for chronic CIDP patients. Ig treatment is assumed to continue for </w:t>
      </w:r>
      <w:r w:rsidR="002C6C2D" w:rsidRPr="00E3331A">
        <w:t xml:space="preserve">six </w:t>
      </w:r>
      <w:r w:rsidR="000E3F05" w:rsidRPr="00E3331A">
        <w:t xml:space="preserve">months or </w:t>
      </w:r>
      <w:r w:rsidR="00016641">
        <w:t>ten</w:t>
      </w:r>
      <w:r w:rsidR="00016641" w:rsidRPr="00E3331A">
        <w:t xml:space="preserve"> </w:t>
      </w:r>
      <w:r w:rsidR="000E3F05" w:rsidRPr="00E3331A">
        <w:t xml:space="preserve">years for </w:t>
      </w:r>
      <w:r w:rsidR="00AE763F" w:rsidRPr="00E3331A">
        <w:t xml:space="preserve">CIDP </w:t>
      </w:r>
      <w:r w:rsidR="000E3F05" w:rsidRPr="00E3331A">
        <w:t xml:space="preserve">patients who continue to </w:t>
      </w:r>
      <w:r w:rsidR="00E810A5" w:rsidRPr="00E3331A">
        <w:t>respond</w:t>
      </w:r>
      <w:r w:rsidR="000E3F05" w:rsidRPr="00E3331A">
        <w:t xml:space="preserve"> to Ig. The structure does not allow for withdrawal of Ig in patients who are clinically stable, and hence does not allow for removal of Ig costs in </w:t>
      </w:r>
      <w:r w:rsidR="002C6C2D" w:rsidRPr="00E3331A">
        <w:t xml:space="preserve">these </w:t>
      </w:r>
      <w:r w:rsidR="000E3F05" w:rsidRPr="00E3331A">
        <w:t xml:space="preserve">patients, </w:t>
      </w:r>
      <w:r w:rsidR="002C6C2D" w:rsidRPr="00E3331A">
        <w:t>n</w:t>
      </w:r>
      <w:r w:rsidR="000E3F05" w:rsidRPr="00E3331A">
        <w:t xml:space="preserve">or the reintroduction of Ig in patients who relapse. Allowance for temporary cessation of Ig in a proportion of patients in the model would improve the ICER. </w:t>
      </w:r>
      <w:r w:rsidR="00E810A5" w:rsidRPr="00E3331A">
        <w:t>Clinical</w:t>
      </w:r>
      <w:r w:rsidR="00AE763F" w:rsidRPr="00E3331A">
        <w:t xml:space="preserve"> evidence is not available to model the clinical pathways for differing CIDP subtypes. </w:t>
      </w:r>
    </w:p>
    <w:p w:rsidR="000E3F05" w:rsidRPr="00E3331A" w:rsidRDefault="00AE763F" w:rsidP="000E3F05">
      <w:pPr>
        <w:pStyle w:val="BodyTextSTD"/>
      </w:pPr>
      <w:r w:rsidRPr="00E3331A">
        <w:t xml:space="preserve">Average Ig use per patient in Australia </w:t>
      </w:r>
      <w:r w:rsidR="002C6C2D" w:rsidRPr="00E3331A">
        <w:t xml:space="preserve">(497g/patient/year) </w:t>
      </w:r>
      <w:r w:rsidRPr="00E3331A">
        <w:t xml:space="preserve">in part captures patient </w:t>
      </w:r>
      <w:r w:rsidR="00E810A5" w:rsidRPr="00E3331A">
        <w:t>withdrawal</w:t>
      </w:r>
      <w:r w:rsidRPr="00E3331A">
        <w:t xml:space="preserve">. This </w:t>
      </w:r>
      <w:r w:rsidR="002C6C2D" w:rsidRPr="00E3331A">
        <w:t xml:space="preserve">amount </w:t>
      </w:r>
      <w:r w:rsidRPr="00E3331A">
        <w:t xml:space="preserve">is </w:t>
      </w:r>
      <w:r w:rsidR="002C6C2D" w:rsidRPr="00E3331A">
        <w:t xml:space="preserve">less </w:t>
      </w:r>
      <w:r w:rsidRPr="00E3331A">
        <w:t xml:space="preserve">than </w:t>
      </w:r>
      <w:r w:rsidR="002C6C2D" w:rsidRPr="00E3331A">
        <w:t>that</w:t>
      </w:r>
      <w:r w:rsidR="00BB4D88" w:rsidRPr="00E3331A">
        <w:t xml:space="preserve"> in the economic study of Blackhouse </w:t>
      </w:r>
      <w:r w:rsidR="00983BA7">
        <w:t xml:space="preserve">et al. </w:t>
      </w:r>
      <w:r w:rsidR="00BB4D88" w:rsidRPr="00E3331A">
        <w:t>2010 in Canada (around 1,447g</w:t>
      </w:r>
      <w:r w:rsidR="00BB4D88" w:rsidRPr="00E3331A">
        <w:rPr>
          <w:rStyle w:val="FootnoteReference"/>
        </w:rPr>
        <w:footnoteReference w:id="29"/>
      </w:r>
      <w:r w:rsidR="00BB4D88" w:rsidRPr="00E3331A">
        <w:t xml:space="preserve"> in the first year). Assuming an average Australia patient weight of 8</w:t>
      </w:r>
      <w:r w:rsidR="00C072EE" w:rsidRPr="00E3331A">
        <w:t>2.5</w:t>
      </w:r>
      <w:r w:rsidR="00BB4D88" w:rsidRPr="00E3331A">
        <w:t xml:space="preserve">kg, annual Ig usage would be 1,601g at 19.3g/kg. It is noted </w:t>
      </w:r>
      <w:r w:rsidR="002C6C2D" w:rsidRPr="00E3331A">
        <w:t xml:space="preserve">that </w:t>
      </w:r>
      <w:r w:rsidR="00BB4D88" w:rsidRPr="00E3331A">
        <w:t>there is some uncertainty surrounding CIDP patient diagnosis. Some patients may enter the model as ‘possible, probable or definite CIDP’ (collectively ‘suspected CIDP’) with response to an initial 4</w:t>
      </w:r>
      <w:r w:rsidR="002C6C2D" w:rsidRPr="00E3331A">
        <w:t>-</w:t>
      </w:r>
      <w:r w:rsidR="00BB4D88" w:rsidRPr="00E3331A">
        <w:t>month</w:t>
      </w:r>
      <w:r w:rsidR="002C6C2D" w:rsidRPr="00E3331A">
        <w:t xml:space="preserve"> dose</w:t>
      </w:r>
      <w:r w:rsidR="00BB4D88" w:rsidRPr="00E3331A">
        <w:t xml:space="preserve"> of Ig a key part of the definitive diagnosis. A proportion of non-responders in th</w:t>
      </w:r>
      <w:r w:rsidR="002C6C2D" w:rsidRPr="00E3331A">
        <w:t>is</w:t>
      </w:r>
      <w:r w:rsidR="00BB4D88" w:rsidRPr="00E3331A">
        <w:t xml:space="preserve"> </w:t>
      </w:r>
      <w:r w:rsidR="00E810A5" w:rsidRPr="00E3331A">
        <w:t>initial</w:t>
      </w:r>
      <w:r w:rsidR="00BB4D88" w:rsidRPr="00E3331A">
        <w:t xml:space="preserve"> assessment will not be CIDP patients, and hence should exit the model. Lower </w:t>
      </w:r>
      <w:r w:rsidR="002C6C2D" w:rsidRPr="00E3331A">
        <w:t xml:space="preserve">grams of </w:t>
      </w:r>
      <w:r w:rsidR="00BB4D88" w:rsidRPr="00E3331A">
        <w:t xml:space="preserve">Ig per patient per year reported in Australia, in part capture this issue. Lower and higher dosing assumptions are included as scenarios in trial and </w:t>
      </w:r>
      <w:r w:rsidR="00E810A5" w:rsidRPr="00E3331A">
        <w:t>extrapolated</w:t>
      </w:r>
      <w:r w:rsidR="00BB4D88" w:rsidRPr="00E3331A">
        <w:t xml:space="preserve"> analyses</w:t>
      </w:r>
      <w:r w:rsidR="002C6C2D" w:rsidRPr="00E3331A">
        <w:t>.</w:t>
      </w:r>
    </w:p>
    <w:p w:rsidR="001F5B33" w:rsidRPr="00E3331A" w:rsidRDefault="006902BD" w:rsidP="000E3F05">
      <w:pPr>
        <w:pStyle w:val="BodyTextSTD"/>
      </w:pPr>
      <w:r w:rsidRPr="00E3331A">
        <w:t xml:space="preserve">The probabilities of a typical patient transitioning between health states </w:t>
      </w:r>
      <w:r w:rsidR="000E3F05" w:rsidRPr="00E3331A">
        <w:t xml:space="preserve">are derived from the clinical evidence outlined in Section B (largely for Ig response and relapse) and assumptions used in Blackhouse </w:t>
      </w:r>
      <w:r w:rsidR="00983BA7">
        <w:t xml:space="preserve">et al. </w:t>
      </w:r>
      <w:r w:rsidR="000E3F05" w:rsidRPr="00E3331A">
        <w:t xml:space="preserve">(2010) for corticosteroids and corticosteroids adverse events. </w:t>
      </w:r>
      <w:r w:rsidR="00B45672" w:rsidRPr="00E3331A">
        <w:t>The Canadia</w:t>
      </w:r>
      <w:r w:rsidR="00B844D0" w:rsidRPr="00E3331A">
        <w:t>n</w:t>
      </w:r>
      <w:r w:rsidR="00B45672" w:rsidRPr="00E3331A">
        <w:t xml:space="preserve"> model is extended to </w:t>
      </w:r>
      <w:r w:rsidRPr="00E3331A">
        <w:t xml:space="preserve">include steroid non-response, </w:t>
      </w:r>
      <w:r w:rsidR="005F7938">
        <w:t>a</w:t>
      </w:r>
      <w:r w:rsidR="004C5E7B" w:rsidRPr="004C5E7B">
        <w:t>zathioprine</w:t>
      </w:r>
      <w:r w:rsidR="004C5E7B" w:rsidRPr="004C5E7B" w:rsidDel="004C5E7B">
        <w:t xml:space="preserve"> </w:t>
      </w:r>
      <w:r w:rsidRPr="00E3331A">
        <w:t xml:space="preserve">non-response and patient progression to disability. Additional costs of </w:t>
      </w:r>
      <w:r w:rsidR="002B786E">
        <w:t>a</w:t>
      </w:r>
      <w:r w:rsidR="004C5E7B" w:rsidRPr="004C5E7B">
        <w:t>zathioprine</w:t>
      </w:r>
      <w:r w:rsidR="004C5E7B" w:rsidRPr="004C5E7B" w:rsidDel="004C5E7B">
        <w:t xml:space="preserve"> </w:t>
      </w:r>
      <w:r w:rsidRPr="00E3331A">
        <w:t xml:space="preserve">, disability and disutilities for the </w:t>
      </w:r>
      <w:r w:rsidR="005F7938">
        <w:t>a</w:t>
      </w:r>
      <w:r w:rsidR="004C5E7B" w:rsidRPr="004C5E7B">
        <w:t>zathioprine</w:t>
      </w:r>
      <w:r w:rsidR="004C5E7B" w:rsidRPr="004C5E7B" w:rsidDel="004C5E7B">
        <w:t xml:space="preserve"> </w:t>
      </w:r>
      <w:r w:rsidRPr="00E3331A">
        <w:t xml:space="preserve">non-response and disabled states are included. </w:t>
      </w:r>
      <w:r w:rsidR="000E3F05" w:rsidRPr="00E3331A">
        <w:t xml:space="preserve">The model’s baseline year was 2019. All future costs and health benefits are discounted back to this year using a rate of 5%, which is standard MSAC economic evaluation practice. Higher and lower discount rates are included in </w:t>
      </w:r>
      <w:r w:rsidR="00FD2363" w:rsidRPr="00E3331A">
        <w:t>the</w:t>
      </w:r>
      <w:r w:rsidR="000E3F05" w:rsidRPr="00E3331A">
        <w:t xml:space="preserve"> sensitivity analysis </w:t>
      </w:r>
      <w:r w:rsidR="00FD2363" w:rsidRPr="00E3331A">
        <w:t xml:space="preserve">that </w:t>
      </w:r>
      <w:r w:rsidR="000E3F05" w:rsidRPr="00E3331A">
        <w:t>concludes Section D</w:t>
      </w:r>
      <w:r w:rsidR="00FD2363" w:rsidRPr="00E3331A">
        <w:t>.</w:t>
      </w:r>
    </w:p>
    <w:p w:rsidR="001F5B33" w:rsidRPr="00E3331A" w:rsidRDefault="001F5B33" w:rsidP="001F5B33">
      <w:pPr>
        <w:pStyle w:val="Heading3"/>
      </w:pPr>
      <w:bookmarkStart w:id="420" w:name="_Toc474245362"/>
      <w:bookmarkStart w:id="421" w:name="_Toc24103510"/>
      <w:r w:rsidRPr="00E3331A">
        <w:t>D3.3</w:t>
      </w:r>
      <w:r w:rsidRPr="00E3331A">
        <w:tab/>
        <w:t>Assumptions incorporated into the model structure</w:t>
      </w:r>
      <w:bookmarkEnd w:id="420"/>
      <w:bookmarkEnd w:id="421"/>
    </w:p>
    <w:p w:rsidR="001F5B33" w:rsidRPr="00E3331A" w:rsidRDefault="001F5B33" w:rsidP="00BB6E4C">
      <w:pPr>
        <w:pStyle w:val="BodyTextSTD"/>
      </w:pPr>
      <w:r w:rsidRPr="00E3331A">
        <w:t>Assumptions incorporated into the economic evaluation (summarised in</w:t>
      </w:r>
      <w:r w:rsidR="00574A22" w:rsidRPr="00E3331A">
        <w:t xml:space="preserve"> </w:t>
      </w:r>
      <w:r w:rsidR="006F35B9" w:rsidRPr="00E3331A">
        <w:t xml:space="preserve">Table </w:t>
      </w:r>
      <w:r w:rsidR="006F35B9">
        <w:rPr>
          <w:noProof/>
        </w:rPr>
        <w:t>68</w:t>
      </w:r>
      <w:r w:rsidRPr="00E3331A">
        <w:t>) relate to the model</w:t>
      </w:r>
      <w:r w:rsidR="00FD2363" w:rsidRPr="00E3331A">
        <w:t>’</w:t>
      </w:r>
      <w:r w:rsidRPr="00E3331A">
        <w:t>s perspective and type of economic evaluation, along with the sources of evidence, time horizon and outcomes used to measure the intervention and comparator.</w:t>
      </w:r>
    </w:p>
    <w:p w:rsidR="001F5B33" w:rsidRPr="00E3331A" w:rsidRDefault="001F5B33" w:rsidP="001F5B33">
      <w:pPr>
        <w:pStyle w:val="Heading4"/>
      </w:pPr>
      <w:r w:rsidRPr="00E3331A">
        <w:t>Type of economic evaluation</w:t>
      </w:r>
    </w:p>
    <w:p w:rsidR="001F5B33" w:rsidRPr="00E3331A" w:rsidRDefault="001F5B33" w:rsidP="00BB6E4C">
      <w:pPr>
        <w:pStyle w:val="BodyTextSTD"/>
      </w:pPr>
      <w:r w:rsidRPr="00E3331A">
        <w:t>Given the claim of Ig superiority, a cost-utility economic model has been developed</w:t>
      </w:r>
      <w:r w:rsidR="00FD2363" w:rsidRPr="00E3331A">
        <w:t>,</w:t>
      </w:r>
      <w:r w:rsidRPr="00E3331A">
        <w:t xml:space="preserve"> presented as a stepped analysis. The first step estimates costs and clinical benefits </w:t>
      </w:r>
      <w:r w:rsidR="00FD2363" w:rsidRPr="00E3331A">
        <w:t>over six</w:t>
      </w:r>
      <w:r w:rsidRPr="00E3331A">
        <w:t xml:space="preserve"> months</w:t>
      </w:r>
      <w:r w:rsidR="00FD2363" w:rsidRPr="00E3331A">
        <w:t>,</w:t>
      </w:r>
      <w:r w:rsidRPr="00E3331A">
        <w:t xml:space="preserve"> which is the </w:t>
      </w:r>
      <w:r w:rsidRPr="00E3331A">
        <w:lastRenderedPageBreak/>
        <w:t xml:space="preserve">maximum follow-up period for the large ICE trial (Hughes </w:t>
      </w:r>
      <w:r w:rsidR="00983BA7">
        <w:t xml:space="preserve">et al. </w:t>
      </w:r>
      <w:r w:rsidRPr="00E3331A">
        <w:t>2008) for which clinical outcomes have been reported. As CIDP is a chronic condition, Ig therapy is likely to have longer</w:t>
      </w:r>
      <w:r w:rsidR="00FD2363" w:rsidRPr="00E3331A">
        <w:t>-</w:t>
      </w:r>
      <w:r w:rsidRPr="00E3331A">
        <w:t xml:space="preserve">term costs and benefits. The second step of the economic modelling approach extrapolates the period of analysis to a maximum follow-up of </w:t>
      </w:r>
      <w:r w:rsidR="006902BD" w:rsidRPr="00E3331A">
        <w:t>10</w:t>
      </w:r>
      <w:r w:rsidRPr="00E3331A">
        <w:t xml:space="preserve"> years</w:t>
      </w:r>
      <w:r w:rsidR="006902BD" w:rsidRPr="00E3331A">
        <w:t xml:space="preserve">. </w:t>
      </w:r>
      <w:r w:rsidRPr="00E3331A">
        <w:t>Incremental costs and clinical benefits (life</w:t>
      </w:r>
      <w:r w:rsidR="00D45BCF" w:rsidRPr="00E3331A">
        <w:t>-</w:t>
      </w:r>
      <w:r w:rsidRPr="00E3331A">
        <w:t xml:space="preserve">years and QALYS) are estimated to calculate the </w:t>
      </w:r>
      <w:r w:rsidR="002D3966" w:rsidRPr="00E3331A">
        <w:t>ICER</w:t>
      </w:r>
      <w:r w:rsidRPr="00E3331A">
        <w:t>.</w:t>
      </w:r>
    </w:p>
    <w:p w:rsidR="001F5B33" w:rsidRPr="00E3331A" w:rsidRDefault="001F5B33" w:rsidP="001F5B33">
      <w:pPr>
        <w:pStyle w:val="Heading4"/>
      </w:pPr>
      <w:r w:rsidRPr="00E3331A">
        <w:t>Sources of evidence</w:t>
      </w:r>
    </w:p>
    <w:p w:rsidR="006902BD" w:rsidRPr="00E3331A" w:rsidRDefault="001F5B33" w:rsidP="00BB6E4C">
      <w:pPr>
        <w:pStyle w:val="BodyTextSTD"/>
      </w:pPr>
      <w:r w:rsidRPr="00E3331A">
        <w:t xml:space="preserve">The IVIg response rate for initial treatment is a pooled </w:t>
      </w:r>
      <w:r w:rsidR="006902BD" w:rsidRPr="00E3331A">
        <w:t xml:space="preserve">response rate from </w:t>
      </w:r>
      <w:r w:rsidR="00C87A11" w:rsidRPr="00E3331A">
        <w:t xml:space="preserve">the </w:t>
      </w:r>
      <w:r w:rsidR="006902BD" w:rsidRPr="00E3331A">
        <w:t xml:space="preserve">Zinman et al. </w:t>
      </w:r>
      <w:r w:rsidR="00C87A11" w:rsidRPr="00E3331A">
        <w:t>(</w:t>
      </w:r>
      <w:r w:rsidR="006902BD" w:rsidRPr="00E3331A">
        <w:t>2005</w:t>
      </w:r>
      <w:r w:rsidR="00C87A11" w:rsidRPr="00E3331A">
        <w:t>)</w:t>
      </w:r>
      <w:r w:rsidR="006902BD" w:rsidRPr="00E3331A">
        <w:t>, Hughes et al. (2008) and Nobile-Orazio et al. (2012) studies</w:t>
      </w:r>
      <w:r w:rsidR="00C87A11" w:rsidRPr="00E3331A">
        <w:t xml:space="preserve">. A rate of 61% is estimated which is higher than 47% calculated in Blackhouse </w:t>
      </w:r>
      <w:r w:rsidR="00983BA7">
        <w:t xml:space="preserve">et al. </w:t>
      </w:r>
      <w:r w:rsidR="00C87A11" w:rsidRPr="00E3331A">
        <w:t xml:space="preserve">(2010). A higher rate is included as the three above studies calculated </w:t>
      </w:r>
      <w:r w:rsidR="006902BD" w:rsidRPr="00E3331A">
        <w:t>response at 4-6 months</w:t>
      </w:r>
      <w:r w:rsidR="00C87A11" w:rsidRPr="00E3331A">
        <w:t>, rather than 0</w:t>
      </w:r>
      <w:r w:rsidR="006902BD" w:rsidRPr="00E3331A">
        <w:t xml:space="preserve">-1 </w:t>
      </w:r>
      <w:r w:rsidR="00C87A11" w:rsidRPr="00E3331A">
        <w:t>month’s</w:t>
      </w:r>
      <w:r w:rsidR="006902BD" w:rsidRPr="00E3331A">
        <w:t xml:space="preserve"> follow-up </w:t>
      </w:r>
      <w:r w:rsidR="00C87A11" w:rsidRPr="00E3331A">
        <w:t xml:space="preserve">as in some of the Blackhouse </w:t>
      </w:r>
      <w:r w:rsidR="00983BA7">
        <w:t xml:space="preserve">et al. </w:t>
      </w:r>
      <w:r w:rsidR="00C87A11" w:rsidRPr="00E3331A">
        <w:t>(2010) included studies - so the higher rate is more applicable to Australian Ig use criteria.</w:t>
      </w:r>
    </w:p>
    <w:p w:rsidR="001F5B33" w:rsidRPr="00E3331A" w:rsidRDefault="001F5B33" w:rsidP="00BB6E4C">
      <w:pPr>
        <w:pStyle w:val="BodyTextSTD"/>
      </w:pPr>
      <w:r w:rsidRPr="00E3331A">
        <w:t xml:space="preserve">The IVIg relapse rate is based on data from </w:t>
      </w:r>
      <w:r w:rsidR="00016641">
        <w:t>Hughes et al. (2008)</w:t>
      </w:r>
      <w:r w:rsidRPr="00E3331A">
        <w:t xml:space="preserve"> which was the only study that reported relapse rates over a six-month period. The 25-week relapse rate for IVIg in this study was estimated to be 13%. This is equivalent to a 0.56% constant relapse rate every week. The probabilities of corticosteroid-related AEs are taken from a cost-effectiveness study comparing corticosteroids with Cox-2 inhibitors for the treatment of rheumatoid arthritis</w:t>
      </w:r>
      <w:r w:rsidR="00846795" w:rsidRPr="00E3331A">
        <w:t>,</w:t>
      </w:r>
      <w:r w:rsidRPr="00E3331A">
        <w:t xml:space="preserve"> outlined in Blackhouse </w:t>
      </w:r>
      <w:r w:rsidR="00983BA7">
        <w:t xml:space="preserve">et al. </w:t>
      </w:r>
      <w:r w:rsidRPr="00E3331A">
        <w:t xml:space="preserve">(2010). </w:t>
      </w:r>
    </w:p>
    <w:p w:rsidR="001F5B33" w:rsidRPr="00E3331A" w:rsidRDefault="001F5B33" w:rsidP="00BB6E4C">
      <w:pPr>
        <w:pStyle w:val="BodyTextSTD"/>
      </w:pPr>
      <w:r w:rsidRPr="00E3331A">
        <w:t xml:space="preserve">Costs of treatment are based on Ig costs listed on the NBA, MBS </w:t>
      </w:r>
      <w:r w:rsidR="005541CA" w:rsidRPr="00E3331A">
        <w:t>I</w:t>
      </w:r>
      <w:r w:rsidRPr="00E3331A">
        <w:t xml:space="preserve">tem costs for various diagnostic and medical services, </w:t>
      </w:r>
      <w:r w:rsidR="00846795" w:rsidRPr="00E3331A">
        <w:t>and</w:t>
      </w:r>
      <w:r w:rsidRPr="00E3331A">
        <w:t xml:space="preserve"> medicines costs from the PBS. The population entering the model </w:t>
      </w:r>
      <w:r w:rsidR="00846795" w:rsidRPr="00E3331A">
        <w:t xml:space="preserve">is </w:t>
      </w:r>
      <w:r w:rsidRPr="00E3331A">
        <w:t>adult patients with CIDP</w:t>
      </w:r>
      <w:r w:rsidR="00846795" w:rsidRPr="00E3331A">
        <w:t>,</w:t>
      </w:r>
      <w:r w:rsidRPr="00E3331A">
        <w:t xml:space="preserve"> assumed to be </w:t>
      </w:r>
      <w:r w:rsidR="009F042E" w:rsidRPr="00E3331A">
        <w:t xml:space="preserve">55 </w:t>
      </w:r>
      <w:r w:rsidRPr="00E3331A">
        <w:t xml:space="preserve">years of age and weighing </w:t>
      </w:r>
      <w:r w:rsidR="00B844D0" w:rsidRPr="00E3331A">
        <w:t>82.5kg</w:t>
      </w:r>
      <w:r w:rsidRPr="00E3331A">
        <w:t xml:space="preserve">. The starting age is based on the average age of patients in the trials by Hughes </w:t>
      </w:r>
      <w:r w:rsidR="00983BA7">
        <w:t xml:space="preserve">et al. </w:t>
      </w:r>
      <w:r w:rsidRPr="00E3331A">
        <w:t xml:space="preserve">(2001, 2008) and Nobile-Orazio et al. (2012), along with Australian patient data in McLeod </w:t>
      </w:r>
      <w:r w:rsidR="00983BA7">
        <w:t xml:space="preserve">et al. </w:t>
      </w:r>
      <w:r w:rsidRPr="00E3331A">
        <w:t>(1999). Patient costs are estimated for an expected patient of the above weight and age. Background mortality is taken from an Australian life table.</w:t>
      </w:r>
    </w:p>
    <w:p w:rsidR="001F5B33" w:rsidRPr="00E3331A" w:rsidRDefault="001F5B33" w:rsidP="001F5B33">
      <w:pPr>
        <w:pStyle w:val="Heading4"/>
      </w:pPr>
      <w:r w:rsidRPr="00E3331A">
        <w:t xml:space="preserve">Perspective </w:t>
      </w:r>
    </w:p>
    <w:p w:rsidR="001F5B33" w:rsidRPr="00E3331A" w:rsidRDefault="001F5B33" w:rsidP="00BB6E4C">
      <w:pPr>
        <w:pStyle w:val="BodyTextSTD"/>
      </w:pPr>
      <w:r w:rsidRPr="00E3331A">
        <w:t xml:space="preserve">The economic analysis </w:t>
      </w:r>
      <w:r w:rsidR="00846795" w:rsidRPr="00E3331A">
        <w:t xml:space="preserve">is </w:t>
      </w:r>
      <w:r w:rsidRPr="00E3331A">
        <w:t>take</w:t>
      </w:r>
      <w:r w:rsidR="00846795" w:rsidRPr="00E3331A">
        <w:t>n from</w:t>
      </w:r>
      <w:r w:rsidRPr="00E3331A">
        <w:t xml:space="preserve"> the perspective of the Australian health system. Health service costs are valued at 100% of fee value for MBS items</w:t>
      </w:r>
      <w:r w:rsidR="00846795" w:rsidRPr="00E3331A">
        <w:t>,</w:t>
      </w:r>
      <w:r w:rsidRPr="00E3331A">
        <w:t xml:space="preserve"> </w:t>
      </w:r>
      <w:r w:rsidR="00846795" w:rsidRPr="00E3331A">
        <w:t xml:space="preserve">the </w:t>
      </w:r>
      <w:r w:rsidRPr="00E3331A">
        <w:t xml:space="preserve">perspective taken by the Federal Government of Australia and the NBA. Budget impact analysis provided in Section E takes NBA, MBS, PBAC, state government and private payer perspectives. </w:t>
      </w:r>
    </w:p>
    <w:p w:rsidR="001F5B33" w:rsidRPr="00E3331A" w:rsidRDefault="001F5B33" w:rsidP="001F5B33">
      <w:pPr>
        <w:pStyle w:val="Heading4"/>
      </w:pPr>
      <w:r w:rsidRPr="00E3331A">
        <w:t>Time horizon</w:t>
      </w:r>
    </w:p>
    <w:p w:rsidR="001F5B33" w:rsidRPr="00E3331A" w:rsidRDefault="001F5B33" w:rsidP="00BB6E4C">
      <w:pPr>
        <w:pStyle w:val="BodyTextSTD"/>
      </w:pPr>
      <w:r w:rsidRPr="00E3331A">
        <w:t xml:space="preserve">The base case of the economic evaluation corresponds with a 6-month trial follow-up period. A second extrapolated analysis is presented over </w:t>
      </w:r>
      <w:r w:rsidR="00C87A11" w:rsidRPr="00E3331A">
        <w:t xml:space="preserve">10 </w:t>
      </w:r>
      <w:r w:rsidRPr="00E3331A">
        <w:t>years to capture the adverse effects of corticosteroid use</w:t>
      </w:r>
      <w:r w:rsidR="00C87A11" w:rsidRPr="00E3331A">
        <w:t xml:space="preserve"> and progression to disability</w:t>
      </w:r>
      <w:r w:rsidRPr="00E3331A">
        <w:t xml:space="preserve">. A longer time horizon </w:t>
      </w:r>
      <w:r w:rsidR="00C87A11" w:rsidRPr="00E3331A">
        <w:t xml:space="preserve">than the 5-years used in Blackhouse </w:t>
      </w:r>
      <w:r w:rsidR="00983BA7">
        <w:t xml:space="preserve">et al. </w:t>
      </w:r>
      <w:r w:rsidR="00C87A11" w:rsidRPr="00E3331A">
        <w:t xml:space="preserve">(2010) is used as it </w:t>
      </w:r>
      <w:r w:rsidRPr="00E3331A">
        <w:t>may better capture long-term AEs</w:t>
      </w:r>
      <w:r w:rsidR="00C87A11" w:rsidRPr="00E3331A">
        <w:t xml:space="preserve">. </w:t>
      </w:r>
    </w:p>
    <w:p w:rsidR="001F5B33" w:rsidRPr="00E3331A" w:rsidRDefault="001F5B33" w:rsidP="001F5B33">
      <w:pPr>
        <w:pStyle w:val="Heading4"/>
      </w:pPr>
      <w:r w:rsidRPr="00E3331A">
        <w:lastRenderedPageBreak/>
        <w:t>Outcomes</w:t>
      </w:r>
    </w:p>
    <w:p w:rsidR="001F5B33" w:rsidRPr="00E3331A" w:rsidRDefault="001F5B33" w:rsidP="00BB6E4C">
      <w:pPr>
        <w:pStyle w:val="BodyTextSTD"/>
      </w:pPr>
      <w:r w:rsidRPr="00E3331A">
        <w:t xml:space="preserve">As noted in Section C, there are few clinical studies </w:t>
      </w:r>
      <w:r w:rsidR="003B572C" w:rsidRPr="00E3331A">
        <w:t>with QoL data</w:t>
      </w:r>
      <w:r w:rsidRPr="00E3331A">
        <w:t xml:space="preserve"> that could be transformed into utility. </w:t>
      </w:r>
      <w:r w:rsidR="003B572C" w:rsidRPr="00E3331A">
        <w:t>QoL</w:t>
      </w:r>
      <w:r w:rsidRPr="00E3331A">
        <w:t xml:space="preserve"> is typically measured in economic studies using utilities derived by survey instruments such as EQ-5D. The incremental gain in utility from IVIg treatment compared with corticosteroid treatment was 0.12 in the Blackhouse </w:t>
      </w:r>
      <w:r w:rsidR="00983BA7">
        <w:t xml:space="preserve">et al. </w:t>
      </w:r>
      <w:r w:rsidRPr="00E3331A">
        <w:t xml:space="preserve">(2010) economic model. It was derived from the trial of Hughes </w:t>
      </w:r>
      <w:r w:rsidR="00983BA7">
        <w:t xml:space="preserve">et al. </w:t>
      </w:r>
      <w:r w:rsidRPr="00E3331A">
        <w:t>(2001)</w:t>
      </w:r>
      <w:r w:rsidR="003B572C" w:rsidRPr="00E3331A">
        <w:t>,</w:t>
      </w:r>
      <w:r w:rsidRPr="00E3331A">
        <w:t xml:space="preserve"> and EQ-5D analysis of McCrone </w:t>
      </w:r>
      <w:r w:rsidR="00983BA7">
        <w:t xml:space="preserve">et al. </w:t>
      </w:r>
      <w:r w:rsidRPr="00E3331A">
        <w:t xml:space="preserve">(2003) who measured utility at baseline and at </w:t>
      </w:r>
      <w:r w:rsidR="003B572C" w:rsidRPr="00E3331A">
        <w:t xml:space="preserve">six </w:t>
      </w:r>
      <w:r w:rsidRPr="00E3331A">
        <w:t xml:space="preserve">weeks in patients. It was applied to </w:t>
      </w:r>
      <w:r w:rsidR="003B572C" w:rsidRPr="00E3331A">
        <w:t xml:space="preserve">Ig-responding </w:t>
      </w:r>
      <w:r w:rsidRPr="00E3331A">
        <w:t xml:space="preserve">patients across the </w:t>
      </w:r>
      <w:r w:rsidR="00C87A11" w:rsidRPr="00E3331A">
        <w:t>10</w:t>
      </w:r>
      <w:r w:rsidRPr="00E3331A">
        <w:t xml:space="preserve">-year model. </w:t>
      </w:r>
    </w:p>
    <w:p w:rsidR="001F5B33" w:rsidRPr="00E3331A" w:rsidRDefault="001F5B33" w:rsidP="00BB6E4C">
      <w:pPr>
        <w:pStyle w:val="BodyTextSTD"/>
      </w:pPr>
      <w:r w:rsidRPr="00E3331A">
        <w:t xml:space="preserve">A more recent study by Nobile-Orazio </w:t>
      </w:r>
      <w:r w:rsidR="00983BA7">
        <w:t xml:space="preserve">et al. </w:t>
      </w:r>
      <w:r w:rsidRPr="00E3331A">
        <w:t xml:space="preserve">(2012) found no difference in </w:t>
      </w:r>
      <w:r w:rsidR="003B572C" w:rsidRPr="00E3331A">
        <w:t>SF</w:t>
      </w:r>
      <w:r w:rsidRPr="00E3331A">
        <w:t xml:space="preserve">36 </w:t>
      </w:r>
      <w:r w:rsidR="003B572C" w:rsidRPr="00E3331A">
        <w:t>QoL</w:t>
      </w:r>
      <w:r w:rsidRPr="00E3331A">
        <w:t xml:space="preserve"> scale gain between Ig and corticosteroid patients over </w:t>
      </w:r>
      <w:r w:rsidR="003B572C" w:rsidRPr="00E3331A">
        <w:t xml:space="preserve">six </w:t>
      </w:r>
      <w:r w:rsidRPr="00E3331A">
        <w:t xml:space="preserve">months. As noted, there were issues with this study such as imbalance of some baseline characteristics in the two treatment arms. Patients treated with </w:t>
      </w:r>
      <w:r w:rsidR="003B572C" w:rsidRPr="00E3331A">
        <w:t xml:space="preserve">IV </w:t>
      </w:r>
      <w:r w:rsidRPr="00E3331A">
        <w:t xml:space="preserve">methylprednisolone tended to be older and have more functional impairments than did patients treated with IVIg. More patients stopped methylprednisolone </w:t>
      </w:r>
      <w:r w:rsidR="003B572C" w:rsidRPr="00E3331A">
        <w:t>(</w:t>
      </w:r>
      <w:r w:rsidRPr="00E3331A">
        <w:t>52%</w:t>
      </w:r>
      <w:r w:rsidR="003B572C" w:rsidRPr="00E3331A">
        <w:t>)</w:t>
      </w:r>
      <w:r w:rsidRPr="00E3331A">
        <w:t xml:space="preserve"> than IVIg </w:t>
      </w:r>
      <w:r w:rsidR="003B572C" w:rsidRPr="00E3331A">
        <w:t>(</w:t>
      </w:r>
      <w:r w:rsidRPr="00E3331A">
        <w:t>13%</w:t>
      </w:r>
      <w:r w:rsidR="003B572C" w:rsidRPr="00E3331A">
        <w:t>),</w:t>
      </w:r>
      <w:r w:rsidRPr="00E3331A">
        <w:t xml:space="preserve"> which confounds an intention</w:t>
      </w:r>
      <w:r w:rsidR="00D45BCF" w:rsidRPr="00E3331A">
        <w:t>-</w:t>
      </w:r>
      <w:r w:rsidRPr="00E3331A">
        <w:t>to</w:t>
      </w:r>
      <w:r w:rsidR="00D45BCF" w:rsidRPr="00E3331A">
        <w:t>-</w:t>
      </w:r>
      <w:r w:rsidRPr="00E3331A">
        <w:t>treat analysis.</w:t>
      </w:r>
      <w:r w:rsidR="00345C95" w:rsidRPr="00E3331A">
        <w:t xml:space="preserve"> </w:t>
      </w:r>
      <w:r w:rsidRPr="00E3331A">
        <w:t xml:space="preserve">In the absence of comprehensive data, the 0.12 utility gain for Ig over steroids included in Blackhouse </w:t>
      </w:r>
      <w:r w:rsidR="00983BA7">
        <w:t xml:space="preserve">et al. </w:t>
      </w:r>
      <w:r w:rsidRPr="00E3331A">
        <w:t xml:space="preserve">(2010) is used for base calculations. The impact of IVIg therapy on utility is based on a trial </w:t>
      </w:r>
      <w:r w:rsidR="003B572C" w:rsidRPr="00E3331A">
        <w:t xml:space="preserve">that </w:t>
      </w:r>
      <w:r w:rsidRPr="00E3331A">
        <w:t xml:space="preserve">provided </w:t>
      </w:r>
      <w:r w:rsidR="003B572C" w:rsidRPr="00E3331A">
        <w:t xml:space="preserve">six </w:t>
      </w:r>
      <w:r w:rsidRPr="00E3331A">
        <w:t>week</w:t>
      </w:r>
      <w:r w:rsidR="003B572C" w:rsidRPr="00E3331A">
        <w:t>s</w:t>
      </w:r>
      <w:r w:rsidRPr="00E3331A">
        <w:t xml:space="preserve"> of patient data. </w:t>
      </w:r>
      <w:r w:rsidR="003B572C" w:rsidRPr="00E3331A">
        <w:t>Consequently</w:t>
      </w:r>
      <w:r w:rsidRPr="00E3331A">
        <w:t xml:space="preserve">, there is a high degree of uncertainty around this estimate. Alternative utility values are assumed in sensitivity analyses </w:t>
      </w:r>
      <w:r w:rsidR="003B572C" w:rsidRPr="00E3331A">
        <w:t xml:space="preserve">that </w:t>
      </w:r>
      <w:r w:rsidRPr="00E3331A">
        <w:t>conclude Section D.</w:t>
      </w:r>
    </w:p>
    <w:p w:rsidR="00C87A11" w:rsidRPr="00E3331A" w:rsidRDefault="001F5B33" w:rsidP="008723F1">
      <w:pPr>
        <w:pStyle w:val="BodyTextSTD"/>
      </w:pPr>
      <w:r w:rsidRPr="00E3331A">
        <w:t>Disutilities for steroid AEs were taken from a range of Australian studies listed in Section C. These disutilit</w:t>
      </w:r>
      <w:r w:rsidR="003B572C" w:rsidRPr="00E3331A">
        <w:t>ie</w:t>
      </w:r>
      <w:r w:rsidRPr="00E3331A">
        <w:t xml:space="preserve">s are uncertain. Given the relatively low incidence of corticosteroid-induced AEs, the sensitivity analyses presented at the end of Section D demonstrate </w:t>
      </w:r>
      <w:r w:rsidR="003B572C" w:rsidRPr="00E3331A">
        <w:t xml:space="preserve">that </w:t>
      </w:r>
      <w:r w:rsidRPr="00E3331A">
        <w:t xml:space="preserve">they have limited impact on the estimated ICER. </w:t>
      </w:r>
      <w:r w:rsidR="00C87A11" w:rsidRPr="00E3331A">
        <w:t xml:space="preserve">Disutilities are also estimated for </w:t>
      </w:r>
      <w:r w:rsidR="005C6F6D">
        <w:t>a</w:t>
      </w:r>
      <w:r w:rsidR="004C5E7B" w:rsidRPr="004C5E7B">
        <w:t>zathioprine</w:t>
      </w:r>
      <w:r w:rsidR="004C5E7B" w:rsidRPr="004C5E7B" w:rsidDel="004C5E7B">
        <w:t xml:space="preserve"> </w:t>
      </w:r>
      <w:r w:rsidR="004C5E7B">
        <w:t>non-response</w:t>
      </w:r>
      <w:r w:rsidR="00C87A11" w:rsidRPr="00E3331A">
        <w:t xml:space="preserve"> and disabled CIDP states. There is limited data on which to calculate these parameters. The Thai </w:t>
      </w:r>
      <w:r w:rsidR="008723F1" w:rsidRPr="00E3331A">
        <w:t xml:space="preserve">cost-effectiveness </w:t>
      </w:r>
      <w:r w:rsidR="00C87A11" w:rsidRPr="00E3331A">
        <w:t xml:space="preserve">study </w:t>
      </w:r>
      <w:r w:rsidR="008723F1" w:rsidRPr="00E3331A">
        <w:t>among steroid</w:t>
      </w:r>
      <w:r w:rsidR="00417823">
        <w:t>-</w:t>
      </w:r>
      <w:r w:rsidR="008723F1" w:rsidRPr="00E3331A">
        <w:t xml:space="preserve">resistant CIDP patient </w:t>
      </w:r>
      <w:r w:rsidR="00C87A11" w:rsidRPr="00E3331A">
        <w:t xml:space="preserve">of Bamrungsawad </w:t>
      </w:r>
      <w:r w:rsidR="00983BA7">
        <w:t xml:space="preserve">et al. </w:t>
      </w:r>
      <w:r w:rsidR="00C87A11" w:rsidRPr="00E3331A">
        <w:t xml:space="preserve">(2016) </w:t>
      </w:r>
      <w:r w:rsidR="008723F1" w:rsidRPr="00E3331A">
        <w:t>used the Thai EuroQol 5D (EQ-5D-3L) instrument to survey 11 CIDP patients and estimated utility scores of 0.546 and -0.178 for pre-disabled and disabled CIDP patients. The study defined disabled as a patient with an MRC scale for one muscle group of three or less. In the absence of Australian data for CIDP, the multiple sclerosis health state utility values for Australia</w:t>
      </w:r>
      <w:r w:rsidR="009F042E" w:rsidRPr="00E3331A">
        <w:t>n MS patients</w:t>
      </w:r>
      <w:r w:rsidR="008723F1" w:rsidRPr="00E3331A">
        <w:t xml:space="preserve"> from Ahmad</w:t>
      </w:r>
      <w:r w:rsidR="008723F1" w:rsidRPr="00E3331A">
        <w:rPr>
          <w:rStyle w:val="FootnoteReference"/>
          <w:vertAlign w:val="baseline"/>
        </w:rPr>
        <w:t xml:space="preserve"> </w:t>
      </w:r>
      <w:r w:rsidR="00983BA7">
        <w:t xml:space="preserve">et al. </w:t>
      </w:r>
      <w:r w:rsidR="008723F1" w:rsidRPr="00E3331A">
        <w:t>(2017)</w:t>
      </w:r>
      <w:r w:rsidR="00016641" w:rsidRPr="00E3331A" w:rsidDel="00016641">
        <w:rPr>
          <w:rStyle w:val="FootnoteReference"/>
        </w:rPr>
        <w:t xml:space="preserve"> </w:t>
      </w:r>
      <w:r w:rsidR="008723F1" w:rsidRPr="00E3331A">
        <w:t>are used for disabled Australian CIDP patients.</w:t>
      </w:r>
    </w:p>
    <w:p w:rsidR="001F5B33" w:rsidRPr="00E3331A" w:rsidRDefault="001F5B33" w:rsidP="001F5B33">
      <w:pPr>
        <w:pStyle w:val="Heading4"/>
      </w:pPr>
      <w:r w:rsidRPr="00E3331A">
        <w:t>Methods used to generate results</w:t>
      </w:r>
    </w:p>
    <w:p w:rsidR="001F5B33" w:rsidRPr="00E3331A" w:rsidRDefault="001F5B33" w:rsidP="00BB6E4C">
      <w:pPr>
        <w:pStyle w:val="BodyTextSTD"/>
      </w:pPr>
      <w:r w:rsidRPr="00E3331A">
        <w:t>The economic model used to generate the results is an expected value cohort analysis for 1</w:t>
      </w:r>
      <w:r w:rsidR="00B33477" w:rsidRPr="00E3331A">
        <w:t>,</w:t>
      </w:r>
      <w:r w:rsidRPr="00E3331A">
        <w:t>000 patients. A Markov model was developed through which patients transition between each state based on weekly transition probabilities. The simulation begins with the hypothetical cohort of 1</w:t>
      </w:r>
      <w:r w:rsidR="00B33477" w:rsidRPr="00E3331A">
        <w:t>,</w:t>
      </w:r>
      <w:r w:rsidRPr="00E3331A">
        <w:t>000 in the Ig initial state for the Ig arm</w:t>
      </w:r>
      <w:r w:rsidR="00B33477" w:rsidRPr="00E3331A">
        <w:t>,</w:t>
      </w:r>
      <w:r w:rsidRPr="00E3331A">
        <w:t xml:space="preserve"> and corticosteroids without AE for the comparator. The evaluation then compares the expected costs and clinical outcomes (Life</w:t>
      </w:r>
      <w:r w:rsidR="00D45BCF" w:rsidRPr="00E3331A">
        <w:t>-</w:t>
      </w:r>
      <w:r w:rsidRPr="00E3331A">
        <w:t>years, QALY</w:t>
      </w:r>
      <w:r w:rsidR="00B33477" w:rsidRPr="00E3331A">
        <w:t>s</w:t>
      </w:r>
      <w:r w:rsidRPr="00E3331A">
        <w:t xml:space="preserve">) between the treatment options. </w:t>
      </w:r>
    </w:p>
    <w:p w:rsidR="001F5B33" w:rsidRPr="00E3331A" w:rsidRDefault="001F5B33" w:rsidP="001F5B33">
      <w:pPr>
        <w:pStyle w:val="Heading4"/>
      </w:pPr>
      <w:r w:rsidRPr="00E3331A">
        <w:lastRenderedPageBreak/>
        <w:t>Health states</w:t>
      </w:r>
    </w:p>
    <w:p w:rsidR="001F5B33" w:rsidRPr="00E3331A" w:rsidRDefault="001F5B33" w:rsidP="00B30C0B">
      <w:pPr>
        <w:pStyle w:val="BodyTextSTD"/>
      </w:pPr>
      <w:r w:rsidRPr="00E3331A">
        <w:t xml:space="preserve">The model includes </w:t>
      </w:r>
      <w:r w:rsidR="00BB4D88" w:rsidRPr="00E3331A">
        <w:t xml:space="preserve">nine </w:t>
      </w:r>
      <w:r w:rsidRPr="00E3331A">
        <w:t xml:space="preserve">states </w:t>
      </w:r>
      <w:r w:rsidR="00BB4D88" w:rsidRPr="00E3331A">
        <w:t xml:space="preserve">largely </w:t>
      </w:r>
      <w:r w:rsidRPr="00E3331A">
        <w:t xml:space="preserve">based on the Blackhouse </w:t>
      </w:r>
      <w:r w:rsidR="00983BA7">
        <w:t xml:space="preserve">et al. </w:t>
      </w:r>
      <w:r w:rsidRPr="00E3331A">
        <w:t>(2010) model, with the addition of steroid non-responders</w:t>
      </w:r>
      <w:r w:rsidR="00F45576" w:rsidRPr="00E3331A">
        <w:t xml:space="preserve">, </w:t>
      </w:r>
      <w:r w:rsidR="008D0E46">
        <w:t>a</w:t>
      </w:r>
      <w:r w:rsidR="004C5E7B" w:rsidRPr="004C5E7B">
        <w:t>zathioprine</w:t>
      </w:r>
      <w:r w:rsidR="004C5E7B" w:rsidRPr="004C5E7B" w:rsidDel="004C5E7B">
        <w:t xml:space="preserve"> </w:t>
      </w:r>
      <w:r w:rsidR="004C5E7B">
        <w:t>non-response</w:t>
      </w:r>
      <w:r w:rsidR="00F45576" w:rsidRPr="00E3331A">
        <w:t xml:space="preserve"> and disability states</w:t>
      </w:r>
      <w:r w:rsidRPr="00E3331A">
        <w:t xml:space="preserve">. Death is an absorbing state from which patients </w:t>
      </w:r>
      <w:r w:rsidR="00E810A5" w:rsidRPr="00E3331A">
        <w:t>cannot</w:t>
      </w:r>
      <w:r w:rsidRPr="00E3331A">
        <w:t xml:space="preserve"> transition. The descriptions of each state and possible transitions to other health states are outlined in </w:t>
      </w:r>
      <w:r w:rsidR="006F35B9" w:rsidRPr="00E3331A">
        <w:t xml:space="preserve">Table </w:t>
      </w:r>
      <w:r w:rsidR="006F35B9">
        <w:rPr>
          <w:noProof/>
        </w:rPr>
        <w:t>68</w:t>
      </w:r>
      <w:r w:rsidRPr="00E3331A">
        <w:t>.</w:t>
      </w:r>
    </w:p>
    <w:p w:rsidR="001F5B33" w:rsidRPr="00E3331A" w:rsidRDefault="001F5B33" w:rsidP="001F5B33">
      <w:pPr>
        <w:pStyle w:val="Caption"/>
      </w:pPr>
      <w:bookmarkStart w:id="422" w:name="_Ref8218765"/>
      <w:bookmarkStart w:id="423" w:name="_Toc24103374"/>
      <w:r w:rsidRPr="00E3331A">
        <w:t xml:space="preserve">Table </w:t>
      </w:r>
      <w:r w:rsidR="006F35B9">
        <w:rPr>
          <w:noProof/>
        </w:rPr>
        <w:t>68</w:t>
      </w:r>
      <w:bookmarkEnd w:id="422"/>
      <w:r w:rsidR="008F4EE5" w:rsidRPr="00E3331A">
        <w:tab/>
      </w:r>
      <w:r w:rsidRPr="00E3331A">
        <w:t>Economic model health states</w:t>
      </w:r>
      <w:bookmarkEnd w:id="4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93"/>
        <w:gridCol w:w="3493"/>
      </w:tblGrid>
      <w:tr w:rsidR="001F5B33" w:rsidRPr="00E3331A" w:rsidTr="0007007F">
        <w:trPr>
          <w:cantSplit/>
          <w:tblHeader/>
        </w:trPr>
        <w:tc>
          <w:tcPr>
            <w:tcW w:w="1569" w:type="pct"/>
            <w:tcBorders>
              <w:top w:val="single" w:sz="4" w:space="0" w:color="auto"/>
              <w:left w:val="single" w:sz="4" w:space="0" w:color="auto"/>
              <w:bottom w:val="single" w:sz="4" w:space="0" w:color="auto"/>
              <w:right w:val="single" w:sz="4" w:space="0" w:color="auto"/>
            </w:tcBorders>
            <w:shd w:val="clear" w:color="auto" w:fill="D9D9D9"/>
            <w:hideMark/>
          </w:tcPr>
          <w:p w:rsidR="001F5B33" w:rsidRPr="00E3331A" w:rsidRDefault="001F5B33" w:rsidP="00493DDF">
            <w:pPr>
              <w:pStyle w:val="Tableheader"/>
              <w:keepNext/>
              <w:spacing w:before="20" w:after="20"/>
              <w:rPr>
                <w:rFonts w:ascii="Arial Narrow" w:hAnsi="Arial Narrow" w:cs="Tahoma"/>
                <w:szCs w:val="18"/>
              </w:rPr>
            </w:pPr>
            <w:r w:rsidRPr="00E3331A">
              <w:rPr>
                <w:rFonts w:ascii="Arial Narrow" w:hAnsi="Arial Narrow" w:cs="Tahoma"/>
                <w:szCs w:val="18"/>
              </w:rPr>
              <w:t>Health state</w:t>
            </w:r>
          </w:p>
        </w:tc>
        <w:tc>
          <w:tcPr>
            <w:tcW w:w="1493" w:type="pct"/>
            <w:tcBorders>
              <w:top w:val="single" w:sz="4" w:space="0" w:color="auto"/>
              <w:left w:val="single" w:sz="4" w:space="0" w:color="auto"/>
              <w:bottom w:val="single" w:sz="4" w:space="0" w:color="auto"/>
              <w:right w:val="single" w:sz="4" w:space="0" w:color="auto"/>
            </w:tcBorders>
            <w:shd w:val="clear" w:color="auto" w:fill="D9D9D9"/>
            <w:hideMark/>
          </w:tcPr>
          <w:p w:rsidR="001F5B33" w:rsidRPr="00E3331A" w:rsidRDefault="001F5B33" w:rsidP="00493DDF">
            <w:pPr>
              <w:pStyle w:val="Tableheader"/>
              <w:keepNext/>
              <w:spacing w:before="20" w:after="20"/>
              <w:rPr>
                <w:rFonts w:ascii="Arial Narrow" w:hAnsi="Arial Narrow" w:cs="Tahoma"/>
                <w:szCs w:val="18"/>
              </w:rPr>
            </w:pPr>
            <w:r w:rsidRPr="00E3331A">
              <w:rPr>
                <w:rFonts w:ascii="Arial Narrow" w:hAnsi="Arial Narrow" w:cs="Tahoma"/>
                <w:szCs w:val="18"/>
              </w:rPr>
              <w:t xml:space="preserve">Description </w:t>
            </w:r>
          </w:p>
        </w:tc>
        <w:tc>
          <w:tcPr>
            <w:tcW w:w="1937" w:type="pct"/>
            <w:tcBorders>
              <w:top w:val="single" w:sz="4" w:space="0" w:color="auto"/>
              <w:left w:val="single" w:sz="4" w:space="0" w:color="auto"/>
              <w:bottom w:val="single" w:sz="4" w:space="0" w:color="auto"/>
              <w:right w:val="single" w:sz="4" w:space="0" w:color="auto"/>
            </w:tcBorders>
            <w:shd w:val="clear" w:color="auto" w:fill="D9D9D9"/>
            <w:hideMark/>
          </w:tcPr>
          <w:p w:rsidR="001F5B33" w:rsidRPr="00E3331A" w:rsidRDefault="001F5B33" w:rsidP="00493DDF">
            <w:pPr>
              <w:pStyle w:val="Tableheader"/>
              <w:keepNext/>
              <w:spacing w:before="20" w:after="20"/>
              <w:rPr>
                <w:rFonts w:ascii="Arial Narrow" w:hAnsi="Arial Narrow" w:cs="Tahoma"/>
                <w:szCs w:val="18"/>
              </w:rPr>
            </w:pPr>
            <w:r w:rsidRPr="00E3331A">
              <w:rPr>
                <w:rFonts w:ascii="Arial Narrow" w:hAnsi="Arial Narrow" w:cs="Tahoma"/>
                <w:szCs w:val="18"/>
              </w:rPr>
              <w:t>Possible transitions to other health states</w:t>
            </w:r>
          </w:p>
        </w:tc>
      </w:tr>
      <w:tr w:rsidR="00BB4D88" w:rsidRPr="00E3331A" w:rsidTr="00C24981">
        <w:trPr>
          <w:cantSplit/>
          <w:trHeight w:val="1726"/>
        </w:trPr>
        <w:tc>
          <w:tcPr>
            <w:tcW w:w="1569" w:type="pct"/>
            <w:tcBorders>
              <w:top w:val="single" w:sz="4" w:space="0" w:color="auto"/>
              <w:left w:val="single" w:sz="4" w:space="0" w:color="auto"/>
              <w:right w:val="single" w:sz="4" w:space="0" w:color="auto"/>
            </w:tcBorders>
            <w:vAlign w:val="center"/>
          </w:tcPr>
          <w:p w:rsidR="00BB4D88" w:rsidRPr="00E3331A" w:rsidRDefault="00BB4D88">
            <w:pPr>
              <w:pStyle w:val="Tabletext1"/>
              <w:rPr>
                <w:szCs w:val="18"/>
                <w:lang w:val="en-US"/>
              </w:rPr>
            </w:pPr>
            <w:r w:rsidRPr="00E3331A">
              <w:rPr>
                <w:szCs w:val="18"/>
                <w:lang w:val="en-US"/>
              </w:rPr>
              <w:t xml:space="preserve">Ig </w:t>
            </w:r>
            <w:r w:rsidR="008F4EE5" w:rsidRPr="00E3331A">
              <w:rPr>
                <w:szCs w:val="18"/>
                <w:lang w:val="en-US"/>
              </w:rPr>
              <w:t>t</w:t>
            </w:r>
            <w:r w:rsidRPr="00E3331A">
              <w:rPr>
                <w:szCs w:val="18"/>
                <w:lang w:val="en-US"/>
              </w:rPr>
              <w:t>reatment</w:t>
            </w:r>
          </w:p>
        </w:tc>
        <w:tc>
          <w:tcPr>
            <w:tcW w:w="1493" w:type="pct"/>
            <w:tcBorders>
              <w:top w:val="single" w:sz="4" w:space="0" w:color="auto"/>
              <w:left w:val="single" w:sz="4" w:space="0" w:color="auto"/>
              <w:right w:val="single" w:sz="4" w:space="0" w:color="auto"/>
            </w:tcBorders>
            <w:vAlign w:val="center"/>
          </w:tcPr>
          <w:p w:rsidR="00BB4D88" w:rsidRPr="00E3331A" w:rsidRDefault="00BB4D88" w:rsidP="00493DDF">
            <w:pPr>
              <w:pStyle w:val="Tabletext1"/>
              <w:rPr>
                <w:szCs w:val="18"/>
                <w:lang w:val="en-US"/>
              </w:rPr>
            </w:pPr>
            <w:r w:rsidRPr="00E3331A">
              <w:rPr>
                <w:szCs w:val="18"/>
                <w:lang w:val="en-US"/>
              </w:rPr>
              <w:t>All patients enter the model in the Ig treatment health state</w:t>
            </w:r>
            <w:r w:rsidR="008F4EE5" w:rsidRPr="00E3331A">
              <w:rPr>
                <w:szCs w:val="18"/>
                <w:lang w:val="en-US"/>
              </w:rPr>
              <w:t>.</w:t>
            </w:r>
          </w:p>
          <w:p w:rsidR="00BB4D88" w:rsidRPr="00E3331A" w:rsidRDefault="00BB4D88" w:rsidP="00493DDF">
            <w:pPr>
              <w:pStyle w:val="Tabletext1"/>
              <w:rPr>
                <w:szCs w:val="18"/>
                <w:lang w:val="en-US"/>
              </w:rPr>
            </w:pPr>
            <w:r w:rsidRPr="00E3331A">
              <w:rPr>
                <w:szCs w:val="18"/>
                <w:lang w:val="en-US"/>
              </w:rPr>
              <w:t>Patients who respond to treatment receive maintenance IVIg each week until they relapse and no longer respond to treatment</w:t>
            </w:r>
          </w:p>
        </w:tc>
        <w:tc>
          <w:tcPr>
            <w:tcW w:w="1937" w:type="pct"/>
            <w:tcBorders>
              <w:top w:val="single" w:sz="4" w:space="0" w:color="auto"/>
              <w:left w:val="single" w:sz="4" w:space="0" w:color="auto"/>
              <w:right w:val="single" w:sz="4" w:space="0" w:color="auto"/>
            </w:tcBorders>
            <w:vAlign w:val="center"/>
          </w:tcPr>
          <w:p w:rsidR="00BB4D88" w:rsidRPr="00E3331A" w:rsidRDefault="00BB4D88" w:rsidP="00BB4D88">
            <w:pPr>
              <w:pStyle w:val="Tabletext1"/>
              <w:rPr>
                <w:szCs w:val="18"/>
                <w:lang w:val="en-US"/>
              </w:rPr>
            </w:pPr>
            <w:r w:rsidRPr="00E3331A">
              <w:rPr>
                <w:szCs w:val="18"/>
                <w:lang w:val="en-US"/>
              </w:rPr>
              <w:t>After 4 months, a proportion of patients are IVIg responders or IVIg non-responders. Non</w:t>
            </w:r>
            <w:r w:rsidR="00B73E3D">
              <w:rPr>
                <w:szCs w:val="18"/>
                <w:lang w:val="en-US"/>
              </w:rPr>
              <w:t>-</w:t>
            </w:r>
            <w:r w:rsidR="00E810A5" w:rsidRPr="00E3331A">
              <w:rPr>
                <w:szCs w:val="18"/>
                <w:lang w:val="en-US"/>
              </w:rPr>
              <w:t>responders’</w:t>
            </w:r>
            <w:r w:rsidRPr="00E3331A">
              <w:rPr>
                <w:szCs w:val="18"/>
                <w:lang w:val="en-US"/>
              </w:rPr>
              <w:t xml:space="preserve"> </w:t>
            </w:r>
            <w:r w:rsidR="00E810A5" w:rsidRPr="00E3331A">
              <w:rPr>
                <w:szCs w:val="18"/>
                <w:lang w:val="en-US"/>
              </w:rPr>
              <w:t>transition</w:t>
            </w:r>
            <w:r w:rsidRPr="00E3331A">
              <w:rPr>
                <w:szCs w:val="18"/>
                <w:lang w:val="en-US"/>
              </w:rPr>
              <w:t xml:space="preserve"> to corticosteroids (no adverse events) or death</w:t>
            </w:r>
          </w:p>
        </w:tc>
      </w:tr>
      <w:tr w:rsidR="001F5B33" w:rsidRPr="00E3331A" w:rsidTr="00493DDF">
        <w:trPr>
          <w:cantSplit/>
        </w:trPr>
        <w:tc>
          <w:tcPr>
            <w:tcW w:w="1569" w:type="pct"/>
            <w:tcBorders>
              <w:top w:val="single" w:sz="4" w:space="0" w:color="auto"/>
              <w:left w:val="single" w:sz="4" w:space="0" w:color="auto"/>
              <w:bottom w:val="single" w:sz="4" w:space="0" w:color="auto"/>
              <w:right w:val="single" w:sz="4" w:space="0" w:color="auto"/>
            </w:tcBorders>
            <w:vAlign w:val="center"/>
          </w:tcPr>
          <w:p w:rsidR="001F5B33" w:rsidRPr="00E3331A" w:rsidRDefault="001F5B33" w:rsidP="00493DDF">
            <w:pPr>
              <w:pStyle w:val="Tabletext1"/>
              <w:rPr>
                <w:szCs w:val="18"/>
                <w:lang w:val="en-US"/>
              </w:rPr>
            </w:pPr>
            <w:r w:rsidRPr="00E3331A">
              <w:rPr>
                <w:szCs w:val="18"/>
                <w:lang w:val="en-US"/>
              </w:rPr>
              <w:t>Corticosteroids (no adverse events)</w:t>
            </w:r>
          </w:p>
        </w:tc>
        <w:tc>
          <w:tcPr>
            <w:tcW w:w="1493" w:type="pct"/>
            <w:tcBorders>
              <w:top w:val="single" w:sz="4" w:space="0" w:color="auto"/>
              <w:left w:val="single" w:sz="4" w:space="0" w:color="auto"/>
              <w:bottom w:val="single" w:sz="4" w:space="0" w:color="auto"/>
              <w:right w:val="single" w:sz="4" w:space="0" w:color="auto"/>
            </w:tcBorders>
            <w:vAlign w:val="center"/>
          </w:tcPr>
          <w:p w:rsidR="001F5B33" w:rsidRPr="00E3331A" w:rsidRDefault="001F5B33" w:rsidP="00493DDF">
            <w:pPr>
              <w:pStyle w:val="Tabletext1"/>
              <w:rPr>
                <w:szCs w:val="18"/>
                <w:lang w:val="en-US"/>
              </w:rPr>
            </w:pPr>
            <w:r w:rsidRPr="00E3331A">
              <w:rPr>
                <w:szCs w:val="18"/>
                <w:lang w:val="en-US"/>
              </w:rPr>
              <w:t>Patients start corticosteroid treatment; they are at risk of AEs and non-response in each weekly cycle</w:t>
            </w:r>
          </w:p>
        </w:tc>
        <w:tc>
          <w:tcPr>
            <w:tcW w:w="1937" w:type="pct"/>
            <w:tcBorders>
              <w:top w:val="single" w:sz="4" w:space="0" w:color="auto"/>
              <w:left w:val="single" w:sz="4" w:space="0" w:color="auto"/>
              <w:bottom w:val="single" w:sz="4" w:space="0" w:color="auto"/>
              <w:right w:val="single" w:sz="4" w:space="0" w:color="auto"/>
            </w:tcBorders>
            <w:vAlign w:val="center"/>
          </w:tcPr>
          <w:p w:rsidR="001F5B33" w:rsidRPr="00E3331A" w:rsidRDefault="001F5B33" w:rsidP="00493DDF">
            <w:pPr>
              <w:pStyle w:val="Tabletext1"/>
              <w:rPr>
                <w:szCs w:val="18"/>
                <w:lang w:val="en-US"/>
              </w:rPr>
            </w:pPr>
            <w:r w:rsidRPr="00E3331A">
              <w:rPr>
                <w:szCs w:val="18"/>
                <w:lang w:val="en-US"/>
              </w:rPr>
              <w:t>Corticosteroids (non-responder), fracture, diabetes, glaucoma, cataract and serious infection</w:t>
            </w:r>
          </w:p>
          <w:p w:rsidR="001F5B33" w:rsidRPr="00E3331A" w:rsidRDefault="001F5B33" w:rsidP="00493DDF">
            <w:pPr>
              <w:pStyle w:val="Tabletext1"/>
              <w:rPr>
                <w:szCs w:val="18"/>
                <w:lang w:val="en-US"/>
              </w:rPr>
            </w:pPr>
            <w:r w:rsidRPr="00E3331A">
              <w:rPr>
                <w:szCs w:val="18"/>
                <w:lang w:val="en-US"/>
              </w:rPr>
              <w:t>Death</w:t>
            </w:r>
          </w:p>
        </w:tc>
      </w:tr>
      <w:tr w:rsidR="001F5B33" w:rsidRPr="00E3331A" w:rsidTr="00493DDF">
        <w:trPr>
          <w:cantSplit/>
        </w:trPr>
        <w:tc>
          <w:tcPr>
            <w:tcW w:w="1569" w:type="pct"/>
            <w:tcBorders>
              <w:top w:val="single" w:sz="4" w:space="0" w:color="auto"/>
              <w:left w:val="single" w:sz="4" w:space="0" w:color="auto"/>
              <w:bottom w:val="single" w:sz="4" w:space="0" w:color="auto"/>
              <w:right w:val="single" w:sz="4" w:space="0" w:color="auto"/>
            </w:tcBorders>
            <w:vAlign w:val="center"/>
          </w:tcPr>
          <w:p w:rsidR="001F5B33" w:rsidRPr="00E3331A" w:rsidRDefault="001F5B33" w:rsidP="00493DDF">
            <w:pPr>
              <w:pStyle w:val="Tabletext1"/>
              <w:rPr>
                <w:szCs w:val="18"/>
                <w:lang w:val="en-US"/>
              </w:rPr>
            </w:pPr>
            <w:r w:rsidRPr="00E3331A">
              <w:rPr>
                <w:szCs w:val="18"/>
                <w:lang w:val="en-US"/>
              </w:rPr>
              <w:t>Fracture</w:t>
            </w:r>
          </w:p>
        </w:tc>
        <w:tc>
          <w:tcPr>
            <w:tcW w:w="1493" w:type="pct"/>
            <w:tcBorders>
              <w:top w:val="single" w:sz="4" w:space="0" w:color="auto"/>
              <w:left w:val="single" w:sz="4" w:space="0" w:color="auto"/>
              <w:bottom w:val="single" w:sz="4" w:space="0" w:color="auto"/>
              <w:right w:val="single" w:sz="4" w:space="0" w:color="auto"/>
            </w:tcBorders>
            <w:vAlign w:val="center"/>
          </w:tcPr>
          <w:p w:rsidR="001F5B33" w:rsidRPr="00E3331A" w:rsidRDefault="001F5B33" w:rsidP="00493DDF">
            <w:pPr>
              <w:pStyle w:val="Tabletext1"/>
              <w:rPr>
                <w:szCs w:val="18"/>
                <w:lang w:val="en-US"/>
              </w:rPr>
            </w:pPr>
            <w:r w:rsidRPr="00E3331A">
              <w:rPr>
                <w:szCs w:val="18"/>
                <w:lang w:val="en-US"/>
              </w:rPr>
              <w:t xml:space="preserve">Patients discontinue steroid treatment with an AE. </w:t>
            </w:r>
            <w:r w:rsidR="009C6FA6" w:rsidRPr="00E3331A">
              <w:rPr>
                <w:szCs w:val="18"/>
                <w:lang w:val="en-US"/>
              </w:rPr>
              <w:t xml:space="preserve">The patient is assumed to receive treatment specific for the AE, then </w:t>
            </w:r>
            <w:r w:rsidR="008448F4">
              <w:rPr>
                <w:szCs w:val="18"/>
                <w:lang w:val="en-US"/>
              </w:rPr>
              <w:t xml:space="preserve">an </w:t>
            </w:r>
            <w:r w:rsidR="00BE54F2">
              <w:rPr>
                <w:szCs w:val="18"/>
                <w:lang w:val="en-US"/>
              </w:rPr>
              <w:t>azathioprine</w:t>
            </w:r>
            <w:r w:rsidR="008448F4">
              <w:rPr>
                <w:szCs w:val="18"/>
                <w:lang w:val="en-US"/>
              </w:rPr>
              <w:t xml:space="preserve"> regimen</w:t>
            </w:r>
          </w:p>
        </w:tc>
        <w:tc>
          <w:tcPr>
            <w:tcW w:w="1937" w:type="pct"/>
            <w:tcBorders>
              <w:top w:val="single" w:sz="4" w:space="0" w:color="auto"/>
              <w:left w:val="single" w:sz="4" w:space="0" w:color="auto"/>
              <w:bottom w:val="single" w:sz="4" w:space="0" w:color="auto"/>
              <w:right w:val="single" w:sz="4" w:space="0" w:color="auto"/>
            </w:tcBorders>
          </w:tcPr>
          <w:p w:rsidR="001F5B33" w:rsidRPr="00E3331A" w:rsidRDefault="001F5B33" w:rsidP="00493DDF">
            <w:pPr>
              <w:pStyle w:val="Tabletext1"/>
              <w:rPr>
                <w:szCs w:val="18"/>
                <w:lang w:val="en-US"/>
              </w:rPr>
            </w:pPr>
            <w:r w:rsidRPr="00E3331A">
              <w:rPr>
                <w:szCs w:val="18"/>
                <w:lang w:val="en-US"/>
              </w:rPr>
              <w:t>Death</w:t>
            </w:r>
            <w:r w:rsidR="00F45576" w:rsidRPr="00E3331A">
              <w:rPr>
                <w:szCs w:val="18"/>
                <w:lang w:val="en-US"/>
              </w:rPr>
              <w:t xml:space="preserve">, </w:t>
            </w:r>
            <w:r w:rsidR="004C5E7B" w:rsidRPr="004C5E7B">
              <w:rPr>
                <w:szCs w:val="18"/>
                <w:lang w:val="en-US"/>
              </w:rPr>
              <w:t>Azathioprine</w:t>
            </w:r>
            <w:r w:rsidR="00F45576" w:rsidRPr="00E3331A">
              <w:rPr>
                <w:szCs w:val="18"/>
                <w:lang w:val="en-US"/>
              </w:rPr>
              <w:t xml:space="preserve"> non-responder</w:t>
            </w:r>
          </w:p>
        </w:tc>
      </w:tr>
      <w:tr w:rsidR="004C5E7B" w:rsidRPr="00E3331A" w:rsidTr="00493DDF">
        <w:trPr>
          <w:cantSplit/>
        </w:trPr>
        <w:tc>
          <w:tcPr>
            <w:tcW w:w="1569" w:type="pct"/>
            <w:tcBorders>
              <w:top w:val="single" w:sz="4" w:space="0" w:color="auto"/>
              <w:left w:val="single" w:sz="4" w:space="0" w:color="auto"/>
              <w:bottom w:val="single" w:sz="4" w:space="0" w:color="auto"/>
              <w:right w:val="single" w:sz="4" w:space="0" w:color="auto"/>
            </w:tcBorders>
            <w:vAlign w:val="center"/>
          </w:tcPr>
          <w:p w:rsidR="004C5E7B" w:rsidRPr="00E3331A" w:rsidRDefault="004C5E7B" w:rsidP="004C5E7B">
            <w:pPr>
              <w:pStyle w:val="Tabletext1"/>
              <w:rPr>
                <w:szCs w:val="18"/>
                <w:lang w:val="en-US"/>
              </w:rPr>
            </w:pPr>
            <w:r w:rsidRPr="00E3331A">
              <w:rPr>
                <w:szCs w:val="18"/>
                <w:lang w:val="en-US"/>
              </w:rPr>
              <w:t>Diabetes</w:t>
            </w:r>
          </w:p>
        </w:tc>
        <w:tc>
          <w:tcPr>
            <w:tcW w:w="1493" w:type="pct"/>
            <w:tcBorders>
              <w:top w:val="single" w:sz="4" w:space="0" w:color="auto"/>
              <w:left w:val="single" w:sz="4" w:space="0" w:color="auto"/>
              <w:bottom w:val="single" w:sz="4" w:space="0" w:color="auto"/>
              <w:right w:val="single" w:sz="4" w:space="0" w:color="auto"/>
            </w:tcBorders>
            <w:vAlign w:val="center"/>
          </w:tcPr>
          <w:p w:rsidR="004C5E7B" w:rsidRPr="00E3331A" w:rsidRDefault="004C5E7B" w:rsidP="004C5E7B">
            <w:pPr>
              <w:pStyle w:val="Tabletext1"/>
              <w:rPr>
                <w:szCs w:val="18"/>
                <w:lang w:val="en-US"/>
              </w:rPr>
            </w:pPr>
            <w:r w:rsidRPr="00E3331A">
              <w:rPr>
                <w:szCs w:val="18"/>
                <w:lang w:val="en-US"/>
              </w:rPr>
              <w:t xml:space="preserve">As above. </w:t>
            </w:r>
          </w:p>
        </w:tc>
        <w:tc>
          <w:tcPr>
            <w:tcW w:w="1937" w:type="pct"/>
            <w:tcBorders>
              <w:top w:val="single" w:sz="4" w:space="0" w:color="auto"/>
              <w:left w:val="single" w:sz="4" w:space="0" w:color="auto"/>
              <w:bottom w:val="single" w:sz="4" w:space="0" w:color="auto"/>
              <w:right w:val="single" w:sz="4" w:space="0" w:color="auto"/>
            </w:tcBorders>
          </w:tcPr>
          <w:p w:rsidR="004C5E7B" w:rsidRPr="00E3331A" w:rsidRDefault="004C5E7B" w:rsidP="004C5E7B">
            <w:pPr>
              <w:pStyle w:val="Tabletext1"/>
              <w:rPr>
                <w:szCs w:val="18"/>
                <w:lang w:val="en-US"/>
              </w:rPr>
            </w:pPr>
            <w:r w:rsidRPr="00E70CC3">
              <w:rPr>
                <w:szCs w:val="18"/>
                <w:lang w:val="en-US"/>
              </w:rPr>
              <w:t>Death, Azathioprine non-responder</w:t>
            </w:r>
          </w:p>
        </w:tc>
      </w:tr>
      <w:tr w:rsidR="004C5E7B" w:rsidRPr="00E3331A" w:rsidTr="00493DDF">
        <w:trPr>
          <w:cantSplit/>
        </w:trPr>
        <w:tc>
          <w:tcPr>
            <w:tcW w:w="1569" w:type="pct"/>
            <w:tcBorders>
              <w:top w:val="single" w:sz="4" w:space="0" w:color="auto"/>
              <w:left w:val="single" w:sz="4" w:space="0" w:color="auto"/>
              <w:bottom w:val="single" w:sz="4" w:space="0" w:color="auto"/>
              <w:right w:val="single" w:sz="4" w:space="0" w:color="auto"/>
            </w:tcBorders>
            <w:vAlign w:val="center"/>
          </w:tcPr>
          <w:p w:rsidR="004C5E7B" w:rsidRPr="00E3331A" w:rsidRDefault="004C5E7B" w:rsidP="004C5E7B">
            <w:pPr>
              <w:pStyle w:val="Tabletext1"/>
              <w:rPr>
                <w:szCs w:val="18"/>
                <w:lang w:val="en-US"/>
              </w:rPr>
            </w:pPr>
            <w:r w:rsidRPr="00E3331A">
              <w:rPr>
                <w:szCs w:val="18"/>
                <w:lang w:val="en-US"/>
              </w:rPr>
              <w:t>Glaucoma</w:t>
            </w:r>
          </w:p>
        </w:tc>
        <w:tc>
          <w:tcPr>
            <w:tcW w:w="1493" w:type="pct"/>
            <w:tcBorders>
              <w:top w:val="single" w:sz="4" w:space="0" w:color="auto"/>
              <w:left w:val="single" w:sz="4" w:space="0" w:color="auto"/>
              <w:bottom w:val="single" w:sz="4" w:space="0" w:color="auto"/>
              <w:right w:val="single" w:sz="4" w:space="0" w:color="auto"/>
            </w:tcBorders>
          </w:tcPr>
          <w:p w:rsidR="004C5E7B" w:rsidRPr="00E3331A" w:rsidRDefault="004C5E7B" w:rsidP="004C5E7B">
            <w:pPr>
              <w:pStyle w:val="Tabletext1"/>
              <w:rPr>
                <w:szCs w:val="18"/>
                <w:lang w:val="en-US"/>
              </w:rPr>
            </w:pPr>
            <w:r w:rsidRPr="00E3331A">
              <w:rPr>
                <w:szCs w:val="18"/>
                <w:lang w:val="en-US"/>
              </w:rPr>
              <w:t xml:space="preserve">As above. </w:t>
            </w:r>
          </w:p>
        </w:tc>
        <w:tc>
          <w:tcPr>
            <w:tcW w:w="1937" w:type="pct"/>
            <w:tcBorders>
              <w:top w:val="single" w:sz="4" w:space="0" w:color="auto"/>
              <w:left w:val="single" w:sz="4" w:space="0" w:color="auto"/>
              <w:bottom w:val="single" w:sz="4" w:space="0" w:color="auto"/>
              <w:right w:val="single" w:sz="4" w:space="0" w:color="auto"/>
            </w:tcBorders>
          </w:tcPr>
          <w:p w:rsidR="004C5E7B" w:rsidRPr="00E3331A" w:rsidRDefault="004C5E7B" w:rsidP="004C5E7B">
            <w:pPr>
              <w:pStyle w:val="Tabletext1"/>
              <w:rPr>
                <w:szCs w:val="18"/>
                <w:lang w:val="en-US"/>
              </w:rPr>
            </w:pPr>
            <w:r w:rsidRPr="00E70CC3">
              <w:rPr>
                <w:szCs w:val="18"/>
                <w:lang w:val="en-US"/>
              </w:rPr>
              <w:t>Death, Azathioprine non-responder</w:t>
            </w:r>
          </w:p>
        </w:tc>
      </w:tr>
      <w:tr w:rsidR="004C5E7B" w:rsidRPr="00E3331A" w:rsidTr="00493DDF">
        <w:trPr>
          <w:cantSplit/>
        </w:trPr>
        <w:tc>
          <w:tcPr>
            <w:tcW w:w="1569" w:type="pct"/>
            <w:tcBorders>
              <w:top w:val="single" w:sz="4" w:space="0" w:color="auto"/>
              <w:left w:val="single" w:sz="4" w:space="0" w:color="auto"/>
              <w:bottom w:val="single" w:sz="4" w:space="0" w:color="auto"/>
              <w:right w:val="single" w:sz="4" w:space="0" w:color="auto"/>
            </w:tcBorders>
            <w:vAlign w:val="center"/>
          </w:tcPr>
          <w:p w:rsidR="004C5E7B" w:rsidRPr="00E3331A" w:rsidRDefault="004C5E7B" w:rsidP="004C5E7B">
            <w:pPr>
              <w:pStyle w:val="Tabletext1"/>
              <w:rPr>
                <w:szCs w:val="18"/>
                <w:lang w:val="en-US"/>
              </w:rPr>
            </w:pPr>
            <w:r w:rsidRPr="00E3331A">
              <w:rPr>
                <w:szCs w:val="18"/>
                <w:lang w:val="en-US"/>
              </w:rPr>
              <w:t>Cataract</w:t>
            </w:r>
          </w:p>
        </w:tc>
        <w:tc>
          <w:tcPr>
            <w:tcW w:w="1493" w:type="pct"/>
            <w:tcBorders>
              <w:top w:val="single" w:sz="4" w:space="0" w:color="auto"/>
              <w:left w:val="single" w:sz="4" w:space="0" w:color="auto"/>
              <w:bottom w:val="single" w:sz="4" w:space="0" w:color="auto"/>
              <w:right w:val="single" w:sz="4" w:space="0" w:color="auto"/>
            </w:tcBorders>
          </w:tcPr>
          <w:p w:rsidR="004C5E7B" w:rsidRPr="00E3331A" w:rsidRDefault="004C5E7B" w:rsidP="004C5E7B">
            <w:pPr>
              <w:pStyle w:val="Tabletext1"/>
              <w:rPr>
                <w:szCs w:val="18"/>
                <w:lang w:val="en-US"/>
              </w:rPr>
            </w:pPr>
            <w:r w:rsidRPr="00E3331A">
              <w:rPr>
                <w:szCs w:val="18"/>
                <w:lang w:val="en-US"/>
              </w:rPr>
              <w:t>As above</w:t>
            </w:r>
          </w:p>
        </w:tc>
        <w:tc>
          <w:tcPr>
            <w:tcW w:w="1937" w:type="pct"/>
            <w:tcBorders>
              <w:top w:val="single" w:sz="4" w:space="0" w:color="auto"/>
              <w:left w:val="single" w:sz="4" w:space="0" w:color="auto"/>
              <w:bottom w:val="single" w:sz="4" w:space="0" w:color="auto"/>
              <w:right w:val="single" w:sz="4" w:space="0" w:color="auto"/>
            </w:tcBorders>
          </w:tcPr>
          <w:p w:rsidR="004C5E7B" w:rsidRPr="00E3331A" w:rsidRDefault="004C5E7B" w:rsidP="004C5E7B">
            <w:pPr>
              <w:pStyle w:val="Tabletext1"/>
              <w:rPr>
                <w:szCs w:val="18"/>
                <w:lang w:val="en-US"/>
              </w:rPr>
            </w:pPr>
            <w:r w:rsidRPr="00E70CC3">
              <w:rPr>
                <w:szCs w:val="18"/>
                <w:lang w:val="en-US"/>
              </w:rPr>
              <w:t>Death, Azathioprine non-responder</w:t>
            </w:r>
          </w:p>
        </w:tc>
      </w:tr>
      <w:tr w:rsidR="004C5E7B" w:rsidRPr="00E3331A" w:rsidTr="00493DDF">
        <w:trPr>
          <w:cantSplit/>
        </w:trPr>
        <w:tc>
          <w:tcPr>
            <w:tcW w:w="1569" w:type="pct"/>
            <w:tcBorders>
              <w:top w:val="single" w:sz="4" w:space="0" w:color="auto"/>
              <w:left w:val="single" w:sz="4" w:space="0" w:color="auto"/>
              <w:bottom w:val="single" w:sz="4" w:space="0" w:color="auto"/>
              <w:right w:val="single" w:sz="4" w:space="0" w:color="auto"/>
            </w:tcBorders>
            <w:vAlign w:val="center"/>
          </w:tcPr>
          <w:p w:rsidR="004C5E7B" w:rsidRPr="00E3331A" w:rsidRDefault="004C5E7B" w:rsidP="004C5E7B">
            <w:pPr>
              <w:pStyle w:val="Tabletext1"/>
              <w:rPr>
                <w:szCs w:val="18"/>
                <w:lang w:val="en-US"/>
              </w:rPr>
            </w:pPr>
            <w:r w:rsidRPr="00E3331A">
              <w:rPr>
                <w:szCs w:val="18"/>
                <w:lang w:val="en-US"/>
              </w:rPr>
              <w:t>Infection</w:t>
            </w:r>
          </w:p>
        </w:tc>
        <w:tc>
          <w:tcPr>
            <w:tcW w:w="1493" w:type="pct"/>
            <w:tcBorders>
              <w:top w:val="single" w:sz="4" w:space="0" w:color="auto"/>
              <w:left w:val="single" w:sz="4" w:space="0" w:color="auto"/>
              <w:bottom w:val="single" w:sz="4" w:space="0" w:color="auto"/>
              <w:right w:val="single" w:sz="4" w:space="0" w:color="auto"/>
            </w:tcBorders>
          </w:tcPr>
          <w:p w:rsidR="004C5E7B" w:rsidRPr="00E3331A" w:rsidRDefault="004C5E7B" w:rsidP="004C5E7B">
            <w:pPr>
              <w:pStyle w:val="Tabletext1"/>
              <w:rPr>
                <w:szCs w:val="18"/>
                <w:lang w:val="en-US"/>
              </w:rPr>
            </w:pPr>
            <w:r w:rsidRPr="00E3331A">
              <w:rPr>
                <w:szCs w:val="18"/>
                <w:lang w:val="en-US"/>
              </w:rPr>
              <w:t>As above</w:t>
            </w:r>
          </w:p>
        </w:tc>
        <w:tc>
          <w:tcPr>
            <w:tcW w:w="1937" w:type="pct"/>
            <w:tcBorders>
              <w:top w:val="single" w:sz="4" w:space="0" w:color="auto"/>
              <w:left w:val="single" w:sz="4" w:space="0" w:color="auto"/>
              <w:bottom w:val="single" w:sz="4" w:space="0" w:color="auto"/>
              <w:right w:val="single" w:sz="4" w:space="0" w:color="auto"/>
            </w:tcBorders>
          </w:tcPr>
          <w:p w:rsidR="004C5E7B" w:rsidRPr="00E3331A" w:rsidRDefault="004C5E7B" w:rsidP="004C5E7B">
            <w:pPr>
              <w:pStyle w:val="Tabletext1"/>
              <w:rPr>
                <w:szCs w:val="18"/>
                <w:lang w:val="en-US"/>
              </w:rPr>
            </w:pPr>
            <w:r w:rsidRPr="00E70CC3">
              <w:rPr>
                <w:szCs w:val="18"/>
                <w:lang w:val="en-US"/>
              </w:rPr>
              <w:t>Death, Azathioprine non-responder</w:t>
            </w:r>
          </w:p>
        </w:tc>
      </w:tr>
      <w:tr w:rsidR="00F45576" w:rsidRPr="00E3331A" w:rsidTr="00493DDF">
        <w:trPr>
          <w:cantSplit/>
        </w:trPr>
        <w:tc>
          <w:tcPr>
            <w:tcW w:w="1569" w:type="pct"/>
            <w:tcBorders>
              <w:top w:val="single" w:sz="4" w:space="0" w:color="auto"/>
              <w:left w:val="single" w:sz="4" w:space="0" w:color="auto"/>
              <w:bottom w:val="single" w:sz="4" w:space="0" w:color="auto"/>
              <w:right w:val="single" w:sz="4" w:space="0" w:color="auto"/>
            </w:tcBorders>
            <w:vAlign w:val="center"/>
          </w:tcPr>
          <w:p w:rsidR="00F45576" w:rsidRPr="00E3331A" w:rsidRDefault="004C5E7B" w:rsidP="00F45576">
            <w:pPr>
              <w:pStyle w:val="Tabletext1"/>
              <w:rPr>
                <w:szCs w:val="18"/>
                <w:lang w:val="en-US"/>
              </w:rPr>
            </w:pPr>
            <w:r w:rsidRPr="004C5E7B">
              <w:rPr>
                <w:szCs w:val="18"/>
                <w:lang w:val="en-US"/>
              </w:rPr>
              <w:t>Corticosteroids</w:t>
            </w:r>
            <w:r>
              <w:rPr>
                <w:szCs w:val="18"/>
                <w:lang w:val="en-US"/>
              </w:rPr>
              <w:t xml:space="preserve"> non-respon</w:t>
            </w:r>
            <w:r w:rsidR="008448F4">
              <w:rPr>
                <w:szCs w:val="18"/>
                <w:lang w:val="en-US"/>
              </w:rPr>
              <w:t>der</w:t>
            </w:r>
            <w:r>
              <w:rPr>
                <w:szCs w:val="18"/>
                <w:lang w:val="en-US"/>
              </w:rPr>
              <w:t xml:space="preserve"> + </w:t>
            </w:r>
            <w:r w:rsidR="00C41717">
              <w:rPr>
                <w:szCs w:val="18"/>
                <w:lang w:val="en-US"/>
              </w:rPr>
              <w:t>a</w:t>
            </w:r>
            <w:r w:rsidRPr="004C5E7B">
              <w:rPr>
                <w:szCs w:val="18"/>
                <w:lang w:val="en-US"/>
              </w:rPr>
              <w:t>zathioprine</w:t>
            </w:r>
            <w:r w:rsidRPr="004C5E7B" w:rsidDel="004C5E7B">
              <w:rPr>
                <w:szCs w:val="18"/>
                <w:lang w:val="en-US"/>
              </w:rPr>
              <w:t xml:space="preserve"> </w:t>
            </w:r>
          </w:p>
        </w:tc>
        <w:tc>
          <w:tcPr>
            <w:tcW w:w="1493" w:type="pct"/>
            <w:tcBorders>
              <w:top w:val="single" w:sz="4" w:space="0" w:color="auto"/>
              <w:left w:val="single" w:sz="4" w:space="0" w:color="auto"/>
              <w:bottom w:val="single" w:sz="4" w:space="0" w:color="auto"/>
              <w:right w:val="single" w:sz="4" w:space="0" w:color="auto"/>
            </w:tcBorders>
            <w:vAlign w:val="center"/>
          </w:tcPr>
          <w:p w:rsidR="00F45576" w:rsidRPr="00E3331A" w:rsidRDefault="004C5E7B" w:rsidP="00F45576">
            <w:pPr>
              <w:pStyle w:val="Tabletext1"/>
              <w:rPr>
                <w:szCs w:val="18"/>
                <w:lang w:val="en-US"/>
              </w:rPr>
            </w:pPr>
            <w:r w:rsidRPr="004C5E7B">
              <w:rPr>
                <w:szCs w:val="18"/>
                <w:lang w:val="en-US"/>
              </w:rPr>
              <w:t>Corticosteroids non-respon</w:t>
            </w:r>
            <w:r w:rsidR="008448F4">
              <w:rPr>
                <w:szCs w:val="18"/>
                <w:lang w:val="en-US"/>
              </w:rPr>
              <w:t>der</w:t>
            </w:r>
            <w:r w:rsidRPr="004C5E7B">
              <w:rPr>
                <w:szCs w:val="18"/>
                <w:lang w:val="en-US"/>
              </w:rPr>
              <w:t xml:space="preserve"> + </w:t>
            </w:r>
            <w:r w:rsidR="00C41717">
              <w:rPr>
                <w:szCs w:val="18"/>
                <w:lang w:val="en-US"/>
              </w:rPr>
              <w:t>a</w:t>
            </w:r>
            <w:r w:rsidRPr="004C5E7B">
              <w:rPr>
                <w:szCs w:val="18"/>
                <w:lang w:val="en-US"/>
              </w:rPr>
              <w:t>zathioprine</w:t>
            </w:r>
            <w:r w:rsidR="009C6FA6" w:rsidRPr="00E3331A">
              <w:rPr>
                <w:szCs w:val="18"/>
                <w:lang w:val="en-US"/>
              </w:rPr>
              <w:t xml:space="preserve"> patients transition to non-response based on the weekly risk of non-response</w:t>
            </w:r>
          </w:p>
        </w:tc>
        <w:tc>
          <w:tcPr>
            <w:tcW w:w="1937" w:type="pct"/>
            <w:tcBorders>
              <w:top w:val="single" w:sz="4" w:space="0" w:color="auto"/>
              <w:left w:val="single" w:sz="4" w:space="0" w:color="auto"/>
              <w:bottom w:val="single" w:sz="4" w:space="0" w:color="auto"/>
              <w:right w:val="single" w:sz="4" w:space="0" w:color="auto"/>
            </w:tcBorders>
            <w:vAlign w:val="center"/>
          </w:tcPr>
          <w:p w:rsidR="00F45576" w:rsidRPr="00E3331A" w:rsidRDefault="004C5E7B" w:rsidP="00F45576">
            <w:pPr>
              <w:pStyle w:val="Tabletext1"/>
              <w:rPr>
                <w:szCs w:val="18"/>
                <w:lang w:val="en-US"/>
              </w:rPr>
            </w:pPr>
            <w:r w:rsidRPr="00E3331A">
              <w:rPr>
                <w:szCs w:val="18"/>
                <w:lang w:val="en-US"/>
              </w:rPr>
              <w:t xml:space="preserve">Death, </w:t>
            </w:r>
            <w:r w:rsidR="00C41717">
              <w:rPr>
                <w:szCs w:val="18"/>
                <w:lang w:val="en-US"/>
              </w:rPr>
              <w:t>a</w:t>
            </w:r>
            <w:r w:rsidRPr="004C5E7B">
              <w:rPr>
                <w:szCs w:val="18"/>
                <w:lang w:val="en-US"/>
              </w:rPr>
              <w:t>zathioprine</w:t>
            </w:r>
            <w:r w:rsidRPr="00E3331A">
              <w:rPr>
                <w:szCs w:val="18"/>
                <w:lang w:val="en-US"/>
              </w:rPr>
              <w:t xml:space="preserve"> non-responder</w:t>
            </w:r>
          </w:p>
        </w:tc>
      </w:tr>
      <w:tr w:rsidR="00F45576" w:rsidRPr="00E3331A" w:rsidTr="00493DDF">
        <w:trPr>
          <w:cantSplit/>
        </w:trPr>
        <w:tc>
          <w:tcPr>
            <w:tcW w:w="1569" w:type="pct"/>
            <w:tcBorders>
              <w:top w:val="single" w:sz="4" w:space="0" w:color="auto"/>
              <w:left w:val="single" w:sz="4" w:space="0" w:color="auto"/>
              <w:bottom w:val="single" w:sz="4" w:space="0" w:color="auto"/>
              <w:right w:val="single" w:sz="4" w:space="0" w:color="auto"/>
            </w:tcBorders>
            <w:vAlign w:val="center"/>
          </w:tcPr>
          <w:p w:rsidR="00F45576" w:rsidRPr="00E3331A" w:rsidRDefault="004C5E7B" w:rsidP="00F45576">
            <w:pPr>
              <w:pStyle w:val="Tabletext1"/>
              <w:rPr>
                <w:szCs w:val="18"/>
                <w:lang w:val="en-US"/>
              </w:rPr>
            </w:pPr>
            <w:r w:rsidRPr="004C5E7B">
              <w:rPr>
                <w:szCs w:val="18"/>
                <w:lang w:val="en-US"/>
              </w:rPr>
              <w:t>Azathioprine</w:t>
            </w:r>
            <w:r w:rsidRPr="004C5E7B" w:rsidDel="004C5E7B">
              <w:rPr>
                <w:szCs w:val="18"/>
                <w:lang w:val="en-US"/>
              </w:rPr>
              <w:t xml:space="preserve"> </w:t>
            </w:r>
            <w:r w:rsidR="00F45576" w:rsidRPr="00E3331A">
              <w:rPr>
                <w:szCs w:val="18"/>
                <w:lang w:val="en-US"/>
              </w:rPr>
              <w:t>(non-responder)</w:t>
            </w:r>
          </w:p>
        </w:tc>
        <w:tc>
          <w:tcPr>
            <w:tcW w:w="1493" w:type="pct"/>
            <w:tcBorders>
              <w:top w:val="single" w:sz="4" w:space="0" w:color="auto"/>
              <w:left w:val="single" w:sz="4" w:space="0" w:color="auto"/>
              <w:bottom w:val="single" w:sz="4" w:space="0" w:color="auto"/>
              <w:right w:val="single" w:sz="4" w:space="0" w:color="auto"/>
            </w:tcBorders>
            <w:vAlign w:val="center"/>
          </w:tcPr>
          <w:p w:rsidR="00F45576" w:rsidRPr="00E3331A" w:rsidRDefault="009C6FA6" w:rsidP="00F45576">
            <w:pPr>
              <w:pStyle w:val="Tabletext1"/>
              <w:rPr>
                <w:szCs w:val="18"/>
                <w:lang w:val="en-US"/>
              </w:rPr>
            </w:pPr>
            <w:r w:rsidRPr="00E3331A">
              <w:rPr>
                <w:szCs w:val="18"/>
                <w:lang w:val="en-US"/>
              </w:rPr>
              <w:t>Non-responding patients transition to disability based on a weekly risk.</w:t>
            </w:r>
          </w:p>
        </w:tc>
        <w:tc>
          <w:tcPr>
            <w:tcW w:w="1937" w:type="pct"/>
            <w:tcBorders>
              <w:top w:val="single" w:sz="4" w:space="0" w:color="auto"/>
              <w:left w:val="single" w:sz="4" w:space="0" w:color="auto"/>
              <w:bottom w:val="single" w:sz="4" w:space="0" w:color="auto"/>
              <w:right w:val="single" w:sz="4" w:space="0" w:color="auto"/>
            </w:tcBorders>
            <w:vAlign w:val="center"/>
          </w:tcPr>
          <w:p w:rsidR="00F45576" w:rsidRPr="00E3331A" w:rsidRDefault="009C6FA6" w:rsidP="00F45576">
            <w:pPr>
              <w:pStyle w:val="Tabletext1"/>
              <w:rPr>
                <w:szCs w:val="18"/>
                <w:lang w:val="en-US"/>
              </w:rPr>
            </w:pPr>
            <w:r w:rsidRPr="00E3331A">
              <w:rPr>
                <w:szCs w:val="18"/>
                <w:lang w:val="en-US"/>
              </w:rPr>
              <w:t>Death, disabled</w:t>
            </w:r>
          </w:p>
        </w:tc>
      </w:tr>
      <w:tr w:rsidR="00F45576" w:rsidRPr="00E3331A" w:rsidTr="00493DDF">
        <w:trPr>
          <w:cantSplit/>
        </w:trPr>
        <w:tc>
          <w:tcPr>
            <w:tcW w:w="1569" w:type="pct"/>
            <w:tcBorders>
              <w:top w:val="single" w:sz="4" w:space="0" w:color="auto"/>
              <w:left w:val="single" w:sz="4" w:space="0" w:color="auto"/>
              <w:bottom w:val="single" w:sz="4" w:space="0" w:color="auto"/>
              <w:right w:val="single" w:sz="4" w:space="0" w:color="auto"/>
            </w:tcBorders>
            <w:vAlign w:val="center"/>
          </w:tcPr>
          <w:p w:rsidR="00F45576" w:rsidRPr="00E3331A" w:rsidRDefault="00F45576" w:rsidP="00F45576">
            <w:pPr>
              <w:pStyle w:val="Tabletext1"/>
              <w:rPr>
                <w:szCs w:val="18"/>
                <w:lang w:val="en-US"/>
              </w:rPr>
            </w:pPr>
            <w:r w:rsidRPr="00E3331A">
              <w:rPr>
                <w:szCs w:val="18"/>
                <w:lang w:val="en-US"/>
              </w:rPr>
              <w:t>Disabled</w:t>
            </w:r>
          </w:p>
        </w:tc>
        <w:tc>
          <w:tcPr>
            <w:tcW w:w="1493" w:type="pct"/>
            <w:tcBorders>
              <w:top w:val="single" w:sz="4" w:space="0" w:color="auto"/>
              <w:left w:val="single" w:sz="4" w:space="0" w:color="auto"/>
              <w:bottom w:val="single" w:sz="4" w:space="0" w:color="auto"/>
              <w:right w:val="single" w:sz="4" w:space="0" w:color="auto"/>
            </w:tcBorders>
            <w:vAlign w:val="center"/>
          </w:tcPr>
          <w:p w:rsidR="00F45576" w:rsidRPr="00E3331A" w:rsidRDefault="009C6FA6" w:rsidP="00F45576">
            <w:pPr>
              <w:pStyle w:val="Tabletext1"/>
              <w:rPr>
                <w:szCs w:val="18"/>
                <w:lang w:val="en-US"/>
              </w:rPr>
            </w:pPr>
            <w:r w:rsidRPr="00E3331A">
              <w:rPr>
                <w:szCs w:val="18"/>
                <w:lang w:val="en-US"/>
              </w:rPr>
              <w:t>Patients remain disabled until death. They cannot transition back to pre-disabled states.</w:t>
            </w:r>
          </w:p>
        </w:tc>
        <w:tc>
          <w:tcPr>
            <w:tcW w:w="1937" w:type="pct"/>
            <w:tcBorders>
              <w:top w:val="single" w:sz="4" w:space="0" w:color="auto"/>
              <w:left w:val="single" w:sz="4" w:space="0" w:color="auto"/>
              <w:bottom w:val="single" w:sz="4" w:space="0" w:color="auto"/>
              <w:right w:val="single" w:sz="4" w:space="0" w:color="auto"/>
            </w:tcBorders>
            <w:vAlign w:val="center"/>
          </w:tcPr>
          <w:p w:rsidR="00F45576" w:rsidRPr="00E3331A" w:rsidRDefault="00F45576" w:rsidP="00F45576">
            <w:pPr>
              <w:pStyle w:val="Tabletext1"/>
              <w:rPr>
                <w:szCs w:val="18"/>
                <w:lang w:val="en-US"/>
              </w:rPr>
            </w:pPr>
            <w:r w:rsidRPr="00E3331A">
              <w:rPr>
                <w:szCs w:val="18"/>
                <w:lang w:val="en-US"/>
              </w:rPr>
              <w:t>Death</w:t>
            </w:r>
          </w:p>
        </w:tc>
      </w:tr>
      <w:tr w:rsidR="00F45576" w:rsidRPr="00E3331A" w:rsidTr="00493DDF">
        <w:trPr>
          <w:cantSplit/>
        </w:trPr>
        <w:tc>
          <w:tcPr>
            <w:tcW w:w="1569" w:type="pct"/>
            <w:tcBorders>
              <w:top w:val="single" w:sz="4" w:space="0" w:color="auto"/>
              <w:left w:val="single" w:sz="4" w:space="0" w:color="auto"/>
              <w:bottom w:val="single" w:sz="4" w:space="0" w:color="auto"/>
              <w:right w:val="single" w:sz="4" w:space="0" w:color="auto"/>
            </w:tcBorders>
            <w:vAlign w:val="center"/>
            <w:hideMark/>
          </w:tcPr>
          <w:p w:rsidR="00F45576" w:rsidRPr="00E3331A" w:rsidRDefault="00F45576" w:rsidP="00F45576">
            <w:pPr>
              <w:pStyle w:val="Tabletext1"/>
              <w:rPr>
                <w:szCs w:val="18"/>
                <w:lang w:val="en-US"/>
              </w:rPr>
            </w:pPr>
            <w:r w:rsidRPr="00E3331A">
              <w:rPr>
                <w:szCs w:val="18"/>
                <w:lang w:val="en-US"/>
              </w:rPr>
              <w:t>Death</w:t>
            </w:r>
          </w:p>
        </w:tc>
        <w:tc>
          <w:tcPr>
            <w:tcW w:w="1493" w:type="pct"/>
            <w:tcBorders>
              <w:top w:val="single" w:sz="4" w:space="0" w:color="auto"/>
              <w:left w:val="single" w:sz="4" w:space="0" w:color="auto"/>
              <w:bottom w:val="single" w:sz="4" w:space="0" w:color="auto"/>
              <w:right w:val="single" w:sz="4" w:space="0" w:color="auto"/>
            </w:tcBorders>
            <w:vAlign w:val="center"/>
          </w:tcPr>
          <w:p w:rsidR="00F45576" w:rsidRPr="00E3331A" w:rsidRDefault="00F45576" w:rsidP="00F45576">
            <w:pPr>
              <w:pStyle w:val="Tabletext1"/>
              <w:rPr>
                <w:szCs w:val="18"/>
                <w:lang w:val="en-US"/>
              </w:rPr>
            </w:pPr>
            <w:r w:rsidRPr="00E3331A">
              <w:rPr>
                <w:szCs w:val="18"/>
                <w:lang w:val="en-US"/>
              </w:rPr>
              <w:t>The proportion of the cohort that dies from any cause. No costs or benefits are accrued in this health state.</w:t>
            </w:r>
          </w:p>
        </w:tc>
        <w:tc>
          <w:tcPr>
            <w:tcW w:w="1937" w:type="pct"/>
            <w:tcBorders>
              <w:top w:val="single" w:sz="4" w:space="0" w:color="auto"/>
              <w:left w:val="single" w:sz="4" w:space="0" w:color="auto"/>
              <w:bottom w:val="single" w:sz="4" w:space="0" w:color="auto"/>
              <w:right w:val="single" w:sz="4" w:space="0" w:color="auto"/>
            </w:tcBorders>
            <w:vAlign w:val="center"/>
            <w:hideMark/>
          </w:tcPr>
          <w:p w:rsidR="00F45576" w:rsidRPr="00E3331A" w:rsidRDefault="00F45576" w:rsidP="00F45576">
            <w:pPr>
              <w:pStyle w:val="Tabletext1"/>
              <w:rPr>
                <w:szCs w:val="18"/>
                <w:lang w:val="en-US"/>
              </w:rPr>
            </w:pPr>
            <w:r w:rsidRPr="00E3331A">
              <w:rPr>
                <w:szCs w:val="18"/>
                <w:lang w:val="en-US"/>
              </w:rPr>
              <w:t>None</w:t>
            </w:r>
          </w:p>
          <w:p w:rsidR="00F45576" w:rsidRPr="00E3331A" w:rsidRDefault="00F45576" w:rsidP="00F45576">
            <w:pPr>
              <w:pStyle w:val="Tabletext1"/>
              <w:ind w:right="-97"/>
              <w:rPr>
                <w:szCs w:val="18"/>
                <w:lang w:val="en-US"/>
              </w:rPr>
            </w:pPr>
            <w:r w:rsidRPr="00E3331A">
              <w:rPr>
                <w:szCs w:val="18"/>
                <w:lang w:val="en-US"/>
              </w:rPr>
              <w:t>(this is an absorbing health state)</w:t>
            </w:r>
          </w:p>
        </w:tc>
      </w:tr>
    </w:tbl>
    <w:p w:rsidR="001F5B33" w:rsidRPr="00E3331A" w:rsidRDefault="001F5B33" w:rsidP="001F5B33">
      <w:pPr>
        <w:rPr>
          <w:rFonts w:ascii="Arial Narrow" w:hAnsi="Arial Narrow"/>
          <w:sz w:val="18"/>
        </w:rPr>
      </w:pPr>
      <w:r w:rsidRPr="00E3331A">
        <w:rPr>
          <w:rFonts w:ascii="Arial Narrow" w:hAnsi="Arial Narrow"/>
          <w:sz w:val="18"/>
        </w:rPr>
        <w:t>Abbreviations:</w:t>
      </w:r>
      <w:r w:rsidR="00345C95" w:rsidRPr="00E3331A">
        <w:rPr>
          <w:rFonts w:ascii="Arial Narrow" w:hAnsi="Arial Narrow"/>
          <w:sz w:val="18"/>
        </w:rPr>
        <w:t xml:space="preserve"> </w:t>
      </w:r>
      <w:r w:rsidRPr="00E3331A">
        <w:rPr>
          <w:rFonts w:ascii="Arial Narrow" w:hAnsi="Arial Narrow"/>
          <w:sz w:val="18"/>
        </w:rPr>
        <w:t>AE = adverse event = IG= immunoglobulin, IV = intravenous</w:t>
      </w:r>
    </w:p>
    <w:p w:rsidR="001F5B33" w:rsidRPr="00E3331A" w:rsidRDefault="001F5B33" w:rsidP="001F5B33">
      <w:pPr>
        <w:pStyle w:val="Heading4"/>
      </w:pPr>
      <w:r w:rsidRPr="00E3331A">
        <w:t>Cycle length</w:t>
      </w:r>
    </w:p>
    <w:p w:rsidR="001F5B33" w:rsidRPr="00E3331A" w:rsidRDefault="001F5B33" w:rsidP="00BB6E4C">
      <w:pPr>
        <w:pStyle w:val="BodyTextSTD"/>
      </w:pPr>
      <w:r w:rsidRPr="00E3331A">
        <w:t xml:space="preserve">The economic model employs a cycle length of </w:t>
      </w:r>
      <w:r w:rsidR="008F4EE5" w:rsidRPr="00E3331A">
        <w:t xml:space="preserve">one </w:t>
      </w:r>
      <w:r w:rsidRPr="00E3331A">
        <w:t>week. Annual and half yearly proportions of responders and non-responders, along with proportions with steroid AEs</w:t>
      </w:r>
      <w:r w:rsidR="008F4EE5" w:rsidRPr="00E3331A">
        <w:t>,</w:t>
      </w:r>
      <w:r w:rsidRPr="00E3331A">
        <w:t xml:space="preserve"> are converted to weekly probabilities. </w:t>
      </w:r>
    </w:p>
    <w:p w:rsidR="001F5B33" w:rsidRPr="00E3331A" w:rsidRDefault="001F5B33" w:rsidP="001F5B33">
      <w:pPr>
        <w:pStyle w:val="Heading4"/>
      </w:pPr>
      <w:r w:rsidRPr="00E3331A">
        <w:lastRenderedPageBreak/>
        <w:t>Discount rate</w:t>
      </w:r>
    </w:p>
    <w:p w:rsidR="001F5B33" w:rsidRPr="00E3331A" w:rsidRDefault="001F5B33" w:rsidP="00BB6E4C">
      <w:pPr>
        <w:pStyle w:val="BodyTextSTD"/>
      </w:pPr>
      <w:r w:rsidRPr="00E3331A">
        <w:t>Costs and clinical benefits (difference in QALY</w:t>
      </w:r>
      <w:r w:rsidR="008F4EE5" w:rsidRPr="00E3331A">
        <w:t>s</w:t>
      </w:r>
      <w:r w:rsidRPr="00E3331A">
        <w:t xml:space="preserve"> between Ig </w:t>
      </w:r>
      <w:r w:rsidR="008F4EE5" w:rsidRPr="00E3331A">
        <w:t xml:space="preserve">[IV and </w:t>
      </w:r>
      <w:r w:rsidRPr="00E3331A">
        <w:t>SC</w:t>
      </w:r>
      <w:r w:rsidR="008F4EE5" w:rsidRPr="00E3331A">
        <w:t>]</w:t>
      </w:r>
      <w:r w:rsidRPr="00E3331A">
        <w:t xml:space="preserve"> and </w:t>
      </w:r>
      <w:r w:rsidR="005541CA" w:rsidRPr="00E3331A">
        <w:t>c</w:t>
      </w:r>
      <w:r w:rsidRPr="00E3331A">
        <w:t xml:space="preserve">orticosteroids) are discounted at 5% per annum. The impact of discounting is explored in sensitivity analyses. A half cycle correction is applied. </w:t>
      </w:r>
    </w:p>
    <w:p w:rsidR="001F5B33" w:rsidRPr="00E3331A" w:rsidRDefault="001F5B33" w:rsidP="001F5B33">
      <w:pPr>
        <w:pStyle w:val="Heading4"/>
      </w:pPr>
      <w:r w:rsidRPr="00E3331A">
        <w:t>Comparator</w:t>
      </w:r>
    </w:p>
    <w:p w:rsidR="001F5B33" w:rsidRPr="00E3331A" w:rsidRDefault="001F5B33" w:rsidP="00BB6E4C">
      <w:pPr>
        <w:pStyle w:val="BodyTextSTD"/>
      </w:pPr>
      <w:r w:rsidRPr="00E3331A">
        <w:t xml:space="preserve">The main comparator for Ig </w:t>
      </w:r>
      <w:r w:rsidR="008F4EE5" w:rsidRPr="00E3331A">
        <w:t xml:space="preserve">is </w:t>
      </w:r>
      <w:r w:rsidRPr="00E3331A">
        <w:t xml:space="preserve">corticosteroids. Costs are also presented for </w:t>
      </w:r>
      <w:r w:rsidR="00D9688E">
        <w:t>a</w:t>
      </w:r>
      <w:r w:rsidR="004C5E7B" w:rsidRPr="004C5E7B">
        <w:t xml:space="preserve">zathioprine </w:t>
      </w:r>
      <w:r w:rsidR="004C5E7B">
        <w:t xml:space="preserve">used an immunosuppressant </w:t>
      </w:r>
      <w:r w:rsidRPr="00E3331A">
        <w:t xml:space="preserve">and plasma exchange. As there was limited clinical and </w:t>
      </w:r>
      <w:r w:rsidR="008F4EE5" w:rsidRPr="00E3331A">
        <w:t>QoL</w:t>
      </w:r>
      <w:r w:rsidRPr="00E3331A">
        <w:t xml:space="preserve"> evidence to compare these interventions with Ig, they are discussed in terms of cost alone.</w:t>
      </w:r>
    </w:p>
    <w:p w:rsidR="001F5B33" w:rsidRPr="00E3331A" w:rsidRDefault="001F5B33" w:rsidP="00BB6E4C">
      <w:pPr>
        <w:pStyle w:val="Heading2"/>
        <w:numPr>
          <w:ilvl w:val="3"/>
          <w:numId w:val="10"/>
        </w:numPr>
      </w:pPr>
      <w:bookmarkStart w:id="424" w:name="_Toc24103511"/>
      <w:r w:rsidRPr="00E3331A">
        <w:t>Inputs to the economic evaluation</w:t>
      </w:r>
      <w:bookmarkEnd w:id="424"/>
    </w:p>
    <w:p w:rsidR="001F5B33" w:rsidRPr="00E3331A" w:rsidRDefault="001F5B33" w:rsidP="00BB6E4C">
      <w:pPr>
        <w:pStyle w:val="BodyTextSTD"/>
      </w:pPr>
      <w:r w:rsidRPr="00E3331A">
        <w:t>The following sections summarise the clinical and economic input parameters included in the economic evaluation. Variables used in the economic evaluation can be grouped into the following categories</w:t>
      </w:r>
      <w:r w:rsidR="008F4EE5" w:rsidRPr="00E3331A">
        <w:t>:</w:t>
      </w:r>
    </w:p>
    <w:p w:rsidR="001F5B33" w:rsidRPr="00E3331A" w:rsidRDefault="001F5B33" w:rsidP="001F5B33">
      <w:pPr>
        <w:pStyle w:val="Heading3"/>
      </w:pPr>
      <w:bookmarkStart w:id="425" w:name="_Toc24103512"/>
      <w:r w:rsidRPr="00E3331A">
        <w:t>D.4.1.</w:t>
      </w:r>
      <w:r w:rsidRPr="00E3331A">
        <w:tab/>
        <w:t>Clinical Input Parameters</w:t>
      </w:r>
      <w:bookmarkEnd w:id="425"/>
    </w:p>
    <w:p w:rsidR="001F5B33" w:rsidRPr="00E3331A" w:rsidRDefault="001F5B33" w:rsidP="001F5B33">
      <w:pPr>
        <w:pStyle w:val="Heading4"/>
      </w:pPr>
      <w:r w:rsidRPr="00E3331A">
        <w:t>Baseline patient demographics</w:t>
      </w:r>
    </w:p>
    <w:p w:rsidR="001F5B33" w:rsidRPr="00E3331A" w:rsidRDefault="006F35B9" w:rsidP="00BB6E4C">
      <w:pPr>
        <w:pStyle w:val="BodyTextSTD"/>
      </w:pPr>
      <w:r w:rsidRPr="00E3331A">
        <w:t xml:space="preserve">Table </w:t>
      </w:r>
      <w:r>
        <w:rPr>
          <w:noProof/>
        </w:rPr>
        <w:t>69</w:t>
      </w:r>
      <w:r w:rsidR="001F5B33" w:rsidRPr="00E3331A">
        <w:t xml:space="preserve"> summarises baseline patient characteristics of the modelled patient population. Starting age has a limited impact given </w:t>
      </w:r>
      <w:r w:rsidR="008F4EE5" w:rsidRPr="00E3331A">
        <w:t xml:space="preserve">that </w:t>
      </w:r>
      <w:r w:rsidR="001F5B33" w:rsidRPr="00E3331A">
        <w:t>background mortality differs across a life table.</w:t>
      </w:r>
      <w:r w:rsidR="00345C95" w:rsidRPr="00E3331A">
        <w:t xml:space="preserve"> </w:t>
      </w:r>
      <w:r w:rsidR="001F5B33" w:rsidRPr="00E3331A">
        <w:t xml:space="preserve">This variable does not affect the treatment effectiveness or natural history of the disease in the model. Average weight was taken from the patient profile in key trials. Given </w:t>
      </w:r>
      <w:r w:rsidR="008F4EE5" w:rsidRPr="00E3331A">
        <w:t xml:space="preserve">that </w:t>
      </w:r>
      <w:r w:rsidR="001F5B33" w:rsidRPr="00E3331A">
        <w:t>Ig costs are a large (80%+) component of total intervention costs, weight and dosing have a large impact on the estimated ICER</w:t>
      </w:r>
      <w:r w:rsidR="008F4EE5" w:rsidRPr="00E3331A">
        <w:t>.</w:t>
      </w:r>
    </w:p>
    <w:p w:rsidR="001F5B33" w:rsidRPr="00E3331A" w:rsidRDefault="001F5B33" w:rsidP="001F5B33">
      <w:pPr>
        <w:pStyle w:val="Caption"/>
      </w:pPr>
      <w:bookmarkStart w:id="426" w:name="_Ref499116775"/>
      <w:bookmarkStart w:id="427" w:name="_Toc504121900"/>
      <w:bookmarkStart w:id="428" w:name="_Toc506537992"/>
      <w:bookmarkStart w:id="429" w:name="_Toc24103375"/>
      <w:r w:rsidRPr="00E3331A">
        <w:t xml:space="preserve">Table </w:t>
      </w:r>
      <w:r w:rsidR="006F35B9">
        <w:rPr>
          <w:noProof/>
        </w:rPr>
        <w:t>69</w:t>
      </w:r>
      <w:bookmarkEnd w:id="426"/>
      <w:r w:rsidR="008F4EE5" w:rsidRPr="00E3331A">
        <w:rPr>
          <w:noProof/>
        </w:rPr>
        <w:tab/>
      </w:r>
      <w:r w:rsidRPr="00E3331A">
        <w:t>Baseline patient and disease characteristics of the modelled patient cohort</w:t>
      </w:r>
      <w:bookmarkEnd w:id="427"/>
      <w:bookmarkEnd w:id="428"/>
      <w:bookmarkEnd w:id="4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844"/>
        <w:gridCol w:w="4342"/>
      </w:tblGrid>
      <w:tr w:rsidR="001F5B33" w:rsidRPr="00E3331A" w:rsidTr="0007007F">
        <w:trPr>
          <w:trHeight w:val="300"/>
          <w:tblHeader/>
        </w:trPr>
        <w:tc>
          <w:tcPr>
            <w:tcW w:w="1569" w:type="pct"/>
            <w:tcBorders>
              <w:bottom w:val="single" w:sz="4" w:space="0" w:color="auto"/>
            </w:tcBorders>
            <w:shd w:val="clear" w:color="auto" w:fill="D9D9D9"/>
            <w:vAlign w:val="center"/>
          </w:tcPr>
          <w:p w:rsidR="001F5B33" w:rsidRPr="00E3331A" w:rsidRDefault="001F5B33" w:rsidP="00493DDF">
            <w:pPr>
              <w:pStyle w:val="TableHeading"/>
            </w:pPr>
            <w:r w:rsidRPr="00E3331A">
              <w:t>Parameter</w:t>
            </w:r>
          </w:p>
        </w:tc>
        <w:tc>
          <w:tcPr>
            <w:tcW w:w="1022" w:type="pct"/>
            <w:tcBorders>
              <w:bottom w:val="single" w:sz="4" w:space="0" w:color="auto"/>
            </w:tcBorders>
            <w:shd w:val="clear" w:color="auto" w:fill="D9D9D9"/>
            <w:vAlign w:val="center"/>
          </w:tcPr>
          <w:p w:rsidR="001F5B33" w:rsidRPr="00E3331A" w:rsidRDefault="001F5B33" w:rsidP="00493DDF">
            <w:pPr>
              <w:pStyle w:val="TableHeading"/>
              <w:jc w:val="center"/>
            </w:pPr>
            <w:r w:rsidRPr="00E3331A">
              <w:t>Input</w:t>
            </w:r>
          </w:p>
        </w:tc>
        <w:tc>
          <w:tcPr>
            <w:tcW w:w="2408" w:type="pct"/>
            <w:tcBorders>
              <w:bottom w:val="single" w:sz="4" w:space="0" w:color="auto"/>
            </w:tcBorders>
            <w:shd w:val="clear" w:color="auto" w:fill="D9D9D9"/>
            <w:vAlign w:val="center"/>
          </w:tcPr>
          <w:p w:rsidR="001F5B33" w:rsidRPr="00E3331A" w:rsidRDefault="001F5B33" w:rsidP="00493DDF">
            <w:pPr>
              <w:pStyle w:val="TableHeading"/>
              <w:jc w:val="center"/>
            </w:pPr>
            <w:r w:rsidRPr="00E3331A">
              <w:t>Source</w:t>
            </w:r>
          </w:p>
        </w:tc>
      </w:tr>
      <w:tr w:rsidR="001F5B33" w:rsidRPr="00E3331A" w:rsidTr="00493DDF">
        <w:trPr>
          <w:trHeight w:val="300"/>
        </w:trPr>
        <w:tc>
          <w:tcPr>
            <w:tcW w:w="1569" w:type="pct"/>
            <w:shd w:val="clear" w:color="auto" w:fill="auto"/>
          </w:tcPr>
          <w:p w:rsidR="001F5B33" w:rsidRPr="00E3331A" w:rsidRDefault="001F5B33" w:rsidP="00493DDF">
            <w:pPr>
              <w:pStyle w:val="Tabletext1"/>
            </w:pPr>
            <w:r w:rsidRPr="00E3331A">
              <w:t>Age of population at baseline</w:t>
            </w:r>
          </w:p>
        </w:tc>
        <w:tc>
          <w:tcPr>
            <w:tcW w:w="1022" w:type="pct"/>
            <w:shd w:val="clear" w:color="auto" w:fill="auto"/>
          </w:tcPr>
          <w:p w:rsidR="001F5B33" w:rsidRPr="00E3331A" w:rsidRDefault="00BB4D88" w:rsidP="00493DDF">
            <w:pPr>
              <w:pStyle w:val="Tabletext1"/>
              <w:jc w:val="center"/>
            </w:pPr>
            <w:r w:rsidRPr="00E3331A">
              <w:t>55</w:t>
            </w:r>
          </w:p>
        </w:tc>
        <w:tc>
          <w:tcPr>
            <w:tcW w:w="2408" w:type="pct"/>
            <w:shd w:val="clear" w:color="auto" w:fill="auto"/>
          </w:tcPr>
          <w:p w:rsidR="001F5B33" w:rsidRPr="00E3331A" w:rsidRDefault="001F5B33" w:rsidP="00493DDF">
            <w:pPr>
              <w:pStyle w:val="Tabletext1"/>
            </w:pPr>
            <w:r w:rsidRPr="00E3331A">
              <w:t xml:space="preserve">Based on Hughes </w:t>
            </w:r>
            <w:r w:rsidR="00983BA7">
              <w:t xml:space="preserve">et al. </w:t>
            </w:r>
            <w:r w:rsidRPr="00E3331A">
              <w:t xml:space="preserve">(2001, 2008) and </w:t>
            </w:r>
            <w:r w:rsidR="00917BA5" w:rsidRPr="00E3331A">
              <w:t>NBA data. Average age 64 years in 2017-18</w:t>
            </w:r>
            <w:r w:rsidR="00EA6DDC" w:rsidRPr="00E3331A">
              <w:t xml:space="preserve"> in NBA supplied data for 2017-18.</w:t>
            </w:r>
          </w:p>
        </w:tc>
      </w:tr>
      <w:tr w:rsidR="001F5B33" w:rsidRPr="00E3331A" w:rsidTr="00493DDF">
        <w:trPr>
          <w:trHeight w:val="315"/>
        </w:trPr>
        <w:tc>
          <w:tcPr>
            <w:tcW w:w="1569" w:type="pct"/>
            <w:shd w:val="clear" w:color="auto" w:fill="auto"/>
          </w:tcPr>
          <w:p w:rsidR="001F5B33" w:rsidRPr="00E3331A" w:rsidRDefault="001F5B33" w:rsidP="00493DDF">
            <w:pPr>
              <w:pStyle w:val="Tabletext1"/>
            </w:pPr>
            <w:r w:rsidRPr="00E3331A">
              <w:t>Weight</w:t>
            </w:r>
          </w:p>
        </w:tc>
        <w:tc>
          <w:tcPr>
            <w:tcW w:w="1022" w:type="pct"/>
            <w:shd w:val="clear" w:color="auto" w:fill="auto"/>
          </w:tcPr>
          <w:p w:rsidR="001F5B33" w:rsidRPr="00E3331A" w:rsidRDefault="00BB4D88" w:rsidP="00493DDF">
            <w:pPr>
              <w:pStyle w:val="Tabletext1"/>
              <w:jc w:val="center"/>
            </w:pPr>
            <w:r w:rsidRPr="00E3331A">
              <w:t>8</w:t>
            </w:r>
            <w:r w:rsidR="00EE1AFD" w:rsidRPr="00E3331A">
              <w:t>2.5</w:t>
            </w:r>
            <w:r w:rsidR="001F5B33" w:rsidRPr="00E3331A">
              <w:t>kg</w:t>
            </w:r>
          </w:p>
        </w:tc>
        <w:tc>
          <w:tcPr>
            <w:tcW w:w="2408" w:type="pct"/>
            <w:shd w:val="clear" w:color="auto" w:fill="auto"/>
          </w:tcPr>
          <w:p w:rsidR="001F5B33" w:rsidRPr="00E3331A" w:rsidRDefault="001F5B33" w:rsidP="00493DDF">
            <w:pPr>
              <w:pStyle w:val="Tabletext1"/>
            </w:pPr>
            <w:r w:rsidRPr="00E3331A">
              <w:t xml:space="preserve">Based on </w:t>
            </w:r>
            <w:r w:rsidR="00917BA5" w:rsidRPr="00E3331A">
              <w:t>NBA data for 2017-18.</w:t>
            </w:r>
          </w:p>
        </w:tc>
      </w:tr>
    </w:tbl>
    <w:p w:rsidR="001F5B33" w:rsidRPr="00E3331A" w:rsidRDefault="001F5B33" w:rsidP="001F5B33">
      <w:pPr>
        <w:pStyle w:val="Heading4"/>
      </w:pPr>
      <w:r w:rsidRPr="00E3331A">
        <w:t>Transition probabilities</w:t>
      </w:r>
    </w:p>
    <w:p w:rsidR="001F5B33" w:rsidRPr="00E3331A" w:rsidRDefault="001F5B33" w:rsidP="00B30C0B">
      <w:pPr>
        <w:pStyle w:val="BodyTextSTD"/>
      </w:pPr>
      <w:r w:rsidRPr="00E3331A">
        <w:t xml:space="preserve">Section B is used for Ig transition probabilities, while corticosteroid and associated AE probabilities are derived from Blackhouse </w:t>
      </w:r>
      <w:r w:rsidR="00983BA7">
        <w:t xml:space="preserve">et al. </w:t>
      </w:r>
      <w:r w:rsidRPr="00E3331A">
        <w:t>(2010). Annual values are converted to weekly equivalent</w:t>
      </w:r>
      <w:r w:rsidR="00E353BE" w:rsidRPr="00E3331A">
        <w:t>s</w:t>
      </w:r>
      <w:r w:rsidRPr="00E3331A">
        <w:t xml:space="preserve"> using the formulae -(LN(1-annual probability))/52. Weekly probabilities are </w:t>
      </w:r>
      <w:r w:rsidR="009C6FA6" w:rsidRPr="00E3331A">
        <w:t xml:space="preserve">specified </w:t>
      </w:r>
      <w:r w:rsidRPr="00E3331A">
        <w:t xml:space="preserve">in </w:t>
      </w:r>
      <w:r w:rsidR="006F35B9" w:rsidRPr="00E3331A">
        <w:t xml:space="preserve">Table </w:t>
      </w:r>
      <w:r w:rsidR="006F35B9">
        <w:rPr>
          <w:noProof/>
        </w:rPr>
        <w:t>70</w:t>
      </w:r>
      <w:r w:rsidRPr="00E3331A">
        <w:t>.</w:t>
      </w:r>
    </w:p>
    <w:p w:rsidR="00DC17AC" w:rsidRPr="00E3331A" w:rsidRDefault="00DC17AC" w:rsidP="00304276">
      <w:pPr>
        <w:spacing w:after="0" w:line="240" w:lineRule="auto"/>
      </w:pPr>
    </w:p>
    <w:p w:rsidR="001F5B33" w:rsidRPr="00E3331A" w:rsidRDefault="001F5B33" w:rsidP="001F5B33">
      <w:pPr>
        <w:pStyle w:val="Caption"/>
      </w:pPr>
      <w:bookmarkStart w:id="430" w:name="_Ref499119615"/>
      <w:bookmarkStart w:id="431" w:name="_Toc504121902"/>
      <w:bookmarkStart w:id="432" w:name="_Toc506537994"/>
      <w:bookmarkStart w:id="433" w:name="_Toc24103376"/>
      <w:r w:rsidRPr="00E3331A">
        <w:lastRenderedPageBreak/>
        <w:t xml:space="preserve">Table </w:t>
      </w:r>
      <w:r w:rsidR="006F35B9">
        <w:rPr>
          <w:noProof/>
        </w:rPr>
        <w:t>70</w:t>
      </w:r>
      <w:bookmarkEnd w:id="430"/>
      <w:r w:rsidR="00E353BE" w:rsidRPr="00E3331A">
        <w:rPr>
          <w:noProof/>
        </w:rPr>
        <w:tab/>
      </w:r>
      <w:r w:rsidRPr="00E3331A">
        <w:t>Health state transition probabilities</w:t>
      </w:r>
      <w:bookmarkEnd w:id="431"/>
      <w:bookmarkEnd w:id="432"/>
      <w:bookmarkEnd w:id="4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74"/>
        <w:gridCol w:w="3775"/>
        <w:gridCol w:w="992"/>
        <w:gridCol w:w="1134"/>
        <w:gridCol w:w="941"/>
      </w:tblGrid>
      <w:tr w:rsidR="005C6F6D" w:rsidRPr="00E3331A" w:rsidTr="00304276">
        <w:trPr>
          <w:cantSplit/>
          <w:tblHeader/>
        </w:trPr>
        <w:tc>
          <w:tcPr>
            <w:tcW w:w="2174" w:type="dxa"/>
            <w:vMerge w:val="restart"/>
            <w:shd w:val="clear" w:color="auto" w:fill="D9D9D9"/>
            <w:vAlign w:val="center"/>
          </w:tcPr>
          <w:p w:rsidR="005C6F6D" w:rsidRPr="00E3331A" w:rsidRDefault="005C6F6D" w:rsidP="00B30C0B">
            <w:pPr>
              <w:pStyle w:val="TableHeading"/>
            </w:pPr>
            <w:r w:rsidRPr="00E3331A">
              <w:t>Parameter</w:t>
            </w:r>
          </w:p>
        </w:tc>
        <w:tc>
          <w:tcPr>
            <w:tcW w:w="3775" w:type="dxa"/>
            <w:vMerge w:val="restart"/>
            <w:shd w:val="clear" w:color="auto" w:fill="D9D9D9"/>
            <w:vAlign w:val="center"/>
          </w:tcPr>
          <w:p w:rsidR="005C6F6D" w:rsidRPr="00E3331A" w:rsidRDefault="005C6F6D" w:rsidP="00B30C0B">
            <w:pPr>
              <w:pStyle w:val="TableHeading"/>
            </w:pPr>
            <w:r w:rsidRPr="00E3331A">
              <w:t>Study</w:t>
            </w:r>
          </w:p>
        </w:tc>
        <w:tc>
          <w:tcPr>
            <w:tcW w:w="3067" w:type="dxa"/>
            <w:gridSpan w:val="3"/>
            <w:shd w:val="clear" w:color="auto" w:fill="D9D9D9"/>
            <w:vAlign w:val="center"/>
          </w:tcPr>
          <w:p w:rsidR="005C6F6D" w:rsidRPr="00E3331A" w:rsidRDefault="005C6F6D" w:rsidP="00067F8C">
            <w:pPr>
              <w:pStyle w:val="TableHeading"/>
              <w:jc w:val="center"/>
            </w:pPr>
            <w:r w:rsidRPr="00E3331A">
              <w:t>Weekly rates</w:t>
            </w:r>
          </w:p>
        </w:tc>
      </w:tr>
      <w:tr w:rsidR="005C6F6D" w:rsidRPr="00E3331A" w:rsidTr="00304276">
        <w:trPr>
          <w:cantSplit/>
          <w:tblHeader/>
        </w:trPr>
        <w:tc>
          <w:tcPr>
            <w:tcW w:w="2174" w:type="dxa"/>
            <w:vMerge/>
            <w:shd w:val="clear" w:color="auto" w:fill="D9D9D9"/>
            <w:vAlign w:val="center"/>
          </w:tcPr>
          <w:p w:rsidR="005C6F6D" w:rsidRPr="00E3331A" w:rsidRDefault="005C6F6D" w:rsidP="00B30C0B">
            <w:pPr>
              <w:pStyle w:val="TableHeading"/>
            </w:pPr>
          </w:p>
        </w:tc>
        <w:tc>
          <w:tcPr>
            <w:tcW w:w="3775" w:type="dxa"/>
            <w:vMerge/>
            <w:shd w:val="clear" w:color="auto" w:fill="D9D9D9"/>
            <w:vAlign w:val="center"/>
          </w:tcPr>
          <w:p w:rsidR="005C6F6D" w:rsidRPr="00E3331A" w:rsidRDefault="005C6F6D" w:rsidP="00B30C0B">
            <w:pPr>
              <w:pStyle w:val="TableHeading"/>
            </w:pPr>
          </w:p>
        </w:tc>
        <w:tc>
          <w:tcPr>
            <w:tcW w:w="992" w:type="dxa"/>
            <w:shd w:val="clear" w:color="auto" w:fill="D9D9D9"/>
            <w:vAlign w:val="center"/>
          </w:tcPr>
          <w:p w:rsidR="005C6F6D" w:rsidRPr="00E3331A" w:rsidRDefault="005C6F6D" w:rsidP="00B30C0B">
            <w:pPr>
              <w:pStyle w:val="TableHeading"/>
            </w:pPr>
            <w:r w:rsidRPr="00E3331A">
              <w:t>&gt;1 year</w:t>
            </w:r>
          </w:p>
        </w:tc>
        <w:tc>
          <w:tcPr>
            <w:tcW w:w="1134" w:type="dxa"/>
            <w:shd w:val="clear" w:color="auto" w:fill="D9D9D9"/>
            <w:vAlign w:val="center"/>
          </w:tcPr>
          <w:p w:rsidR="005C6F6D" w:rsidRPr="00E3331A" w:rsidRDefault="005C6F6D" w:rsidP="00B30C0B">
            <w:pPr>
              <w:pStyle w:val="TableHeading"/>
            </w:pPr>
            <w:r w:rsidRPr="00E3331A">
              <w:t>1 to 5 years</w:t>
            </w:r>
          </w:p>
        </w:tc>
        <w:tc>
          <w:tcPr>
            <w:tcW w:w="941" w:type="dxa"/>
            <w:shd w:val="clear" w:color="auto" w:fill="D9D9D9"/>
            <w:vAlign w:val="center"/>
          </w:tcPr>
          <w:p w:rsidR="005C6F6D" w:rsidRPr="00E3331A" w:rsidRDefault="005C6F6D" w:rsidP="00B30C0B">
            <w:pPr>
              <w:pStyle w:val="TableHeading"/>
            </w:pPr>
            <w:r w:rsidRPr="00E3331A">
              <w:t>5+ years</w:t>
            </w:r>
          </w:p>
        </w:tc>
      </w:tr>
      <w:tr w:rsidR="008D0E46" w:rsidRPr="00E3331A" w:rsidTr="00304276">
        <w:trPr>
          <w:cantSplit/>
          <w:trHeight w:val="1087"/>
        </w:trPr>
        <w:tc>
          <w:tcPr>
            <w:tcW w:w="2174" w:type="dxa"/>
            <w:vAlign w:val="center"/>
          </w:tcPr>
          <w:p w:rsidR="008D0E46" w:rsidRPr="00E3331A" w:rsidRDefault="008D0E46" w:rsidP="008D0E46">
            <w:pPr>
              <w:pStyle w:val="Tablenotes0"/>
            </w:pPr>
            <w:r w:rsidRPr="00E3331A">
              <w:t>Ig response probability</w:t>
            </w:r>
          </w:p>
        </w:tc>
        <w:tc>
          <w:tcPr>
            <w:tcW w:w="3775" w:type="dxa"/>
            <w:vAlign w:val="center"/>
          </w:tcPr>
          <w:p w:rsidR="008D0E46" w:rsidRPr="00E3331A" w:rsidRDefault="008D0E46" w:rsidP="008D0E46">
            <w:pPr>
              <w:pStyle w:val="Tablenotes0"/>
            </w:pPr>
            <w:r w:rsidRPr="00E3331A">
              <w:t xml:space="preserve">The IVIg response rate for initial treatment is a pooled response rate from the Zinman et al. (2005), Hughes et al. (2008) and Nobile-Orazio et al. (2012) studies. It is higher than the pooled estimate in Blackhouse </w:t>
            </w:r>
            <w:r w:rsidR="00983BA7">
              <w:t xml:space="preserve">et al. </w:t>
            </w:r>
            <w:r w:rsidRPr="00E3331A">
              <w:t xml:space="preserve">2010 of 0.473. The calculation included response rates from the IVIg treatment arms of Zinman (2005), Thompson (1996), Mendell (2001), Hughes (2008), Vermuelen (1993) and Hahn (1996) which had limited months of follow-up. The response rate is included at 12 weeks in line with Australia Ig use assessment timing. </w:t>
            </w:r>
          </w:p>
        </w:tc>
        <w:tc>
          <w:tcPr>
            <w:tcW w:w="992" w:type="dxa"/>
            <w:vAlign w:val="center"/>
          </w:tcPr>
          <w:p w:rsidR="008D0E46" w:rsidRDefault="008D0E46" w:rsidP="00304276">
            <w:pPr>
              <w:jc w:val="center"/>
              <w:rPr>
                <w:rFonts w:ascii="Arial Narrow" w:hAnsi="Arial Narrow" w:cs="Calibri"/>
                <w:color w:val="000000"/>
                <w:sz w:val="20"/>
                <w:szCs w:val="20"/>
              </w:rPr>
            </w:pPr>
            <w:r w:rsidRPr="008D0E46">
              <w:rPr>
                <w:rFonts w:ascii="Arial Narrow" w:hAnsi="Arial Narrow" w:cs="Calibri"/>
                <w:color w:val="000000"/>
                <w:sz w:val="20"/>
                <w:szCs w:val="20"/>
              </w:rPr>
              <w:t>0.61000</w:t>
            </w:r>
          </w:p>
          <w:p w:rsidR="008D0E46" w:rsidRPr="00304276" w:rsidRDefault="008D0E46" w:rsidP="00304276">
            <w:pPr>
              <w:jc w:val="center"/>
              <w:rPr>
                <w:rFonts w:ascii="Arial Narrow" w:hAnsi="Arial Narrow" w:cs="Calibri"/>
                <w:color w:val="000000"/>
                <w:sz w:val="20"/>
                <w:szCs w:val="20"/>
              </w:rPr>
            </w:pPr>
            <w:r>
              <w:rPr>
                <w:rFonts w:ascii="Arial Narrow" w:hAnsi="Arial Narrow" w:cs="Calibri"/>
                <w:color w:val="000000"/>
                <w:sz w:val="20"/>
                <w:szCs w:val="20"/>
              </w:rPr>
              <w:t>At 4 months</w:t>
            </w:r>
          </w:p>
        </w:tc>
        <w:tc>
          <w:tcPr>
            <w:tcW w:w="1134" w:type="dxa"/>
            <w:vAlign w:val="center"/>
          </w:tcPr>
          <w:p w:rsidR="008D0E46" w:rsidRPr="00304276" w:rsidRDefault="008D0E46" w:rsidP="00304276">
            <w:pPr>
              <w:jc w:val="center"/>
              <w:rPr>
                <w:rFonts w:ascii="Arial Narrow" w:hAnsi="Arial Narrow" w:cs="Calibri"/>
                <w:color w:val="000000"/>
                <w:sz w:val="20"/>
                <w:szCs w:val="20"/>
              </w:rPr>
            </w:pPr>
            <w:r w:rsidRPr="008D0E46">
              <w:rPr>
                <w:rFonts w:ascii="Arial Narrow" w:hAnsi="Arial Narrow" w:cs="Calibri"/>
                <w:color w:val="000000"/>
                <w:sz w:val="20"/>
                <w:szCs w:val="20"/>
              </w:rPr>
              <w:t>NA</w:t>
            </w:r>
          </w:p>
        </w:tc>
        <w:tc>
          <w:tcPr>
            <w:tcW w:w="941" w:type="dxa"/>
            <w:vAlign w:val="center"/>
          </w:tcPr>
          <w:p w:rsidR="008D0E46" w:rsidRPr="00304276" w:rsidRDefault="008D0E46" w:rsidP="00304276">
            <w:pPr>
              <w:jc w:val="center"/>
              <w:rPr>
                <w:rFonts w:ascii="Arial Narrow" w:hAnsi="Arial Narrow" w:cs="Calibri"/>
                <w:color w:val="000000"/>
                <w:sz w:val="20"/>
                <w:szCs w:val="20"/>
              </w:rPr>
            </w:pPr>
            <w:r w:rsidRPr="008D0E46">
              <w:rPr>
                <w:rFonts w:ascii="Arial Narrow" w:hAnsi="Arial Narrow" w:cs="Calibri"/>
                <w:color w:val="000000"/>
                <w:sz w:val="20"/>
                <w:szCs w:val="20"/>
              </w:rPr>
              <w:t>NA</w:t>
            </w:r>
          </w:p>
        </w:tc>
      </w:tr>
      <w:tr w:rsidR="008D0E46" w:rsidRPr="00E3331A" w:rsidTr="00304276">
        <w:trPr>
          <w:cantSplit/>
          <w:trHeight w:val="1087"/>
        </w:trPr>
        <w:tc>
          <w:tcPr>
            <w:tcW w:w="2174" w:type="dxa"/>
            <w:vAlign w:val="center"/>
          </w:tcPr>
          <w:p w:rsidR="008D0E46" w:rsidRPr="00E3331A" w:rsidRDefault="008D0E46" w:rsidP="008D0E46">
            <w:pPr>
              <w:pStyle w:val="Tablenotes0"/>
            </w:pPr>
            <w:r w:rsidRPr="00E3331A">
              <w:t>Ig relapse probability</w:t>
            </w:r>
          </w:p>
        </w:tc>
        <w:tc>
          <w:tcPr>
            <w:tcW w:w="3775" w:type="dxa"/>
            <w:vAlign w:val="center"/>
          </w:tcPr>
          <w:p w:rsidR="008D0E46" w:rsidRPr="00E3331A" w:rsidRDefault="008D0E46" w:rsidP="008D0E46">
            <w:pPr>
              <w:pStyle w:val="Tablenotes0"/>
            </w:pPr>
            <w:r w:rsidRPr="00E3331A">
              <w:t>The IVIg relapse rate was based upon data from the ICE study. The 25-week relapse rate for IVIg in this study was estimated to be 13%. It is converted to a weekly probability using -(LN(1-0.13))/25. The ICE study does not extrapolate beyond 1-year; therefore, no additional relapse is assumed beyond 12 months.</w:t>
            </w:r>
          </w:p>
        </w:tc>
        <w:tc>
          <w:tcPr>
            <w:tcW w:w="992" w:type="dxa"/>
            <w:vAlign w:val="center"/>
          </w:tcPr>
          <w:p w:rsidR="008D0E46" w:rsidRPr="005F0981" w:rsidRDefault="008D0E46" w:rsidP="00304276">
            <w:pPr>
              <w:jc w:val="center"/>
              <w:rPr>
                <w:rFonts w:ascii="Arial Narrow" w:hAnsi="Arial Narrow"/>
                <w:sz w:val="20"/>
                <w:szCs w:val="20"/>
              </w:rPr>
            </w:pPr>
            <w:r w:rsidRPr="008D0E46">
              <w:rPr>
                <w:rFonts w:ascii="Arial Narrow" w:hAnsi="Arial Narrow" w:cs="Calibri"/>
                <w:color w:val="000000"/>
                <w:sz w:val="20"/>
                <w:szCs w:val="20"/>
              </w:rPr>
              <w:t>0.00557</w:t>
            </w:r>
          </w:p>
        </w:tc>
        <w:tc>
          <w:tcPr>
            <w:tcW w:w="1134" w:type="dxa"/>
            <w:vAlign w:val="center"/>
          </w:tcPr>
          <w:p w:rsidR="008D0E46" w:rsidRPr="005F0981" w:rsidRDefault="008D0E46" w:rsidP="00304276">
            <w:pPr>
              <w:jc w:val="center"/>
              <w:rPr>
                <w:rFonts w:ascii="Arial Narrow" w:hAnsi="Arial Narrow"/>
                <w:sz w:val="20"/>
                <w:szCs w:val="20"/>
              </w:rPr>
            </w:pPr>
            <w:r w:rsidRPr="008D0E46">
              <w:rPr>
                <w:rFonts w:ascii="Arial Narrow" w:hAnsi="Arial Narrow" w:cs="Calibri"/>
                <w:color w:val="000000"/>
                <w:sz w:val="20"/>
                <w:szCs w:val="20"/>
              </w:rPr>
              <w:t>0.00000</w:t>
            </w:r>
          </w:p>
        </w:tc>
        <w:tc>
          <w:tcPr>
            <w:tcW w:w="941" w:type="dxa"/>
            <w:vAlign w:val="center"/>
          </w:tcPr>
          <w:p w:rsidR="008D0E46" w:rsidRPr="008D0E46" w:rsidRDefault="008D0E46" w:rsidP="00304276">
            <w:pPr>
              <w:jc w:val="center"/>
              <w:rPr>
                <w:rFonts w:ascii="Arial Narrow" w:hAnsi="Arial Narrow" w:cs="Calibri"/>
                <w:color w:val="000000"/>
                <w:sz w:val="20"/>
                <w:szCs w:val="20"/>
              </w:rPr>
            </w:pPr>
            <w:r w:rsidRPr="008D0E46">
              <w:rPr>
                <w:rFonts w:ascii="Arial Narrow" w:hAnsi="Arial Narrow" w:cs="Calibri"/>
                <w:color w:val="000000"/>
                <w:sz w:val="20"/>
                <w:szCs w:val="20"/>
              </w:rPr>
              <w:t>0.00000</w:t>
            </w:r>
          </w:p>
        </w:tc>
      </w:tr>
      <w:tr w:rsidR="008D0E46" w:rsidRPr="00E3331A" w:rsidTr="00304276">
        <w:trPr>
          <w:cantSplit/>
        </w:trPr>
        <w:tc>
          <w:tcPr>
            <w:tcW w:w="2174"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rPr>
                <w:sz w:val="20"/>
              </w:rPr>
            </w:pPr>
            <w:r w:rsidRPr="00E3331A">
              <w:rPr>
                <w:rFonts w:ascii="Arial Narrow" w:hAnsi="Arial Narrow"/>
                <w:sz w:val="18"/>
                <w:szCs w:val="20"/>
                <w:lang w:val="en-US"/>
              </w:rPr>
              <w:t>Corticosteroids (non-responder) probability</w:t>
            </w:r>
          </w:p>
        </w:tc>
        <w:tc>
          <w:tcPr>
            <w:tcW w:w="3775"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pPr>
            <w:r w:rsidRPr="00E3331A">
              <w:t xml:space="preserve">van Lieverloo </w:t>
            </w:r>
            <w:r w:rsidR="00983BA7">
              <w:t xml:space="preserve">et al. </w:t>
            </w:r>
            <w:r w:rsidRPr="00E3331A">
              <w:t xml:space="preserve">2018 indicated 60% responded to corticosteroids and of the 75 responders, 61% remained in remission, during a median follow-up of 55 months Eftimov et al. 2012 reported long-term results of PREDICT study for 5 years. 33% of patients had cure or remission, 33% had stable active disease and 10% had unstable active disease. Patient baseline population characteristics vary among trials, with some precluding those who were contraindicated to steroids, and others not. Correspondingly, there is uncertainty about steroid response rates among trials for the Australian patient population. Weekly non-response probably is included so 40% of the steroid arm is responsive after 5-years. Non-responsive patients and those with AEs transition to </w:t>
            </w:r>
            <w:r w:rsidR="00D9688E">
              <w:t>a</w:t>
            </w:r>
            <w:r w:rsidRPr="004C5E7B">
              <w:t>zathioprine</w:t>
            </w:r>
            <w:r>
              <w:t xml:space="preserve"> used an immunosuppressant.</w:t>
            </w:r>
            <w:r w:rsidRPr="00E3331A">
              <w:t xml:space="preserve"> This assumption is subject to sensitivity analysis.</w:t>
            </w:r>
          </w:p>
        </w:tc>
        <w:tc>
          <w:tcPr>
            <w:tcW w:w="992" w:type="dxa"/>
            <w:tcBorders>
              <w:top w:val="single" w:sz="4" w:space="0" w:color="auto"/>
              <w:left w:val="single" w:sz="4" w:space="0" w:color="auto"/>
              <w:bottom w:val="single" w:sz="4" w:space="0" w:color="auto"/>
              <w:right w:val="single" w:sz="4" w:space="0" w:color="auto"/>
            </w:tcBorders>
            <w:vAlign w:val="center"/>
          </w:tcPr>
          <w:p w:rsidR="008D0E46" w:rsidRPr="005F0981" w:rsidRDefault="008D0E46" w:rsidP="00304276">
            <w:pPr>
              <w:spacing w:after="0" w:line="240" w:lineRule="auto"/>
              <w:jc w:val="center"/>
              <w:rPr>
                <w:sz w:val="20"/>
                <w:szCs w:val="20"/>
              </w:rPr>
            </w:pPr>
            <w:r w:rsidRPr="008D0E46">
              <w:rPr>
                <w:rFonts w:ascii="Arial Narrow" w:hAnsi="Arial Narrow" w:cs="Calibri"/>
                <w:color w:val="000000"/>
                <w:sz w:val="20"/>
                <w:szCs w:val="20"/>
              </w:rPr>
              <w:t>0.00246</w:t>
            </w:r>
          </w:p>
        </w:tc>
        <w:tc>
          <w:tcPr>
            <w:tcW w:w="1134" w:type="dxa"/>
            <w:tcBorders>
              <w:top w:val="single" w:sz="4" w:space="0" w:color="auto"/>
              <w:left w:val="single" w:sz="4" w:space="0" w:color="auto"/>
              <w:bottom w:val="single" w:sz="4" w:space="0" w:color="auto"/>
              <w:right w:val="single" w:sz="4" w:space="0" w:color="auto"/>
            </w:tcBorders>
            <w:vAlign w:val="center"/>
          </w:tcPr>
          <w:p w:rsidR="008D0E46" w:rsidRPr="005F0981" w:rsidRDefault="008D0E46" w:rsidP="00304276">
            <w:pPr>
              <w:spacing w:after="0" w:line="240" w:lineRule="auto"/>
              <w:jc w:val="center"/>
              <w:rPr>
                <w:sz w:val="20"/>
                <w:szCs w:val="20"/>
              </w:rPr>
            </w:pPr>
            <w:r w:rsidRPr="008D0E46">
              <w:rPr>
                <w:rFonts w:ascii="Arial Narrow" w:hAnsi="Arial Narrow" w:cs="Calibri"/>
                <w:color w:val="000000"/>
                <w:sz w:val="20"/>
                <w:szCs w:val="20"/>
              </w:rPr>
              <w:t>0.00246</w:t>
            </w:r>
          </w:p>
        </w:tc>
        <w:tc>
          <w:tcPr>
            <w:tcW w:w="941" w:type="dxa"/>
            <w:tcBorders>
              <w:top w:val="single" w:sz="4" w:space="0" w:color="auto"/>
              <w:left w:val="single" w:sz="4" w:space="0" w:color="auto"/>
              <w:bottom w:val="single" w:sz="4" w:space="0" w:color="auto"/>
              <w:right w:val="single" w:sz="4" w:space="0" w:color="auto"/>
            </w:tcBorders>
            <w:vAlign w:val="center"/>
          </w:tcPr>
          <w:p w:rsidR="008D0E46" w:rsidRPr="00304276" w:rsidRDefault="008D0E46" w:rsidP="00304276">
            <w:pPr>
              <w:spacing w:after="0" w:line="240" w:lineRule="auto"/>
              <w:jc w:val="center"/>
              <w:rPr>
                <w:rFonts w:ascii="Arial Narrow" w:hAnsi="Arial Narrow" w:cs="Calibri"/>
                <w:sz w:val="20"/>
                <w:szCs w:val="20"/>
              </w:rPr>
            </w:pPr>
            <w:r w:rsidRPr="008D0E46">
              <w:rPr>
                <w:rFonts w:ascii="Arial Narrow" w:hAnsi="Arial Narrow" w:cs="Calibri"/>
                <w:color w:val="000000"/>
                <w:sz w:val="20"/>
                <w:szCs w:val="20"/>
              </w:rPr>
              <w:t>0.00000</w:t>
            </w:r>
          </w:p>
        </w:tc>
      </w:tr>
      <w:tr w:rsidR="008D0E46" w:rsidRPr="00E3331A" w:rsidTr="00304276">
        <w:trPr>
          <w:cantSplit/>
        </w:trPr>
        <w:tc>
          <w:tcPr>
            <w:tcW w:w="2174"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pPr>
            <w:r w:rsidRPr="004C5E7B">
              <w:rPr>
                <w:szCs w:val="20"/>
                <w:lang w:val="en-US"/>
              </w:rPr>
              <w:t xml:space="preserve">Azathioprine used an </w:t>
            </w:r>
            <w:r w:rsidR="00E810A5">
              <w:rPr>
                <w:szCs w:val="20"/>
                <w:lang w:val="en-US"/>
              </w:rPr>
              <w:t>i</w:t>
            </w:r>
            <w:r w:rsidR="00E810A5" w:rsidRPr="004C5E7B">
              <w:rPr>
                <w:szCs w:val="20"/>
                <w:lang w:val="en-US"/>
              </w:rPr>
              <w:t>mmun</w:t>
            </w:r>
            <w:r w:rsidR="00E810A5">
              <w:rPr>
                <w:szCs w:val="20"/>
                <w:lang w:val="en-US"/>
              </w:rPr>
              <w:t>osuppressant</w:t>
            </w:r>
            <w:r w:rsidRPr="004C5E7B" w:rsidDel="004C5E7B">
              <w:rPr>
                <w:szCs w:val="20"/>
                <w:lang w:val="en-US"/>
              </w:rPr>
              <w:t xml:space="preserve"> </w:t>
            </w:r>
            <w:r>
              <w:rPr>
                <w:szCs w:val="20"/>
                <w:lang w:val="en-US"/>
              </w:rPr>
              <w:t>n</w:t>
            </w:r>
            <w:r w:rsidRPr="00E3331A">
              <w:rPr>
                <w:szCs w:val="20"/>
                <w:lang w:val="en-US"/>
              </w:rPr>
              <w:t>on-responder probability</w:t>
            </w:r>
          </w:p>
        </w:tc>
        <w:tc>
          <w:tcPr>
            <w:tcW w:w="3775"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pPr>
            <w:r w:rsidRPr="00E3331A">
              <w:t xml:space="preserve">Bamrungsawad </w:t>
            </w:r>
            <w:r w:rsidR="00983BA7">
              <w:t xml:space="preserve">et al. </w:t>
            </w:r>
            <w:r w:rsidRPr="00E3331A">
              <w:t>(2016) included a zero probability of response to immunosuppressant plus corticosteroids. A 99.99% non-response at 1-year is converted to weekly rate of 0.66422 for steroid</w:t>
            </w:r>
            <w:r w:rsidR="00417823">
              <w:t>-resistant</w:t>
            </w:r>
            <w:r w:rsidRPr="00E3331A">
              <w:t xml:space="preserve"> patients. It is assumed that 75% of patients in steroid adverse events state would be non-</w:t>
            </w:r>
            <w:r w:rsidR="00E810A5" w:rsidRPr="00E3331A">
              <w:t>respondent</w:t>
            </w:r>
            <w:r w:rsidRPr="00E3331A">
              <w:t xml:space="preserve"> to </w:t>
            </w:r>
            <w:r w:rsidR="00D9688E">
              <w:t>a</w:t>
            </w:r>
            <w:r w:rsidRPr="004C5E7B">
              <w:t xml:space="preserve">zathioprine used an </w:t>
            </w:r>
            <w:r w:rsidR="00E810A5" w:rsidRPr="004C5E7B">
              <w:t>immun</w:t>
            </w:r>
            <w:r w:rsidR="00E810A5">
              <w:t>osuppressant</w:t>
            </w:r>
            <w:r w:rsidRPr="004C5E7B">
              <w:t xml:space="preserve"> </w:t>
            </w:r>
            <w:r w:rsidRPr="00E3331A">
              <w:t>after one year</w:t>
            </w:r>
          </w:p>
        </w:tc>
        <w:tc>
          <w:tcPr>
            <w:tcW w:w="992" w:type="dxa"/>
            <w:tcBorders>
              <w:top w:val="single" w:sz="4" w:space="0" w:color="auto"/>
              <w:left w:val="single" w:sz="4" w:space="0" w:color="auto"/>
              <w:bottom w:val="single" w:sz="4" w:space="0" w:color="auto"/>
              <w:right w:val="single" w:sz="4" w:space="0" w:color="auto"/>
            </w:tcBorders>
            <w:vAlign w:val="center"/>
          </w:tcPr>
          <w:p w:rsidR="008D0E46" w:rsidRPr="00304276" w:rsidRDefault="008D0E46" w:rsidP="00304276">
            <w:pPr>
              <w:jc w:val="center"/>
              <w:rPr>
                <w:sz w:val="20"/>
                <w:szCs w:val="20"/>
              </w:rPr>
            </w:pPr>
            <w:r w:rsidRPr="008D0E46">
              <w:rPr>
                <w:rFonts w:ascii="Arial Narrow" w:hAnsi="Arial Narrow" w:cs="Calibri"/>
                <w:color w:val="000000"/>
                <w:sz w:val="20"/>
                <w:szCs w:val="20"/>
              </w:rPr>
              <w:t>0.66422</w:t>
            </w:r>
          </w:p>
        </w:tc>
        <w:tc>
          <w:tcPr>
            <w:tcW w:w="1134" w:type="dxa"/>
            <w:tcBorders>
              <w:top w:val="single" w:sz="4" w:space="0" w:color="auto"/>
              <w:left w:val="single" w:sz="4" w:space="0" w:color="auto"/>
              <w:bottom w:val="single" w:sz="4" w:space="0" w:color="auto"/>
              <w:right w:val="single" w:sz="4" w:space="0" w:color="auto"/>
            </w:tcBorders>
            <w:vAlign w:val="center"/>
          </w:tcPr>
          <w:p w:rsidR="008D0E46" w:rsidRPr="00304276" w:rsidRDefault="008D0E46" w:rsidP="00304276">
            <w:pPr>
              <w:jc w:val="center"/>
              <w:rPr>
                <w:sz w:val="20"/>
                <w:szCs w:val="20"/>
              </w:rPr>
            </w:pPr>
            <w:r w:rsidRPr="008D0E46">
              <w:rPr>
                <w:rFonts w:ascii="Arial Narrow" w:hAnsi="Arial Narrow" w:cs="Calibri"/>
                <w:color w:val="000000"/>
                <w:sz w:val="20"/>
                <w:szCs w:val="20"/>
              </w:rPr>
              <w:t>0.66422</w:t>
            </w:r>
          </w:p>
        </w:tc>
        <w:tc>
          <w:tcPr>
            <w:tcW w:w="941" w:type="dxa"/>
            <w:tcBorders>
              <w:top w:val="single" w:sz="4" w:space="0" w:color="auto"/>
              <w:left w:val="single" w:sz="4" w:space="0" w:color="auto"/>
              <w:bottom w:val="single" w:sz="4" w:space="0" w:color="auto"/>
              <w:right w:val="single" w:sz="4" w:space="0" w:color="auto"/>
            </w:tcBorders>
            <w:vAlign w:val="center"/>
          </w:tcPr>
          <w:p w:rsidR="008D0E46" w:rsidRPr="00304276" w:rsidRDefault="008D0E46" w:rsidP="00304276">
            <w:pPr>
              <w:jc w:val="center"/>
              <w:rPr>
                <w:rFonts w:ascii="Arial Narrow" w:hAnsi="Arial Narrow" w:cs="Calibri"/>
                <w:sz w:val="20"/>
                <w:szCs w:val="20"/>
              </w:rPr>
            </w:pPr>
            <w:r w:rsidRPr="008D0E46">
              <w:rPr>
                <w:rFonts w:ascii="Arial Narrow" w:hAnsi="Arial Narrow" w:cs="Calibri"/>
                <w:color w:val="000000"/>
                <w:sz w:val="20"/>
                <w:szCs w:val="20"/>
              </w:rPr>
              <w:t>0.66422</w:t>
            </w:r>
          </w:p>
        </w:tc>
      </w:tr>
      <w:tr w:rsidR="008D0E46" w:rsidRPr="00E3331A" w:rsidTr="00304276">
        <w:trPr>
          <w:cantSplit/>
        </w:trPr>
        <w:tc>
          <w:tcPr>
            <w:tcW w:w="2174"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rPr>
                <w:szCs w:val="20"/>
                <w:lang w:val="en-US"/>
              </w:rPr>
            </w:pPr>
            <w:r w:rsidRPr="00E3331A">
              <w:rPr>
                <w:szCs w:val="20"/>
                <w:lang w:val="en-US"/>
              </w:rPr>
              <w:t xml:space="preserve">Disability among </w:t>
            </w:r>
            <w:r>
              <w:rPr>
                <w:szCs w:val="20"/>
                <w:lang w:val="en-US"/>
              </w:rPr>
              <w:t>a</w:t>
            </w:r>
            <w:r w:rsidRPr="004C5E7B">
              <w:rPr>
                <w:szCs w:val="20"/>
                <w:lang w:val="en-US"/>
              </w:rPr>
              <w:t>zathioprine</w:t>
            </w:r>
            <w:r w:rsidRPr="00E3331A">
              <w:rPr>
                <w:szCs w:val="20"/>
                <w:lang w:val="en-US"/>
              </w:rPr>
              <w:t xml:space="preserve"> </w:t>
            </w:r>
            <w:r>
              <w:rPr>
                <w:szCs w:val="20"/>
                <w:lang w:val="en-US"/>
              </w:rPr>
              <w:t>n</w:t>
            </w:r>
            <w:r w:rsidRPr="00E3331A">
              <w:rPr>
                <w:szCs w:val="20"/>
                <w:lang w:val="en-US"/>
              </w:rPr>
              <w:t>on-responder’s probability</w:t>
            </w:r>
          </w:p>
        </w:tc>
        <w:tc>
          <w:tcPr>
            <w:tcW w:w="3775" w:type="dxa"/>
            <w:tcBorders>
              <w:top w:val="single" w:sz="4" w:space="0" w:color="auto"/>
              <w:left w:val="single" w:sz="4" w:space="0" w:color="auto"/>
              <w:bottom w:val="single" w:sz="4" w:space="0" w:color="auto"/>
              <w:right w:val="single" w:sz="4" w:space="0" w:color="auto"/>
            </w:tcBorders>
            <w:vAlign w:val="center"/>
          </w:tcPr>
          <w:p w:rsidR="008D0E46" w:rsidRPr="00E3331A" w:rsidDel="0029778F" w:rsidRDefault="008D0E46" w:rsidP="008D0E46">
            <w:pPr>
              <w:pStyle w:val="Tablenotes0"/>
            </w:pPr>
            <w:r w:rsidRPr="00E3331A">
              <w:t xml:space="preserve">Bamrungsawad </w:t>
            </w:r>
            <w:r w:rsidR="00983BA7">
              <w:t xml:space="preserve">et al. </w:t>
            </w:r>
            <w:r w:rsidRPr="00E3331A">
              <w:t xml:space="preserve">2016 defined a disabled as those with an MRC scale for one muscle group of three or less. Using </w:t>
            </w:r>
            <w:r w:rsidR="00E810A5" w:rsidRPr="00E3331A">
              <w:t>this criterion</w:t>
            </w:r>
            <w:r w:rsidRPr="00E3331A">
              <w:t xml:space="preserve"> 24/29 (82.76 %), of CIDP patients were disabled. The probability of becoming disabled in patients not responding to therapy in all health states was 0.098 over 12 weeks, or 0.0086 per week, or 37.4% per year.</w:t>
            </w:r>
          </w:p>
        </w:tc>
        <w:tc>
          <w:tcPr>
            <w:tcW w:w="992" w:type="dxa"/>
            <w:tcBorders>
              <w:top w:val="single" w:sz="4" w:space="0" w:color="auto"/>
              <w:left w:val="single" w:sz="4" w:space="0" w:color="auto"/>
              <w:bottom w:val="single" w:sz="4" w:space="0" w:color="auto"/>
              <w:right w:val="single" w:sz="4" w:space="0" w:color="auto"/>
            </w:tcBorders>
            <w:vAlign w:val="center"/>
          </w:tcPr>
          <w:p w:rsidR="008D0E46" w:rsidRPr="00304276" w:rsidDel="0029778F" w:rsidRDefault="008D0E46" w:rsidP="00304276">
            <w:pPr>
              <w:jc w:val="center"/>
              <w:rPr>
                <w:rFonts w:ascii="Arial Narrow" w:hAnsi="Arial Narrow" w:cs="Calibri"/>
                <w:sz w:val="20"/>
                <w:szCs w:val="20"/>
              </w:rPr>
            </w:pPr>
            <w:r w:rsidRPr="008D0E46">
              <w:rPr>
                <w:rFonts w:ascii="Arial Narrow" w:hAnsi="Arial Narrow" w:cs="Calibri"/>
                <w:color w:val="000000"/>
                <w:sz w:val="20"/>
                <w:szCs w:val="20"/>
              </w:rPr>
              <w:t>0.00860</w:t>
            </w:r>
          </w:p>
        </w:tc>
        <w:tc>
          <w:tcPr>
            <w:tcW w:w="1134" w:type="dxa"/>
            <w:tcBorders>
              <w:top w:val="single" w:sz="4" w:space="0" w:color="auto"/>
              <w:left w:val="single" w:sz="4" w:space="0" w:color="auto"/>
              <w:bottom w:val="single" w:sz="4" w:space="0" w:color="auto"/>
              <w:right w:val="single" w:sz="4" w:space="0" w:color="auto"/>
            </w:tcBorders>
            <w:vAlign w:val="center"/>
          </w:tcPr>
          <w:p w:rsidR="008D0E46" w:rsidRPr="00304276" w:rsidRDefault="008D0E46" w:rsidP="00304276">
            <w:pPr>
              <w:jc w:val="center"/>
              <w:rPr>
                <w:rFonts w:ascii="Arial Narrow" w:hAnsi="Arial Narrow" w:cs="Calibri"/>
                <w:sz w:val="20"/>
                <w:szCs w:val="20"/>
              </w:rPr>
            </w:pPr>
            <w:r w:rsidRPr="008D0E46">
              <w:rPr>
                <w:rFonts w:ascii="Arial Narrow" w:hAnsi="Arial Narrow" w:cs="Calibri"/>
                <w:color w:val="000000"/>
                <w:sz w:val="20"/>
                <w:szCs w:val="20"/>
              </w:rPr>
              <w:t>0.00860</w:t>
            </w:r>
          </w:p>
        </w:tc>
        <w:tc>
          <w:tcPr>
            <w:tcW w:w="941" w:type="dxa"/>
            <w:tcBorders>
              <w:top w:val="single" w:sz="4" w:space="0" w:color="auto"/>
              <w:left w:val="single" w:sz="4" w:space="0" w:color="auto"/>
              <w:bottom w:val="single" w:sz="4" w:space="0" w:color="auto"/>
              <w:right w:val="single" w:sz="4" w:space="0" w:color="auto"/>
            </w:tcBorders>
            <w:vAlign w:val="center"/>
          </w:tcPr>
          <w:p w:rsidR="008D0E46" w:rsidRPr="00304276" w:rsidRDefault="008D0E46" w:rsidP="00304276">
            <w:pPr>
              <w:jc w:val="center"/>
              <w:rPr>
                <w:rFonts w:ascii="Arial Narrow" w:hAnsi="Arial Narrow" w:cs="Calibri"/>
                <w:sz w:val="20"/>
                <w:szCs w:val="20"/>
              </w:rPr>
            </w:pPr>
            <w:r w:rsidRPr="008D0E46">
              <w:rPr>
                <w:rFonts w:ascii="Arial Narrow" w:hAnsi="Arial Narrow" w:cs="Calibri"/>
                <w:color w:val="000000"/>
                <w:sz w:val="20"/>
                <w:szCs w:val="20"/>
              </w:rPr>
              <w:t>0.00860</w:t>
            </w:r>
          </w:p>
        </w:tc>
      </w:tr>
    </w:tbl>
    <w:p w:rsidR="001F097B" w:rsidRPr="00E3331A" w:rsidRDefault="001F09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29"/>
        <w:gridCol w:w="4620"/>
        <w:gridCol w:w="992"/>
        <w:gridCol w:w="1134"/>
        <w:gridCol w:w="941"/>
      </w:tblGrid>
      <w:tr w:rsidR="0029778F" w:rsidRPr="00E3331A" w:rsidTr="00304276">
        <w:trPr>
          <w:cantSplit/>
          <w:tblHeader/>
        </w:trPr>
        <w:tc>
          <w:tcPr>
            <w:tcW w:w="1329" w:type="dxa"/>
            <w:shd w:val="clear" w:color="auto" w:fill="D9D9D9"/>
            <w:vAlign w:val="center"/>
          </w:tcPr>
          <w:p w:rsidR="0029778F" w:rsidRPr="00E3331A" w:rsidRDefault="0029778F" w:rsidP="0029778F">
            <w:pPr>
              <w:pStyle w:val="TableHeading"/>
            </w:pPr>
          </w:p>
        </w:tc>
        <w:tc>
          <w:tcPr>
            <w:tcW w:w="4620" w:type="dxa"/>
            <w:shd w:val="clear" w:color="auto" w:fill="D9D9D9"/>
            <w:vAlign w:val="center"/>
          </w:tcPr>
          <w:p w:rsidR="0029778F" w:rsidRPr="00E3331A" w:rsidRDefault="0029778F" w:rsidP="0029778F">
            <w:pPr>
              <w:pStyle w:val="TableHeading"/>
            </w:pPr>
          </w:p>
        </w:tc>
        <w:tc>
          <w:tcPr>
            <w:tcW w:w="3067" w:type="dxa"/>
            <w:gridSpan w:val="3"/>
            <w:shd w:val="clear" w:color="auto" w:fill="D9D9D9"/>
            <w:vAlign w:val="center"/>
          </w:tcPr>
          <w:p w:rsidR="0029778F" w:rsidRPr="00E3331A" w:rsidRDefault="0029778F" w:rsidP="0029778F">
            <w:pPr>
              <w:pStyle w:val="TableHeading"/>
              <w:jc w:val="center"/>
            </w:pPr>
            <w:r w:rsidRPr="00E3331A">
              <w:t>Weekly rates</w:t>
            </w:r>
          </w:p>
        </w:tc>
      </w:tr>
      <w:tr w:rsidR="0029778F" w:rsidRPr="00E3331A" w:rsidTr="00304276">
        <w:trPr>
          <w:cantSplit/>
        </w:trPr>
        <w:tc>
          <w:tcPr>
            <w:tcW w:w="1329" w:type="dxa"/>
            <w:shd w:val="clear" w:color="auto" w:fill="D9D9D9"/>
            <w:vAlign w:val="center"/>
          </w:tcPr>
          <w:p w:rsidR="0029778F" w:rsidRPr="00E3331A" w:rsidRDefault="0029778F" w:rsidP="0029778F">
            <w:pPr>
              <w:pStyle w:val="TableHeading"/>
            </w:pPr>
            <w:r w:rsidRPr="00E3331A">
              <w:t>Parameter</w:t>
            </w:r>
          </w:p>
        </w:tc>
        <w:tc>
          <w:tcPr>
            <w:tcW w:w="4620" w:type="dxa"/>
            <w:shd w:val="clear" w:color="auto" w:fill="D9D9D9"/>
            <w:vAlign w:val="center"/>
          </w:tcPr>
          <w:p w:rsidR="0029778F" w:rsidRPr="00E3331A" w:rsidRDefault="0029778F" w:rsidP="0029778F">
            <w:pPr>
              <w:pStyle w:val="TableHeading"/>
            </w:pPr>
            <w:r w:rsidRPr="00E3331A">
              <w:t>Study</w:t>
            </w:r>
          </w:p>
        </w:tc>
        <w:tc>
          <w:tcPr>
            <w:tcW w:w="992" w:type="dxa"/>
            <w:shd w:val="clear" w:color="auto" w:fill="D9D9D9"/>
            <w:vAlign w:val="center"/>
          </w:tcPr>
          <w:p w:rsidR="0029778F" w:rsidRPr="00E3331A" w:rsidRDefault="0029778F" w:rsidP="0029778F">
            <w:pPr>
              <w:pStyle w:val="TableHeading"/>
            </w:pPr>
            <w:r w:rsidRPr="00E3331A">
              <w:t>&gt;1 year</w:t>
            </w:r>
          </w:p>
        </w:tc>
        <w:tc>
          <w:tcPr>
            <w:tcW w:w="1134" w:type="dxa"/>
            <w:shd w:val="clear" w:color="auto" w:fill="D9D9D9"/>
            <w:vAlign w:val="center"/>
          </w:tcPr>
          <w:p w:rsidR="0029778F" w:rsidRPr="00E3331A" w:rsidRDefault="0029778F" w:rsidP="0029778F">
            <w:pPr>
              <w:pStyle w:val="TableHeading"/>
            </w:pPr>
            <w:r w:rsidRPr="00E3331A">
              <w:t>1 to 5 years</w:t>
            </w:r>
          </w:p>
        </w:tc>
        <w:tc>
          <w:tcPr>
            <w:tcW w:w="941" w:type="dxa"/>
            <w:shd w:val="clear" w:color="auto" w:fill="D9D9D9"/>
            <w:vAlign w:val="center"/>
          </w:tcPr>
          <w:p w:rsidR="0029778F" w:rsidRPr="00E3331A" w:rsidRDefault="0029778F" w:rsidP="0029778F">
            <w:pPr>
              <w:pStyle w:val="TableHeading"/>
            </w:pPr>
            <w:r w:rsidRPr="00E3331A">
              <w:t>5+ years</w:t>
            </w:r>
          </w:p>
        </w:tc>
      </w:tr>
      <w:tr w:rsidR="008D0E46"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rPr>
                <w:lang w:val="en-US"/>
              </w:rPr>
            </w:pPr>
            <w:r w:rsidRPr="00E3331A">
              <w:rPr>
                <w:lang w:val="en-US"/>
              </w:rPr>
              <w:t>Fracture probability</w:t>
            </w:r>
          </w:p>
        </w:tc>
        <w:tc>
          <w:tcPr>
            <w:tcW w:w="4620"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pPr>
            <w:r w:rsidRPr="00E3331A">
              <w:t xml:space="preserve">A fracture annual probability of 0.0098, or 0.00019 per week for Corticosteroids patients, was taken from Bae </w:t>
            </w:r>
            <w:r w:rsidR="00983BA7">
              <w:t xml:space="preserve">et al. </w:t>
            </w:r>
            <w:r w:rsidRPr="00E3331A">
              <w:t xml:space="preserve">2003 in the Blackhouse </w:t>
            </w:r>
            <w:r w:rsidR="00983BA7">
              <w:t xml:space="preserve">et al. </w:t>
            </w:r>
            <w:r w:rsidRPr="00E3331A">
              <w:t xml:space="preserve">(2010) study. Fractures were not reported in the Van Schaik </w:t>
            </w:r>
            <w:r w:rsidR="00983BA7">
              <w:t xml:space="preserve">et al. </w:t>
            </w:r>
            <w:r w:rsidRPr="00E3331A">
              <w:t xml:space="preserve">2010 description of PREDICT, however they were reported in Eftimov </w:t>
            </w:r>
            <w:r w:rsidR="00983BA7">
              <w:t xml:space="preserve">et al. </w:t>
            </w:r>
            <w:r w:rsidRPr="00E3331A">
              <w:t>2012. A total of 2 of the 39 (Table 3. p. 1083) (5.13%) were reported to have fractures, equating to 8.3% of the dexamethasone group and none of the prednisolone group. This value is converted to a weekly probability.</w:t>
            </w:r>
          </w:p>
        </w:tc>
        <w:tc>
          <w:tcPr>
            <w:tcW w:w="992"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pStyle w:val="Tablenotes0"/>
              <w:spacing w:after="0"/>
              <w:jc w:val="center"/>
            </w:pPr>
            <w:r>
              <w:rPr>
                <w:rFonts w:cs="Calibri"/>
                <w:color w:val="000000"/>
                <w:sz w:val="20"/>
                <w:szCs w:val="20"/>
              </w:rPr>
              <w:t>0.00023</w:t>
            </w:r>
          </w:p>
        </w:tc>
        <w:tc>
          <w:tcPr>
            <w:tcW w:w="1134"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pStyle w:val="Tablenotes0"/>
              <w:spacing w:after="0"/>
              <w:jc w:val="center"/>
            </w:pPr>
            <w:r>
              <w:rPr>
                <w:rFonts w:cs="Calibri"/>
                <w:color w:val="000000"/>
                <w:sz w:val="20"/>
                <w:szCs w:val="20"/>
              </w:rPr>
              <w:t>0.00023</w:t>
            </w:r>
          </w:p>
        </w:tc>
        <w:tc>
          <w:tcPr>
            <w:tcW w:w="941"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pStyle w:val="Tablenotes0"/>
              <w:spacing w:after="0"/>
              <w:jc w:val="center"/>
            </w:pPr>
            <w:r>
              <w:rPr>
                <w:rFonts w:cs="Calibri"/>
                <w:color w:val="000000"/>
                <w:sz w:val="20"/>
                <w:szCs w:val="20"/>
              </w:rPr>
              <w:t>0.00023</w:t>
            </w:r>
          </w:p>
        </w:tc>
      </w:tr>
      <w:tr w:rsidR="008D0E46"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pPr>
            <w:r w:rsidRPr="00E3331A">
              <w:rPr>
                <w:lang w:val="en-US"/>
              </w:rPr>
              <w:t>Diabetes probability</w:t>
            </w:r>
          </w:p>
        </w:tc>
        <w:tc>
          <w:tcPr>
            <w:tcW w:w="4620"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spacing w:after="0"/>
            </w:pPr>
            <w:r w:rsidRPr="00E3331A">
              <w:t xml:space="preserve">A diabetes annual probability of 0.0043, or 0.00008 per week for Corticosteroids patients, was taken from Blackhouse </w:t>
            </w:r>
            <w:r w:rsidR="00983BA7">
              <w:t xml:space="preserve">et al. </w:t>
            </w:r>
            <w:r w:rsidRPr="00E3331A">
              <w:t xml:space="preserve">(2010). Impaired glucose tolerance was found in 3 (20%) patients after 10 years of follow-up in the Boru </w:t>
            </w:r>
            <w:r w:rsidR="00983BA7">
              <w:t xml:space="preserve">et al. </w:t>
            </w:r>
            <w:r w:rsidRPr="00E3331A">
              <w:t>2014 study. The dexamethasone arm of PREDICT had adverse event prevalence of 8.3% for hypertension, 54.1% increased body weight, 8.3% diabetes, 33.3% Cushing appearance and 4.2% impaired glucose tolerance. A higher 5-year value of around 10% is included in this study, which corresponds to a weekly probability of 0.00045.</w:t>
            </w:r>
          </w:p>
        </w:tc>
        <w:tc>
          <w:tcPr>
            <w:tcW w:w="992"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pStyle w:val="Tablenotes0"/>
              <w:spacing w:after="0"/>
              <w:jc w:val="center"/>
            </w:pPr>
            <w:r>
              <w:rPr>
                <w:rFonts w:cs="Calibri"/>
                <w:color w:val="000000"/>
                <w:sz w:val="20"/>
                <w:szCs w:val="20"/>
              </w:rPr>
              <w:t>0.00045</w:t>
            </w:r>
          </w:p>
        </w:tc>
        <w:tc>
          <w:tcPr>
            <w:tcW w:w="1134"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pStyle w:val="Tablenotes0"/>
              <w:spacing w:after="0"/>
              <w:jc w:val="center"/>
            </w:pPr>
            <w:r>
              <w:rPr>
                <w:rFonts w:cs="Calibri"/>
                <w:color w:val="000000"/>
                <w:sz w:val="20"/>
                <w:szCs w:val="20"/>
              </w:rPr>
              <w:t>0.00045</w:t>
            </w:r>
          </w:p>
        </w:tc>
        <w:tc>
          <w:tcPr>
            <w:tcW w:w="941"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pStyle w:val="Tablenotes0"/>
              <w:spacing w:after="0"/>
              <w:jc w:val="center"/>
            </w:pPr>
            <w:r>
              <w:rPr>
                <w:rFonts w:cs="Calibri"/>
                <w:color w:val="000000"/>
                <w:sz w:val="20"/>
                <w:szCs w:val="20"/>
              </w:rPr>
              <w:t>0.00045</w:t>
            </w:r>
          </w:p>
        </w:tc>
      </w:tr>
      <w:tr w:rsidR="008D0E46"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pPr>
            <w:r w:rsidRPr="00E3331A">
              <w:rPr>
                <w:lang w:val="en-US"/>
              </w:rPr>
              <w:t>Glaucoma probability</w:t>
            </w:r>
          </w:p>
        </w:tc>
        <w:tc>
          <w:tcPr>
            <w:tcW w:w="4620"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spacing w:after="0"/>
            </w:pPr>
            <w:r w:rsidRPr="00E3331A">
              <w:t xml:space="preserve">A glaucoma annual probability of 0.0008, or 0.00002 per week for Corticosteroids patients, was taken from Blackhouse </w:t>
            </w:r>
            <w:r w:rsidR="00983BA7">
              <w:t xml:space="preserve">et al. </w:t>
            </w:r>
            <w:r w:rsidRPr="00E3331A">
              <w:t xml:space="preserve">(2010). </w:t>
            </w:r>
          </w:p>
        </w:tc>
        <w:tc>
          <w:tcPr>
            <w:tcW w:w="992"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pStyle w:val="Tablenotes0"/>
              <w:spacing w:after="0"/>
              <w:jc w:val="center"/>
            </w:pPr>
            <w:r>
              <w:rPr>
                <w:rFonts w:cs="Calibri"/>
                <w:color w:val="000000"/>
                <w:sz w:val="20"/>
                <w:szCs w:val="20"/>
              </w:rPr>
              <w:t>0.00002</w:t>
            </w:r>
          </w:p>
        </w:tc>
        <w:tc>
          <w:tcPr>
            <w:tcW w:w="1134"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pStyle w:val="Tablenotes0"/>
              <w:spacing w:after="0"/>
              <w:jc w:val="center"/>
            </w:pPr>
            <w:r>
              <w:rPr>
                <w:rFonts w:cs="Calibri"/>
                <w:color w:val="000000"/>
                <w:sz w:val="20"/>
                <w:szCs w:val="20"/>
              </w:rPr>
              <w:t>0.00002</w:t>
            </w:r>
          </w:p>
        </w:tc>
        <w:tc>
          <w:tcPr>
            <w:tcW w:w="941"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pStyle w:val="Tablenotes0"/>
              <w:spacing w:after="0"/>
              <w:jc w:val="center"/>
            </w:pPr>
            <w:r>
              <w:rPr>
                <w:rFonts w:cs="Calibri"/>
                <w:color w:val="000000"/>
                <w:sz w:val="20"/>
                <w:szCs w:val="20"/>
              </w:rPr>
              <w:t>0.00002</w:t>
            </w:r>
          </w:p>
        </w:tc>
      </w:tr>
      <w:tr w:rsidR="008D0E46"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pPr>
            <w:r w:rsidRPr="00E3331A">
              <w:rPr>
                <w:lang w:val="en-US"/>
              </w:rPr>
              <w:t>Cataract probability</w:t>
            </w:r>
          </w:p>
        </w:tc>
        <w:tc>
          <w:tcPr>
            <w:tcW w:w="4620"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spacing w:after="0"/>
            </w:pPr>
            <w:r w:rsidRPr="00E3331A">
              <w:t xml:space="preserve">A cataract annual probability of 0.0114, or 0.00022 per week for Corticosteroids patients, was taken from Blackhouse </w:t>
            </w:r>
            <w:r w:rsidR="00983BA7">
              <w:t xml:space="preserve">et al. </w:t>
            </w:r>
            <w:r w:rsidRPr="00E3331A">
              <w:t xml:space="preserve">(2010). </w:t>
            </w:r>
          </w:p>
        </w:tc>
        <w:tc>
          <w:tcPr>
            <w:tcW w:w="992"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pStyle w:val="Tablenotes0"/>
              <w:spacing w:after="0"/>
              <w:jc w:val="center"/>
            </w:pPr>
            <w:r>
              <w:rPr>
                <w:rFonts w:cs="Calibri"/>
                <w:color w:val="000000"/>
                <w:sz w:val="20"/>
                <w:szCs w:val="20"/>
              </w:rPr>
              <w:t>0.00022</w:t>
            </w:r>
          </w:p>
        </w:tc>
        <w:tc>
          <w:tcPr>
            <w:tcW w:w="1134"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pStyle w:val="Tablenotes0"/>
              <w:spacing w:after="0"/>
              <w:jc w:val="center"/>
            </w:pPr>
            <w:r>
              <w:rPr>
                <w:rFonts w:cs="Calibri"/>
                <w:color w:val="000000"/>
                <w:sz w:val="20"/>
                <w:szCs w:val="20"/>
              </w:rPr>
              <w:t>0.00022</w:t>
            </w:r>
          </w:p>
        </w:tc>
        <w:tc>
          <w:tcPr>
            <w:tcW w:w="941"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pStyle w:val="Tablenotes0"/>
              <w:spacing w:after="0"/>
              <w:jc w:val="center"/>
            </w:pPr>
            <w:r>
              <w:rPr>
                <w:rFonts w:cs="Calibri"/>
                <w:color w:val="000000"/>
                <w:sz w:val="20"/>
                <w:szCs w:val="20"/>
              </w:rPr>
              <w:t>0.00022</w:t>
            </w:r>
          </w:p>
        </w:tc>
      </w:tr>
      <w:tr w:rsidR="008D0E46"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pPr>
            <w:r w:rsidRPr="00E3331A">
              <w:rPr>
                <w:lang w:val="en-US"/>
              </w:rPr>
              <w:t>Infection probability</w:t>
            </w:r>
          </w:p>
        </w:tc>
        <w:tc>
          <w:tcPr>
            <w:tcW w:w="4620"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spacing w:after="0"/>
            </w:pPr>
            <w:r w:rsidRPr="00E3331A">
              <w:t xml:space="preserve">An infection annual probability of 0.0035, or 0.00007 per week for Corticosteroids patients, was taken from Blackhouse </w:t>
            </w:r>
            <w:r w:rsidR="00983BA7">
              <w:t xml:space="preserve">et al. </w:t>
            </w:r>
            <w:r w:rsidRPr="00E3331A">
              <w:t>(2010). The 5-year probability of fracture probability associated with this estimate is less than 2%.</w:t>
            </w:r>
          </w:p>
        </w:tc>
        <w:tc>
          <w:tcPr>
            <w:tcW w:w="992"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pStyle w:val="Tablenotes0"/>
              <w:spacing w:after="0"/>
              <w:jc w:val="center"/>
            </w:pPr>
            <w:r>
              <w:rPr>
                <w:rFonts w:cs="Calibri"/>
                <w:color w:val="000000"/>
                <w:sz w:val="20"/>
                <w:szCs w:val="20"/>
              </w:rPr>
              <w:t>0.00007</w:t>
            </w:r>
          </w:p>
        </w:tc>
        <w:tc>
          <w:tcPr>
            <w:tcW w:w="1134"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pStyle w:val="Tablenotes0"/>
              <w:spacing w:after="0"/>
              <w:jc w:val="center"/>
            </w:pPr>
            <w:r>
              <w:rPr>
                <w:rFonts w:cs="Calibri"/>
                <w:color w:val="000000"/>
                <w:sz w:val="20"/>
                <w:szCs w:val="20"/>
              </w:rPr>
              <w:t>0.00007</w:t>
            </w:r>
          </w:p>
        </w:tc>
        <w:tc>
          <w:tcPr>
            <w:tcW w:w="941"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pStyle w:val="Tablenotes0"/>
              <w:spacing w:after="0"/>
              <w:jc w:val="center"/>
            </w:pPr>
            <w:r>
              <w:rPr>
                <w:rFonts w:cs="Calibri"/>
                <w:color w:val="000000"/>
                <w:sz w:val="20"/>
                <w:szCs w:val="20"/>
              </w:rPr>
              <w:t>0.00007</w:t>
            </w:r>
          </w:p>
        </w:tc>
      </w:tr>
      <w:tr w:rsidR="008D0E46"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pPr>
            <w:r w:rsidRPr="00E3331A">
              <w:t>Ig mortality odds ratio</w:t>
            </w:r>
          </w:p>
        </w:tc>
        <w:tc>
          <w:tcPr>
            <w:tcW w:w="4620"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spacing w:after="0"/>
            </w:pPr>
            <w:r w:rsidRPr="00E3331A">
              <w:t>CIDP was not assumed to results in increased mortality. The ABS annual mortality rate for 55-year olds in Australia in 2017 was 0.0045 for men and 0.0027 for women. These are converted to weekly values using a gender balance of 0.49.</w:t>
            </w:r>
          </w:p>
        </w:tc>
        <w:tc>
          <w:tcPr>
            <w:tcW w:w="992" w:type="dxa"/>
            <w:tcBorders>
              <w:top w:val="single" w:sz="4" w:space="0" w:color="auto"/>
              <w:left w:val="single" w:sz="4" w:space="0" w:color="auto"/>
              <w:bottom w:val="single" w:sz="4" w:space="0" w:color="auto"/>
              <w:right w:val="single" w:sz="4" w:space="0" w:color="auto"/>
            </w:tcBorders>
            <w:vAlign w:val="center"/>
          </w:tcPr>
          <w:p w:rsidR="008D0E46" w:rsidRPr="00E3331A" w:rsidRDefault="00831648" w:rsidP="00304276">
            <w:pPr>
              <w:spacing w:after="0" w:line="240" w:lineRule="auto"/>
              <w:jc w:val="center"/>
              <w:rPr>
                <w:sz w:val="18"/>
                <w:szCs w:val="18"/>
              </w:rPr>
            </w:pPr>
            <w:r>
              <w:rPr>
                <w:rFonts w:ascii="Arial Narrow" w:hAnsi="Arial Narrow" w:cs="Calibri"/>
                <w:color w:val="000000"/>
                <w:sz w:val="20"/>
                <w:szCs w:val="20"/>
              </w:rPr>
              <w:t>1.0000</w:t>
            </w:r>
          </w:p>
        </w:tc>
        <w:tc>
          <w:tcPr>
            <w:tcW w:w="1134" w:type="dxa"/>
            <w:tcBorders>
              <w:top w:val="single" w:sz="4" w:space="0" w:color="auto"/>
              <w:left w:val="single" w:sz="4" w:space="0" w:color="auto"/>
              <w:bottom w:val="single" w:sz="4" w:space="0" w:color="auto"/>
              <w:right w:val="single" w:sz="4" w:space="0" w:color="auto"/>
            </w:tcBorders>
            <w:vAlign w:val="center"/>
          </w:tcPr>
          <w:p w:rsidR="008D0E46" w:rsidRPr="00E3331A" w:rsidRDefault="00831648" w:rsidP="00304276">
            <w:pPr>
              <w:spacing w:after="0" w:line="240" w:lineRule="auto"/>
              <w:jc w:val="center"/>
              <w:rPr>
                <w:sz w:val="18"/>
                <w:szCs w:val="18"/>
              </w:rPr>
            </w:pPr>
            <w:r>
              <w:rPr>
                <w:rFonts w:ascii="Arial Narrow" w:hAnsi="Arial Narrow" w:cs="Calibri"/>
                <w:color w:val="000000"/>
                <w:sz w:val="20"/>
                <w:szCs w:val="20"/>
              </w:rPr>
              <w:t>1.0000</w:t>
            </w:r>
          </w:p>
        </w:tc>
        <w:tc>
          <w:tcPr>
            <w:tcW w:w="941" w:type="dxa"/>
            <w:tcBorders>
              <w:top w:val="single" w:sz="4" w:space="0" w:color="auto"/>
              <w:left w:val="single" w:sz="4" w:space="0" w:color="auto"/>
              <w:bottom w:val="single" w:sz="4" w:space="0" w:color="auto"/>
              <w:right w:val="single" w:sz="4" w:space="0" w:color="auto"/>
            </w:tcBorders>
            <w:vAlign w:val="center"/>
          </w:tcPr>
          <w:p w:rsidR="008D0E46" w:rsidRPr="00E3331A" w:rsidRDefault="00831648" w:rsidP="00304276">
            <w:pPr>
              <w:spacing w:after="0" w:line="240" w:lineRule="auto"/>
              <w:jc w:val="center"/>
              <w:rPr>
                <w:rFonts w:ascii="Arial Narrow" w:hAnsi="Arial Narrow" w:cs="Calibri"/>
                <w:sz w:val="18"/>
                <w:szCs w:val="18"/>
              </w:rPr>
            </w:pPr>
            <w:r>
              <w:rPr>
                <w:rFonts w:ascii="Arial Narrow" w:hAnsi="Arial Narrow" w:cs="Calibri"/>
                <w:color w:val="000000"/>
                <w:sz w:val="20"/>
                <w:szCs w:val="20"/>
              </w:rPr>
              <w:t>1.0000</w:t>
            </w:r>
          </w:p>
        </w:tc>
      </w:tr>
      <w:tr w:rsidR="008D0E46"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pPr>
            <w:r w:rsidRPr="00E3331A">
              <w:rPr>
                <w:lang w:val="en-US"/>
              </w:rPr>
              <w:t xml:space="preserve">Corticosteroids </w:t>
            </w:r>
            <w:r w:rsidRPr="00E3331A">
              <w:t>mortality odds ratio</w:t>
            </w:r>
          </w:p>
        </w:tc>
        <w:tc>
          <w:tcPr>
            <w:tcW w:w="4620"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spacing w:after="0"/>
            </w:pPr>
            <w:r w:rsidRPr="00E3331A">
              <w:t>CIDP was not assumed to result in increased mortality.</w:t>
            </w:r>
          </w:p>
        </w:tc>
        <w:tc>
          <w:tcPr>
            <w:tcW w:w="992" w:type="dxa"/>
            <w:tcBorders>
              <w:top w:val="single" w:sz="4" w:space="0" w:color="auto"/>
              <w:left w:val="single" w:sz="4" w:space="0" w:color="auto"/>
              <w:bottom w:val="single" w:sz="4" w:space="0" w:color="auto"/>
              <w:right w:val="single" w:sz="4" w:space="0" w:color="auto"/>
            </w:tcBorders>
            <w:vAlign w:val="center"/>
          </w:tcPr>
          <w:p w:rsidR="008D0E46" w:rsidRPr="00E3331A" w:rsidRDefault="00831648" w:rsidP="00304276">
            <w:pPr>
              <w:pStyle w:val="Tablenotes0"/>
              <w:spacing w:after="0"/>
              <w:jc w:val="center"/>
            </w:pPr>
            <w:r>
              <w:rPr>
                <w:rFonts w:cs="Calibri"/>
                <w:color w:val="000000"/>
                <w:sz w:val="20"/>
                <w:szCs w:val="20"/>
              </w:rPr>
              <w:t>1.0000</w:t>
            </w:r>
          </w:p>
        </w:tc>
        <w:tc>
          <w:tcPr>
            <w:tcW w:w="1134" w:type="dxa"/>
            <w:tcBorders>
              <w:top w:val="single" w:sz="4" w:space="0" w:color="auto"/>
              <w:left w:val="single" w:sz="4" w:space="0" w:color="auto"/>
              <w:bottom w:val="single" w:sz="4" w:space="0" w:color="auto"/>
              <w:right w:val="single" w:sz="4" w:space="0" w:color="auto"/>
            </w:tcBorders>
            <w:vAlign w:val="center"/>
          </w:tcPr>
          <w:p w:rsidR="008D0E46" w:rsidRPr="00E3331A" w:rsidRDefault="00831648" w:rsidP="00304276">
            <w:pPr>
              <w:pStyle w:val="Tablenotes0"/>
              <w:spacing w:after="0"/>
              <w:jc w:val="center"/>
            </w:pPr>
            <w:r>
              <w:rPr>
                <w:rFonts w:cs="Calibri"/>
                <w:color w:val="000000"/>
                <w:sz w:val="20"/>
                <w:szCs w:val="20"/>
              </w:rPr>
              <w:t>1.0000</w:t>
            </w:r>
          </w:p>
        </w:tc>
        <w:tc>
          <w:tcPr>
            <w:tcW w:w="941" w:type="dxa"/>
            <w:tcBorders>
              <w:top w:val="single" w:sz="4" w:space="0" w:color="auto"/>
              <w:left w:val="single" w:sz="4" w:space="0" w:color="auto"/>
              <w:bottom w:val="single" w:sz="4" w:space="0" w:color="auto"/>
              <w:right w:val="single" w:sz="4" w:space="0" w:color="auto"/>
            </w:tcBorders>
            <w:vAlign w:val="center"/>
          </w:tcPr>
          <w:p w:rsidR="008D0E46" w:rsidRPr="00E3331A" w:rsidRDefault="00831648" w:rsidP="00304276">
            <w:pPr>
              <w:pStyle w:val="Tablenotes0"/>
              <w:spacing w:after="0"/>
              <w:jc w:val="center"/>
            </w:pPr>
            <w:r>
              <w:rPr>
                <w:rFonts w:cs="Calibri"/>
                <w:color w:val="000000"/>
                <w:sz w:val="20"/>
                <w:szCs w:val="20"/>
              </w:rPr>
              <w:t>1.0000</w:t>
            </w:r>
          </w:p>
        </w:tc>
      </w:tr>
      <w:tr w:rsidR="008D0E46"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pPr>
            <w:r w:rsidRPr="00E3331A">
              <w:rPr>
                <w:lang w:val="en-US"/>
              </w:rPr>
              <w:t xml:space="preserve">Fracture </w:t>
            </w:r>
            <w:r w:rsidRPr="00E3331A">
              <w:t>mortality odds ratio</w:t>
            </w:r>
          </w:p>
        </w:tc>
        <w:tc>
          <w:tcPr>
            <w:tcW w:w="4620"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spacing w:after="0"/>
            </w:pPr>
            <w:r w:rsidRPr="00E3331A">
              <w:t>Blackhouse (2010) included an incremental mortality of 0.0127 for first-year fractures. This is included as an odds ratio of 1.0142 for 55-59 year olds and applied to weekly base mortality.</w:t>
            </w:r>
          </w:p>
        </w:tc>
        <w:tc>
          <w:tcPr>
            <w:tcW w:w="992"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spacing w:after="0" w:line="240" w:lineRule="auto"/>
              <w:jc w:val="center"/>
              <w:rPr>
                <w:sz w:val="18"/>
                <w:szCs w:val="18"/>
              </w:rPr>
            </w:pPr>
            <w:r>
              <w:rPr>
                <w:rFonts w:ascii="Arial Narrow" w:hAnsi="Arial Narrow" w:cs="Calibri"/>
                <w:color w:val="000000"/>
                <w:sz w:val="20"/>
                <w:szCs w:val="20"/>
              </w:rPr>
              <w:t>1.01420</w:t>
            </w:r>
          </w:p>
        </w:tc>
        <w:tc>
          <w:tcPr>
            <w:tcW w:w="1134"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spacing w:after="0" w:line="240" w:lineRule="auto"/>
              <w:jc w:val="center"/>
              <w:rPr>
                <w:sz w:val="18"/>
                <w:szCs w:val="18"/>
              </w:rPr>
            </w:pPr>
            <w:r>
              <w:rPr>
                <w:rFonts w:ascii="Arial Narrow" w:hAnsi="Arial Narrow" w:cs="Calibri"/>
                <w:color w:val="000000"/>
                <w:sz w:val="20"/>
                <w:szCs w:val="20"/>
              </w:rPr>
              <w:t>1.01420</w:t>
            </w:r>
          </w:p>
        </w:tc>
        <w:tc>
          <w:tcPr>
            <w:tcW w:w="941"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spacing w:after="0" w:line="240" w:lineRule="auto"/>
              <w:jc w:val="center"/>
              <w:rPr>
                <w:rFonts w:ascii="Arial Narrow" w:hAnsi="Arial Narrow" w:cs="Calibri"/>
                <w:sz w:val="18"/>
                <w:szCs w:val="18"/>
              </w:rPr>
            </w:pPr>
            <w:r>
              <w:rPr>
                <w:rFonts w:ascii="Arial Narrow" w:hAnsi="Arial Narrow" w:cs="Calibri"/>
                <w:color w:val="000000"/>
                <w:sz w:val="20"/>
                <w:szCs w:val="20"/>
              </w:rPr>
              <w:t>1.01420</w:t>
            </w:r>
          </w:p>
        </w:tc>
      </w:tr>
      <w:tr w:rsidR="008D0E46"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pPr>
            <w:r w:rsidRPr="00E3331A">
              <w:rPr>
                <w:lang w:val="en-US"/>
              </w:rPr>
              <w:t xml:space="preserve">Diabetes </w:t>
            </w:r>
            <w:r w:rsidRPr="00E3331A">
              <w:t>mortality odds ratio</w:t>
            </w:r>
          </w:p>
        </w:tc>
        <w:tc>
          <w:tcPr>
            <w:tcW w:w="4620"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spacing w:after="0"/>
            </w:pPr>
            <w:r w:rsidRPr="00E3331A">
              <w:t>Blackhouse (2010) included an incremental mortality of 0.001160 for first year diabetes for 55-59-year-olds. This is included as an odds ratio of 1.001160 and applied to weekly base mortality.</w:t>
            </w:r>
          </w:p>
        </w:tc>
        <w:tc>
          <w:tcPr>
            <w:tcW w:w="992"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spacing w:after="0" w:line="240" w:lineRule="auto"/>
              <w:jc w:val="center"/>
              <w:rPr>
                <w:sz w:val="18"/>
                <w:szCs w:val="18"/>
              </w:rPr>
            </w:pPr>
            <w:r>
              <w:rPr>
                <w:rFonts w:ascii="Arial Narrow" w:hAnsi="Arial Narrow" w:cs="Calibri"/>
                <w:color w:val="000000"/>
                <w:sz w:val="20"/>
                <w:szCs w:val="20"/>
              </w:rPr>
              <w:t>1.00116</w:t>
            </w:r>
          </w:p>
        </w:tc>
        <w:tc>
          <w:tcPr>
            <w:tcW w:w="1134"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pStyle w:val="Tablenotes0"/>
              <w:spacing w:after="0"/>
              <w:jc w:val="center"/>
            </w:pPr>
            <w:r>
              <w:rPr>
                <w:rFonts w:cs="Calibri"/>
                <w:color w:val="000000"/>
                <w:sz w:val="20"/>
                <w:szCs w:val="20"/>
              </w:rPr>
              <w:t>1.00116</w:t>
            </w:r>
          </w:p>
        </w:tc>
        <w:tc>
          <w:tcPr>
            <w:tcW w:w="941"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pStyle w:val="Tablenotes0"/>
              <w:spacing w:after="0"/>
              <w:jc w:val="center"/>
            </w:pPr>
            <w:r>
              <w:rPr>
                <w:rFonts w:cs="Calibri"/>
                <w:color w:val="000000"/>
                <w:sz w:val="20"/>
                <w:szCs w:val="20"/>
              </w:rPr>
              <w:t>1.00116</w:t>
            </w:r>
          </w:p>
        </w:tc>
      </w:tr>
      <w:tr w:rsidR="008D0E46"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pPr>
            <w:r w:rsidRPr="00E3331A">
              <w:rPr>
                <w:lang w:val="en-US"/>
              </w:rPr>
              <w:t xml:space="preserve">Glaucoma </w:t>
            </w:r>
            <w:r w:rsidRPr="00E3331A">
              <w:t>mortality odds ratio</w:t>
            </w:r>
          </w:p>
        </w:tc>
        <w:tc>
          <w:tcPr>
            <w:tcW w:w="4620"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spacing w:after="0"/>
            </w:pPr>
            <w:r w:rsidRPr="00E3331A">
              <w:t>Not assumed to result in increased mortality</w:t>
            </w:r>
          </w:p>
        </w:tc>
        <w:tc>
          <w:tcPr>
            <w:tcW w:w="992" w:type="dxa"/>
            <w:tcBorders>
              <w:top w:val="single" w:sz="4" w:space="0" w:color="auto"/>
              <w:left w:val="single" w:sz="4" w:space="0" w:color="auto"/>
              <w:bottom w:val="single" w:sz="4" w:space="0" w:color="auto"/>
              <w:right w:val="single" w:sz="4" w:space="0" w:color="auto"/>
            </w:tcBorders>
            <w:vAlign w:val="center"/>
          </w:tcPr>
          <w:p w:rsidR="008D0E46" w:rsidRPr="00E3331A" w:rsidRDefault="00831648" w:rsidP="00304276">
            <w:pPr>
              <w:pStyle w:val="Tablenotes0"/>
              <w:spacing w:after="0"/>
              <w:jc w:val="center"/>
            </w:pPr>
            <w:r>
              <w:rPr>
                <w:rFonts w:cs="Calibri"/>
                <w:color w:val="000000"/>
                <w:sz w:val="20"/>
                <w:szCs w:val="20"/>
              </w:rPr>
              <w:t>1.0000</w:t>
            </w:r>
          </w:p>
        </w:tc>
        <w:tc>
          <w:tcPr>
            <w:tcW w:w="1134" w:type="dxa"/>
            <w:tcBorders>
              <w:top w:val="single" w:sz="4" w:space="0" w:color="auto"/>
              <w:left w:val="single" w:sz="4" w:space="0" w:color="auto"/>
              <w:bottom w:val="single" w:sz="4" w:space="0" w:color="auto"/>
              <w:right w:val="single" w:sz="4" w:space="0" w:color="auto"/>
            </w:tcBorders>
            <w:vAlign w:val="center"/>
          </w:tcPr>
          <w:p w:rsidR="008D0E46" w:rsidRPr="00E3331A" w:rsidRDefault="00831648" w:rsidP="00304276">
            <w:pPr>
              <w:pStyle w:val="Tablenotes0"/>
              <w:spacing w:after="0"/>
              <w:jc w:val="center"/>
            </w:pPr>
            <w:r>
              <w:rPr>
                <w:rFonts w:cs="Calibri"/>
                <w:color w:val="000000"/>
                <w:sz w:val="20"/>
                <w:szCs w:val="20"/>
              </w:rPr>
              <w:t>1.0000</w:t>
            </w:r>
          </w:p>
        </w:tc>
        <w:tc>
          <w:tcPr>
            <w:tcW w:w="941" w:type="dxa"/>
            <w:tcBorders>
              <w:top w:val="single" w:sz="4" w:space="0" w:color="auto"/>
              <w:left w:val="single" w:sz="4" w:space="0" w:color="auto"/>
              <w:bottom w:val="single" w:sz="4" w:space="0" w:color="auto"/>
              <w:right w:val="single" w:sz="4" w:space="0" w:color="auto"/>
            </w:tcBorders>
            <w:vAlign w:val="center"/>
          </w:tcPr>
          <w:p w:rsidR="008D0E46" w:rsidRPr="00E3331A" w:rsidRDefault="00831648" w:rsidP="00304276">
            <w:pPr>
              <w:pStyle w:val="Tablenotes0"/>
              <w:spacing w:after="0"/>
              <w:jc w:val="center"/>
            </w:pPr>
            <w:r>
              <w:rPr>
                <w:rFonts w:cs="Calibri"/>
                <w:color w:val="000000"/>
                <w:sz w:val="20"/>
                <w:szCs w:val="20"/>
              </w:rPr>
              <w:t>1.0000</w:t>
            </w:r>
          </w:p>
        </w:tc>
      </w:tr>
      <w:tr w:rsidR="008D0E46"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pPr>
            <w:r w:rsidRPr="00E3331A">
              <w:rPr>
                <w:lang w:val="en-US"/>
              </w:rPr>
              <w:t xml:space="preserve">Cataract </w:t>
            </w:r>
            <w:r w:rsidRPr="00E3331A">
              <w:t>mortality odds ratio</w:t>
            </w:r>
          </w:p>
        </w:tc>
        <w:tc>
          <w:tcPr>
            <w:tcW w:w="4620"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spacing w:after="0"/>
            </w:pPr>
            <w:r w:rsidRPr="00E3331A">
              <w:t>Not assumed to result in increased mortality</w:t>
            </w:r>
          </w:p>
        </w:tc>
        <w:tc>
          <w:tcPr>
            <w:tcW w:w="992" w:type="dxa"/>
            <w:tcBorders>
              <w:top w:val="single" w:sz="4" w:space="0" w:color="auto"/>
              <w:left w:val="single" w:sz="4" w:space="0" w:color="auto"/>
              <w:bottom w:val="single" w:sz="4" w:space="0" w:color="auto"/>
              <w:right w:val="single" w:sz="4" w:space="0" w:color="auto"/>
            </w:tcBorders>
            <w:vAlign w:val="center"/>
          </w:tcPr>
          <w:p w:rsidR="008D0E46" w:rsidRPr="00E3331A" w:rsidRDefault="00831648" w:rsidP="00304276">
            <w:pPr>
              <w:pStyle w:val="Tablenotes0"/>
              <w:spacing w:after="0"/>
              <w:jc w:val="center"/>
            </w:pPr>
            <w:r>
              <w:rPr>
                <w:rFonts w:cs="Calibri"/>
                <w:color w:val="000000"/>
                <w:sz w:val="20"/>
                <w:szCs w:val="20"/>
              </w:rPr>
              <w:t>1.0000</w:t>
            </w:r>
          </w:p>
        </w:tc>
        <w:tc>
          <w:tcPr>
            <w:tcW w:w="1134" w:type="dxa"/>
            <w:tcBorders>
              <w:top w:val="single" w:sz="4" w:space="0" w:color="auto"/>
              <w:left w:val="single" w:sz="4" w:space="0" w:color="auto"/>
              <w:bottom w:val="single" w:sz="4" w:space="0" w:color="auto"/>
              <w:right w:val="single" w:sz="4" w:space="0" w:color="auto"/>
            </w:tcBorders>
            <w:vAlign w:val="center"/>
          </w:tcPr>
          <w:p w:rsidR="008D0E46" w:rsidRPr="00E3331A" w:rsidRDefault="00831648" w:rsidP="00304276">
            <w:pPr>
              <w:pStyle w:val="Tablenotes0"/>
              <w:spacing w:after="0"/>
              <w:jc w:val="center"/>
            </w:pPr>
            <w:r>
              <w:rPr>
                <w:rFonts w:cs="Calibri"/>
                <w:color w:val="000000"/>
                <w:sz w:val="20"/>
                <w:szCs w:val="20"/>
              </w:rPr>
              <w:t>1.0000</w:t>
            </w:r>
          </w:p>
        </w:tc>
        <w:tc>
          <w:tcPr>
            <w:tcW w:w="941" w:type="dxa"/>
            <w:tcBorders>
              <w:top w:val="single" w:sz="4" w:space="0" w:color="auto"/>
              <w:left w:val="single" w:sz="4" w:space="0" w:color="auto"/>
              <w:bottom w:val="single" w:sz="4" w:space="0" w:color="auto"/>
              <w:right w:val="single" w:sz="4" w:space="0" w:color="auto"/>
            </w:tcBorders>
            <w:vAlign w:val="center"/>
          </w:tcPr>
          <w:p w:rsidR="008D0E46" w:rsidRPr="00E3331A" w:rsidRDefault="00831648" w:rsidP="00304276">
            <w:pPr>
              <w:pStyle w:val="Tablenotes0"/>
              <w:spacing w:after="0"/>
              <w:jc w:val="center"/>
            </w:pPr>
            <w:r>
              <w:rPr>
                <w:rFonts w:cs="Calibri"/>
                <w:color w:val="000000"/>
                <w:sz w:val="20"/>
                <w:szCs w:val="20"/>
              </w:rPr>
              <w:t>1.0000</w:t>
            </w:r>
          </w:p>
        </w:tc>
      </w:tr>
      <w:tr w:rsidR="008D0E46" w:rsidRPr="00E3331A" w:rsidTr="00304276">
        <w:trPr>
          <w:cantSplit/>
        </w:trPr>
        <w:tc>
          <w:tcPr>
            <w:tcW w:w="1329"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pPr>
            <w:r w:rsidRPr="00E3331A">
              <w:rPr>
                <w:lang w:val="en-US"/>
              </w:rPr>
              <w:t xml:space="preserve">Infection </w:t>
            </w:r>
            <w:r w:rsidRPr="00E3331A">
              <w:t>mortality odds ratio</w:t>
            </w:r>
          </w:p>
        </w:tc>
        <w:tc>
          <w:tcPr>
            <w:tcW w:w="4620"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8D0E46">
            <w:pPr>
              <w:pStyle w:val="Tablenotes0"/>
            </w:pPr>
            <w:r w:rsidRPr="00E3331A">
              <w:t>Blackhouse (2010) included an incremental mortality of 0.018 for 25-64 year olds in hospital. This is included as an odds ratio of 1.018 and applied to weekly base mortality.</w:t>
            </w:r>
          </w:p>
        </w:tc>
        <w:tc>
          <w:tcPr>
            <w:tcW w:w="992"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jc w:val="center"/>
              <w:rPr>
                <w:sz w:val="20"/>
              </w:rPr>
            </w:pPr>
            <w:r>
              <w:rPr>
                <w:rFonts w:ascii="Arial Narrow" w:hAnsi="Arial Narrow" w:cs="Calibri"/>
                <w:color w:val="000000"/>
                <w:sz w:val="20"/>
                <w:szCs w:val="20"/>
              </w:rPr>
              <w:t>1.01800</w:t>
            </w:r>
          </w:p>
        </w:tc>
        <w:tc>
          <w:tcPr>
            <w:tcW w:w="1134"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jc w:val="center"/>
              <w:rPr>
                <w:sz w:val="20"/>
              </w:rPr>
            </w:pPr>
            <w:r>
              <w:rPr>
                <w:rFonts w:ascii="Arial Narrow" w:hAnsi="Arial Narrow" w:cs="Calibri"/>
                <w:color w:val="000000"/>
                <w:sz w:val="20"/>
                <w:szCs w:val="20"/>
              </w:rPr>
              <w:t>1.01800</w:t>
            </w:r>
          </w:p>
        </w:tc>
        <w:tc>
          <w:tcPr>
            <w:tcW w:w="941" w:type="dxa"/>
            <w:tcBorders>
              <w:top w:val="single" w:sz="4" w:space="0" w:color="auto"/>
              <w:left w:val="single" w:sz="4" w:space="0" w:color="auto"/>
              <w:bottom w:val="single" w:sz="4" w:space="0" w:color="auto"/>
              <w:right w:val="single" w:sz="4" w:space="0" w:color="auto"/>
            </w:tcBorders>
            <w:vAlign w:val="center"/>
          </w:tcPr>
          <w:p w:rsidR="008D0E46" w:rsidRPr="00E3331A" w:rsidRDefault="008D0E46" w:rsidP="00304276">
            <w:pPr>
              <w:jc w:val="center"/>
              <w:rPr>
                <w:rFonts w:ascii="Arial Narrow" w:hAnsi="Arial Narrow" w:cs="Calibri"/>
                <w:sz w:val="20"/>
                <w:szCs w:val="20"/>
              </w:rPr>
            </w:pPr>
            <w:r>
              <w:rPr>
                <w:rFonts w:ascii="Arial Narrow" w:hAnsi="Arial Narrow" w:cs="Calibri"/>
                <w:color w:val="000000"/>
                <w:sz w:val="20"/>
                <w:szCs w:val="20"/>
              </w:rPr>
              <w:t>1.01800</w:t>
            </w:r>
          </w:p>
        </w:tc>
      </w:tr>
    </w:tbl>
    <w:p w:rsidR="001F5B33" w:rsidRPr="00E3331A" w:rsidRDefault="001F5B33" w:rsidP="0037150F">
      <w:pPr>
        <w:pStyle w:val="Tablenotes1"/>
      </w:pPr>
      <w:r w:rsidRPr="00E3331A">
        <w:t>Abbreviations: AE= adverse event. CIDP = Chronic Inflammatory Demyelinating Polyneuropathy</w:t>
      </w:r>
    </w:p>
    <w:p w:rsidR="001F5B33" w:rsidRPr="00E3331A" w:rsidRDefault="001F5B33" w:rsidP="001F5B33">
      <w:pPr>
        <w:rPr>
          <w:b/>
          <w:szCs w:val="20"/>
        </w:rPr>
      </w:pPr>
      <w:r w:rsidRPr="00E3331A">
        <w:rPr>
          <w:b/>
          <w:szCs w:val="20"/>
        </w:rPr>
        <w:t xml:space="preserve">Trial </w:t>
      </w:r>
      <w:r w:rsidR="005767C6" w:rsidRPr="00E3331A">
        <w:rPr>
          <w:b/>
          <w:szCs w:val="20"/>
        </w:rPr>
        <w:t>p</w:t>
      </w:r>
      <w:r w:rsidRPr="00E3331A">
        <w:rPr>
          <w:b/>
          <w:szCs w:val="20"/>
        </w:rPr>
        <w:t>eriod</w:t>
      </w:r>
    </w:p>
    <w:p w:rsidR="001F5B33" w:rsidRPr="00E3331A" w:rsidRDefault="001F5B33" w:rsidP="00BB6E4C">
      <w:pPr>
        <w:pStyle w:val="BodyTextSTD"/>
      </w:pPr>
      <w:r w:rsidRPr="00E3331A">
        <w:t xml:space="preserve">Weekly probabilities are taken from </w:t>
      </w:r>
      <w:r w:rsidR="006F35B9" w:rsidRPr="00E3331A">
        <w:t xml:space="preserve">Table </w:t>
      </w:r>
      <w:r w:rsidR="006F35B9">
        <w:rPr>
          <w:noProof/>
        </w:rPr>
        <w:t>70</w:t>
      </w:r>
      <w:r w:rsidRPr="00E3331A">
        <w:t xml:space="preserve"> and applied across </w:t>
      </w:r>
      <w:r w:rsidR="00E6614B" w:rsidRPr="00E3331A">
        <w:t xml:space="preserve">six </w:t>
      </w:r>
      <w:r w:rsidRPr="00E3331A">
        <w:t xml:space="preserve">months for the base trial analysis. Results of the analysis are included in the Markov trace presented in </w:t>
      </w:r>
      <w:r w:rsidR="006F35B9" w:rsidRPr="00E3331A">
        <w:t xml:space="preserve">Figure </w:t>
      </w:r>
      <w:r w:rsidR="006F35B9">
        <w:rPr>
          <w:noProof/>
        </w:rPr>
        <w:t>5</w:t>
      </w:r>
      <w:r w:rsidRPr="00E3331A">
        <w:t xml:space="preserve">. It is evident </w:t>
      </w:r>
      <w:r w:rsidR="00E6614B" w:rsidRPr="00E3331A">
        <w:t xml:space="preserve">that </w:t>
      </w:r>
      <w:r w:rsidRPr="00E3331A">
        <w:t>all the cohort</w:t>
      </w:r>
      <w:r w:rsidR="00E6614B" w:rsidRPr="00E3331A">
        <w:t>s</w:t>
      </w:r>
      <w:r w:rsidRPr="00E3331A">
        <w:t xml:space="preserve"> start in the initial Ig treatment state. After </w:t>
      </w:r>
      <w:r w:rsidR="00E6614B" w:rsidRPr="00E3331A">
        <w:t xml:space="preserve">four </w:t>
      </w:r>
      <w:r w:rsidRPr="00E3331A">
        <w:t xml:space="preserve">months they are assessed for Ig response, then move to either Ig responder or corticosteroid states. </w:t>
      </w:r>
    </w:p>
    <w:p w:rsidR="001F5B33" w:rsidRPr="00E3331A" w:rsidRDefault="00C41717" w:rsidP="00B30C0B">
      <w:pPr>
        <w:pStyle w:val="BodyTextSTD"/>
        <w:keepNext/>
      </w:pPr>
      <w:r>
        <w:rPr>
          <w:noProof/>
        </w:rPr>
        <w:lastRenderedPageBreak/>
        <w:drawing>
          <wp:inline distT="0" distB="0" distL="0" distR="0" wp14:anchorId="2FFBFEEC" wp14:editId="0064A036">
            <wp:extent cx="5731510" cy="3347720"/>
            <wp:effectExtent l="0" t="0" r="2540" b="5080"/>
            <wp:docPr id="5" name="Chart 5" descr="Patient distribution between sta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161F5D" w:rsidRPr="00E3331A">
        <w:rPr>
          <w:noProof/>
        </w:rPr>
        <w:t xml:space="preserve"> </w:t>
      </w:r>
    </w:p>
    <w:p w:rsidR="001F5B33" w:rsidRPr="00E3331A" w:rsidRDefault="001F5B33" w:rsidP="001F5B33">
      <w:pPr>
        <w:pStyle w:val="Caption"/>
        <w:rPr>
          <w:noProof/>
          <w:szCs w:val="18"/>
        </w:rPr>
      </w:pPr>
      <w:bookmarkStart w:id="434" w:name="_Ref8223577"/>
      <w:bookmarkStart w:id="435" w:name="_Toc23767047"/>
      <w:r w:rsidRPr="00E3331A">
        <w:t xml:space="preserve">Figure </w:t>
      </w:r>
      <w:r w:rsidR="006F35B9">
        <w:rPr>
          <w:noProof/>
        </w:rPr>
        <w:t>5</w:t>
      </w:r>
      <w:bookmarkEnd w:id="434"/>
      <w:r w:rsidR="00AC174B" w:rsidRPr="00E3331A">
        <w:tab/>
      </w:r>
      <w:r w:rsidRPr="00E3331A">
        <w:rPr>
          <w:noProof/>
          <w:szCs w:val="18"/>
        </w:rPr>
        <w:t>Ig patient distribution between health states – 6 month follow-up trial period</w:t>
      </w:r>
      <w:bookmarkEnd w:id="435"/>
    </w:p>
    <w:p w:rsidR="001F5B33" w:rsidRPr="00E3331A" w:rsidRDefault="001F5B33" w:rsidP="00B30C0B">
      <w:pPr>
        <w:rPr>
          <w:rFonts w:ascii="Arial Narrow" w:hAnsi="Arial Narrow"/>
          <w:sz w:val="18"/>
        </w:rPr>
      </w:pPr>
      <w:r w:rsidRPr="00E3331A">
        <w:rPr>
          <w:rFonts w:ascii="Arial Narrow" w:hAnsi="Arial Narrow"/>
          <w:sz w:val="18"/>
        </w:rPr>
        <w:t>Abbreviations: AE= adverse event, Ig= Immunoglobulin</w:t>
      </w:r>
    </w:p>
    <w:p w:rsidR="001F5B33" w:rsidRPr="00E3331A" w:rsidRDefault="001F5B33" w:rsidP="001F5B33">
      <w:pPr>
        <w:rPr>
          <w:b/>
          <w:szCs w:val="20"/>
        </w:rPr>
      </w:pPr>
      <w:r w:rsidRPr="00E3331A">
        <w:rPr>
          <w:b/>
          <w:szCs w:val="20"/>
        </w:rPr>
        <w:t>Extrapolation after the trial period</w:t>
      </w:r>
    </w:p>
    <w:p w:rsidR="001F5B33" w:rsidRPr="00E3331A" w:rsidRDefault="001F5B33" w:rsidP="00BB6E4C">
      <w:pPr>
        <w:pStyle w:val="BodyTextSTD"/>
      </w:pPr>
      <w:r w:rsidRPr="00E3331A">
        <w:t xml:space="preserve">Results of the extrapolations are presented as a series of Markov traces for the Ig and steroid arms, along with a trace </w:t>
      </w:r>
      <w:r w:rsidR="00AC174B" w:rsidRPr="00E3331A">
        <w:t xml:space="preserve">that </w:t>
      </w:r>
      <w:r w:rsidRPr="00E3331A">
        <w:t xml:space="preserve">shows the difference in patient numbers by state as a result of Ig use. </w:t>
      </w:r>
      <w:r w:rsidR="00B45672" w:rsidRPr="00E3331A">
        <w:t>Based on the Ig response (</w:t>
      </w:r>
      <w:r w:rsidR="00837CE7" w:rsidRPr="00E3331A">
        <w:t>6</w:t>
      </w:r>
      <w:r w:rsidR="00B45672" w:rsidRPr="00E3331A">
        <w:t xml:space="preserve">1%) </w:t>
      </w:r>
      <w:r w:rsidR="00837CE7" w:rsidRPr="00E3331A">
        <w:t xml:space="preserve">at 4 months </w:t>
      </w:r>
      <w:r w:rsidR="00B45672" w:rsidRPr="00E3331A">
        <w:t xml:space="preserve">and </w:t>
      </w:r>
      <w:r w:rsidRPr="00E3331A">
        <w:t xml:space="preserve">Ig relapse rate assumed in the model, </w:t>
      </w:r>
      <w:r w:rsidR="00837CE7" w:rsidRPr="00E3331A">
        <w:t xml:space="preserve">around half of </w:t>
      </w:r>
      <w:r w:rsidRPr="00E3331A">
        <w:t xml:space="preserve">Ig patients </w:t>
      </w:r>
      <w:r w:rsidR="00837CE7" w:rsidRPr="00E3331A">
        <w:t>remain on Ig treatment after 10</w:t>
      </w:r>
      <w:r w:rsidR="00AC174B" w:rsidRPr="00E3331A">
        <w:t xml:space="preserve"> </w:t>
      </w:r>
      <w:r w:rsidRPr="00E3331A">
        <w:t xml:space="preserve">years. </w:t>
      </w:r>
      <w:r w:rsidR="00837CE7" w:rsidRPr="00E3331A">
        <w:t>Nearly 30% have progressed to disability due to non-response to first and second</w:t>
      </w:r>
      <w:r w:rsidR="00417823">
        <w:t>-</w:t>
      </w:r>
      <w:r w:rsidR="00837CE7" w:rsidRPr="00E3331A">
        <w:t>line treatments.</w:t>
      </w:r>
    </w:p>
    <w:p w:rsidR="001F5B33" w:rsidRPr="00E3331A" w:rsidRDefault="00161F5D" w:rsidP="00BB6E4C">
      <w:pPr>
        <w:pStyle w:val="BodyTextSTD"/>
      </w:pPr>
      <w:r w:rsidRPr="00E3331A">
        <w:rPr>
          <w:noProof/>
        </w:rPr>
        <w:lastRenderedPageBreak/>
        <w:t xml:space="preserve"> </w:t>
      </w:r>
      <w:r w:rsidR="00C41717">
        <w:rPr>
          <w:noProof/>
        </w:rPr>
        <w:drawing>
          <wp:inline distT="0" distB="0" distL="0" distR="0" wp14:anchorId="2FFBFEF0" wp14:editId="532F500C">
            <wp:extent cx="5731510" cy="3726180"/>
            <wp:effectExtent l="0" t="0" r="2540" b="7620"/>
            <wp:docPr id="6" name="Chart 6" descr="Ig arm patient distribution between health states – 10 year follow-up"/>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F5B33" w:rsidRPr="00E3331A" w:rsidRDefault="001F5B33" w:rsidP="001F5B33">
      <w:pPr>
        <w:pStyle w:val="Caption"/>
        <w:rPr>
          <w:noProof/>
          <w:szCs w:val="18"/>
        </w:rPr>
      </w:pPr>
      <w:bookmarkStart w:id="436" w:name="_Toc23767048"/>
      <w:r w:rsidRPr="00E3331A">
        <w:t xml:space="preserve">Figure </w:t>
      </w:r>
      <w:r w:rsidR="006F35B9">
        <w:rPr>
          <w:noProof/>
        </w:rPr>
        <w:t>6</w:t>
      </w:r>
      <w:r w:rsidR="00100938" w:rsidRPr="00E3331A">
        <w:tab/>
      </w:r>
      <w:r w:rsidRPr="00E3331A">
        <w:rPr>
          <w:noProof/>
          <w:szCs w:val="18"/>
        </w:rPr>
        <w:t>Ig</w:t>
      </w:r>
      <w:r w:rsidR="000C0E99">
        <w:rPr>
          <w:noProof/>
          <w:szCs w:val="18"/>
        </w:rPr>
        <w:t xml:space="preserve"> </w:t>
      </w:r>
      <w:r w:rsidRPr="00E3331A">
        <w:rPr>
          <w:noProof/>
          <w:szCs w:val="18"/>
        </w:rPr>
        <w:t xml:space="preserve">arm patient distribution between health states – </w:t>
      </w:r>
      <w:r w:rsidR="00B45672" w:rsidRPr="00E3331A">
        <w:rPr>
          <w:noProof/>
          <w:szCs w:val="18"/>
        </w:rPr>
        <w:t>10</w:t>
      </w:r>
      <w:r w:rsidRPr="00E3331A">
        <w:rPr>
          <w:noProof/>
          <w:szCs w:val="18"/>
        </w:rPr>
        <w:t xml:space="preserve"> year follow-up</w:t>
      </w:r>
      <w:bookmarkEnd w:id="436"/>
    </w:p>
    <w:p w:rsidR="001F5B33" w:rsidRPr="00E3331A" w:rsidRDefault="001F5B33" w:rsidP="00B30C0B">
      <w:pPr>
        <w:rPr>
          <w:rFonts w:ascii="Arial Narrow" w:hAnsi="Arial Narrow"/>
          <w:sz w:val="18"/>
        </w:rPr>
      </w:pPr>
      <w:r w:rsidRPr="00E3331A">
        <w:rPr>
          <w:rFonts w:ascii="Arial Narrow" w:hAnsi="Arial Narrow"/>
          <w:sz w:val="18"/>
        </w:rPr>
        <w:t>Abbreviations: AE= adverse event, Ig= Immunoglobulin</w:t>
      </w:r>
    </w:p>
    <w:p w:rsidR="001F5B33" w:rsidRPr="00E3331A" w:rsidRDefault="00C41717" w:rsidP="00BB6E4C">
      <w:pPr>
        <w:pStyle w:val="BodyTextSTD"/>
      </w:pPr>
      <w:r>
        <w:rPr>
          <w:noProof/>
        </w:rPr>
        <w:drawing>
          <wp:inline distT="0" distB="0" distL="0" distR="0" wp14:anchorId="2FFBFEF4" wp14:editId="4D909065">
            <wp:extent cx="5495925" cy="3381375"/>
            <wp:effectExtent l="0" t="0" r="9525" b="9525"/>
            <wp:docPr id="7" name="Chart 7" descr="Steroid patient distribution between sta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F5B33" w:rsidRPr="00E3331A" w:rsidRDefault="001F5B33" w:rsidP="001F5B33">
      <w:pPr>
        <w:pStyle w:val="Caption"/>
        <w:rPr>
          <w:noProof/>
          <w:szCs w:val="18"/>
        </w:rPr>
      </w:pPr>
      <w:bookmarkStart w:id="437" w:name="_Toc23767049"/>
      <w:r w:rsidRPr="00E3331A">
        <w:t xml:space="preserve">Figure </w:t>
      </w:r>
      <w:r w:rsidR="006F35B9">
        <w:rPr>
          <w:noProof/>
        </w:rPr>
        <w:t>7</w:t>
      </w:r>
      <w:r w:rsidR="00100938" w:rsidRPr="00E3331A">
        <w:tab/>
      </w:r>
      <w:r w:rsidRPr="00E3331A">
        <w:rPr>
          <w:noProof/>
          <w:szCs w:val="18"/>
        </w:rPr>
        <w:t>Steroid</w:t>
      </w:r>
      <w:r w:rsidR="00417823">
        <w:rPr>
          <w:noProof/>
          <w:szCs w:val="18"/>
        </w:rPr>
        <w:t xml:space="preserve"> </w:t>
      </w:r>
      <w:r w:rsidRPr="00E3331A">
        <w:rPr>
          <w:noProof/>
          <w:szCs w:val="18"/>
        </w:rPr>
        <w:t xml:space="preserve">arm patient distribution between health states – </w:t>
      </w:r>
      <w:r w:rsidR="00B45672" w:rsidRPr="00E3331A">
        <w:rPr>
          <w:noProof/>
          <w:szCs w:val="18"/>
        </w:rPr>
        <w:t>10</w:t>
      </w:r>
      <w:r w:rsidRPr="00E3331A">
        <w:rPr>
          <w:noProof/>
          <w:szCs w:val="18"/>
        </w:rPr>
        <w:t xml:space="preserve"> year follow-up</w:t>
      </w:r>
      <w:bookmarkEnd w:id="437"/>
    </w:p>
    <w:p w:rsidR="001F5B33" w:rsidRPr="00E3331A" w:rsidRDefault="001F5B33" w:rsidP="00B30C0B">
      <w:pPr>
        <w:rPr>
          <w:rFonts w:ascii="Arial Narrow" w:hAnsi="Arial Narrow"/>
          <w:sz w:val="18"/>
        </w:rPr>
      </w:pPr>
      <w:r w:rsidRPr="00E3331A">
        <w:rPr>
          <w:rFonts w:ascii="Arial Narrow" w:hAnsi="Arial Narrow"/>
          <w:sz w:val="18"/>
        </w:rPr>
        <w:t>Abbreviations: AE= adverse event</w:t>
      </w:r>
    </w:p>
    <w:p w:rsidR="00386EC8" w:rsidRPr="00E3331A" w:rsidRDefault="00386EC8" w:rsidP="00BB6E4C">
      <w:pPr>
        <w:pStyle w:val="BodyTextSTD"/>
      </w:pPr>
      <w:r w:rsidRPr="00E3331A">
        <w:lastRenderedPageBreak/>
        <w:t xml:space="preserve">The difference between steroid AEs on the model arms is limited, given incidence rates. Fracture and diabetes are the largest AEs by patient </w:t>
      </w:r>
      <w:r w:rsidR="00E810A5" w:rsidRPr="00E3331A">
        <w:t>number but</w:t>
      </w:r>
      <w:r w:rsidRPr="00E3331A">
        <w:t xml:space="preserve"> are less than 1% of total patients at 10-years. Given the small numbers relative to those in Ig and steroid states, these patients have limited impact on estimated ICER</w:t>
      </w:r>
    </w:p>
    <w:p w:rsidR="001F5B33" w:rsidRPr="00E3331A" w:rsidRDefault="00837CE7" w:rsidP="00BB6E4C">
      <w:pPr>
        <w:pStyle w:val="BodyTextSTD"/>
      </w:pPr>
      <w:r w:rsidRPr="00E3331A">
        <w:t xml:space="preserve">A higher proportion of steroid arm patients are estimated to progress to disability. After 10-years it is estimated that nearly 60% of patients </w:t>
      </w:r>
      <w:r w:rsidR="009F042E" w:rsidRPr="00E3331A">
        <w:t xml:space="preserve">on the steroid arm </w:t>
      </w:r>
      <w:r w:rsidRPr="00E3331A">
        <w:t xml:space="preserve">reside in this state. </w:t>
      </w:r>
      <w:r w:rsidR="001F5B33" w:rsidRPr="00E3331A">
        <w:t xml:space="preserve">The key difference between Ig and steroid (see </w:t>
      </w:r>
      <w:r w:rsidR="006F35B9" w:rsidRPr="00E3331A">
        <w:t xml:space="preserve">Figure </w:t>
      </w:r>
      <w:r w:rsidR="006F35B9">
        <w:rPr>
          <w:noProof/>
        </w:rPr>
        <w:t>8</w:t>
      </w:r>
      <w:r w:rsidR="001F5B33" w:rsidRPr="00E3331A">
        <w:t xml:space="preserve">) </w:t>
      </w:r>
      <w:r w:rsidRPr="00E3331A">
        <w:t xml:space="preserve">arms </w:t>
      </w:r>
      <w:r w:rsidR="001F5B33" w:rsidRPr="00E3331A">
        <w:t>is the high</w:t>
      </w:r>
      <w:r w:rsidRPr="00E3331A">
        <w:t>er</w:t>
      </w:r>
      <w:r w:rsidR="001F5B33" w:rsidRPr="00E3331A">
        <w:t xml:space="preserve"> number of patients </w:t>
      </w:r>
      <w:r w:rsidRPr="00E3331A">
        <w:t>who</w:t>
      </w:r>
      <w:r w:rsidR="001F5B33" w:rsidRPr="00E3331A">
        <w:t xml:space="preserve"> transition to </w:t>
      </w:r>
      <w:r w:rsidR="00D9688E">
        <w:t>a</w:t>
      </w:r>
      <w:r w:rsidR="004C5E7B" w:rsidRPr="004C5E7B">
        <w:t xml:space="preserve">zathioprine </w:t>
      </w:r>
      <w:r w:rsidR="00563B17" w:rsidRPr="00E3331A">
        <w:t xml:space="preserve">non-response </w:t>
      </w:r>
      <w:r w:rsidRPr="00E3331A">
        <w:t>then disability over the 10</w:t>
      </w:r>
      <w:r w:rsidR="001F5B33" w:rsidRPr="00E3331A">
        <w:t>-year projection. The incremental utility of Ig over the steroid health state</w:t>
      </w:r>
      <w:r w:rsidRPr="00E3331A">
        <w:t xml:space="preserve"> and, greater proportion of patients suffering disability</w:t>
      </w:r>
      <w:r w:rsidR="001F5B33" w:rsidRPr="00E3331A">
        <w:t xml:space="preserve"> are the key drivers of economic value.</w:t>
      </w:r>
    </w:p>
    <w:p w:rsidR="001F5B33" w:rsidRPr="00E3331A" w:rsidRDefault="00C41717" w:rsidP="00BB6E4C">
      <w:pPr>
        <w:pStyle w:val="BodyTextSTD"/>
      </w:pPr>
      <w:r>
        <w:rPr>
          <w:noProof/>
        </w:rPr>
        <w:drawing>
          <wp:inline distT="0" distB="0" distL="0" distR="0" wp14:anchorId="2FFBFEF8" wp14:editId="6FFFB2F0">
            <wp:extent cx="5731510" cy="3519805"/>
            <wp:effectExtent l="0" t="0" r="2540" b="4445"/>
            <wp:docPr id="8" name="Chart 8" descr="Difference between Ig and steroid patients in distribution of health sta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161F5D" w:rsidRPr="00E3331A">
        <w:rPr>
          <w:noProof/>
        </w:rPr>
        <w:t xml:space="preserve"> </w:t>
      </w:r>
    </w:p>
    <w:p w:rsidR="001F5B33" w:rsidRPr="00E3331A" w:rsidRDefault="001F5B33" w:rsidP="001F5B33">
      <w:pPr>
        <w:pStyle w:val="Caption"/>
        <w:rPr>
          <w:noProof/>
          <w:szCs w:val="18"/>
        </w:rPr>
      </w:pPr>
      <w:bookmarkStart w:id="438" w:name="_Ref8228555"/>
      <w:bookmarkStart w:id="439" w:name="_Toc23767050"/>
      <w:r w:rsidRPr="00E3331A">
        <w:t xml:space="preserve">Figure </w:t>
      </w:r>
      <w:r w:rsidR="006F35B9">
        <w:rPr>
          <w:noProof/>
        </w:rPr>
        <w:t>8</w:t>
      </w:r>
      <w:bookmarkEnd w:id="438"/>
      <w:r w:rsidR="00743BDB" w:rsidRPr="00E3331A">
        <w:tab/>
      </w:r>
      <w:r w:rsidRPr="00E3331A">
        <w:t xml:space="preserve">Difference between </w:t>
      </w:r>
      <w:r w:rsidRPr="00E3331A">
        <w:rPr>
          <w:noProof/>
          <w:szCs w:val="18"/>
        </w:rPr>
        <w:t xml:space="preserve">Ig and </w:t>
      </w:r>
      <w:r w:rsidR="00743BDB" w:rsidRPr="00E3331A">
        <w:rPr>
          <w:noProof/>
          <w:szCs w:val="18"/>
        </w:rPr>
        <w:t>s</w:t>
      </w:r>
      <w:r w:rsidRPr="00E3331A">
        <w:rPr>
          <w:noProof/>
          <w:szCs w:val="18"/>
        </w:rPr>
        <w:t xml:space="preserve">teroid patient distribution between health states – </w:t>
      </w:r>
      <w:r w:rsidR="00837CE7" w:rsidRPr="00E3331A">
        <w:rPr>
          <w:noProof/>
          <w:szCs w:val="18"/>
        </w:rPr>
        <w:t xml:space="preserve">10 </w:t>
      </w:r>
      <w:r w:rsidRPr="00E3331A">
        <w:rPr>
          <w:noProof/>
          <w:szCs w:val="18"/>
        </w:rPr>
        <w:t>year follow-up</w:t>
      </w:r>
      <w:bookmarkEnd w:id="439"/>
    </w:p>
    <w:p w:rsidR="001F5B33" w:rsidRPr="00E3331A" w:rsidRDefault="001F5B33" w:rsidP="00B30C0B">
      <w:pPr>
        <w:rPr>
          <w:rFonts w:ascii="Arial Narrow" w:hAnsi="Arial Narrow"/>
          <w:sz w:val="18"/>
        </w:rPr>
      </w:pPr>
      <w:r w:rsidRPr="00E3331A">
        <w:rPr>
          <w:rFonts w:ascii="Arial Narrow" w:hAnsi="Arial Narrow"/>
          <w:sz w:val="18"/>
        </w:rPr>
        <w:t>Abbreviations: Ig= Immunoglobulin</w:t>
      </w:r>
    </w:p>
    <w:p w:rsidR="001F5B33" w:rsidRPr="00E3331A" w:rsidRDefault="001F5B33" w:rsidP="001F5B33">
      <w:pPr>
        <w:pStyle w:val="Heading3"/>
      </w:pPr>
      <w:bookmarkStart w:id="440" w:name="_Toc24103513"/>
      <w:r w:rsidRPr="00E3331A">
        <w:t>D.4.2.</w:t>
      </w:r>
      <w:r w:rsidRPr="00E3331A">
        <w:tab/>
        <w:t>Economic Input Parameters</w:t>
      </w:r>
      <w:bookmarkEnd w:id="440"/>
    </w:p>
    <w:p w:rsidR="001F5B33" w:rsidRPr="00E3331A" w:rsidRDefault="001F5B33" w:rsidP="00BB6E4C">
      <w:pPr>
        <w:pStyle w:val="BodyTextSTD"/>
      </w:pPr>
      <w:r w:rsidRPr="00E3331A">
        <w:t>Changes in health system resource utilisation associated with the intervention include cost estimates for Ig and steroid products</w:t>
      </w:r>
      <w:r w:rsidR="009E0C0F" w:rsidRPr="00E3331A">
        <w:t>;</w:t>
      </w:r>
      <w:r w:rsidRPr="00E3331A">
        <w:t xml:space="preserve"> infusion equipment</w:t>
      </w:r>
      <w:r w:rsidR="009E0C0F" w:rsidRPr="00E3331A">
        <w:t>;</w:t>
      </w:r>
      <w:r w:rsidRPr="00E3331A">
        <w:t xml:space="preserve"> administrative, nursing and clinician tim</w:t>
      </w:r>
      <w:r w:rsidR="009E0C0F" w:rsidRPr="00E3331A">
        <w:t>e;</w:t>
      </w:r>
      <w:r w:rsidRPr="00E3331A">
        <w:t xml:space="preserve"> medication to treat adverse events</w:t>
      </w:r>
      <w:r w:rsidR="009E0C0F" w:rsidRPr="00E3331A">
        <w:t>;</w:t>
      </w:r>
      <w:r w:rsidRPr="00E3331A">
        <w:t xml:space="preserve"> training of patients for SCIg</w:t>
      </w:r>
      <w:r w:rsidR="009E0C0F" w:rsidRPr="00E3331A">
        <w:t>;</w:t>
      </w:r>
      <w:r w:rsidRPr="00E3331A">
        <w:t xml:space="preserve"> and follow-up and/or monitoring visits, including regular neurology visits. </w:t>
      </w:r>
    </w:p>
    <w:p w:rsidR="001F5B33" w:rsidRPr="00E3331A" w:rsidRDefault="001F5B33" w:rsidP="00B30C0B">
      <w:pPr>
        <w:pStyle w:val="Heading4"/>
      </w:pPr>
      <w:r w:rsidRPr="00E3331A">
        <w:lastRenderedPageBreak/>
        <w:t>Cost of Ig product and delivery services</w:t>
      </w:r>
    </w:p>
    <w:p w:rsidR="001F5B33" w:rsidRPr="00E3331A" w:rsidRDefault="001F5B33" w:rsidP="00B30C0B">
      <w:pPr>
        <w:pStyle w:val="Heading5"/>
      </w:pPr>
      <w:r w:rsidRPr="00E3331A">
        <w:t>IVIg treatment</w:t>
      </w:r>
    </w:p>
    <w:p w:rsidR="001F5B33" w:rsidRPr="00E3331A" w:rsidRDefault="009E0C0F" w:rsidP="00BB6E4C">
      <w:pPr>
        <w:pStyle w:val="BodyTextSTD"/>
      </w:pPr>
      <w:r w:rsidRPr="00E3331A">
        <w:t>C</w:t>
      </w:r>
      <w:r w:rsidR="001F5B33" w:rsidRPr="00E3331A">
        <w:t xml:space="preserve">osts of Ig product and medical services </w:t>
      </w:r>
      <w:r w:rsidRPr="00E3331A">
        <w:t xml:space="preserve">for IVIg delivery </w:t>
      </w:r>
      <w:r w:rsidR="001F5B33" w:rsidRPr="00E3331A">
        <w:t>are outlined in</w:t>
      </w:r>
      <w:r w:rsidRPr="00E3331A">
        <w:t xml:space="preserve"> Table 69 for an 83kg patient. </w:t>
      </w:r>
      <w:r w:rsidR="001F5B33" w:rsidRPr="00E3331A">
        <w:t xml:space="preserve">Costs are specified for the initial and maintenance IVIg treatment phases. The dose and frequency of IVIg treatment assumed in the model are based on NBA product use. Actual product use in Australia is less than </w:t>
      </w:r>
      <w:r w:rsidRPr="00E3331A">
        <w:t xml:space="preserve">the </w:t>
      </w:r>
      <w:r w:rsidR="001F5B33" w:rsidRPr="00E3331A">
        <w:t>recommended dosing, possibly due to</w:t>
      </w:r>
      <w:r w:rsidRPr="00E3331A">
        <w:t xml:space="preserve"> </w:t>
      </w:r>
      <w:r w:rsidR="001F5B33" w:rsidRPr="00E3331A">
        <w:t xml:space="preserve">relapse and remission in Australian patients. </w:t>
      </w:r>
      <w:r w:rsidR="00EE1AFD" w:rsidRPr="00E3331A">
        <w:t>Correspondingly ICERs are presented assuming Australian Ig use of 497g per patient per year, and a trial mainte</w:t>
      </w:r>
      <w:r w:rsidR="00E810A5">
        <w:t>na</w:t>
      </w:r>
      <w:r w:rsidR="00EE1AFD" w:rsidRPr="00E3331A">
        <w:t xml:space="preserve">nce dose (based on Hughes </w:t>
      </w:r>
      <w:r w:rsidR="00983BA7">
        <w:t xml:space="preserve">et al. </w:t>
      </w:r>
      <w:r w:rsidR="00EE1AFD" w:rsidRPr="00E3331A">
        <w:t>2008) of 17.33g/kg per year (1g/kg every 3 weeks)</w:t>
      </w:r>
      <w:r w:rsidRPr="00E3331A">
        <w:t>,</w:t>
      </w:r>
      <w:r w:rsidR="00EE1AFD" w:rsidRPr="00E3331A">
        <w:t xml:space="preserve"> eq</w:t>
      </w:r>
      <w:r w:rsidRPr="00E3331A">
        <w:t>uating</w:t>
      </w:r>
      <w:r w:rsidR="00EE1AFD" w:rsidRPr="00E3331A">
        <w:t xml:space="preserve"> to 1,430</w:t>
      </w:r>
      <w:r w:rsidRPr="00E3331A">
        <w:t>g</w:t>
      </w:r>
      <w:r w:rsidR="00EE1AFD" w:rsidRPr="00E3331A">
        <w:t xml:space="preserve"> for an average 82.5kg Australian </w:t>
      </w:r>
      <w:r w:rsidR="00AB7B11">
        <w:t>CIDP</w:t>
      </w:r>
      <w:r w:rsidR="00EE1AFD" w:rsidRPr="00E3331A">
        <w:t xml:space="preserve"> patient</w:t>
      </w:r>
      <w:r w:rsidRPr="00E3331A">
        <w:t>, as reported</w:t>
      </w:r>
      <w:r w:rsidR="00EE1AFD" w:rsidRPr="00E3331A">
        <w:t xml:space="preserve"> by the NBA.</w:t>
      </w:r>
      <w:r w:rsidR="002E75AA" w:rsidRPr="00E3331A">
        <w:t xml:space="preserve"> </w:t>
      </w:r>
      <w:r w:rsidR="001F5B33" w:rsidRPr="00E3331A">
        <w:t>The cost per gram of IVIg ($</w:t>
      </w:r>
      <w:r w:rsidR="00EE1AFD" w:rsidRPr="00E3331A">
        <w:t>60</w:t>
      </w:r>
      <w:r w:rsidR="001F5B33" w:rsidRPr="00E3331A">
        <w:t>.4</w:t>
      </w:r>
      <w:r w:rsidR="00EE1AFD" w:rsidRPr="00E3331A">
        <w:t>1</w:t>
      </w:r>
      <w:r w:rsidR="001F5B33" w:rsidRPr="00E3331A">
        <w:t xml:space="preserve">) was provided by the NBA. </w:t>
      </w:r>
      <w:r w:rsidR="00EE1AFD" w:rsidRPr="00E3331A">
        <w:t xml:space="preserve">Additional sensitivity analyses are </w:t>
      </w:r>
      <w:r w:rsidR="002E75AA" w:rsidRPr="00E3331A">
        <w:t xml:space="preserve">high, low and weighted Ig prices. </w:t>
      </w:r>
      <w:r w:rsidR="001F5B33" w:rsidRPr="00E3331A">
        <w:t xml:space="preserve">Some </w:t>
      </w:r>
      <w:r w:rsidR="00D77378" w:rsidRPr="00E3331A">
        <w:t>pre-medication</w:t>
      </w:r>
      <w:r w:rsidR="001F5B33" w:rsidRPr="00E3331A">
        <w:t xml:space="preserve"> may be needed</w:t>
      </w:r>
      <w:r w:rsidRPr="00E3331A">
        <w:t xml:space="preserve"> (eg</w:t>
      </w:r>
      <w:r w:rsidR="001F5B33" w:rsidRPr="00E3331A">
        <w:t xml:space="preserve"> 10mg </w:t>
      </w:r>
      <w:r w:rsidRPr="00E3331A">
        <w:t xml:space="preserve">oral </w:t>
      </w:r>
      <w:r w:rsidR="001F5B33" w:rsidRPr="00E3331A">
        <w:t xml:space="preserve">cetirizine and 1g </w:t>
      </w:r>
      <w:r w:rsidRPr="00E3331A">
        <w:t xml:space="preserve">(oral or IV) </w:t>
      </w:r>
      <w:r w:rsidR="001F5B33" w:rsidRPr="00E3331A">
        <w:t>paracetamol</w:t>
      </w:r>
      <w:r w:rsidRPr="00E3331A">
        <w:t>)</w:t>
      </w:r>
      <w:r w:rsidR="001F5B33" w:rsidRPr="00E3331A">
        <w:t xml:space="preserve">, though clinical feedback indicated pre-medication usage is limited. </w:t>
      </w:r>
    </w:p>
    <w:p w:rsidR="001F5B33" w:rsidRPr="00E3331A" w:rsidRDefault="001F5B33" w:rsidP="00BB6E4C">
      <w:pPr>
        <w:pStyle w:val="BodyTextSTD"/>
      </w:pPr>
      <w:r w:rsidRPr="00E3331A">
        <w:t>Medical services include specialist (neurologist) and nurse inputs for administration. Most Ig cases would be billed using MBS Item 132 for the first specialist consultation</w:t>
      </w:r>
      <w:r w:rsidR="009E0C0F" w:rsidRPr="00E3331A">
        <w:t>,</w:t>
      </w:r>
      <w:r w:rsidRPr="00E3331A">
        <w:t xml:space="preserve"> then MBS Item 133 or 116 (depending on duration, clinical context) for subsequent attendances. The cost per hour for a nurse ($85) is based on data from NSW awards and an overhead factor of 1.67. Blood tests for electrolytes, urea, creatinine, liver function and full blood counts may be ordered every 4</w:t>
      </w:r>
      <w:r w:rsidR="009E0C0F" w:rsidRPr="00E3331A">
        <w:t>-</w:t>
      </w:r>
      <w:r w:rsidRPr="00E3331A">
        <w:t xml:space="preserve">6 weeks during the first few months of treatment, though this is more closely checked during steroid or adjuvant immunosuppression </w:t>
      </w:r>
      <w:r w:rsidR="009E0C0F" w:rsidRPr="00E3331A">
        <w:t xml:space="preserve">use </w:t>
      </w:r>
      <w:r w:rsidRPr="00E3331A">
        <w:t xml:space="preserve">(e.g. azathioprine, methotrexate) than with Ig. Nerve conduction studies at </w:t>
      </w:r>
      <w:r w:rsidR="009E0C0F" w:rsidRPr="00E3331A">
        <w:t xml:space="preserve">four </w:t>
      </w:r>
      <w:r w:rsidRPr="00E3331A">
        <w:t>months may be arranged to assess response, though if clinically improving this may not be necessary. The</w:t>
      </w:r>
      <w:r w:rsidR="009E0C0F" w:rsidRPr="00E3331A">
        <w:t>se</w:t>
      </w:r>
      <w:r w:rsidRPr="00E3331A">
        <w:t xml:space="preserve"> </w:t>
      </w:r>
      <w:r w:rsidR="009E0C0F" w:rsidRPr="00E3331A">
        <w:t xml:space="preserve">costs </w:t>
      </w:r>
      <w:r w:rsidRPr="00E3331A">
        <w:t xml:space="preserve">are </w:t>
      </w:r>
      <w:r w:rsidR="009E0C0F" w:rsidRPr="00E3331A">
        <w:t xml:space="preserve">shown </w:t>
      </w:r>
      <w:r w:rsidRPr="00E3331A">
        <w:t xml:space="preserve">in </w:t>
      </w:r>
      <w:r w:rsidR="006F35B9" w:rsidRPr="00E3331A">
        <w:t xml:space="preserve">Table </w:t>
      </w:r>
      <w:r w:rsidR="006F35B9">
        <w:rPr>
          <w:noProof/>
        </w:rPr>
        <w:t>71</w:t>
      </w:r>
      <w:r w:rsidRPr="00E3331A">
        <w:t>.</w:t>
      </w:r>
    </w:p>
    <w:p w:rsidR="00B05D3C" w:rsidRDefault="00B05D3C" w:rsidP="00B30C0B">
      <w:pPr>
        <w:pStyle w:val="BodyTextSTD"/>
        <w:rPr>
          <w:noProof/>
          <w:color w:val="000000"/>
        </w:rPr>
      </w:pPr>
      <w:r>
        <w:rPr>
          <w:noProof/>
          <w:color w:val="000000"/>
        </w:rPr>
        <w:t>REDACTED</w:t>
      </w:r>
    </w:p>
    <w:p w:rsidR="002E75AA" w:rsidRDefault="001F5B33" w:rsidP="00B30C0B">
      <w:pPr>
        <w:pStyle w:val="BodyTextSTD"/>
        <w:rPr>
          <w:noProof/>
          <w:color w:val="000000"/>
        </w:rPr>
      </w:pPr>
      <w:r w:rsidRPr="00E3331A">
        <w:t xml:space="preserve"> The analysis assumed 4</w:t>
      </w:r>
      <w:r w:rsidR="007468EF" w:rsidRPr="00E3331A">
        <w:t>9</w:t>
      </w:r>
      <w:r w:rsidRPr="00E3331A">
        <w:t>7g</w:t>
      </w:r>
      <w:r w:rsidR="00AD047E" w:rsidRPr="00E3331A">
        <w:t xml:space="preserve"> </w:t>
      </w:r>
      <w:r w:rsidRPr="00E3331A">
        <w:t xml:space="preserve">per patient based on NBA data. The cost of </w:t>
      </w:r>
      <w:r w:rsidR="00AD047E" w:rsidRPr="00E3331A">
        <w:t>IV</w:t>
      </w:r>
      <w:r w:rsidRPr="00E3331A">
        <w:t>Ig use per patient was $</w:t>
      </w:r>
      <w:r w:rsidR="007468EF" w:rsidRPr="00E3331A">
        <w:t>30,024</w:t>
      </w:r>
      <w:r w:rsidR="00053F32" w:rsidRPr="00E3331A">
        <w:t xml:space="preserve"> ($10,007.9 over 4 months + $20,015.8 over 8 </w:t>
      </w:r>
      <w:r w:rsidR="00053F32" w:rsidRPr="00880FD1">
        <w:t>months)</w:t>
      </w:r>
      <w:r w:rsidRPr="00880FD1">
        <w:t xml:space="preserve">. </w:t>
      </w:r>
    </w:p>
    <w:p w:rsidR="00B05D3C" w:rsidRPr="00E3331A" w:rsidRDefault="00B05D3C" w:rsidP="00B30C0B">
      <w:pPr>
        <w:pStyle w:val="BodyTextSTD"/>
      </w:pPr>
      <w:r>
        <w:rPr>
          <w:noProof/>
          <w:color w:val="000000"/>
        </w:rPr>
        <w:t>REDACTED</w:t>
      </w:r>
    </w:p>
    <w:p w:rsidR="001F5B33" w:rsidRPr="00E3331A" w:rsidRDefault="002E75AA" w:rsidP="00B30C0B">
      <w:pPr>
        <w:pStyle w:val="BodyTextSTD"/>
      </w:pPr>
      <w:r w:rsidRPr="00E3331A">
        <w:t xml:space="preserve">Blackhouse </w:t>
      </w:r>
      <w:r w:rsidR="00983BA7">
        <w:t xml:space="preserve">et al. </w:t>
      </w:r>
      <w:r w:rsidRPr="00E3331A">
        <w:t xml:space="preserve">(2010) estimated Canadian IVIg costs to be $27,307.50 for the initial model 12 weeks of treatment, then $18,205 in subsequent 12-week cycles. The cost difference is a result of higher dosing and slightly higher Ig unit cost in the Canadian study. </w:t>
      </w:r>
      <w:r w:rsidR="007468EF" w:rsidRPr="00E3331A">
        <w:t xml:space="preserve">A higher dose (17.33g per patient) is included in this report, with the ICER being similar to that of Blackhouse </w:t>
      </w:r>
      <w:r w:rsidR="00983BA7">
        <w:t xml:space="preserve">et al. </w:t>
      </w:r>
      <w:r w:rsidR="007468EF" w:rsidRPr="00E3331A">
        <w:t xml:space="preserve">(2010). </w:t>
      </w:r>
      <w:r w:rsidR="001F5B33" w:rsidRPr="00E3331A">
        <w:t xml:space="preserve">The costs for Ig in the economic model are based on </w:t>
      </w:r>
      <w:r w:rsidR="00D77378" w:rsidRPr="00E3331A">
        <w:t>Intragam but</w:t>
      </w:r>
      <w:r w:rsidR="001F5B33" w:rsidRPr="00E3331A">
        <w:t xml:space="preserve"> are subject to sensitivity analysis. </w:t>
      </w:r>
    </w:p>
    <w:p w:rsidR="001F5B33" w:rsidRPr="00E3331A" w:rsidRDefault="001F5B33" w:rsidP="001F5B33">
      <w:pPr>
        <w:pStyle w:val="Caption"/>
      </w:pPr>
      <w:bookmarkStart w:id="441" w:name="_Ref492821158"/>
      <w:bookmarkStart w:id="442" w:name="_Toc390153145"/>
      <w:bookmarkStart w:id="443" w:name="_Ref440984551"/>
      <w:bookmarkStart w:id="444" w:name="_Toc442872182"/>
      <w:bookmarkStart w:id="445" w:name="_Toc493000472"/>
      <w:bookmarkStart w:id="446" w:name="_Ref519361910"/>
      <w:bookmarkStart w:id="447" w:name="_Ref8233524"/>
      <w:bookmarkStart w:id="448" w:name="_Toc24103377"/>
      <w:r w:rsidRPr="00E3331A">
        <w:lastRenderedPageBreak/>
        <w:t xml:space="preserve">Table </w:t>
      </w:r>
      <w:r w:rsidR="006F35B9">
        <w:rPr>
          <w:noProof/>
        </w:rPr>
        <w:t>71</w:t>
      </w:r>
      <w:bookmarkEnd w:id="441"/>
      <w:r w:rsidR="00AD047E" w:rsidRPr="00E3331A">
        <w:tab/>
      </w:r>
      <w:r w:rsidRPr="00E3331A">
        <w:t xml:space="preserve">Resources associated with </w:t>
      </w:r>
      <w:bookmarkEnd w:id="442"/>
      <w:bookmarkEnd w:id="443"/>
      <w:bookmarkEnd w:id="444"/>
      <w:bookmarkEnd w:id="445"/>
      <w:bookmarkEnd w:id="446"/>
      <w:r w:rsidRPr="00E3331A">
        <w:t>IVIg</w:t>
      </w:r>
      <w:bookmarkEnd w:id="447"/>
      <w:bookmarkEnd w:id="448"/>
    </w:p>
    <w:tbl>
      <w:tblPr>
        <w:tblW w:w="0" w:type="auto"/>
        <w:tblLayout w:type="fixed"/>
        <w:tblLook w:val="04A0" w:firstRow="1" w:lastRow="0" w:firstColumn="1" w:lastColumn="0" w:noHBand="0" w:noVBand="1"/>
      </w:tblPr>
      <w:tblGrid>
        <w:gridCol w:w="1555"/>
        <w:gridCol w:w="909"/>
        <w:gridCol w:w="909"/>
        <w:gridCol w:w="918"/>
        <w:gridCol w:w="1091"/>
        <w:gridCol w:w="992"/>
        <w:gridCol w:w="2642"/>
      </w:tblGrid>
      <w:tr w:rsidR="001F5B33" w:rsidRPr="00E3331A" w:rsidTr="0007007F">
        <w:trPr>
          <w:trHeight w:val="960"/>
          <w:tblHeader/>
        </w:trPr>
        <w:tc>
          <w:tcPr>
            <w:tcW w:w="155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F5B33" w:rsidRPr="00E3331A" w:rsidRDefault="001F5B33" w:rsidP="00067F8C">
            <w:pPr>
              <w:keepNext/>
              <w:spacing w:after="0" w:line="240" w:lineRule="auto"/>
              <w:jc w:val="center"/>
              <w:rPr>
                <w:rFonts w:ascii="Arial Narrow" w:hAnsi="Arial Narrow" w:cs="Calibri"/>
                <w:b/>
                <w:bCs/>
                <w:sz w:val="20"/>
                <w:szCs w:val="20"/>
              </w:rPr>
            </w:pPr>
            <w:bookmarkStart w:id="449" w:name="RANGE!B6:H18"/>
            <w:r w:rsidRPr="00E3331A">
              <w:rPr>
                <w:rFonts w:ascii="Arial Narrow" w:hAnsi="Arial Narrow" w:cs="Calibri"/>
                <w:b/>
                <w:bCs/>
                <w:sz w:val="20"/>
                <w:szCs w:val="20"/>
              </w:rPr>
              <w:t>MBS Item</w:t>
            </w:r>
            <w:bookmarkEnd w:id="449"/>
          </w:p>
        </w:tc>
        <w:tc>
          <w:tcPr>
            <w:tcW w:w="909" w:type="dxa"/>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067F8C">
            <w:pPr>
              <w:keepNext/>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 xml:space="preserve">Provider </w:t>
            </w:r>
          </w:p>
        </w:tc>
        <w:tc>
          <w:tcPr>
            <w:tcW w:w="909" w:type="dxa"/>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067F8C">
            <w:pPr>
              <w:keepNext/>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Price per unit</w:t>
            </w:r>
          </w:p>
          <w:p w:rsidR="00AD047E" w:rsidRPr="00E3331A" w:rsidRDefault="00AD047E" w:rsidP="00067F8C">
            <w:pPr>
              <w:keepNext/>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(AU$)</w:t>
            </w:r>
          </w:p>
        </w:tc>
        <w:tc>
          <w:tcPr>
            <w:tcW w:w="918" w:type="dxa"/>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067F8C">
            <w:pPr>
              <w:keepNext/>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Number of grams or products</w:t>
            </w:r>
          </w:p>
        </w:tc>
        <w:tc>
          <w:tcPr>
            <w:tcW w:w="1091" w:type="dxa"/>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067F8C">
            <w:pPr>
              <w:keepNext/>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Proportion availing</w:t>
            </w:r>
          </w:p>
        </w:tc>
        <w:tc>
          <w:tcPr>
            <w:tcW w:w="992" w:type="dxa"/>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067F8C">
            <w:pPr>
              <w:keepNext/>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Total cost</w:t>
            </w:r>
          </w:p>
          <w:p w:rsidR="00AD047E" w:rsidRPr="00E3331A" w:rsidRDefault="00AD047E" w:rsidP="00067F8C">
            <w:pPr>
              <w:keepNext/>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(AU$)</w:t>
            </w:r>
          </w:p>
        </w:tc>
        <w:tc>
          <w:tcPr>
            <w:tcW w:w="2642" w:type="dxa"/>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067F8C">
            <w:pPr>
              <w:keepNext/>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Source</w:t>
            </w:r>
          </w:p>
        </w:tc>
      </w:tr>
      <w:tr w:rsidR="001F5B33" w:rsidRPr="00E3331A" w:rsidTr="0007007F">
        <w:trPr>
          <w:trHeight w:val="510"/>
          <w:tblHeader/>
        </w:trPr>
        <w:tc>
          <w:tcPr>
            <w:tcW w:w="9016" w:type="dxa"/>
            <w:gridSpan w:val="7"/>
            <w:tcBorders>
              <w:top w:val="nil"/>
              <w:left w:val="single" w:sz="4" w:space="0" w:color="auto"/>
              <w:bottom w:val="single" w:sz="4" w:space="0" w:color="auto"/>
              <w:right w:val="single" w:sz="4" w:space="0" w:color="auto"/>
            </w:tcBorders>
            <w:shd w:val="clear" w:color="auto" w:fill="D9D9D9"/>
            <w:vAlign w:val="center"/>
            <w:hideMark/>
          </w:tcPr>
          <w:p w:rsidR="001F5B33" w:rsidRPr="00E3331A" w:rsidRDefault="00E810A5" w:rsidP="00B30C0B">
            <w:pPr>
              <w:keepNext/>
              <w:rPr>
                <w:rFonts w:ascii="Arial Narrow" w:hAnsi="Arial Narrow" w:cs="Calibri"/>
                <w:b/>
                <w:bCs/>
                <w:color w:val="FFFFFF"/>
                <w:sz w:val="20"/>
                <w:szCs w:val="20"/>
              </w:rPr>
            </w:pPr>
            <w:r w:rsidRPr="00E3331A">
              <w:rPr>
                <w:rFonts w:ascii="Arial Narrow" w:hAnsi="Arial Narrow" w:cs="Calibri"/>
                <w:b/>
                <w:bCs/>
                <w:sz w:val="20"/>
                <w:szCs w:val="20"/>
              </w:rPr>
              <w:t>Initial</w:t>
            </w:r>
            <w:r w:rsidR="001F5B33" w:rsidRPr="00E3331A">
              <w:rPr>
                <w:rFonts w:ascii="Arial Narrow" w:hAnsi="Arial Narrow" w:cs="Calibri"/>
                <w:b/>
                <w:bCs/>
                <w:sz w:val="20"/>
                <w:szCs w:val="20"/>
              </w:rPr>
              <w:t xml:space="preserve"> IVIg product cost and delivery (over first 4 months)</w:t>
            </w:r>
          </w:p>
        </w:tc>
      </w:tr>
      <w:tr w:rsidR="00386EC8" w:rsidRPr="00E3331A" w:rsidTr="00493DDF">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386EC8" w:rsidRPr="00E3331A" w:rsidRDefault="00386EC8" w:rsidP="00386EC8">
            <w:pPr>
              <w:rPr>
                <w:rFonts w:ascii="Arial Narrow" w:hAnsi="Arial Narrow" w:cs="Calibri"/>
                <w:sz w:val="20"/>
                <w:szCs w:val="20"/>
              </w:rPr>
            </w:pPr>
            <w:r w:rsidRPr="00E3331A">
              <w:rPr>
                <w:rFonts w:ascii="Arial Narrow" w:hAnsi="Arial Narrow" w:cs="Calibri"/>
                <w:sz w:val="20"/>
                <w:szCs w:val="20"/>
              </w:rPr>
              <w:t>Pre-medication, Antihistamine, Cetirizine hydrochloride 10mg tablet, 30 pack</w:t>
            </w:r>
          </w:p>
        </w:tc>
        <w:tc>
          <w:tcPr>
            <w:tcW w:w="909" w:type="dxa"/>
            <w:tcBorders>
              <w:top w:val="nil"/>
              <w:left w:val="nil"/>
              <w:bottom w:val="single" w:sz="4" w:space="0" w:color="auto"/>
              <w:right w:val="single" w:sz="4" w:space="0" w:color="auto"/>
            </w:tcBorders>
            <w:shd w:val="clear" w:color="auto" w:fill="auto"/>
            <w:noWrap/>
            <w:vAlign w:val="center"/>
            <w:hideMark/>
          </w:tcPr>
          <w:p w:rsidR="00386EC8" w:rsidRPr="00E3331A" w:rsidRDefault="00386EC8" w:rsidP="00386EC8">
            <w:pPr>
              <w:jc w:val="center"/>
              <w:rPr>
                <w:rFonts w:ascii="Arial Narrow" w:hAnsi="Arial Narrow" w:cs="Calibri"/>
                <w:sz w:val="20"/>
                <w:szCs w:val="20"/>
              </w:rPr>
            </w:pPr>
            <w:r w:rsidRPr="00E3331A">
              <w:rPr>
                <w:rFonts w:ascii="Arial Narrow" w:hAnsi="Arial Narrow" w:cs="Calibri"/>
                <w:sz w:val="20"/>
                <w:szCs w:val="20"/>
              </w:rPr>
              <w:t>PBS</w:t>
            </w:r>
          </w:p>
        </w:tc>
        <w:tc>
          <w:tcPr>
            <w:tcW w:w="909" w:type="dxa"/>
            <w:tcBorders>
              <w:top w:val="nil"/>
              <w:left w:val="nil"/>
              <w:bottom w:val="single" w:sz="4" w:space="0" w:color="auto"/>
              <w:right w:val="single" w:sz="4" w:space="0" w:color="auto"/>
            </w:tcBorders>
            <w:shd w:val="clear" w:color="auto" w:fill="auto"/>
            <w:noWrap/>
            <w:vAlign w:val="center"/>
            <w:hideMark/>
          </w:tcPr>
          <w:p w:rsidR="00386EC8" w:rsidRPr="00E3331A" w:rsidRDefault="00386EC8" w:rsidP="00386EC8">
            <w:pPr>
              <w:jc w:val="center"/>
              <w:rPr>
                <w:rFonts w:ascii="Arial Narrow" w:hAnsi="Arial Narrow" w:cs="Calibri"/>
                <w:sz w:val="20"/>
                <w:szCs w:val="20"/>
              </w:rPr>
            </w:pPr>
            <w:r w:rsidRPr="00E3331A">
              <w:rPr>
                <w:rFonts w:ascii="Arial Narrow" w:hAnsi="Arial Narrow" w:cs="Calibri"/>
                <w:sz w:val="20"/>
                <w:szCs w:val="20"/>
              </w:rPr>
              <w:t>$0.9</w:t>
            </w:r>
          </w:p>
        </w:tc>
        <w:tc>
          <w:tcPr>
            <w:tcW w:w="918"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4.00</w:t>
            </w:r>
          </w:p>
        </w:tc>
        <w:tc>
          <w:tcPr>
            <w:tcW w:w="1091"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10%</w:t>
            </w:r>
          </w:p>
        </w:tc>
        <w:tc>
          <w:tcPr>
            <w:tcW w:w="992"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$0.4</w:t>
            </w:r>
          </w:p>
        </w:tc>
        <w:tc>
          <w:tcPr>
            <w:tcW w:w="2642" w:type="dxa"/>
            <w:tcBorders>
              <w:top w:val="nil"/>
              <w:left w:val="nil"/>
              <w:bottom w:val="single" w:sz="4" w:space="0" w:color="auto"/>
              <w:right w:val="single" w:sz="4" w:space="0" w:color="auto"/>
            </w:tcBorders>
            <w:shd w:val="clear" w:color="auto" w:fill="auto"/>
            <w:vAlign w:val="center"/>
            <w:hideMark/>
          </w:tcPr>
          <w:p w:rsidR="00386EC8" w:rsidRPr="00E3331A" w:rsidRDefault="00386EC8" w:rsidP="00386EC8">
            <w:pPr>
              <w:rPr>
                <w:rFonts w:ascii="Arial Narrow" w:hAnsi="Arial Narrow" w:cs="Calibri"/>
                <w:sz w:val="20"/>
                <w:szCs w:val="20"/>
              </w:rPr>
            </w:pPr>
            <w:r w:rsidRPr="00E3331A">
              <w:rPr>
                <w:rFonts w:ascii="Arial Narrow" w:hAnsi="Arial Narrow" w:cs="Calibri"/>
                <w:sz w:val="20"/>
                <w:szCs w:val="20"/>
              </w:rPr>
              <w:t>Antihistamine, Cetirizine hydrochloride 10mg tablet, 30 from PBS website. Pack cost divided by 30</w:t>
            </w:r>
          </w:p>
        </w:tc>
      </w:tr>
      <w:tr w:rsidR="00386EC8" w:rsidRPr="00E3331A" w:rsidTr="003840DD">
        <w:trPr>
          <w:trHeight w:val="510"/>
        </w:trPr>
        <w:tc>
          <w:tcPr>
            <w:tcW w:w="1555" w:type="dxa"/>
            <w:tcBorders>
              <w:top w:val="nil"/>
              <w:left w:val="single" w:sz="4" w:space="0" w:color="auto"/>
              <w:bottom w:val="single" w:sz="4" w:space="0" w:color="auto"/>
              <w:right w:val="single" w:sz="4" w:space="0" w:color="auto"/>
            </w:tcBorders>
            <w:shd w:val="clear" w:color="000000" w:fill="FFFFFF"/>
            <w:vAlign w:val="center"/>
            <w:hideMark/>
          </w:tcPr>
          <w:p w:rsidR="00386EC8" w:rsidRPr="00E3331A" w:rsidRDefault="00386EC8" w:rsidP="00386EC8">
            <w:pPr>
              <w:rPr>
                <w:rFonts w:ascii="Arial Narrow" w:hAnsi="Arial Narrow" w:cs="Calibri"/>
                <w:color w:val="000000"/>
                <w:sz w:val="20"/>
                <w:szCs w:val="20"/>
              </w:rPr>
            </w:pPr>
            <w:r w:rsidRPr="00E3331A">
              <w:rPr>
                <w:rFonts w:ascii="Arial Narrow" w:hAnsi="Arial Narrow" w:cs="Calibri"/>
                <w:color w:val="000000"/>
                <w:sz w:val="20"/>
                <w:szCs w:val="20"/>
              </w:rPr>
              <w:t>Ig product, grams per infusion, $60.41 per gram</w:t>
            </w:r>
          </w:p>
        </w:tc>
        <w:tc>
          <w:tcPr>
            <w:tcW w:w="909"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NBA-listed</w:t>
            </w:r>
          </w:p>
        </w:tc>
        <w:tc>
          <w:tcPr>
            <w:tcW w:w="909" w:type="dxa"/>
            <w:tcBorders>
              <w:top w:val="nil"/>
              <w:left w:val="nil"/>
              <w:bottom w:val="single" w:sz="4" w:space="0" w:color="auto"/>
              <w:right w:val="single" w:sz="4" w:space="0" w:color="auto"/>
            </w:tcBorders>
            <w:shd w:val="clear" w:color="000000" w:fill="FFFFFF"/>
            <w:noWrap/>
            <w:vAlign w:val="center"/>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$60.4</w:t>
            </w:r>
          </w:p>
        </w:tc>
        <w:tc>
          <w:tcPr>
            <w:tcW w:w="918" w:type="dxa"/>
            <w:tcBorders>
              <w:top w:val="nil"/>
              <w:left w:val="nil"/>
              <w:bottom w:val="single" w:sz="4" w:space="0" w:color="auto"/>
              <w:right w:val="single" w:sz="4" w:space="0" w:color="auto"/>
            </w:tcBorders>
            <w:shd w:val="clear" w:color="000000" w:fill="FFFFFF"/>
            <w:noWrap/>
            <w:vAlign w:val="center"/>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165.67</w:t>
            </w:r>
          </w:p>
        </w:tc>
        <w:tc>
          <w:tcPr>
            <w:tcW w:w="1091" w:type="dxa"/>
            <w:tcBorders>
              <w:top w:val="nil"/>
              <w:left w:val="nil"/>
              <w:bottom w:val="single" w:sz="4" w:space="0" w:color="auto"/>
              <w:right w:val="single" w:sz="4" w:space="0" w:color="auto"/>
            </w:tcBorders>
            <w:shd w:val="clear" w:color="000000" w:fill="FFFFFF"/>
            <w:noWrap/>
            <w:vAlign w:val="center"/>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2" w:type="dxa"/>
            <w:tcBorders>
              <w:top w:val="nil"/>
              <w:left w:val="nil"/>
              <w:bottom w:val="single" w:sz="4" w:space="0" w:color="auto"/>
              <w:right w:val="single" w:sz="4" w:space="0" w:color="auto"/>
            </w:tcBorders>
            <w:shd w:val="clear" w:color="000000" w:fill="FFFFFF"/>
            <w:noWrap/>
            <w:vAlign w:val="center"/>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$10,007.9</w:t>
            </w:r>
          </w:p>
        </w:tc>
        <w:tc>
          <w:tcPr>
            <w:tcW w:w="2642" w:type="dxa"/>
            <w:tcBorders>
              <w:top w:val="nil"/>
              <w:left w:val="nil"/>
              <w:bottom w:val="single" w:sz="4" w:space="0" w:color="auto"/>
              <w:right w:val="single" w:sz="4" w:space="0" w:color="auto"/>
            </w:tcBorders>
            <w:shd w:val="clear" w:color="000000" w:fill="FFFFFF"/>
            <w:vAlign w:val="center"/>
            <w:hideMark/>
          </w:tcPr>
          <w:p w:rsidR="00386EC8" w:rsidRPr="00E3331A" w:rsidRDefault="00386EC8" w:rsidP="00386EC8">
            <w:pPr>
              <w:rPr>
                <w:rFonts w:ascii="Arial Narrow" w:hAnsi="Arial Narrow" w:cs="Calibri"/>
                <w:color w:val="000000"/>
                <w:sz w:val="20"/>
                <w:szCs w:val="20"/>
              </w:rPr>
            </w:pPr>
            <w:r w:rsidRPr="00E3331A">
              <w:rPr>
                <w:rFonts w:ascii="Arial Narrow" w:hAnsi="Arial Narrow" w:cs="Calibri"/>
                <w:color w:val="000000"/>
                <w:sz w:val="20"/>
                <w:szCs w:val="20"/>
              </w:rPr>
              <w:t>Dosing assumes for 497g per patient per year. At 82.5kg per patient, equivalent to 6.024g per kg. 33% of dose provided in first 4 months</w:t>
            </w:r>
          </w:p>
        </w:tc>
      </w:tr>
      <w:tr w:rsidR="00B05D3C" w:rsidRPr="00E3331A" w:rsidTr="008C52B5">
        <w:trPr>
          <w:trHeight w:val="765"/>
        </w:trPr>
        <w:tc>
          <w:tcPr>
            <w:tcW w:w="1555" w:type="dxa"/>
            <w:tcBorders>
              <w:top w:val="nil"/>
              <w:left w:val="single" w:sz="4" w:space="0" w:color="auto"/>
              <w:bottom w:val="single" w:sz="4" w:space="0" w:color="auto"/>
              <w:right w:val="single" w:sz="4" w:space="0" w:color="auto"/>
            </w:tcBorders>
            <w:shd w:val="clear" w:color="000000" w:fill="FFFFFF"/>
          </w:tcPr>
          <w:p w:rsidR="00B05D3C" w:rsidRDefault="00B05D3C" w:rsidP="00B05D3C">
            <w:r w:rsidRPr="00F72FDE">
              <w:rPr>
                <w:noProof/>
                <w:color w:val="000000"/>
              </w:rPr>
              <w:t>REDACTED</w:t>
            </w:r>
          </w:p>
        </w:tc>
        <w:tc>
          <w:tcPr>
            <w:tcW w:w="909" w:type="dxa"/>
            <w:tcBorders>
              <w:top w:val="nil"/>
              <w:left w:val="nil"/>
              <w:bottom w:val="single" w:sz="4" w:space="0" w:color="auto"/>
              <w:right w:val="single" w:sz="4" w:space="0" w:color="auto"/>
            </w:tcBorders>
            <w:shd w:val="clear" w:color="auto" w:fill="auto"/>
            <w:noWrap/>
          </w:tcPr>
          <w:p w:rsidR="00B05D3C" w:rsidRPr="003E036A" w:rsidRDefault="00B05D3C" w:rsidP="00B05D3C">
            <w:pPr>
              <w:rPr>
                <w:sz w:val="14"/>
                <w:szCs w:val="14"/>
              </w:rPr>
            </w:pPr>
            <w:r w:rsidRPr="003E036A">
              <w:rPr>
                <w:noProof/>
                <w:color w:val="000000"/>
                <w:sz w:val="14"/>
                <w:szCs w:val="14"/>
              </w:rPr>
              <w:t>REDACTED</w:t>
            </w:r>
          </w:p>
        </w:tc>
        <w:tc>
          <w:tcPr>
            <w:tcW w:w="909" w:type="dxa"/>
            <w:tcBorders>
              <w:top w:val="nil"/>
              <w:left w:val="nil"/>
              <w:bottom w:val="single" w:sz="4" w:space="0" w:color="auto"/>
              <w:right w:val="single" w:sz="4" w:space="0" w:color="auto"/>
            </w:tcBorders>
            <w:shd w:val="clear" w:color="000000" w:fill="FFFFFF"/>
            <w:noWrap/>
          </w:tcPr>
          <w:p w:rsidR="00B05D3C" w:rsidRPr="003E036A" w:rsidRDefault="00B05D3C" w:rsidP="00B05D3C">
            <w:pPr>
              <w:rPr>
                <w:sz w:val="14"/>
                <w:szCs w:val="14"/>
              </w:rPr>
            </w:pPr>
            <w:r w:rsidRPr="003E036A">
              <w:rPr>
                <w:noProof/>
                <w:color w:val="000000"/>
                <w:sz w:val="14"/>
                <w:szCs w:val="14"/>
              </w:rPr>
              <w:t>REDACTED</w:t>
            </w:r>
          </w:p>
        </w:tc>
        <w:tc>
          <w:tcPr>
            <w:tcW w:w="918" w:type="dxa"/>
            <w:tcBorders>
              <w:top w:val="nil"/>
              <w:left w:val="nil"/>
              <w:bottom w:val="single" w:sz="4" w:space="0" w:color="auto"/>
              <w:right w:val="single" w:sz="4" w:space="0" w:color="auto"/>
            </w:tcBorders>
            <w:shd w:val="clear" w:color="000000" w:fill="FFFFFF"/>
            <w:noWrap/>
          </w:tcPr>
          <w:p w:rsidR="00B05D3C" w:rsidRPr="003E036A" w:rsidRDefault="00B05D3C" w:rsidP="00B05D3C">
            <w:pPr>
              <w:rPr>
                <w:sz w:val="14"/>
                <w:szCs w:val="14"/>
              </w:rPr>
            </w:pPr>
            <w:r w:rsidRPr="003E036A">
              <w:rPr>
                <w:noProof/>
                <w:color w:val="000000"/>
                <w:sz w:val="14"/>
                <w:szCs w:val="14"/>
              </w:rPr>
              <w:t>REDACTED</w:t>
            </w:r>
          </w:p>
        </w:tc>
        <w:tc>
          <w:tcPr>
            <w:tcW w:w="1091" w:type="dxa"/>
            <w:tcBorders>
              <w:top w:val="nil"/>
              <w:left w:val="nil"/>
              <w:bottom w:val="single" w:sz="4" w:space="0" w:color="auto"/>
              <w:right w:val="single" w:sz="4" w:space="0" w:color="auto"/>
            </w:tcBorders>
            <w:shd w:val="clear" w:color="000000" w:fill="FFFFFF"/>
            <w:noWrap/>
          </w:tcPr>
          <w:p w:rsidR="00B05D3C" w:rsidRPr="003E036A" w:rsidRDefault="00B05D3C" w:rsidP="00B05D3C">
            <w:pPr>
              <w:rPr>
                <w:sz w:val="14"/>
                <w:szCs w:val="14"/>
              </w:rPr>
            </w:pPr>
            <w:r w:rsidRPr="003E036A">
              <w:rPr>
                <w:noProof/>
                <w:color w:val="000000"/>
                <w:sz w:val="14"/>
                <w:szCs w:val="14"/>
              </w:rPr>
              <w:t>REDACTED</w:t>
            </w:r>
          </w:p>
        </w:tc>
        <w:tc>
          <w:tcPr>
            <w:tcW w:w="992" w:type="dxa"/>
            <w:tcBorders>
              <w:top w:val="nil"/>
              <w:left w:val="nil"/>
              <w:bottom w:val="single" w:sz="4" w:space="0" w:color="auto"/>
              <w:right w:val="single" w:sz="4" w:space="0" w:color="auto"/>
            </w:tcBorders>
            <w:shd w:val="clear" w:color="000000" w:fill="FFFFFF"/>
            <w:noWrap/>
          </w:tcPr>
          <w:p w:rsidR="00B05D3C" w:rsidRPr="003E036A" w:rsidRDefault="00B05D3C" w:rsidP="00B05D3C">
            <w:pPr>
              <w:rPr>
                <w:sz w:val="14"/>
                <w:szCs w:val="14"/>
              </w:rPr>
            </w:pPr>
            <w:r w:rsidRPr="003E036A">
              <w:rPr>
                <w:noProof/>
                <w:color w:val="000000"/>
                <w:sz w:val="14"/>
                <w:szCs w:val="14"/>
              </w:rPr>
              <w:t>REDACTED</w:t>
            </w:r>
          </w:p>
        </w:tc>
        <w:tc>
          <w:tcPr>
            <w:tcW w:w="2642" w:type="dxa"/>
            <w:tcBorders>
              <w:top w:val="nil"/>
              <w:left w:val="nil"/>
              <w:bottom w:val="single" w:sz="4" w:space="0" w:color="auto"/>
              <w:right w:val="single" w:sz="4" w:space="0" w:color="auto"/>
            </w:tcBorders>
            <w:shd w:val="clear" w:color="000000" w:fill="FFFFFF"/>
          </w:tcPr>
          <w:p w:rsidR="00B05D3C" w:rsidRDefault="00B05D3C" w:rsidP="00B05D3C">
            <w:r w:rsidRPr="00F72FDE">
              <w:rPr>
                <w:noProof/>
                <w:color w:val="000000"/>
              </w:rPr>
              <w:t>REDACTED</w:t>
            </w:r>
          </w:p>
        </w:tc>
      </w:tr>
      <w:tr w:rsidR="00B05D3C" w:rsidRPr="00E3331A" w:rsidTr="008C52B5">
        <w:trPr>
          <w:trHeight w:val="1530"/>
        </w:trPr>
        <w:tc>
          <w:tcPr>
            <w:tcW w:w="1555" w:type="dxa"/>
            <w:tcBorders>
              <w:top w:val="nil"/>
              <w:left w:val="single" w:sz="4" w:space="0" w:color="auto"/>
              <w:bottom w:val="single" w:sz="4" w:space="0" w:color="auto"/>
              <w:right w:val="single" w:sz="4" w:space="0" w:color="auto"/>
            </w:tcBorders>
            <w:shd w:val="clear" w:color="000000" w:fill="FFFFFF"/>
          </w:tcPr>
          <w:p w:rsidR="00B05D3C" w:rsidRDefault="00B05D3C" w:rsidP="00B05D3C">
            <w:r w:rsidRPr="00F72FDE">
              <w:rPr>
                <w:noProof/>
                <w:color w:val="000000"/>
              </w:rPr>
              <w:t>REDACTED</w:t>
            </w:r>
          </w:p>
        </w:tc>
        <w:tc>
          <w:tcPr>
            <w:tcW w:w="909" w:type="dxa"/>
            <w:tcBorders>
              <w:top w:val="nil"/>
              <w:left w:val="nil"/>
              <w:bottom w:val="single" w:sz="4" w:space="0" w:color="auto"/>
              <w:right w:val="single" w:sz="4" w:space="0" w:color="auto"/>
            </w:tcBorders>
            <w:shd w:val="clear" w:color="000000" w:fill="FFFFFF"/>
            <w:noWrap/>
          </w:tcPr>
          <w:p w:rsidR="00B05D3C" w:rsidRPr="003E036A" w:rsidRDefault="00B05D3C" w:rsidP="00B05D3C">
            <w:pPr>
              <w:rPr>
                <w:sz w:val="14"/>
                <w:szCs w:val="14"/>
              </w:rPr>
            </w:pPr>
            <w:r w:rsidRPr="003E036A">
              <w:rPr>
                <w:noProof/>
                <w:color w:val="000000"/>
                <w:sz w:val="14"/>
                <w:szCs w:val="14"/>
              </w:rPr>
              <w:t>REDACTED</w:t>
            </w:r>
          </w:p>
        </w:tc>
        <w:tc>
          <w:tcPr>
            <w:tcW w:w="909" w:type="dxa"/>
            <w:tcBorders>
              <w:top w:val="nil"/>
              <w:left w:val="nil"/>
              <w:bottom w:val="single" w:sz="4" w:space="0" w:color="auto"/>
              <w:right w:val="single" w:sz="4" w:space="0" w:color="auto"/>
            </w:tcBorders>
            <w:shd w:val="clear" w:color="000000" w:fill="FFFFFF"/>
            <w:noWrap/>
          </w:tcPr>
          <w:p w:rsidR="00B05D3C" w:rsidRPr="003E036A" w:rsidRDefault="00B05D3C" w:rsidP="00B05D3C">
            <w:pPr>
              <w:rPr>
                <w:sz w:val="14"/>
                <w:szCs w:val="14"/>
              </w:rPr>
            </w:pPr>
            <w:r w:rsidRPr="003E036A">
              <w:rPr>
                <w:noProof/>
                <w:color w:val="000000"/>
                <w:sz w:val="14"/>
                <w:szCs w:val="14"/>
              </w:rPr>
              <w:t>REDACTED</w:t>
            </w:r>
          </w:p>
        </w:tc>
        <w:tc>
          <w:tcPr>
            <w:tcW w:w="918" w:type="dxa"/>
            <w:tcBorders>
              <w:top w:val="nil"/>
              <w:left w:val="nil"/>
              <w:bottom w:val="single" w:sz="4" w:space="0" w:color="auto"/>
              <w:right w:val="single" w:sz="4" w:space="0" w:color="auto"/>
            </w:tcBorders>
            <w:shd w:val="clear" w:color="000000" w:fill="FFFFFF"/>
            <w:noWrap/>
          </w:tcPr>
          <w:p w:rsidR="00B05D3C" w:rsidRPr="003E036A" w:rsidRDefault="00B05D3C" w:rsidP="00B05D3C">
            <w:pPr>
              <w:rPr>
                <w:sz w:val="14"/>
                <w:szCs w:val="14"/>
              </w:rPr>
            </w:pPr>
            <w:r w:rsidRPr="003E036A">
              <w:rPr>
                <w:noProof/>
                <w:color w:val="000000"/>
                <w:sz w:val="14"/>
                <w:szCs w:val="14"/>
              </w:rPr>
              <w:t>REDACTED</w:t>
            </w:r>
          </w:p>
        </w:tc>
        <w:tc>
          <w:tcPr>
            <w:tcW w:w="1091" w:type="dxa"/>
            <w:tcBorders>
              <w:top w:val="nil"/>
              <w:left w:val="nil"/>
              <w:bottom w:val="single" w:sz="4" w:space="0" w:color="auto"/>
              <w:right w:val="single" w:sz="4" w:space="0" w:color="auto"/>
            </w:tcBorders>
            <w:shd w:val="clear" w:color="000000" w:fill="FFFFFF"/>
            <w:noWrap/>
          </w:tcPr>
          <w:p w:rsidR="00B05D3C" w:rsidRPr="003E036A" w:rsidRDefault="00B05D3C" w:rsidP="00B05D3C">
            <w:pPr>
              <w:rPr>
                <w:sz w:val="14"/>
                <w:szCs w:val="14"/>
              </w:rPr>
            </w:pPr>
            <w:r w:rsidRPr="003E036A">
              <w:rPr>
                <w:noProof/>
                <w:color w:val="000000"/>
                <w:sz w:val="14"/>
                <w:szCs w:val="14"/>
              </w:rPr>
              <w:t>REDACTED</w:t>
            </w:r>
          </w:p>
        </w:tc>
        <w:tc>
          <w:tcPr>
            <w:tcW w:w="992" w:type="dxa"/>
            <w:tcBorders>
              <w:top w:val="nil"/>
              <w:left w:val="nil"/>
              <w:bottom w:val="single" w:sz="4" w:space="0" w:color="auto"/>
              <w:right w:val="single" w:sz="4" w:space="0" w:color="auto"/>
            </w:tcBorders>
            <w:shd w:val="clear" w:color="000000" w:fill="FFFFFF"/>
            <w:noWrap/>
          </w:tcPr>
          <w:p w:rsidR="00B05D3C" w:rsidRPr="003E036A" w:rsidRDefault="00B05D3C" w:rsidP="00B05D3C">
            <w:pPr>
              <w:rPr>
                <w:sz w:val="14"/>
                <w:szCs w:val="14"/>
              </w:rPr>
            </w:pPr>
            <w:r w:rsidRPr="003E036A">
              <w:rPr>
                <w:noProof/>
                <w:color w:val="000000"/>
                <w:sz w:val="14"/>
                <w:szCs w:val="14"/>
              </w:rPr>
              <w:t>REDACTED</w:t>
            </w:r>
          </w:p>
        </w:tc>
        <w:tc>
          <w:tcPr>
            <w:tcW w:w="2642" w:type="dxa"/>
            <w:tcBorders>
              <w:top w:val="nil"/>
              <w:left w:val="nil"/>
              <w:bottom w:val="single" w:sz="4" w:space="0" w:color="auto"/>
              <w:right w:val="single" w:sz="4" w:space="0" w:color="auto"/>
            </w:tcBorders>
            <w:shd w:val="clear" w:color="000000" w:fill="FFFFFF"/>
          </w:tcPr>
          <w:p w:rsidR="00B05D3C" w:rsidRDefault="00B05D3C" w:rsidP="00B05D3C">
            <w:r w:rsidRPr="00F72FDE">
              <w:rPr>
                <w:noProof/>
                <w:color w:val="000000"/>
              </w:rPr>
              <w:t>REDACTED</w:t>
            </w:r>
          </w:p>
        </w:tc>
      </w:tr>
      <w:tr w:rsidR="00386EC8" w:rsidRPr="00E3331A" w:rsidTr="00493DDF">
        <w:trPr>
          <w:trHeight w:val="765"/>
        </w:trPr>
        <w:tc>
          <w:tcPr>
            <w:tcW w:w="1555" w:type="dxa"/>
            <w:tcBorders>
              <w:top w:val="nil"/>
              <w:left w:val="single" w:sz="4" w:space="0" w:color="auto"/>
              <w:bottom w:val="single" w:sz="4" w:space="0" w:color="auto"/>
              <w:right w:val="single" w:sz="4" w:space="0" w:color="auto"/>
            </w:tcBorders>
            <w:shd w:val="clear" w:color="000000" w:fill="FFFFFF"/>
            <w:vAlign w:val="center"/>
            <w:hideMark/>
          </w:tcPr>
          <w:p w:rsidR="00386EC8" w:rsidRPr="00E3331A" w:rsidRDefault="00386EC8" w:rsidP="00386EC8">
            <w:pPr>
              <w:rPr>
                <w:rFonts w:ascii="Arial Narrow" w:hAnsi="Arial Narrow" w:cs="Calibri"/>
                <w:color w:val="000000"/>
                <w:sz w:val="20"/>
                <w:szCs w:val="20"/>
              </w:rPr>
            </w:pPr>
            <w:r w:rsidRPr="00E3331A">
              <w:rPr>
                <w:rFonts w:ascii="Arial Narrow" w:hAnsi="Arial Narrow" w:cs="Calibri"/>
                <w:color w:val="000000"/>
                <w:sz w:val="20"/>
                <w:szCs w:val="20"/>
              </w:rPr>
              <w:t xml:space="preserve">GP Consultations </w:t>
            </w:r>
          </w:p>
        </w:tc>
        <w:tc>
          <w:tcPr>
            <w:tcW w:w="909"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$34.9</w:t>
            </w:r>
          </w:p>
        </w:tc>
        <w:tc>
          <w:tcPr>
            <w:tcW w:w="918"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091"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2"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$34.9</w:t>
            </w:r>
          </w:p>
        </w:tc>
        <w:tc>
          <w:tcPr>
            <w:tcW w:w="2642" w:type="dxa"/>
            <w:tcBorders>
              <w:top w:val="nil"/>
              <w:left w:val="nil"/>
              <w:bottom w:val="single" w:sz="4" w:space="0" w:color="auto"/>
              <w:right w:val="single" w:sz="4" w:space="0" w:color="auto"/>
            </w:tcBorders>
            <w:shd w:val="clear" w:color="000000" w:fill="FFFFFF"/>
            <w:vAlign w:val="center"/>
            <w:hideMark/>
          </w:tcPr>
          <w:p w:rsidR="00386EC8" w:rsidRPr="00E3331A" w:rsidRDefault="00386EC8" w:rsidP="00386EC8">
            <w:pPr>
              <w:rPr>
                <w:rFonts w:ascii="Arial Narrow" w:hAnsi="Arial Narrow" w:cs="Calibri"/>
                <w:color w:val="000000"/>
                <w:sz w:val="20"/>
                <w:szCs w:val="20"/>
              </w:rPr>
            </w:pPr>
            <w:r w:rsidRPr="00E3331A">
              <w:rPr>
                <w:rFonts w:ascii="Arial Narrow" w:hAnsi="Arial Narrow" w:cs="Calibri"/>
                <w:color w:val="000000"/>
                <w:sz w:val="20"/>
                <w:szCs w:val="20"/>
              </w:rPr>
              <w:t>MBS 23. Professional attendance by a general practitioner. Assumes 1 GP visit in first 4 months of IVIg</w:t>
            </w:r>
          </w:p>
        </w:tc>
      </w:tr>
      <w:tr w:rsidR="00386EC8" w:rsidRPr="00E3331A" w:rsidTr="00493DDF">
        <w:trPr>
          <w:trHeight w:val="765"/>
        </w:trPr>
        <w:tc>
          <w:tcPr>
            <w:tcW w:w="1555" w:type="dxa"/>
            <w:tcBorders>
              <w:top w:val="nil"/>
              <w:left w:val="single" w:sz="4" w:space="0" w:color="auto"/>
              <w:bottom w:val="single" w:sz="4" w:space="0" w:color="auto"/>
              <w:right w:val="single" w:sz="4" w:space="0" w:color="auto"/>
            </w:tcBorders>
            <w:shd w:val="clear" w:color="000000" w:fill="FFFFFF"/>
            <w:vAlign w:val="center"/>
            <w:hideMark/>
          </w:tcPr>
          <w:p w:rsidR="00386EC8" w:rsidRPr="00E3331A" w:rsidRDefault="00386EC8" w:rsidP="00386EC8">
            <w:pPr>
              <w:rPr>
                <w:rFonts w:ascii="Arial Narrow" w:hAnsi="Arial Narrow" w:cs="Calibri"/>
                <w:color w:val="000000"/>
                <w:sz w:val="20"/>
                <w:szCs w:val="20"/>
              </w:rPr>
            </w:pPr>
            <w:r w:rsidRPr="00E3331A">
              <w:rPr>
                <w:rFonts w:ascii="Arial Narrow" w:hAnsi="Arial Narrow" w:cs="Calibri"/>
                <w:color w:val="000000"/>
                <w:sz w:val="20"/>
                <w:szCs w:val="20"/>
              </w:rPr>
              <w:t xml:space="preserve">Neurologist Specialist Consultations </w:t>
            </w:r>
          </w:p>
        </w:tc>
        <w:tc>
          <w:tcPr>
            <w:tcW w:w="909"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$267.9</w:t>
            </w:r>
          </w:p>
        </w:tc>
        <w:tc>
          <w:tcPr>
            <w:tcW w:w="918"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091"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2"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$267.9</w:t>
            </w:r>
          </w:p>
        </w:tc>
        <w:tc>
          <w:tcPr>
            <w:tcW w:w="2642" w:type="dxa"/>
            <w:tcBorders>
              <w:top w:val="nil"/>
              <w:left w:val="nil"/>
              <w:bottom w:val="single" w:sz="4" w:space="0" w:color="auto"/>
              <w:right w:val="single" w:sz="4" w:space="0" w:color="auto"/>
            </w:tcBorders>
            <w:shd w:val="clear" w:color="000000" w:fill="FFFFFF"/>
            <w:vAlign w:val="center"/>
            <w:hideMark/>
          </w:tcPr>
          <w:p w:rsidR="00386EC8" w:rsidRPr="00E3331A" w:rsidRDefault="00386EC8" w:rsidP="00386EC8">
            <w:pPr>
              <w:rPr>
                <w:rFonts w:ascii="Arial Narrow" w:hAnsi="Arial Narrow" w:cs="Calibri"/>
                <w:color w:val="000000"/>
                <w:sz w:val="20"/>
                <w:szCs w:val="20"/>
              </w:rPr>
            </w:pPr>
            <w:r w:rsidRPr="00E3331A">
              <w:rPr>
                <w:rFonts w:ascii="Arial Narrow" w:hAnsi="Arial Narrow" w:cs="Calibri"/>
                <w:color w:val="000000"/>
                <w:sz w:val="20"/>
                <w:szCs w:val="20"/>
              </w:rPr>
              <w:t>MBS 132. Professional attendance by a consultant. Assumes 1 specialist visit in first 4 months of IVIg</w:t>
            </w:r>
          </w:p>
        </w:tc>
      </w:tr>
      <w:tr w:rsidR="00386EC8" w:rsidRPr="00E3331A" w:rsidTr="00493DDF">
        <w:trPr>
          <w:trHeight w:val="510"/>
        </w:trPr>
        <w:tc>
          <w:tcPr>
            <w:tcW w:w="1555" w:type="dxa"/>
            <w:tcBorders>
              <w:top w:val="nil"/>
              <w:left w:val="single" w:sz="4" w:space="0" w:color="auto"/>
              <w:bottom w:val="single" w:sz="4" w:space="0" w:color="auto"/>
              <w:right w:val="single" w:sz="4" w:space="0" w:color="auto"/>
            </w:tcBorders>
            <w:shd w:val="clear" w:color="000000" w:fill="FFFFFF"/>
            <w:vAlign w:val="center"/>
            <w:hideMark/>
          </w:tcPr>
          <w:p w:rsidR="00386EC8" w:rsidRPr="00E3331A" w:rsidRDefault="00386EC8" w:rsidP="00386EC8">
            <w:pPr>
              <w:rPr>
                <w:rFonts w:ascii="Arial Narrow" w:hAnsi="Arial Narrow" w:cs="Calibri"/>
                <w:color w:val="000000"/>
                <w:sz w:val="20"/>
                <w:szCs w:val="20"/>
              </w:rPr>
            </w:pPr>
            <w:r w:rsidRPr="00E3331A">
              <w:rPr>
                <w:rFonts w:ascii="Arial Narrow" w:hAnsi="Arial Narrow" w:cs="Calibri"/>
                <w:color w:val="000000"/>
                <w:sz w:val="20"/>
                <w:szCs w:val="20"/>
              </w:rPr>
              <w:t>Liver function tests, Urea, Electrolytes, Creatinine</w:t>
            </w:r>
          </w:p>
        </w:tc>
        <w:tc>
          <w:tcPr>
            <w:tcW w:w="909"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$17.1</w:t>
            </w:r>
          </w:p>
        </w:tc>
        <w:tc>
          <w:tcPr>
            <w:tcW w:w="918"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091"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2"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$17.1</w:t>
            </w:r>
          </w:p>
        </w:tc>
        <w:tc>
          <w:tcPr>
            <w:tcW w:w="2642" w:type="dxa"/>
            <w:tcBorders>
              <w:top w:val="nil"/>
              <w:left w:val="nil"/>
              <w:bottom w:val="single" w:sz="4" w:space="0" w:color="auto"/>
              <w:right w:val="single" w:sz="4" w:space="0" w:color="auto"/>
            </w:tcBorders>
            <w:shd w:val="clear" w:color="000000" w:fill="FFFFFF"/>
            <w:vAlign w:val="center"/>
            <w:hideMark/>
          </w:tcPr>
          <w:p w:rsidR="00386EC8" w:rsidRPr="00E3331A" w:rsidRDefault="00386EC8" w:rsidP="00386EC8">
            <w:pPr>
              <w:rPr>
                <w:rFonts w:ascii="Arial Narrow" w:hAnsi="Arial Narrow" w:cs="Calibri"/>
                <w:color w:val="000000"/>
                <w:sz w:val="20"/>
                <w:szCs w:val="20"/>
              </w:rPr>
            </w:pPr>
            <w:r w:rsidRPr="00E3331A">
              <w:rPr>
                <w:rFonts w:ascii="Arial Narrow" w:hAnsi="Arial Narrow" w:cs="Calibri"/>
                <w:color w:val="000000"/>
                <w:sz w:val="20"/>
                <w:szCs w:val="20"/>
              </w:rPr>
              <w:t>MBS 66512. Liver function tests, Urea, Electrolytes, Creatinine</w:t>
            </w:r>
          </w:p>
        </w:tc>
      </w:tr>
      <w:tr w:rsidR="00386EC8" w:rsidRPr="00E3331A" w:rsidTr="00493DDF">
        <w:trPr>
          <w:trHeight w:val="765"/>
        </w:trPr>
        <w:tc>
          <w:tcPr>
            <w:tcW w:w="1555" w:type="dxa"/>
            <w:tcBorders>
              <w:top w:val="nil"/>
              <w:left w:val="single" w:sz="4" w:space="0" w:color="auto"/>
              <w:bottom w:val="single" w:sz="4" w:space="0" w:color="auto"/>
              <w:right w:val="single" w:sz="4" w:space="0" w:color="auto"/>
            </w:tcBorders>
            <w:shd w:val="clear" w:color="000000" w:fill="FFFFFF"/>
            <w:vAlign w:val="center"/>
            <w:hideMark/>
          </w:tcPr>
          <w:p w:rsidR="00386EC8" w:rsidRPr="00E3331A" w:rsidRDefault="00386EC8" w:rsidP="00386EC8">
            <w:pPr>
              <w:rPr>
                <w:rFonts w:ascii="Arial Narrow" w:hAnsi="Arial Narrow" w:cs="Calibri"/>
                <w:color w:val="000000"/>
                <w:sz w:val="20"/>
                <w:szCs w:val="20"/>
              </w:rPr>
            </w:pPr>
            <w:r w:rsidRPr="00E3331A">
              <w:rPr>
                <w:rFonts w:ascii="Arial Narrow" w:hAnsi="Arial Narrow" w:cs="Calibri"/>
                <w:color w:val="000000"/>
                <w:sz w:val="20"/>
                <w:szCs w:val="20"/>
              </w:rPr>
              <w:t>Full Blood Examination</w:t>
            </w:r>
          </w:p>
        </w:tc>
        <w:tc>
          <w:tcPr>
            <w:tcW w:w="909"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$17.0</w:t>
            </w:r>
          </w:p>
        </w:tc>
        <w:tc>
          <w:tcPr>
            <w:tcW w:w="918"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091"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2"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$17.0</w:t>
            </w:r>
          </w:p>
        </w:tc>
        <w:tc>
          <w:tcPr>
            <w:tcW w:w="2642" w:type="dxa"/>
            <w:tcBorders>
              <w:top w:val="nil"/>
              <w:left w:val="nil"/>
              <w:bottom w:val="single" w:sz="4" w:space="0" w:color="auto"/>
              <w:right w:val="single" w:sz="4" w:space="0" w:color="auto"/>
            </w:tcBorders>
            <w:shd w:val="clear" w:color="000000" w:fill="FFFFFF"/>
            <w:vAlign w:val="center"/>
            <w:hideMark/>
          </w:tcPr>
          <w:p w:rsidR="00386EC8" w:rsidRPr="00E3331A" w:rsidRDefault="00386EC8" w:rsidP="00386EC8">
            <w:pPr>
              <w:rPr>
                <w:rFonts w:ascii="Arial Narrow" w:hAnsi="Arial Narrow" w:cs="Calibri"/>
                <w:color w:val="000000"/>
                <w:sz w:val="20"/>
                <w:szCs w:val="20"/>
              </w:rPr>
            </w:pPr>
            <w:r w:rsidRPr="00E3331A">
              <w:rPr>
                <w:rFonts w:ascii="Arial Narrow" w:hAnsi="Arial Narrow" w:cs="Calibri"/>
                <w:color w:val="000000"/>
                <w:sz w:val="20"/>
                <w:szCs w:val="20"/>
              </w:rPr>
              <w:t xml:space="preserve">MBS 65070. </w:t>
            </w:r>
          </w:p>
        </w:tc>
      </w:tr>
      <w:tr w:rsidR="00386EC8" w:rsidRPr="00E3331A" w:rsidTr="00493DDF">
        <w:trPr>
          <w:trHeight w:val="255"/>
        </w:trPr>
        <w:tc>
          <w:tcPr>
            <w:tcW w:w="1555" w:type="dxa"/>
            <w:tcBorders>
              <w:top w:val="nil"/>
              <w:left w:val="single" w:sz="4" w:space="0" w:color="auto"/>
              <w:bottom w:val="single" w:sz="4" w:space="0" w:color="auto"/>
              <w:right w:val="single" w:sz="4" w:space="0" w:color="auto"/>
            </w:tcBorders>
            <w:shd w:val="clear" w:color="000000" w:fill="FFFFFF"/>
            <w:vAlign w:val="center"/>
            <w:hideMark/>
          </w:tcPr>
          <w:p w:rsidR="00386EC8" w:rsidRPr="00E3331A" w:rsidRDefault="00386EC8" w:rsidP="00386EC8">
            <w:pPr>
              <w:rPr>
                <w:rFonts w:ascii="Arial Narrow" w:hAnsi="Arial Narrow" w:cs="Calibri"/>
                <w:color w:val="000000"/>
                <w:sz w:val="20"/>
                <w:szCs w:val="20"/>
              </w:rPr>
            </w:pPr>
            <w:r w:rsidRPr="00E3331A">
              <w:rPr>
                <w:rFonts w:ascii="Arial Narrow" w:hAnsi="Arial Narrow" w:cs="Calibri"/>
                <w:color w:val="000000"/>
                <w:sz w:val="20"/>
                <w:szCs w:val="20"/>
              </w:rPr>
              <w:lastRenderedPageBreak/>
              <w:t>Neuro muscular electro diagnosis</w:t>
            </w:r>
          </w:p>
        </w:tc>
        <w:tc>
          <w:tcPr>
            <w:tcW w:w="909"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$227.6</w:t>
            </w:r>
          </w:p>
        </w:tc>
        <w:tc>
          <w:tcPr>
            <w:tcW w:w="918"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091"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2"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$227.6</w:t>
            </w:r>
          </w:p>
        </w:tc>
        <w:tc>
          <w:tcPr>
            <w:tcW w:w="2642" w:type="dxa"/>
            <w:tcBorders>
              <w:top w:val="nil"/>
              <w:left w:val="nil"/>
              <w:bottom w:val="single" w:sz="4" w:space="0" w:color="auto"/>
              <w:right w:val="single" w:sz="4" w:space="0" w:color="auto"/>
            </w:tcBorders>
            <w:shd w:val="clear" w:color="000000" w:fill="FFFFFF"/>
            <w:vAlign w:val="center"/>
            <w:hideMark/>
          </w:tcPr>
          <w:p w:rsidR="00386EC8" w:rsidRPr="00E3331A" w:rsidRDefault="00386EC8" w:rsidP="00386EC8">
            <w:pPr>
              <w:rPr>
                <w:rFonts w:ascii="Arial Narrow" w:hAnsi="Arial Narrow" w:cs="Calibri"/>
                <w:color w:val="000000"/>
                <w:sz w:val="20"/>
                <w:szCs w:val="20"/>
              </w:rPr>
            </w:pPr>
            <w:r w:rsidRPr="00E3331A">
              <w:rPr>
                <w:rFonts w:ascii="Arial Narrow" w:hAnsi="Arial Narrow" w:cs="Calibri"/>
                <w:color w:val="000000"/>
                <w:sz w:val="20"/>
                <w:szCs w:val="20"/>
              </w:rPr>
              <w:t>MBS 11018. Neuro muscular electro diagnosis, 4 nerves</w:t>
            </w:r>
          </w:p>
        </w:tc>
      </w:tr>
      <w:tr w:rsidR="00386EC8" w:rsidRPr="00E3331A" w:rsidTr="0007007F">
        <w:trPr>
          <w:trHeight w:val="255"/>
        </w:trPr>
        <w:tc>
          <w:tcPr>
            <w:tcW w:w="1555" w:type="dxa"/>
            <w:tcBorders>
              <w:top w:val="nil"/>
              <w:left w:val="single" w:sz="4" w:space="0" w:color="auto"/>
              <w:bottom w:val="single" w:sz="4" w:space="0" w:color="auto"/>
              <w:right w:val="single" w:sz="4" w:space="0" w:color="auto"/>
            </w:tcBorders>
            <w:shd w:val="clear" w:color="auto" w:fill="D9D9D9"/>
            <w:vAlign w:val="center"/>
            <w:hideMark/>
          </w:tcPr>
          <w:p w:rsidR="00386EC8" w:rsidRPr="00E3331A" w:rsidRDefault="00386EC8" w:rsidP="00386EC8">
            <w:pP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Subtotal </w:t>
            </w:r>
          </w:p>
          <w:p w:rsidR="00386EC8" w:rsidRPr="00E3331A" w:rsidRDefault="00386EC8" w:rsidP="00386EC8">
            <w:pPr>
              <w:rPr>
                <w:rFonts w:ascii="Arial Narrow" w:hAnsi="Arial Narrow" w:cs="Calibri"/>
                <w:b/>
                <w:bCs/>
                <w:color w:val="000000"/>
                <w:sz w:val="20"/>
                <w:szCs w:val="20"/>
              </w:rPr>
            </w:pPr>
            <w:r w:rsidRPr="00E3331A">
              <w:rPr>
                <w:rFonts w:ascii="Arial Narrow" w:hAnsi="Arial Narrow" w:cs="Calibri"/>
                <w:b/>
                <w:bCs/>
                <w:color w:val="000000"/>
                <w:sz w:val="20"/>
                <w:szCs w:val="20"/>
              </w:rPr>
              <w:t>(4 months)</w:t>
            </w:r>
          </w:p>
        </w:tc>
        <w:tc>
          <w:tcPr>
            <w:tcW w:w="909" w:type="dxa"/>
            <w:tcBorders>
              <w:top w:val="nil"/>
              <w:left w:val="nil"/>
              <w:bottom w:val="single" w:sz="4" w:space="0" w:color="auto"/>
              <w:right w:val="single" w:sz="4" w:space="0" w:color="auto"/>
            </w:tcBorders>
            <w:shd w:val="clear" w:color="auto" w:fill="D9D9D9"/>
            <w:noWrap/>
            <w:vAlign w:val="center"/>
            <w:hideMark/>
          </w:tcPr>
          <w:p w:rsidR="00386EC8" w:rsidRPr="00E3331A" w:rsidRDefault="00386EC8" w:rsidP="00386EC8">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09" w:type="dxa"/>
            <w:tcBorders>
              <w:top w:val="nil"/>
              <w:left w:val="nil"/>
              <w:bottom w:val="single" w:sz="4" w:space="0" w:color="auto"/>
              <w:right w:val="single" w:sz="4" w:space="0" w:color="auto"/>
            </w:tcBorders>
            <w:shd w:val="clear" w:color="auto" w:fill="D9D9D9"/>
            <w:noWrap/>
            <w:vAlign w:val="center"/>
            <w:hideMark/>
          </w:tcPr>
          <w:p w:rsidR="00386EC8" w:rsidRPr="00E3331A" w:rsidRDefault="00386EC8" w:rsidP="00386EC8">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18" w:type="dxa"/>
            <w:tcBorders>
              <w:top w:val="nil"/>
              <w:left w:val="nil"/>
              <w:bottom w:val="single" w:sz="4" w:space="0" w:color="auto"/>
              <w:right w:val="single" w:sz="4" w:space="0" w:color="auto"/>
            </w:tcBorders>
            <w:shd w:val="clear" w:color="auto" w:fill="D9D9D9"/>
            <w:noWrap/>
            <w:vAlign w:val="center"/>
            <w:hideMark/>
          </w:tcPr>
          <w:p w:rsidR="00386EC8" w:rsidRPr="00E3331A" w:rsidRDefault="00386EC8" w:rsidP="00386EC8">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091" w:type="dxa"/>
            <w:tcBorders>
              <w:top w:val="nil"/>
              <w:left w:val="nil"/>
              <w:bottom w:val="single" w:sz="4" w:space="0" w:color="auto"/>
              <w:right w:val="single" w:sz="4" w:space="0" w:color="auto"/>
            </w:tcBorders>
            <w:shd w:val="clear" w:color="auto" w:fill="D9D9D9"/>
            <w:noWrap/>
            <w:vAlign w:val="center"/>
            <w:hideMark/>
          </w:tcPr>
          <w:p w:rsidR="00386EC8" w:rsidRPr="00E3331A" w:rsidRDefault="00386EC8" w:rsidP="00386EC8">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92" w:type="dxa"/>
            <w:tcBorders>
              <w:top w:val="nil"/>
              <w:left w:val="nil"/>
              <w:bottom w:val="single" w:sz="4" w:space="0" w:color="auto"/>
              <w:right w:val="single" w:sz="4" w:space="0" w:color="auto"/>
            </w:tcBorders>
            <w:shd w:val="clear" w:color="auto" w:fill="D9D9D9"/>
            <w:noWrap/>
            <w:vAlign w:val="center"/>
            <w:hideMark/>
          </w:tcPr>
          <w:p w:rsidR="00386EC8" w:rsidRPr="00E3331A" w:rsidRDefault="00386EC8" w:rsidP="00386EC8">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$12,056.8</w:t>
            </w:r>
          </w:p>
        </w:tc>
        <w:tc>
          <w:tcPr>
            <w:tcW w:w="2642" w:type="dxa"/>
            <w:tcBorders>
              <w:top w:val="nil"/>
              <w:left w:val="nil"/>
              <w:bottom w:val="single" w:sz="4" w:space="0" w:color="auto"/>
              <w:right w:val="single" w:sz="4" w:space="0" w:color="auto"/>
            </w:tcBorders>
            <w:shd w:val="clear" w:color="auto" w:fill="D9D9D9"/>
            <w:vAlign w:val="center"/>
            <w:hideMark/>
          </w:tcPr>
          <w:p w:rsidR="00386EC8" w:rsidRPr="00E3331A" w:rsidRDefault="00386EC8" w:rsidP="00386EC8">
            <w:pPr>
              <w:rPr>
                <w:rFonts w:ascii="Arial Narrow" w:hAnsi="Arial Narrow" w:cs="Calibri"/>
                <w:color w:val="000000"/>
                <w:sz w:val="20"/>
                <w:szCs w:val="20"/>
              </w:rPr>
            </w:pPr>
            <w:r w:rsidRPr="00E3331A">
              <w:rPr>
                <w:rFonts w:ascii="Arial Narrow" w:hAnsi="Arial Narrow" w:cs="Calibri"/>
                <w:color w:val="000000"/>
                <w:sz w:val="20"/>
                <w:szCs w:val="20"/>
              </w:rPr>
              <w:t> </w:t>
            </w:r>
          </w:p>
        </w:tc>
      </w:tr>
      <w:tr w:rsidR="00386EC8" w:rsidRPr="00E3331A" w:rsidTr="0007007F">
        <w:trPr>
          <w:trHeight w:val="255"/>
        </w:trPr>
        <w:tc>
          <w:tcPr>
            <w:tcW w:w="1555" w:type="dxa"/>
            <w:tcBorders>
              <w:top w:val="nil"/>
              <w:left w:val="single" w:sz="4" w:space="0" w:color="auto"/>
              <w:bottom w:val="single" w:sz="4" w:space="0" w:color="auto"/>
              <w:right w:val="single" w:sz="4" w:space="0" w:color="auto"/>
            </w:tcBorders>
            <w:shd w:val="clear" w:color="auto" w:fill="D9D9D9"/>
            <w:vAlign w:val="center"/>
            <w:hideMark/>
          </w:tcPr>
          <w:p w:rsidR="00386EC8" w:rsidRPr="00E3331A" w:rsidRDefault="00386EC8" w:rsidP="00386EC8">
            <w:pPr>
              <w:rPr>
                <w:rFonts w:ascii="Arial Narrow" w:hAnsi="Arial Narrow" w:cs="Calibri"/>
                <w:b/>
                <w:bCs/>
                <w:color w:val="000000"/>
                <w:sz w:val="20"/>
                <w:szCs w:val="20"/>
              </w:rPr>
            </w:pPr>
            <w:r w:rsidRPr="00E3331A">
              <w:rPr>
                <w:rFonts w:ascii="Arial Narrow" w:hAnsi="Arial Narrow" w:cs="Calibri"/>
                <w:b/>
                <w:bCs/>
                <w:color w:val="000000"/>
                <w:sz w:val="20"/>
                <w:szCs w:val="20"/>
              </w:rPr>
              <w:t>Subtotal (weekly equivalent)</w:t>
            </w:r>
          </w:p>
        </w:tc>
        <w:tc>
          <w:tcPr>
            <w:tcW w:w="909" w:type="dxa"/>
            <w:tcBorders>
              <w:top w:val="nil"/>
              <w:left w:val="nil"/>
              <w:bottom w:val="single" w:sz="4" w:space="0" w:color="auto"/>
              <w:right w:val="single" w:sz="4" w:space="0" w:color="auto"/>
            </w:tcBorders>
            <w:shd w:val="clear" w:color="auto" w:fill="D9D9D9"/>
            <w:noWrap/>
            <w:vAlign w:val="center"/>
            <w:hideMark/>
          </w:tcPr>
          <w:p w:rsidR="00386EC8" w:rsidRPr="00E3331A" w:rsidRDefault="00386EC8" w:rsidP="00386EC8">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09" w:type="dxa"/>
            <w:tcBorders>
              <w:top w:val="nil"/>
              <w:left w:val="nil"/>
              <w:bottom w:val="single" w:sz="4" w:space="0" w:color="auto"/>
              <w:right w:val="single" w:sz="4" w:space="0" w:color="auto"/>
            </w:tcBorders>
            <w:shd w:val="clear" w:color="auto" w:fill="D9D9D9"/>
            <w:noWrap/>
            <w:vAlign w:val="center"/>
            <w:hideMark/>
          </w:tcPr>
          <w:p w:rsidR="00386EC8" w:rsidRPr="00E3331A" w:rsidRDefault="00386EC8" w:rsidP="00386EC8">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18" w:type="dxa"/>
            <w:tcBorders>
              <w:top w:val="nil"/>
              <w:left w:val="nil"/>
              <w:bottom w:val="single" w:sz="4" w:space="0" w:color="auto"/>
              <w:right w:val="single" w:sz="4" w:space="0" w:color="auto"/>
            </w:tcBorders>
            <w:shd w:val="clear" w:color="auto" w:fill="D9D9D9"/>
            <w:noWrap/>
            <w:vAlign w:val="center"/>
            <w:hideMark/>
          </w:tcPr>
          <w:p w:rsidR="00386EC8" w:rsidRPr="00E3331A" w:rsidRDefault="00386EC8" w:rsidP="00386EC8">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091" w:type="dxa"/>
            <w:tcBorders>
              <w:top w:val="nil"/>
              <w:left w:val="nil"/>
              <w:bottom w:val="single" w:sz="4" w:space="0" w:color="auto"/>
              <w:right w:val="single" w:sz="4" w:space="0" w:color="auto"/>
            </w:tcBorders>
            <w:shd w:val="clear" w:color="auto" w:fill="D9D9D9"/>
            <w:noWrap/>
            <w:vAlign w:val="center"/>
            <w:hideMark/>
          </w:tcPr>
          <w:p w:rsidR="00386EC8" w:rsidRPr="00E3331A" w:rsidRDefault="00386EC8" w:rsidP="00386EC8">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92" w:type="dxa"/>
            <w:tcBorders>
              <w:top w:val="nil"/>
              <w:left w:val="nil"/>
              <w:bottom w:val="single" w:sz="4" w:space="0" w:color="auto"/>
              <w:right w:val="single" w:sz="4" w:space="0" w:color="auto"/>
            </w:tcBorders>
            <w:shd w:val="clear" w:color="auto" w:fill="D9D9D9"/>
            <w:noWrap/>
            <w:vAlign w:val="center"/>
            <w:hideMark/>
          </w:tcPr>
          <w:p w:rsidR="00386EC8" w:rsidRPr="00E3331A" w:rsidRDefault="00386EC8" w:rsidP="00386EC8">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$709.2</w:t>
            </w:r>
          </w:p>
        </w:tc>
        <w:tc>
          <w:tcPr>
            <w:tcW w:w="2642" w:type="dxa"/>
            <w:tcBorders>
              <w:top w:val="nil"/>
              <w:left w:val="nil"/>
              <w:bottom w:val="single" w:sz="4" w:space="0" w:color="auto"/>
              <w:right w:val="single" w:sz="4" w:space="0" w:color="auto"/>
            </w:tcBorders>
            <w:shd w:val="clear" w:color="auto" w:fill="D9D9D9"/>
            <w:vAlign w:val="center"/>
            <w:hideMark/>
          </w:tcPr>
          <w:p w:rsidR="00386EC8" w:rsidRPr="00E3331A" w:rsidRDefault="00386EC8" w:rsidP="00386EC8">
            <w:pPr>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bl>
    <w:p w:rsidR="001F5B33" w:rsidRPr="00E3331A" w:rsidRDefault="001F5B33" w:rsidP="001F5B33"/>
    <w:tbl>
      <w:tblPr>
        <w:tblW w:w="0" w:type="auto"/>
        <w:tblLayout w:type="fixed"/>
        <w:tblLook w:val="04A0" w:firstRow="1" w:lastRow="0" w:firstColumn="1" w:lastColumn="0" w:noHBand="0" w:noVBand="1"/>
      </w:tblPr>
      <w:tblGrid>
        <w:gridCol w:w="1555"/>
        <w:gridCol w:w="909"/>
        <w:gridCol w:w="909"/>
        <w:gridCol w:w="918"/>
        <w:gridCol w:w="1091"/>
        <w:gridCol w:w="992"/>
        <w:gridCol w:w="2642"/>
      </w:tblGrid>
      <w:tr w:rsidR="001F5B33" w:rsidRPr="00E3331A" w:rsidTr="0007007F">
        <w:trPr>
          <w:trHeight w:val="510"/>
          <w:tblHeader/>
        </w:trPr>
        <w:tc>
          <w:tcPr>
            <w:tcW w:w="9016" w:type="dxa"/>
            <w:gridSpan w:val="7"/>
            <w:tcBorders>
              <w:top w:val="single" w:sz="4" w:space="0" w:color="auto"/>
              <w:left w:val="single" w:sz="4" w:space="0" w:color="auto"/>
              <w:bottom w:val="single" w:sz="4" w:space="0" w:color="auto"/>
              <w:right w:val="single" w:sz="4" w:space="0" w:color="auto"/>
            </w:tcBorders>
            <w:shd w:val="clear" w:color="auto" w:fill="D9D9D9"/>
            <w:vAlign w:val="center"/>
            <w:hideMark/>
          </w:tcPr>
          <w:p w:rsidR="001F5B33" w:rsidRPr="00E3331A" w:rsidRDefault="001F5B33" w:rsidP="00493DDF">
            <w:pPr>
              <w:rPr>
                <w:rFonts w:ascii="Arial Narrow" w:hAnsi="Arial Narrow" w:cs="Calibri"/>
                <w:b/>
                <w:bCs/>
                <w:color w:val="FFFFFF"/>
                <w:sz w:val="20"/>
                <w:szCs w:val="20"/>
              </w:rPr>
            </w:pPr>
            <w:r w:rsidRPr="00E3331A">
              <w:rPr>
                <w:rFonts w:ascii="Arial Narrow" w:hAnsi="Arial Narrow" w:cs="Calibri"/>
                <w:b/>
                <w:bCs/>
                <w:sz w:val="20"/>
                <w:szCs w:val="20"/>
              </w:rPr>
              <w:t>Responder IVIg product cost and delivery (4-12 months)</w:t>
            </w:r>
          </w:p>
        </w:tc>
      </w:tr>
      <w:tr w:rsidR="00386EC8" w:rsidRPr="00E3331A" w:rsidTr="00493DDF">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386EC8" w:rsidRPr="00E3331A" w:rsidRDefault="00386EC8" w:rsidP="00386EC8">
            <w:pPr>
              <w:rPr>
                <w:rFonts w:ascii="Arial Narrow" w:hAnsi="Arial Narrow" w:cs="Calibri"/>
                <w:sz w:val="20"/>
                <w:szCs w:val="20"/>
              </w:rPr>
            </w:pPr>
            <w:r w:rsidRPr="00E3331A">
              <w:rPr>
                <w:rFonts w:ascii="Arial Narrow" w:hAnsi="Arial Narrow" w:cs="Calibri"/>
                <w:sz w:val="20"/>
                <w:szCs w:val="20"/>
              </w:rPr>
              <w:t>Pre-medication, Antihistamine, Cetirizine hydrochloride 10mg tablet, 30</w:t>
            </w:r>
          </w:p>
        </w:tc>
        <w:tc>
          <w:tcPr>
            <w:tcW w:w="909" w:type="dxa"/>
            <w:tcBorders>
              <w:top w:val="nil"/>
              <w:left w:val="nil"/>
              <w:bottom w:val="single" w:sz="4" w:space="0" w:color="auto"/>
              <w:right w:val="single" w:sz="4" w:space="0" w:color="auto"/>
            </w:tcBorders>
            <w:shd w:val="clear" w:color="auto" w:fill="auto"/>
            <w:noWrap/>
            <w:vAlign w:val="center"/>
            <w:hideMark/>
          </w:tcPr>
          <w:p w:rsidR="00386EC8" w:rsidRPr="00E3331A" w:rsidRDefault="00386EC8" w:rsidP="00386EC8">
            <w:pPr>
              <w:jc w:val="center"/>
              <w:rPr>
                <w:rFonts w:ascii="Arial Narrow" w:hAnsi="Arial Narrow" w:cs="Calibri"/>
                <w:sz w:val="20"/>
                <w:szCs w:val="20"/>
              </w:rPr>
            </w:pPr>
            <w:r w:rsidRPr="00E3331A">
              <w:rPr>
                <w:rFonts w:ascii="Arial Narrow" w:hAnsi="Arial Narrow" w:cs="Calibri"/>
                <w:sz w:val="20"/>
                <w:szCs w:val="20"/>
              </w:rPr>
              <w:t>PBS</w:t>
            </w:r>
          </w:p>
        </w:tc>
        <w:tc>
          <w:tcPr>
            <w:tcW w:w="909" w:type="dxa"/>
            <w:tcBorders>
              <w:top w:val="nil"/>
              <w:left w:val="nil"/>
              <w:bottom w:val="single" w:sz="4" w:space="0" w:color="auto"/>
              <w:right w:val="single" w:sz="4" w:space="0" w:color="auto"/>
            </w:tcBorders>
            <w:shd w:val="clear" w:color="auto" w:fill="auto"/>
            <w:noWrap/>
            <w:vAlign w:val="center"/>
            <w:hideMark/>
          </w:tcPr>
          <w:p w:rsidR="00386EC8" w:rsidRPr="00E3331A" w:rsidRDefault="00386EC8" w:rsidP="00386EC8">
            <w:pPr>
              <w:jc w:val="center"/>
              <w:rPr>
                <w:rFonts w:ascii="Arial Narrow" w:hAnsi="Arial Narrow" w:cs="Calibri"/>
                <w:sz w:val="20"/>
                <w:szCs w:val="20"/>
              </w:rPr>
            </w:pPr>
            <w:r w:rsidRPr="00E3331A">
              <w:rPr>
                <w:rFonts w:ascii="Arial Narrow" w:hAnsi="Arial Narrow" w:cs="Calibri"/>
                <w:sz w:val="20"/>
                <w:szCs w:val="20"/>
              </w:rPr>
              <w:t>$0.9</w:t>
            </w:r>
          </w:p>
        </w:tc>
        <w:tc>
          <w:tcPr>
            <w:tcW w:w="918"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9.20</w:t>
            </w:r>
          </w:p>
        </w:tc>
        <w:tc>
          <w:tcPr>
            <w:tcW w:w="1091"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10%</w:t>
            </w:r>
          </w:p>
        </w:tc>
        <w:tc>
          <w:tcPr>
            <w:tcW w:w="992"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$0.9</w:t>
            </w:r>
          </w:p>
        </w:tc>
        <w:tc>
          <w:tcPr>
            <w:tcW w:w="2642" w:type="dxa"/>
            <w:tcBorders>
              <w:top w:val="nil"/>
              <w:left w:val="nil"/>
              <w:bottom w:val="single" w:sz="4" w:space="0" w:color="auto"/>
              <w:right w:val="single" w:sz="4" w:space="0" w:color="auto"/>
            </w:tcBorders>
            <w:shd w:val="clear" w:color="auto" w:fill="auto"/>
            <w:vAlign w:val="center"/>
            <w:hideMark/>
          </w:tcPr>
          <w:p w:rsidR="00386EC8" w:rsidRPr="00E3331A" w:rsidRDefault="00386EC8" w:rsidP="00386EC8">
            <w:pPr>
              <w:rPr>
                <w:rFonts w:ascii="Arial Narrow" w:hAnsi="Arial Narrow" w:cs="Calibri"/>
                <w:sz w:val="20"/>
                <w:szCs w:val="20"/>
              </w:rPr>
            </w:pPr>
            <w:r w:rsidRPr="00E3331A">
              <w:rPr>
                <w:rFonts w:ascii="Arial Narrow" w:hAnsi="Arial Narrow" w:cs="Calibri"/>
                <w:sz w:val="20"/>
                <w:szCs w:val="20"/>
              </w:rPr>
              <w:t>Antihistamine, Cetirizine hydrochloride 10mg tablet, 30 from PBS website. Pack cost divided by 30</w:t>
            </w:r>
          </w:p>
        </w:tc>
      </w:tr>
      <w:tr w:rsidR="00386EC8" w:rsidRPr="00E3331A" w:rsidTr="003840DD">
        <w:trPr>
          <w:trHeight w:val="510"/>
        </w:trPr>
        <w:tc>
          <w:tcPr>
            <w:tcW w:w="1555" w:type="dxa"/>
            <w:tcBorders>
              <w:top w:val="nil"/>
              <w:left w:val="single" w:sz="4" w:space="0" w:color="auto"/>
              <w:bottom w:val="single" w:sz="4" w:space="0" w:color="auto"/>
              <w:right w:val="single" w:sz="4" w:space="0" w:color="auto"/>
            </w:tcBorders>
            <w:shd w:val="clear" w:color="000000" w:fill="FFFFFF"/>
            <w:vAlign w:val="center"/>
            <w:hideMark/>
          </w:tcPr>
          <w:p w:rsidR="00386EC8" w:rsidRPr="00E3331A" w:rsidRDefault="00386EC8" w:rsidP="00386EC8">
            <w:pPr>
              <w:rPr>
                <w:rFonts w:ascii="Arial Narrow" w:hAnsi="Arial Narrow" w:cs="Calibri"/>
                <w:color w:val="000000"/>
                <w:sz w:val="20"/>
                <w:szCs w:val="20"/>
              </w:rPr>
            </w:pPr>
            <w:r w:rsidRPr="00E3331A">
              <w:rPr>
                <w:rFonts w:ascii="Arial Narrow" w:hAnsi="Arial Narrow" w:cs="Calibri"/>
                <w:color w:val="000000"/>
                <w:sz w:val="20"/>
                <w:szCs w:val="20"/>
              </w:rPr>
              <w:t xml:space="preserve">Ig product, grams per infusion, $60.41 per gram. </w:t>
            </w:r>
          </w:p>
        </w:tc>
        <w:tc>
          <w:tcPr>
            <w:tcW w:w="909" w:type="dxa"/>
            <w:tcBorders>
              <w:top w:val="nil"/>
              <w:left w:val="nil"/>
              <w:bottom w:val="single" w:sz="4" w:space="0" w:color="auto"/>
              <w:right w:val="single" w:sz="4" w:space="0" w:color="auto"/>
            </w:tcBorders>
            <w:shd w:val="clear" w:color="000000" w:fill="FFFFFF"/>
            <w:noWrap/>
            <w:vAlign w:val="center"/>
            <w:hideMark/>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NBA-listed</w:t>
            </w:r>
          </w:p>
        </w:tc>
        <w:tc>
          <w:tcPr>
            <w:tcW w:w="909" w:type="dxa"/>
            <w:tcBorders>
              <w:top w:val="nil"/>
              <w:left w:val="nil"/>
              <w:bottom w:val="single" w:sz="4" w:space="0" w:color="auto"/>
              <w:right w:val="single" w:sz="4" w:space="0" w:color="auto"/>
            </w:tcBorders>
            <w:shd w:val="clear" w:color="000000" w:fill="FFFFFF"/>
            <w:noWrap/>
            <w:vAlign w:val="center"/>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$60.4</w:t>
            </w:r>
          </w:p>
        </w:tc>
        <w:tc>
          <w:tcPr>
            <w:tcW w:w="918" w:type="dxa"/>
            <w:tcBorders>
              <w:top w:val="nil"/>
              <w:left w:val="nil"/>
              <w:bottom w:val="single" w:sz="4" w:space="0" w:color="auto"/>
              <w:right w:val="single" w:sz="4" w:space="0" w:color="auto"/>
            </w:tcBorders>
            <w:shd w:val="clear" w:color="000000" w:fill="FFFFFF"/>
            <w:noWrap/>
            <w:vAlign w:val="center"/>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331.33</w:t>
            </w:r>
          </w:p>
        </w:tc>
        <w:tc>
          <w:tcPr>
            <w:tcW w:w="1091" w:type="dxa"/>
            <w:tcBorders>
              <w:top w:val="nil"/>
              <w:left w:val="nil"/>
              <w:bottom w:val="single" w:sz="4" w:space="0" w:color="auto"/>
              <w:right w:val="single" w:sz="4" w:space="0" w:color="auto"/>
            </w:tcBorders>
            <w:shd w:val="clear" w:color="000000" w:fill="FFFFFF"/>
            <w:noWrap/>
            <w:vAlign w:val="center"/>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2" w:type="dxa"/>
            <w:tcBorders>
              <w:top w:val="nil"/>
              <w:left w:val="nil"/>
              <w:bottom w:val="single" w:sz="4" w:space="0" w:color="auto"/>
              <w:right w:val="single" w:sz="4" w:space="0" w:color="auto"/>
            </w:tcBorders>
            <w:shd w:val="clear" w:color="000000" w:fill="FFFFFF"/>
            <w:noWrap/>
            <w:vAlign w:val="center"/>
          </w:tcPr>
          <w:p w:rsidR="00386EC8" w:rsidRPr="00E3331A" w:rsidRDefault="00386EC8" w:rsidP="00386EC8">
            <w:pPr>
              <w:jc w:val="center"/>
              <w:rPr>
                <w:rFonts w:ascii="Arial Narrow" w:hAnsi="Arial Narrow" w:cs="Calibri"/>
                <w:color w:val="000000"/>
                <w:sz w:val="20"/>
                <w:szCs w:val="20"/>
              </w:rPr>
            </w:pPr>
            <w:r w:rsidRPr="00E3331A">
              <w:rPr>
                <w:rFonts w:ascii="Arial Narrow" w:hAnsi="Arial Narrow" w:cs="Calibri"/>
                <w:color w:val="000000"/>
                <w:sz w:val="20"/>
                <w:szCs w:val="20"/>
              </w:rPr>
              <w:t>$20,015.8</w:t>
            </w:r>
          </w:p>
        </w:tc>
        <w:tc>
          <w:tcPr>
            <w:tcW w:w="2642" w:type="dxa"/>
            <w:tcBorders>
              <w:top w:val="nil"/>
              <w:left w:val="nil"/>
              <w:bottom w:val="single" w:sz="4" w:space="0" w:color="auto"/>
              <w:right w:val="single" w:sz="4" w:space="0" w:color="auto"/>
            </w:tcBorders>
            <w:shd w:val="clear" w:color="000000" w:fill="FFFFFF"/>
            <w:vAlign w:val="center"/>
            <w:hideMark/>
          </w:tcPr>
          <w:p w:rsidR="00386EC8" w:rsidRPr="00E3331A" w:rsidRDefault="00386EC8" w:rsidP="00386EC8">
            <w:pPr>
              <w:rPr>
                <w:rFonts w:ascii="Arial Narrow" w:hAnsi="Arial Narrow" w:cs="Calibri"/>
                <w:color w:val="000000"/>
                <w:sz w:val="20"/>
                <w:szCs w:val="20"/>
              </w:rPr>
            </w:pPr>
            <w:r w:rsidRPr="00E3331A">
              <w:rPr>
                <w:rFonts w:ascii="Arial Narrow" w:hAnsi="Arial Narrow" w:cs="Calibri"/>
                <w:color w:val="000000"/>
                <w:sz w:val="20"/>
                <w:szCs w:val="20"/>
              </w:rPr>
              <w:t>Up to 0.4 to 1g/kg once every 2-6 weeks. Assumed 4.07g per kg provided over 8-12 months, which generates annual use of 497g per patient. This is the Australian average</w:t>
            </w:r>
          </w:p>
        </w:tc>
      </w:tr>
      <w:tr w:rsidR="003E036A" w:rsidRPr="00E3331A" w:rsidTr="00640258">
        <w:trPr>
          <w:trHeight w:val="765"/>
        </w:trPr>
        <w:tc>
          <w:tcPr>
            <w:tcW w:w="1555" w:type="dxa"/>
            <w:tcBorders>
              <w:top w:val="nil"/>
              <w:left w:val="single" w:sz="4" w:space="0" w:color="auto"/>
              <w:bottom w:val="single" w:sz="4" w:space="0" w:color="auto"/>
              <w:right w:val="single" w:sz="4" w:space="0" w:color="auto"/>
            </w:tcBorders>
            <w:shd w:val="clear" w:color="000000" w:fill="FFFFFF"/>
          </w:tcPr>
          <w:p w:rsidR="003E036A" w:rsidRDefault="003E036A" w:rsidP="003E036A">
            <w:r w:rsidRPr="008D1A17">
              <w:rPr>
                <w:noProof/>
                <w:color w:val="000000"/>
              </w:rPr>
              <w:t>REDACTED</w:t>
            </w:r>
          </w:p>
        </w:tc>
        <w:tc>
          <w:tcPr>
            <w:tcW w:w="909" w:type="dxa"/>
            <w:tcBorders>
              <w:top w:val="nil"/>
              <w:left w:val="nil"/>
              <w:bottom w:val="single" w:sz="4" w:space="0" w:color="auto"/>
              <w:right w:val="single" w:sz="4" w:space="0" w:color="auto"/>
            </w:tcBorders>
            <w:shd w:val="clear" w:color="auto" w:fill="auto"/>
            <w:noWrap/>
          </w:tcPr>
          <w:p w:rsidR="003E036A" w:rsidRPr="003E036A" w:rsidRDefault="003E036A" w:rsidP="003E036A">
            <w:pPr>
              <w:rPr>
                <w:sz w:val="14"/>
                <w:szCs w:val="14"/>
              </w:rPr>
            </w:pPr>
            <w:r w:rsidRPr="003E036A">
              <w:rPr>
                <w:noProof/>
                <w:color w:val="000000"/>
                <w:sz w:val="14"/>
                <w:szCs w:val="14"/>
              </w:rPr>
              <w:t>REDACTED</w:t>
            </w:r>
          </w:p>
        </w:tc>
        <w:tc>
          <w:tcPr>
            <w:tcW w:w="909" w:type="dxa"/>
            <w:tcBorders>
              <w:top w:val="nil"/>
              <w:left w:val="nil"/>
              <w:bottom w:val="single" w:sz="4" w:space="0" w:color="auto"/>
              <w:right w:val="single" w:sz="4" w:space="0" w:color="auto"/>
            </w:tcBorders>
            <w:shd w:val="clear" w:color="000000" w:fill="FFFFFF"/>
            <w:noWrap/>
          </w:tcPr>
          <w:p w:rsidR="003E036A" w:rsidRPr="003E036A" w:rsidRDefault="003E036A" w:rsidP="003E036A">
            <w:pPr>
              <w:rPr>
                <w:sz w:val="14"/>
                <w:szCs w:val="14"/>
              </w:rPr>
            </w:pPr>
            <w:r w:rsidRPr="003E036A">
              <w:rPr>
                <w:noProof/>
                <w:color w:val="000000"/>
                <w:sz w:val="14"/>
                <w:szCs w:val="14"/>
              </w:rPr>
              <w:t>REDACTED</w:t>
            </w:r>
          </w:p>
        </w:tc>
        <w:tc>
          <w:tcPr>
            <w:tcW w:w="918" w:type="dxa"/>
            <w:tcBorders>
              <w:top w:val="nil"/>
              <w:left w:val="nil"/>
              <w:bottom w:val="single" w:sz="4" w:space="0" w:color="auto"/>
              <w:right w:val="single" w:sz="4" w:space="0" w:color="auto"/>
            </w:tcBorders>
            <w:shd w:val="clear" w:color="000000" w:fill="FFFFFF"/>
            <w:noWrap/>
          </w:tcPr>
          <w:p w:rsidR="003E036A" w:rsidRPr="003E036A" w:rsidRDefault="003E036A" w:rsidP="003E036A">
            <w:pPr>
              <w:rPr>
                <w:sz w:val="14"/>
                <w:szCs w:val="14"/>
              </w:rPr>
            </w:pPr>
            <w:r w:rsidRPr="003E036A">
              <w:rPr>
                <w:noProof/>
                <w:color w:val="000000"/>
                <w:sz w:val="14"/>
                <w:szCs w:val="14"/>
              </w:rPr>
              <w:t>REDACTED</w:t>
            </w:r>
          </w:p>
        </w:tc>
        <w:tc>
          <w:tcPr>
            <w:tcW w:w="1091" w:type="dxa"/>
            <w:tcBorders>
              <w:top w:val="nil"/>
              <w:left w:val="nil"/>
              <w:bottom w:val="single" w:sz="4" w:space="0" w:color="auto"/>
              <w:right w:val="single" w:sz="4" w:space="0" w:color="auto"/>
            </w:tcBorders>
            <w:shd w:val="clear" w:color="000000" w:fill="FFFFFF"/>
            <w:noWrap/>
          </w:tcPr>
          <w:p w:rsidR="003E036A" w:rsidRPr="003E036A" w:rsidRDefault="003E036A" w:rsidP="003E036A">
            <w:pPr>
              <w:rPr>
                <w:sz w:val="14"/>
                <w:szCs w:val="14"/>
              </w:rPr>
            </w:pPr>
            <w:r w:rsidRPr="003E036A">
              <w:rPr>
                <w:noProof/>
                <w:color w:val="000000"/>
                <w:sz w:val="14"/>
                <w:szCs w:val="14"/>
              </w:rPr>
              <w:t>REDACTED</w:t>
            </w:r>
          </w:p>
        </w:tc>
        <w:tc>
          <w:tcPr>
            <w:tcW w:w="992" w:type="dxa"/>
            <w:tcBorders>
              <w:top w:val="nil"/>
              <w:left w:val="nil"/>
              <w:bottom w:val="single" w:sz="4" w:space="0" w:color="auto"/>
              <w:right w:val="single" w:sz="4" w:space="0" w:color="auto"/>
            </w:tcBorders>
            <w:shd w:val="clear" w:color="000000" w:fill="FFFFFF"/>
            <w:noWrap/>
          </w:tcPr>
          <w:p w:rsidR="003E036A" w:rsidRPr="003E036A" w:rsidRDefault="003E036A" w:rsidP="003E036A">
            <w:pPr>
              <w:rPr>
                <w:sz w:val="14"/>
                <w:szCs w:val="14"/>
              </w:rPr>
            </w:pPr>
            <w:r w:rsidRPr="003E036A">
              <w:rPr>
                <w:noProof/>
                <w:color w:val="000000"/>
                <w:sz w:val="14"/>
                <w:szCs w:val="14"/>
              </w:rPr>
              <w:t>REDACTED</w:t>
            </w:r>
          </w:p>
        </w:tc>
        <w:tc>
          <w:tcPr>
            <w:tcW w:w="2642" w:type="dxa"/>
            <w:tcBorders>
              <w:top w:val="nil"/>
              <w:left w:val="nil"/>
              <w:bottom w:val="single" w:sz="4" w:space="0" w:color="auto"/>
              <w:right w:val="single" w:sz="4" w:space="0" w:color="auto"/>
            </w:tcBorders>
            <w:shd w:val="clear" w:color="000000" w:fill="FFFFFF"/>
          </w:tcPr>
          <w:p w:rsidR="003E036A" w:rsidRDefault="003E036A" w:rsidP="003E036A">
            <w:r w:rsidRPr="008D1A17">
              <w:rPr>
                <w:noProof/>
                <w:color w:val="000000"/>
              </w:rPr>
              <w:t>REDACTED</w:t>
            </w:r>
          </w:p>
        </w:tc>
      </w:tr>
      <w:tr w:rsidR="00053F32" w:rsidRPr="00E3331A" w:rsidTr="00493DDF">
        <w:trPr>
          <w:trHeight w:val="765"/>
        </w:trPr>
        <w:tc>
          <w:tcPr>
            <w:tcW w:w="1555" w:type="dxa"/>
            <w:tcBorders>
              <w:top w:val="nil"/>
              <w:left w:val="single" w:sz="4" w:space="0" w:color="auto"/>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 xml:space="preserve">Nurse time for infusion. Assumes 2 hour per administration </w:t>
            </w:r>
          </w:p>
        </w:tc>
        <w:tc>
          <w:tcPr>
            <w:tcW w:w="909"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Hospital</w:t>
            </w:r>
          </w:p>
        </w:tc>
        <w:tc>
          <w:tcPr>
            <w:tcW w:w="909"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$85.5</w:t>
            </w:r>
          </w:p>
        </w:tc>
        <w:tc>
          <w:tcPr>
            <w:tcW w:w="918"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18.40</w:t>
            </w:r>
          </w:p>
        </w:tc>
        <w:tc>
          <w:tcPr>
            <w:tcW w:w="1091"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2"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$1,573.6</w:t>
            </w:r>
          </w:p>
        </w:tc>
        <w:tc>
          <w:tcPr>
            <w:tcW w:w="2642" w:type="dxa"/>
            <w:tcBorders>
              <w:top w:val="nil"/>
              <w:left w:val="nil"/>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 xml:space="preserve">NSW State Award. 2018. Clinical Nurse, Grade 2, $1,946 per week. Loaded at 1.67. 2 hours per administration. Assumes total of 13.2 </w:t>
            </w:r>
            <w:r w:rsidR="00E810A5" w:rsidRPr="00E3331A">
              <w:rPr>
                <w:rFonts w:ascii="Arial Narrow" w:hAnsi="Arial Narrow" w:cs="Calibri"/>
                <w:color w:val="000000"/>
                <w:sz w:val="20"/>
                <w:szCs w:val="20"/>
              </w:rPr>
              <w:t>administrations</w:t>
            </w:r>
            <w:r w:rsidRPr="00E3331A">
              <w:rPr>
                <w:rFonts w:ascii="Arial Narrow" w:hAnsi="Arial Narrow" w:cs="Calibri"/>
                <w:color w:val="000000"/>
                <w:sz w:val="20"/>
                <w:szCs w:val="20"/>
              </w:rPr>
              <w:t xml:space="preserve"> per year</w:t>
            </w:r>
          </w:p>
        </w:tc>
      </w:tr>
      <w:tr w:rsidR="00053F32" w:rsidRPr="00E3331A" w:rsidTr="00493DDF">
        <w:trPr>
          <w:trHeight w:val="255"/>
        </w:trPr>
        <w:tc>
          <w:tcPr>
            <w:tcW w:w="1555" w:type="dxa"/>
            <w:tcBorders>
              <w:top w:val="nil"/>
              <w:left w:val="single" w:sz="4" w:space="0" w:color="auto"/>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 xml:space="preserve">GP Consultations </w:t>
            </w:r>
          </w:p>
        </w:tc>
        <w:tc>
          <w:tcPr>
            <w:tcW w:w="909"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$34.9</w:t>
            </w:r>
          </w:p>
        </w:tc>
        <w:tc>
          <w:tcPr>
            <w:tcW w:w="918"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2.00</w:t>
            </w:r>
          </w:p>
        </w:tc>
        <w:tc>
          <w:tcPr>
            <w:tcW w:w="1091"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2"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$69.8</w:t>
            </w:r>
          </w:p>
        </w:tc>
        <w:tc>
          <w:tcPr>
            <w:tcW w:w="2642" w:type="dxa"/>
            <w:tcBorders>
              <w:top w:val="nil"/>
              <w:left w:val="nil"/>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 xml:space="preserve">MBS 23. Professional attendance by a general practitioner </w:t>
            </w:r>
          </w:p>
        </w:tc>
      </w:tr>
      <w:tr w:rsidR="00053F32" w:rsidRPr="00E3331A" w:rsidTr="00493DDF">
        <w:trPr>
          <w:trHeight w:val="510"/>
        </w:trPr>
        <w:tc>
          <w:tcPr>
            <w:tcW w:w="1555" w:type="dxa"/>
            <w:tcBorders>
              <w:top w:val="nil"/>
              <w:left w:val="single" w:sz="4" w:space="0" w:color="auto"/>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lastRenderedPageBreak/>
              <w:t xml:space="preserve">Neurologist Specialist Consultations </w:t>
            </w:r>
          </w:p>
        </w:tc>
        <w:tc>
          <w:tcPr>
            <w:tcW w:w="909"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$136.3</w:t>
            </w:r>
          </w:p>
        </w:tc>
        <w:tc>
          <w:tcPr>
            <w:tcW w:w="918"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091"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2"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$136.3</w:t>
            </w:r>
          </w:p>
        </w:tc>
        <w:tc>
          <w:tcPr>
            <w:tcW w:w="2642" w:type="dxa"/>
            <w:tcBorders>
              <w:top w:val="nil"/>
              <w:left w:val="nil"/>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 xml:space="preserve">MBS 133. Professional attendance </w:t>
            </w:r>
          </w:p>
        </w:tc>
      </w:tr>
      <w:tr w:rsidR="00053F32" w:rsidRPr="00E3331A" w:rsidTr="00493DDF">
        <w:trPr>
          <w:trHeight w:val="255"/>
        </w:trPr>
        <w:tc>
          <w:tcPr>
            <w:tcW w:w="1555" w:type="dxa"/>
            <w:tcBorders>
              <w:top w:val="nil"/>
              <w:left w:val="single" w:sz="4" w:space="0" w:color="auto"/>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Neuro muscular electro diagnosis</w:t>
            </w:r>
          </w:p>
        </w:tc>
        <w:tc>
          <w:tcPr>
            <w:tcW w:w="909"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$227.6</w:t>
            </w:r>
          </w:p>
        </w:tc>
        <w:tc>
          <w:tcPr>
            <w:tcW w:w="918"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1091"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992"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$227.6</w:t>
            </w:r>
          </w:p>
        </w:tc>
        <w:tc>
          <w:tcPr>
            <w:tcW w:w="2642" w:type="dxa"/>
            <w:tcBorders>
              <w:top w:val="nil"/>
              <w:left w:val="nil"/>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MBS 11012. Neuro muscular electro diagnosis</w:t>
            </w:r>
          </w:p>
        </w:tc>
      </w:tr>
      <w:tr w:rsidR="003E036A" w:rsidRPr="00E3331A" w:rsidTr="00472958">
        <w:trPr>
          <w:trHeight w:val="765"/>
        </w:trPr>
        <w:tc>
          <w:tcPr>
            <w:tcW w:w="1555" w:type="dxa"/>
            <w:tcBorders>
              <w:top w:val="nil"/>
              <w:left w:val="single" w:sz="4" w:space="0" w:color="auto"/>
              <w:bottom w:val="single" w:sz="4" w:space="0" w:color="auto"/>
              <w:right w:val="single" w:sz="4" w:space="0" w:color="auto"/>
            </w:tcBorders>
            <w:shd w:val="clear" w:color="auto" w:fill="auto"/>
          </w:tcPr>
          <w:p w:rsidR="003E036A" w:rsidRDefault="003E036A" w:rsidP="003E036A">
            <w:r w:rsidRPr="00976433">
              <w:rPr>
                <w:noProof/>
                <w:color w:val="000000"/>
              </w:rPr>
              <w:t>REDACTED</w:t>
            </w:r>
          </w:p>
        </w:tc>
        <w:tc>
          <w:tcPr>
            <w:tcW w:w="909" w:type="dxa"/>
            <w:tcBorders>
              <w:top w:val="nil"/>
              <w:left w:val="nil"/>
              <w:bottom w:val="single" w:sz="4" w:space="0" w:color="auto"/>
              <w:right w:val="single" w:sz="4" w:space="0" w:color="auto"/>
            </w:tcBorders>
            <w:shd w:val="clear" w:color="000000" w:fill="FFFFFF"/>
            <w:noWrap/>
          </w:tcPr>
          <w:p w:rsidR="003E036A" w:rsidRPr="003E036A" w:rsidRDefault="003E036A" w:rsidP="003E036A">
            <w:pPr>
              <w:rPr>
                <w:sz w:val="14"/>
                <w:szCs w:val="14"/>
              </w:rPr>
            </w:pPr>
            <w:r w:rsidRPr="003E036A">
              <w:rPr>
                <w:noProof/>
                <w:color w:val="000000"/>
                <w:sz w:val="14"/>
                <w:szCs w:val="14"/>
              </w:rPr>
              <w:t>REDACTED</w:t>
            </w:r>
          </w:p>
        </w:tc>
        <w:tc>
          <w:tcPr>
            <w:tcW w:w="909" w:type="dxa"/>
            <w:tcBorders>
              <w:top w:val="nil"/>
              <w:left w:val="nil"/>
              <w:bottom w:val="single" w:sz="4" w:space="0" w:color="auto"/>
              <w:right w:val="single" w:sz="4" w:space="0" w:color="auto"/>
            </w:tcBorders>
            <w:shd w:val="clear" w:color="000000" w:fill="FFFFFF"/>
            <w:noWrap/>
          </w:tcPr>
          <w:p w:rsidR="003E036A" w:rsidRPr="003E036A" w:rsidRDefault="003E036A" w:rsidP="003E036A">
            <w:pPr>
              <w:rPr>
                <w:sz w:val="14"/>
                <w:szCs w:val="14"/>
              </w:rPr>
            </w:pPr>
            <w:r w:rsidRPr="003E036A">
              <w:rPr>
                <w:noProof/>
                <w:color w:val="000000"/>
                <w:sz w:val="14"/>
                <w:szCs w:val="14"/>
              </w:rPr>
              <w:t>REDACTED</w:t>
            </w:r>
          </w:p>
        </w:tc>
        <w:tc>
          <w:tcPr>
            <w:tcW w:w="918" w:type="dxa"/>
            <w:tcBorders>
              <w:top w:val="nil"/>
              <w:left w:val="nil"/>
              <w:bottom w:val="single" w:sz="4" w:space="0" w:color="auto"/>
              <w:right w:val="single" w:sz="4" w:space="0" w:color="auto"/>
            </w:tcBorders>
            <w:shd w:val="clear" w:color="000000" w:fill="FFFFFF"/>
            <w:noWrap/>
          </w:tcPr>
          <w:p w:rsidR="003E036A" w:rsidRPr="003E036A" w:rsidRDefault="003E036A" w:rsidP="003E036A">
            <w:pPr>
              <w:rPr>
                <w:sz w:val="14"/>
                <w:szCs w:val="14"/>
              </w:rPr>
            </w:pPr>
            <w:r w:rsidRPr="003E036A">
              <w:rPr>
                <w:noProof/>
                <w:color w:val="000000"/>
                <w:sz w:val="14"/>
                <w:szCs w:val="14"/>
              </w:rPr>
              <w:t>REDACTED</w:t>
            </w:r>
          </w:p>
        </w:tc>
        <w:tc>
          <w:tcPr>
            <w:tcW w:w="1091" w:type="dxa"/>
            <w:tcBorders>
              <w:top w:val="nil"/>
              <w:left w:val="nil"/>
              <w:bottom w:val="single" w:sz="4" w:space="0" w:color="auto"/>
              <w:right w:val="single" w:sz="4" w:space="0" w:color="auto"/>
            </w:tcBorders>
            <w:shd w:val="clear" w:color="000000" w:fill="FFFFFF"/>
            <w:noWrap/>
          </w:tcPr>
          <w:p w:rsidR="003E036A" w:rsidRPr="003E036A" w:rsidRDefault="003E036A" w:rsidP="003E036A">
            <w:pPr>
              <w:rPr>
                <w:sz w:val="14"/>
                <w:szCs w:val="14"/>
              </w:rPr>
            </w:pPr>
            <w:r w:rsidRPr="003E036A">
              <w:rPr>
                <w:noProof/>
                <w:color w:val="000000"/>
                <w:sz w:val="14"/>
                <w:szCs w:val="14"/>
              </w:rPr>
              <w:t>REDACTED</w:t>
            </w:r>
          </w:p>
        </w:tc>
        <w:tc>
          <w:tcPr>
            <w:tcW w:w="992" w:type="dxa"/>
            <w:tcBorders>
              <w:top w:val="nil"/>
              <w:left w:val="nil"/>
              <w:bottom w:val="single" w:sz="4" w:space="0" w:color="auto"/>
              <w:right w:val="single" w:sz="4" w:space="0" w:color="auto"/>
            </w:tcBorders>
            <w:shd w:val="clear" w:color="000000" w:fill="FFFFFF"/>
            <w:noWrap/>
          </w:tcPr>
          <w:p w:rsidR="003E036A" w:rsidRPr="003E036A" w:rsidRDefault="003E036A" w:rsidP="003E036A">
            <w:pPr>
              <w:rPr>
                <w:sz w:val="14"/>
                <w:szCs w:val="14"/>
              </w:rPr>
            </w:pPr>
            <w:r w:rsidRPr="003E036A">
              <w:rPr>
                <w:noProof/>
                <w:color w:val="000000"/>
                <w:sz w:val="14"/>
                <w:szCs w:val="14"/>
              </w:rPr>
              <w:t>REDACTED</w:t>
            </w:r>
          </w:p>
        </w:tc>
        <w:tc>
          <w:tcPr>
            <w:tcW w:w="2642" w:type="dxa"/>
            <w:tcBorders>
              <w:top w:val="nil"/>
              <w:left w:val="nil"/>
              <w:bottom w:val="single" w:sz="4" w:space="0" w:color="auto"/>
              <w:right w:val="single" w:sz="4" w:space="0" w:color="auto"/>
            </w:tcBorders>
            <w:shd w:val="clear" w:color="000000" w:fill="FFFFFF"/>
          </w:tcPr>
          <w:p w:rsidR="003E036A" w:rsidRDefault="003E036A" w:rsidP="003E036A">
            <w:r w:rsidRPr="00976433">
              <w:rPr>
                <w:noProof/>
                <w:color w:val="000000"/>
              </w:rPr>
              <w:t>REDACTED</w:t>
            </w:r>
          </w:p>
        </w:tc>
      </w:tr>
      <w:tr w:rsidR="00053F32" w:rsidRPr="00E3331A" w:rsidTr="0007007F">
        <w:trPr>
          <w:trHeight w:val="255"/>
        </w:trPr>
        <w:tc>
          <w:tcPr>
            <w:tcW w:w="1555" w:type="dxa"/>
            <w:tcBorders>
              <w:top w:val="nil"/>
              <w:left w:val="single" w:sz="4" w:space="0" w:color="auto"/>
              <w:bottom w:val="single" w:sz="4" w:space="0" w:color="auto"/>
              <w:right w:val="single" w:sz="4" w:space="0" w:color="auto"/>
            </w:tcBorders>
            <w:shd w:val="clear" w:color="auto" w:fill="D9D9D9"/>
            <w:vAlign w:val="center"/>
            <w:hideMark/>
          </w:tcPr>
          <w:p w:rsidR="00053F32" w:rsidRPr="00E3331A" w:rsidRDefault="00053F32" w:rsidP="00053F32">
            <w:pP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Subtotal </w:t>
            </w:r>
          </w:p>
          <w:p w:rsidR="00053F32" w:rsidRPr="00E3331A" w:rsidRDefault="00053F32" w:rsidP="00053F32">
            <w:pPr>
              <w:rPr>
                <w:rFonts w:ascii="Arial Narrow" w:hAnsi="Arial Narrow" w:cs="Calibri"/>
                <w:b/>
                <w:bCs/>
                <w:color w:val="000000"/>
                <w:sz w:val="20"/>
                <w:szCs w:val="20"/>
              </w:rPr>
            </w:pPr>
            <w:r w:rsidRPr="00E3331A">
              <w:rPr>
                <w:rFonts w:ascii="Arial Narrow" w:hAnsi="Arial Narrow" w:cs="Calibri"/>
                <w:b/>
                <w:bCs/>
                <w:color w:val="000000"/>
                <w:sz w:val="20"/>
                <w:szCs w:val="20"/>
              </w:rPr>
              <w:t>(8 months)</w:t>
            </w:r>
          </w:p>
        </w:tc>
        <w:tc>
          <w:tcPr>
            <w:tcW w:w="909" w:type="dxa"/>
            <w:tcBorders>
              <w:top w:val="nil"/>
              <w:left w:val="nil"/>
              <w:bottom w:val="single" w:sz="4" w:space="0" w:color="auto"/>
              <w:right w:val="single" w:sz="4" w:space="0" w:color="auto"/>
            </w:tcBorders>
            <w:shd w:val="clear" w:color="auto" w:fill="D9D9D9"/>
            <w:noWrap/>
            <w:vAlign w:val="center"/>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09" w:type="dxa"/>
            <w:tcBorders>
              <w:top w:val="nil"/>
              <w:left w:val="nil"/>
              <w:bottom w:val="single" w:sz="4" w:space="0" w:color="auto"/>
              <w:right w:val="single" w:sz="4" w:space="0" w:color="auto"/>
            </w:tcBorders>
            <w:shd w:val="clear" w:color="auto" w:fill="D9D9D9"/>
            <w:noWrap/>
            <w:vAlign w:val="center"/>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18" w:type="dxa"/>
            <w:tcBorders>
              <w:top w:val="nil"/>
              <w:left w:val="nil"/>
              <w:bottom w:val="single" w:sz="4" w:space="0" w:color="auto"/>
              <w:right w:val="single" w:sz="4" w:space="0" w:color="auto"/>
            </w:tcBorders>
            <w:shd w:val="clear" w:color="auto" w:fill="D9D9D9"/>
            <w:noWrap/>
            <w:vAlign w:val="center"/>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091" w:type="dxa"/>
            <w:tcBorders>
              <w:top w:val="nil"/>
              <w:left w:val="nil"/>
              <w:bottom w:val="single" w:sz="4" w:space="0" w:color="auto"/>
              <w:right w:val="single" w:sz="4" w:space="0" w:color="auto"/>
            </w:tcBorders>
            <w:shd w:val="clear" w:color="auto" w:fill="D9D9D9"/>
            <w:noWrap/>
            <w:vAlign w:val="center"/>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92" w:type="dxa"/>
            <w:tcBorders>
              <w:top w:val="nil"/>
              <w:left w:val="nil"/>
              <w:bottom w:val="single" w:sz="4" w:space="0" w:color="auto"/>
              <w:right w:val="single" w:sz="4" w:space="0" w:color="auto"/>
            </w:tcBorders>
            <w:shd w:val="clear" w:color="auto" w:fill="D9D9D9"/>
            <w:noWrap/>
            <w:vAlign w:val="center"/>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$25,167.1</w:t>
            </w:r>
          </w:p>
        </w:tc>
        <w:tc>
          <w:tcPr>
            <w:tcW w:w="2642" w:type="dxa"/>
            <w:tcBorders>
              <w:top w:val="nil"/>
              <w:left w:val="nil"/>
              <w:bottom w:val="single" w:sz="4" w:space="0" w:color="auto"/>
              <w:right w:val="single" w:sz="4" w:space="0" w:color="auto"/>
            </w:tcBorders>
            <w:shd w:val="clear" w:color="auto" w:fill="D9D9D9"/>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 </w:t>
            </w:r>
          </w:p>
        </w:tc>
      </w:tr>
      <w:tr w:rsidR="00053F32" w:rsidRPr="00E3331A" w:rsidTr="0007007F">
        <w:trPr>
          <w:trHeight w:val="255"/>
        </w:trPr>
        <w:tc>
          <w:tcPr>
            <w:tcW w:w="1555" w:type="dxa"/>
            <w:tcBorders>
              <w:top w:val="nil"/>
              <w:left w:val="single" w:sz="4" w:space="0" w:color="auto"/>
              <w:bottom w:val="single" w:sz="4" w:space="0" w:color="auto"/>
              <w:right w:val="single" w:sz="4" w:space="0" w:color="auto"/>
            </w:tcBorders>
            <w:shd w:val="clear" w:color="auto" w:fill="D9D9D9"/>
            <w:vAlign w:val="center"/>
            <w:hideMark/>
          </w:tcPr>
          <w:p w:rsidR="00053F32" w:rsidRPr="00E3331A" w:rsidRDefault="00053F32" w:rsidP="00053F32">
            <w:pPr>
              <w:rPr>
                <w:rFonts w:ascii="Arial Narrow" w:hAnsi="Arial Narrow" w:cs="Calibri"/>
                <w:b/>
                <w:bCs/>
                <w:color w:val="000000"/>
                <w:sz w:val="20"/>
                <w:szCs w:val="20"/>
              </w:rPr>
            </w:pPr>
            <w:r w:rsidRPr="00E3331A">
              <w:rPr>
                <w:rFonts w:ascii="Arial Narrow" w:hAnsi="Arial Narrow" w:cs="Calibri"/>
                <w:b/>
                <w:bCs/>
                <w:color w:val="000000"/>
                <w:sz w:val="20"/>
                <w:szCs w:val="20"/>
              </w:rPr>
              <w:t>Subtotal (weekly equivalent)</w:t>
            </w:r>
          </w:p>
        </w:tc>
        <w:tc>
          <w:tcPr>
            <w:tcW w:w="909" w:type="dxa"/>
            <w:tcBorders>
              <w:top w:val="nil"/>
              <w:left w:val="nil"/>
              <w:bottom w:val="single" w:sz="4" w:space="0" w:color="auto"/>
              <w:right w:val="single" w:sz="4" w:space="0" w:color="auto"/>
            </w:tcBorders>
            <w:shd w:val="clear" w:color="auto" w:fill="D9D9D9"/>
            <w:noWrap/>
            <w:vAlign w:val="bottom"/>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09" w:type="dxa"/>
            <w:tcBorders>
              <w:top w:val="nil"/>
              <w:left w:val="nil"/>
              <w:bottom w:val="single" w:sz="4" w:space="0" w:color="auto"/>
              <w:right w:val="single" w:sz="4" w:space="0" w:color="auto"/>
            </w:tcBorders>
            <w:shd w:val="clear" w:color="auto" w:fill="D9D9D9"/>
            <w:noWrap/>
            <w:vAlign w:val="center"/>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18" w:type="dxa"/>
            <w:tcBorders>
              <w:top w:val="nil"/>
              <w:left w:val="nil"/>
              <w:bottom w:val="single" w:sz="4" w:space="0" w:color="auto"/>
              <w:right w:val="single" w:sz="4" w:space="0" w:color="auto"/>
            </w:tcBorders>
            <w:shd w:val="clear" w:color="auto" w:fill="D9D9D9"/>
            <w:noWrap/>
            <w:vAlign w:val="center"/>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091" w:type="dxa"/>
            <w:tcBorders>
              <w:top w:val="nil"/>
              <w:left w:val="nil"/>
              <w:bottom w:val="single" w:sz="4" w:space="0" w:color="auto"/>
              <w:right w:val="single" w:sz="4" w:space="0" w:color="auto"/>
            </w:tcBorders>
            <w:shd w:val="clear" w:color="auto" w:fill="D9D9D9"/>
            <w:noWrap/>
            <w:vAlign w:val="center"/>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92" w:type="dxa"/>
            <w:tcBorders>
              <w:top w:val="nil"/>
              <w:left w:val="nil"/>
              <w:bottom w:val="single" w:sz="4" w:space="0" w:color="auto"/>
              <w:right w:val="single" w:sz="4" w:space="0" w:color="auto"/>
            </w:tcBorders>
            <w:shd w:val="clear" w:color="auto" w:fill="D9D9D9"/>
            <w:noWrap/>
            <w:vAlign w:val="center"/>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$719.1</w:t>
            </w:r>
          </w:p>
        </w:tc>
        <w:tc>
          <w:tcPr>
            <w:tcW w:w="2642" w:type="dxa"/>
            <w:tcBorders>
              <w:top w:val="nil"/>
              <w:left w:val="nil"/>
              <w:bottom w:val="single" w:sz="4" w:space="0" w:color="auto"/>
              <w:right w:val="single" w:sz="4" w:space="0" w:color="auto"/>
            </w:tcBorders>
            <w:shd w:val="clear" w:color="auto" w:fill="D9D9D9"/>
            <w:vAlign w:val="bottom"/>
            <w:hideMark/>
          </w:tcPr>
          <w:p w:rsidR="00053F32" w:rsidRPr="00E3331A" w:rsidRDefault="00053F32" w:rsidP="00053F32">
            <w:pPr>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r w:rsidR="00053F32" w:rsidRPr="00E3331A" w:rsidTr="0007007F">
        <w:trPr>
          <w:trHeight w:val="255"/>
        </w:trPr>
        <w:tc>
          <w:tcPr>
            <w:tcW w:w="1555" w:type="dxa"/>
            <w:tcBorders>
              <w:top w:val="nil"/>
              <w:left w:val="single" w:sz="4" w:space="0" w:color="auto"/>
              <w:bottom w:val="single" w:sz="4" w:space="0" w:color="auto"/>
              <w:right w:val="single" w:sz="4" w:space="0" w:color="auto"/>
            </w:tcBorders>
            <w:shd w:val="clear" w:color="auto" w:fill="D9D9D9"/>
            <w:vAlign w:val="center"/>
            <w:hideMark/>
          </w:tcPr>
          <w:p w:rsidR="00053F32" w:rsidRPr="00E3331A" w:rsidRDefault="00053F32" w:rsidP="00053F32">
            <w:pPr>
              <w:rPr>
                <w:rFonts w:ascii="Arial Narrow" w:hAnsi="Arial Narrow" w:cs="Calibri"/>
                <w:b/>
                <w:bCs/>
                <w:color w:val="000000"/>
                <w:sz w:val="20"/>
                <w:szCs w:val="20"/>
              </w:rPr>
            </w:pPr>
            <w:r w:rsidRPr="00E3331A">
              <w:rPr>
                <w:rFonts w:ascii="Arial Narrow" w:hAnsi="Arial Narrow" w:cs="Calibri"/>
                <w:b/>
                <w:bCs/>
                <w:color w:val="000000"/>
                <w:sz w:val="20"/>
                <w:szCs w:val="20"/>
              </w:rPr>
              <w:t>Total IVIG per year</w:t>
            </w:r>
          </w:p>
        </w:tc>
        <w:tc>
          <w:tcPr>
            <w:tcW w:w="909" w:type="dxa"/>
            <w:tcBorders>
              <w:top w:val="nil"/>
              <w:left w:val="nil"/>
              <w:bottom w:val="single" w:sz="4" w:space="0" w:color="auto"/>
              <w:right w:val="single" w:sz="4" w:space="0" w:color="auto"/>
            </w:tcBorders>
            <w:shd w:val="clear" w:color="auto" w:fill="D9D9D9"/>
            <w:noWrap/>
            <w:vAlign w:val="bottom"/>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09" w:type="dxa"/>
            <w:tcBorders>
              <w:top w:val="nil"/>
              <w:left w:val="nil"/>
              <w:bottom w:val="single" w:sz="4" w:space="0" w:color="auto"/>
              <w:right w:val="single" w:sz="4" w:space="0" w:color="auto"/>
            </w:tcBorders>
            <w:shd w:val="clear" w:color="auto" w:fill="D9D9D9"/>
            <w:noWrap/>
            <w:vAlign w:val="center"/>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18" w:type="dxa"/>
            <w:tcBorders>
              <w:top w:val="nil"/>
              <w:left w:val="nil"/>
              <w:bottom w:val="single" w:sz="4" w:space="0" w:color="auto"/>
              <w:right w:val="single" w:sz="4" w:space="0" w:color="auto"/>
            </w:tcBorders>
            <w:shd w:val="clear" w:color="auto" w:fill="D9D9D9"/>
            <w:noWrap/>
            <w:vAlign w:val="center"/>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091" w:type="dxa"/>
            <w:tcBorders>
              <w:top w:val="nil"/>
              <w:left w:val="nil"/>
              <w:bottom w:val="single" w:sz="4" w:space="0" w:color="auto"/>
              <w:right w:val="single" w:sz="4" w:space="0" w:color="auto"/>
            </w:tcBorders>
            <w:shd w:val="clear" w:color="auto" w:fill="D9D9D9"/>
            <w:noWrap/>
            <w:vAlign w:val="center"/>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92" w:type="dxa"/>
            <w:tcBorders>
              <w:top w:val="nil"/>
              <w:left w:val="nil"/>
              <w:bottom w:val="single" w:sz="4" w:space="0" w:color="auto"/>
              <w:right w:val="single" w:sz="4" w:space="0" w:color="auto"/>
            </w:tcBorders>
            <w:shd w:val="clear" w:color="auto" w:fill="D9D9D9"/>
            <w:noWrap/>
            <w:vAlign w:val="center"/>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$37,223.9</w:t>
            </w:r>
          </w:p>
        </w:tc>
        <w:tc>
          <w:tcPr>
            <w:tcW w:w="2642" w:type="dxa"/>
            <w:tcBorders>
              <w:top w:val="nil"/>
              <w:left w:val="nil"/>
              <w:bottom w:val="single" w:sz="4" w:space="0" w:color="auto"/>
              <w:right w:val="single" w:sz="4" w:space="0" w:color="auto"/>
            </w:tcBorders>
            <w:shd w:val="clear" w:color="auto" w:fill="D9D9D9"/>
            <w:vAlign w:val="bottom"/>
            <w:hideMark/>
          </w:tcPr>
          <w:p w:rsidR="00053F32" w:rsidRPr="00E3331A" w:rsidRDefault="00053F32" w:rsidP="00053F32">
            <w:pPr>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bl>
    <w:p w:rsidR="001F5B33" w:rsidRPr="00E3331A" w:rsidRDefault="001F5B33" w:rsidP="00BB6E4C">
      <w:pPr>
        <w:pStyle w:val="BodyTextSTD"/>
      </w:pPr>
    </w:p>
    <w:p w:rsidR="001F5B33" w:rsidRPr="00E3331A" w:rsidRDefault="001F5B33" w:rsidP="00B30C0B">
      <w:pPr>
        <w:pStyle w:val="Heading5"/>
      </w:pPr>
      <w:r w:rsidRPr="00E3331A">
        <w:t>Cost of Corticosteroids product and delivery services</w:t>
      </w:r>
    </w:p>
    <w:p w:rsidR="001F5B33" w:rsidRPr="00E3331A" w:rsidRDefault="001F5B33" w:rsidP="00BB6E4C">
      <w:pPr>
        <w:pStyle w:val="BodyTextSTD"/>
      </w:pPr>
      <w:r w:rsidRPr="00E3331A">
        <w:t xml:space="preserve">The </w:t>
      </w:r>
      <w:r w:rsidR="00D26108" w:rsidRPr="00E3331A">
        <w:t xml:space="preserve">estimated </w:t>
      </w:r>
      <w:r w:rsidRPr="00E3331A">
        <w:t xml:space="preserve">cost of prednisone </w:t>
      </w:r>
      <w:r w:rsidR="00D26108" w:rsidRPr="00E3331A">
        <w:t xml:space="preserve">is shown </w:t>
      </w:r>
      <w:r w:rsidRPr="00E3331A">
        <w:t xml:space="preserve">in </w:t>
      </w:r>
      <w:r w:rsidR="006F35B9" w:rsidRPr="00E3331A">
        <w:t xml:space="preserve">Table </w:t>
      </w:r>
      <w:r w:rsidR="006F35B9">
        <w:rPr>
          <w:noProof/>
        </w:rPr>
        <w:t>72</w:t>
      </w:r>
      <w:r w:rsidRPr="00E3331A">
        <w:t>. Medicine costs are taken from the PB</w:t>
      </w:r>
      <w:r w:rsidR="00053F32" w:rsidRPr="00E3331A">
        <w:t>S</w:t>
      </w:r>
      <w:r w:rsidRPr="00E3331A">
        <w:t xml:space="preserve"> website. Based on loading dose assumptions, the total cost per year is $</w:t>
      </w:r>
      <w:r w:rsidR="00053F32" w:rsidRPr="00E3331A">
        <w:t>3,220.4</w:t>
      </w:r>
      <w:r w:rsidRPr="00E3331A">
        <w:t xml:space="preserve">. This includes a </w:t>
      </w:r>
      <w:r w:rsidR="00E810A5" w:rsidRPr="00E3331A">
        <w:t>medicine</w:t>
      </w:r>
      <w:r w:rsidRPr="00E3331A">
        <w:t xml:space="preserve"> cost of $</w:t>
      </w:r>
      <w:r w:rsidR="00053F32" w:rsidRPr="00E3331A">
        <w:t>1,</w:t>
      </w:r>
      <w:r w:rsidRPr="00E3331A">
        <w:t>45</w:t>
      </w:r>
      <w:r w:rsidR="0023506B" w:rsidRPr="00E3331A">
        <w:t>2</w:t>
      </w:r>
      <w:r w:rsidRPr="00E3331A">
        <w:t xml:space="preserve"> per year. The cost of medicines in Blackhouse </w:t>
      </w:r>
      <w:r w:rsidR="00983BA7">
        <w:t xml:space="preserve">et al. </w:t>
      </w:r>
      <w:r w:rsidRPr="00E3331A">
        <w:t xml:space="preserve">(2010) was $51.19, </w:t>
      </w:r>
      <w:r w:rsidR="00D26108" w:rsidRPr="00E3331A">
        <w:t>$</w:t>
      </w:r>
      <w:r w:rsidRPr="00E3331A">
        <w:t xml:space="preserve">43.57, and </w:t>
      </w:r>
      <w:r w:rsidR="00D26108" w:rsidRPr="00E3331A">
        <w:t>$</w:t>
      </w:r>
      <w:r w:rsidRPr="00E3331A">
        <w:t>39.87 for the first, second and all following 12</w:t>
      </w:r>
      <w:r w:rsidR="00D26108" w:rsidRPr="00E3331A">
        <w:t>-</w:t>
      </w:r>
      <w:r w:rsidRPr="00E3331A">
        <w:t xml:space="preserve">week cycles. This amounts to around $200 per year. The medicines cost in </w:t>
      </w:r>
      <w:r w:rsidR="006F35B9" w:rsidRPr="00E3331A">
        <w:t xml:space="preserve">Table </w:t>
      </w:r>
      <w:r w:rsidR="006F35B9">
        <w:rPr>
          <w:noProof/>
        </w:rPr>
        <w:t>72</w:t>
      </w:r>
      <w:r w:rsidRPr="00E3331A">
        <w:t xml:space="preserve"> include proton pump inhibitor therapy, </w:t>
      </w:r>
      <w:r w:rsidR="00053F32" w:rsidRPr="00E3331A">
        <w:t>vaccination and prophylaxis with trimethoprim and sulfamethoxazole</w:t>
      </w:r>
      <w:r w:rsidR="00067F8C" w:rsidRPr="00E3331A">
        <w:t xml:space="preserve"> </w:t>
      </w:r>
      <w:r w:rsidRPr="00E3331A">
        <w:t xml:space="preserve">which </w:t>
      </w:r>
      <w:r w:rsidR="00053F32" w:rsidRPr="00E3331A">
        <w:t>increases</w:t>
      </w:r>
      <w:r w:rsidRPr="00E3331A">
        <w:t xml:space="preserve"> the cost for the steroid intervention.</w:t>
      </w:r>
    </w:p>
    <w:p w:rsidR="001F5B33" w:rsidRPr="00E3331A" w:rsidRDefault="001F5B33" w:rsidP="00BB6E4C">
      <w:pPr>
        <w:pStyle w:val="BodyTextSTD"/>
      </w:pPr>
      <w:r w:rsidRPr="00E3331A">
        <w:t xml:space="preserve">Clinical feedback during the evaluation indicated </w:t>
      </w:r>
      <w:r w:rsidR="00D26108" w:rsidRPr="00E3331A">
        <w:t xml:space="preserve">that </w:t>
      </w:r>
      <w:r w:rsidRPr="00E3331A">
        <w:t>a patient on steroids is likely to require close</w:t>
      </w:r>
      <w:r w:rsidR="00D26108" w:rsidRPr="00E3331A">
        <w:t>r</w:t>
      </w:r>
      <w:r w:rsidRPr="00E3331A">
        <w:t xml:space="preserve"> monitoring than </w:t>
      </w:r>
      <w:r w:rsidR="00D26108" w:rsidRPr="00E3331A">
        <w:t xml:space="preserve">does </w:t>
      </w:r>
      <w:r w:rsidRPr="00E3331A">
        <w:t>a patient on Ig</w:t>
      </w:r>
      <w:r w:rsidR="00D26108" w:rsidRPr="00E3331A">
        <w:t>,</w:t>
      </w:r>
      <w:r w:rsidRPr="00E3331A">
        <w:t xml:space="preserve"> due to the risk of steroid side effects, monitoring required for steroid-sparing agents </w:t>
      </w:r>
      <w:r w:rsidR="00D26108" w:rsidRPr="00E3331A">
        <w:t xml:space="preserve">that </w:t>
      </w:r>
      <w:r w:rsidRPr="00E3331A">
        <w:t xml:space="preserve">are commonly used in this setting, and management of complications (e.g. diabetes). </w:t>
      </w:r>
      <w:r w:rsidR="00D26108" w:rsidRPr="00E3331A">
        <w:t>P</w:t>
      </w:r>
      <w:r w:rsidRPr="00E3331A">
        <w:t>atient</w:t>
      </w:r>
      <w:r w:rsidR="00D26108" w:rsidRPr="00E3331A">
        <w:t>s</w:t>
      </w:r>
      <w:r w:rsidRPr="00E3331A">
        <w:t xml:space="preserve"> </w:t>
      </w:r>
      <w:r w:rsidR="00D26108" w:rsidRPr="00E3331A">
        <w:t xml:space="preserve">on long-term steroids treatment </w:t>
      </w:r>
      <w:r w:rsidRPr="00E3331A">
        <w:t>would need regular (at least 6</w:t>
      </w:r>
      <w:r w:rsidR="00D26108" w:rsidRPr="00E3331A">
        <w:t>-</w:t>
      </w:r>
      <w:r w:rsidRPr="00E3331A">
        <w:t xml:space="preserve">monthly) reviews for </w:t>
      </w:r>
      <w:r w:rsidR="00D26108" w:rsidRPr="00E3331A">
        <w:t>blood pressure</w:t>
      </w:r>
      <w:r w:rsidRPr="00E3331A">
        <w:t>, blood sugar, weight, skin integrity, infectious complications</w:t>
      </w:r>
      <w:r w:rsidR="00D26108" w:rsidRPr="00E3331A">
        <w:t xml:space="preserve"> and</w:t>
      </w:r>
      <w:r w:rsidRPr="00E3331A">
        <w:t xml:space="preserve"> dental </w:t>
      </w:r>
      <w:r w:rsidRPr="00E3331A">
        <w:lastRenderedPageBreak/>
        <w:t xml:space="preserve">review, etc. </w:t>
      </w:r>
      <w:r w:rsidR="00D26108" w:rsidRPr="00E3331A">
        <w:t xml:space="preserve">Patients </w:t>
      </w:r>
      <w:r w:rsidRPr="00E3331A">
        <w:t>on steroid</w:t>
      </w:r>
      <w:r w:rsidR="00D45BCF" w:rsidRPr="00E3331A">
        <w:t>-</w:t>
      </w:r>
      <w:r w:rsidRPr="00E3331A">
        <w:t xml:space="preserve">sparing agents also </w:t>
      </w:r>
      <w:r w:rsidR="00D26108" w:rsidRPr="00E3331A">
        <w:t xml:space="preserve">require </w:t>
      </w:r>
      <w:r w:rsidRPr="00E3331A">
        <w:t xml:space="preserve">regular blood tests </w:t>
      </w:r>
      <w:r w:rsidR="00D26108" w:rsidRPr="00E3331A">
        <w:t xml:space="preserve">that </w:t>
      </w:r>
      <w:r w:rsidRPr="00E3331A">
        <w:t>need to be monitored.</w:t>
      </w:r>
      <w:r w:rsidRPr="00E3331A">
        <w:rPr>
          <w:rStyle w:val="FootnoteReference"/>
        </w:rPr>
        <w:footnoteReference w:id="30"/>
      </w:r>
      <w:r w:rsidRPr="00E3331A">
        <w:t xml:space="preserve"> </w:t>
      </w:r>
    </w:p>
    <w:p w:rsidR="001F5B33" w:rsidRPr="00E3331A" w:rsidRDefault="001F5B33" w:rsidP="00BB6E4C">
      <w:pPr>
        <w:pStyle w:val="BodyTextSTD"/>
      </w:pPr>
      <w:r w:rsidRPr="00E3331A">
        <w:t>Additional costs for patients on long-term steroids include proton pump inhibitor therapy (e.g. pantoprazole 40mg daily) for prevention of gastric ulcers, DEXA scan for bone density at initiation and after one year</w:t>
      </w:r>
      <w:r w:rsidR="00D26108" w:rsidRPr="00E3331A">
        <w:t>.</w:t>
      </w:r>
      <w:r w:rsidRPr="00E3331A">
        <w:t xml:space="preserve"> </w:t>
      </w:r>
      <w:r w:rsidR="00D26108" w:rsidRPr="00E3331A">
        <w:t>O</w:t>
      </w:r>
      <w:r w:rsidRPr="00E3331A">
        <w:t>ngoing monitoring depend</w:t>
      </w:r>
      <w:r w:rsidR="00D26108" w:rsidRPr="00E3331A">
        <w:t>s</w:t>
      </w:r>
      <w:r w:rsidRPr="00E3331A">
        <w:t xml:space="preserve"> on stability and ongoing steroid use, and possibl</w:t>
      </w:r>
      <w:r w:rsidR="00D26108" w:rsidRPr="00E3331A">
        <w:t>e</w:t>
      </w:r>
      <w:r w:rsidRPr="00E3331A">
        <w:t xml:space="preserve"> additional immunisations including annual influenza vaccination and </w:t>
      </w:r>
      <w:r w:rsidR="00D26108" w:rsidRPr="00E3331A">
        <w:t>5-</w:t>
      </w:r>
      <w:r w:rsidRPr="00E3331A">
        <w:t xml:space="preserve">yearly pneumococcal vaccination. Costs for many of these items are included in </w:t>
      </w:r>
      <w:r w:rsidR="006F35B9" w:rsidRPr="00E3331A">
        <w:t xml:space="preserve">Table </w:t>
      </w:r>
      <w:r w:rsidR="006F35B9">
        <w:rPr>
          <w:noProof/>
        </w:rPr>
        <w:t>72</w:t>
      </w:r>
      <w:r w:rsidRPr="00E3331A">
        <w:t>.</w:t>
      </w:r>
    </w:p>
    <w:p w:rsidR="001F5B33" w:rsidRPr="00E3331A" w:rsidRDefault="001F5B33" w:rsidP="001F5B33">
      <w:pPr>
        <w:pStyle w:val="Caption"/>
      </w:pPr>
      <w:bookmarkStart w:id="450" w:name="_Ref8234421"/>
      <w:bookmarkStart w:id="451" w:name="_Toc24103378"/>
      <w:r w:rsidRPr="00E3331A">
        <w:t xml:space="preserve">Table </w:t>
      </w:r>
      <w:r w:rsidR="006F35B9">
        <w:rPr>
          <w:noProof/>
        </w:rPr>
        <w:t>72</w:t>
      </w:r>
      <w:bookmarkEnd w:id="450"/>
      <w:r w:rsidR="00D26108" w:rsidRPr="00E3331A">
        <w:tab/>
      </w:r>
      <w:r w:rsidRPr="00E3331A">
        <w:t xml:space="preserve">Resources associated with </w:t>
      </w:r>
      <w:r w:rsidR="00D26108" w:rsidRPr="00E3331A">
        <w:t>c</w:t>
      </w:r>
      <w:r w:rsidRPr="00E3331A">
        <w:t>orticosteroids</w:t>
      </w:r>
      <w:bookmarkEnd w:id="451"/>
    </w:p>
    <w:tbl>
      <w:tblPr>
        <w:tblW w:w="0" w:type="auto"/>
        <w:tblLayout w:type="fixed"/>
        <w:tblLook w:val="04A0" w:firstRow="1" w:lastRow="0" w:firstColumn="1" w:lastColumn="0" w:noHBand="0" w:noVBand="1"/>
      </w:tblPr>
      <w:tblGrid>
        <w:gridCol w:w="1617"/>
        <w:gridCol w:w="922"/>
        <w:gridCol w:w="909"/>
        <w:gridCol w:w="918"/>
        <w:gridCol w:w="1055"/>
        <w:gridCol w:w="855"/>
        <w:gridCol w:w="2740"/>
      </w:tblGrid>
      <w:tr w:rsidR="00053F32" w:rsidRPr="00E3331A" w:rsidTr="0007007F">
        <w:trPr>
          <w:trHeight w:val="765"/>
          <w:tblHeader/>
        </w:trPr>
        <w:tc>
          <w:tcPr>
            <w:tcW w:w="16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53F32" w:rsidRPr="00E3331A" w:rsidRDefault="00053F32" w:rsidP="00067F8C">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MBS Item</w:t>
            </w:r>
          </w:p>
        </w:tc>
        <w:tc>
          <w:tcPr>
            <w:tcW w:w="922" w:type="dxa"/>
            <w:tcBorders>
              <w:top w:val="single" w:sz="4" w:space="0" w:color="auto"/>
              <w:left w:val="nil"/>
              <w:bottom w:val="single" w:sz="4" w:space="0" w:color="auto"/>
              <w:right w:val="single" w:sz="4" w:space="0" w:color="auto"/>
            </w:tcBorders>
            <w:shd w:val="clear" w:color="auto" w:fill="D9D9D9"/>
            <w:vAlign w:val="center"/>
            <w:hideMark/>
          </w:tcPr>
          <w:p w:rsidR="00053F32" w:rsidRPr="00E3331A" w:rsidRDefault="00053F32" w:rsidP="00067F8C">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 xml:space="preserve">Provider </w:t>
            </w:r>
          </w:p>
        </w:tc>
        <w:tc>
          <w:tcPr>
            <w:tcW w:w="909" w:type="dxa"/>
            <w:tcBorders>
              <w:top w:val="single" w:sz="4" w:space="0" w:color="auto"/>
              <w:left w:val="nil"/>
              <w:bottom w:val="single" w:sz="4" w:space="0" w:color="auto"/>
              <w:right w:val="single" w:sz="4" w:space="0" w:color="auto"/>
            </w:tcBorders>
            <w:shd w:val="clear" w:color="auto" w:fill="D9D9D9"/>
            <w:vAlign w:val="center"/>
            <w:hideMark/>
          </w:tcPr>
          <w:p w:rsidR="00053F32" w:rsidRPr="00E3331A" w:rsidRDefault="00053F32">
            <w:pPr>
              <w:keepNext/>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Price per unit</w:t>
            </w:r>
          </w:p>
          <w:p w:rsidR="00053F32" w:rsidRPr="00E3331A" w:rsidRDefault="00053F32" w:rsidP="00067F8C">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(AU$)</w:t>
            </w:r>
          </w:p>
        </w:tc>
        <w:tc>
          <w:tcPr>
            <w:tcW w:w="918" w:type="dxa"/>
            <w:tcBorders>
              <w:top w:val="single" w:sz="4" w:space="0" w:color="auto"/>
              <w:left w:val="nil"/>
              <w:bottom w:val="single" w:sz="4" w:space="0" w:color="auto"/>
              <w:right w:val="single" w:sz="4" w:space="0" w:color="auto"/>
            </w:tcBorders>
            <w:shd w:val="clear" w:color="auto" w:fill="D9D9D9"/>
            <w:vAlign w:val="center"/>
            <w:hideMark/>
          </w:tcPr>
          <w:p w:rsidR="00053F32" w:rsidRPr="00E3331A" w:rsidRDefault="00053F32" w:rsidP="00067F8C">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 xml:space="preserve">Number </w:t>
            </w:r>
          </w:p>
        </w:tc>
        <w:tc>
          <w:tcPr>
            <w:tcW w:w="1055" w:type="dxa"/>
            <w:tcBorders>
              <w:top w:val="single" w:sz="4" w:space="0" w:color="auto"/>
              <w:left w:val="nil"/>
              <w:bottom w:val="single" w:sz="4" w:space="0" w:color="auto"/>
              <w:right w:val="single" w:sz="4" w:space="0" w:color="auto"/>
            </w:tcBorders>
            <w:shd w:val="clear" w:color="auto" w:fill="D9D9D9"/>
            <w:vAlign w:val="center"/>
            <w:hideMark/>
          </w:tcPr>
          <w:p w:rsidR="00053F32" w:rsidRPr="00E3331A" w:rsidRDefault="00053F32" w:rsidP="00067F8C">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 xml:space="preserve">Proportion availing </w:t>
            </w:r>
          </w:p>
        </w:tc>
        <w:tc>
          <w:tcPr>
            <w:tcW w:w="855" w:type="dxa"/>
            <w:tcBorders>
              <w:top w:val="single" w:sz="4" w:space="0" w:color="auto"/>
              <w:left w:val="nil"/>
              <w:bottom w:val="single" w:sz="4" w:space="0" w:color="auto"/>
              <w:right w:val="single" w:sz="4" w:space="0" w:color="auto"/>
            </w:tcBorders>
            <w:shd w:val="clear" w:color="auto" w:fill="D9D9D9"/>
            <w:vAlign w:val="center"/>
            <w:hideMark/>
          </w:tcPr>
          <w:p w:rsidR="00053F32" w:rsidRPr="00E3331A" w:rsidRDefault="00053F32" w:rsidP="00067F8C">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Total cost</w:t>
            </w:r>
          </w:p>
          <w:p w:rsidR="00053F32" w:rsidRPr="00E3331A" w:rsidRDefault="00053F32" w:rsidP="00067F8C">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(AU$)</w:t>
            </w:r>
          </w:p>
        </w:tc>
        <w:tc>
          <w:tcPr>
            <w:tcW w:w="2740" w:type="dxa"/>
            <w:tcBorders>
              <w:top w:val="single" w:sz="4" w:space="0" w:color="auto"/>
              <w:left w:val="nil"/>
              <w:bottom w:val="single" w:sz="4" w:space="0" w:color="auto"/>
              <w:right w:val="single" w:sz="4" w:space="0" w:color="auto"/>
            </w:tcBorders>
            <w:shd w:val="clear" w:color="auto" w:fill="D9D9D9"/>
            <w:vAlign w:val="center"/>
            <w:hideMark/>
          </w:tcPr>
          <w:p w:rsidR="00053F32" w:rsidRPr="00E3331A" w:rsidRDefault="00053F32" w:rsidP="00067F8C">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Source</w:t>
            </w:r>
          </w:p>
        </w:tc>
      </w:tr>
      <w:tr w:rsidR="00053F32" w:rsidRPr="00E3331A" w:rsidTr="0007007F">
        <w:trPr>
          <w:trHeight w:val="255"/>
          <w:tblHeader/>
        </w:trPr>
        <w:tc>
          <w:tcPr>
            <w:tcW w:w="9016" w:type="dxa"/>
            <w:gridSpan w:val="7"/>
            <w:tcBorders>
              <w:top w:val="nil"/>
              <w:left w:val="single" w:sz="4" w:space="0" w:color="auto"/>
              <w:bottom w:val="single" w:sz="4" w:space="0" w:color="auto"/>
              <w:right w:val="single" w:sz="4" w:space="0" w:color="auto"/>
            </w:tcBorders>
            <w:shd w:val="clear" w:color="auto" w:fill="D9D9D9"/>
            <w:vAlign w:val="center"/>
            <w:hideMark/>
          </w:tcPr>
          <w:p w:rsidR="00053F32" w:rsidRPr="00E3331A" w:rsidRDefault="00053F32" w:rsidP="00053F32">
            <w:pPr>
              <w:rPr>
                <w:rFonts w:ascii="Arial Narrow" w:hAnsi="Arial Narrow" w:cs="Calibri"/>
                <w:b/>
                <w:bCs/>
                <w:color w:val="FFFFFF"/>
                <w:sz w:val="20"/>
                <w:szCs w:val="20"/>
              </w:rPr>
            </w:pPr>
            <w:r w:rsidRPr="00E3331A">
              <w:rPr>
                <w:rFonts w:ascii="Arial Narrow" w:hAnsi="Arial Narrow" w:cs="Calibri"/>
                <w:b/>
                <w:bCs/>
                <w:sz w:val="20"/>
                <w:szCs w:val="20"/>
              </w:rPr>
              <w:t>Corticosteroids No AE—first 4 weeks</w:t>
            </w:r>
          </w:p>
        </w:tc>
      </w:tr>
      <w:tr w:rsidR="00053F32" w:rsidRPr="00E3331A" w:rsidTr="00493DDF">
        <w:trPr>
          <w:trHeight w:val="510"/>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053F32" w:rsidRPr="00E3331A" w:rsidRDefault="00053F32" w:rsidP="00053F32">
            <w:pPr>
              <w:rPr>
                <w:rFonts w:ascii="Arial Narrow" w:hAnsi="Arial Narrow" w:cs="Calibri"/>
                <w:sz w:val="20"/>
                <w:szCs w:val="20"/>
              </w:rPr>
            </w:pPr>
            <w:r w:rsidRPr="00E3331A">
              <w:rPr>
                <w:rFonts w:ascii="Arial Narrow" w:hAnsi="Arial Narrow" w:cs="Calibri"/>
                <w:sz w:val="20"/>
                <w:szCs w:val="20"/>
              </w:rPr>
              <w:t>Pantoprazole 40mg enteric tablet, 30</w:t>
            </w:r>
          </w:p>
        </w:tc>
        <w:tc>
          <w:tcPr>
            <w:tcW w:w="922" w:type="dxa"/>
            <w:tcBorders>
              <w:top w:val="nil"/>
              <w:left w:val="nil"/>
              <w:bottom w:val="single" w:sz="4" w:space="0" w:color="auto"/>
              <w:right w:val="single" w:sz="4" w:space="0" w:color="auto"/>
            </w:tcBorders>
            <w:shd w:val="clear" w:color="000000" w:fill="FFFFFF"/>
            <w:vAlign w:val="center"/>
            <w:hideMark/>
          </w:tcPr>
          <w:p w:rsidR="00053F32" w:rsidRPr="00E3331A" w:rsidRDefault="00053F32" w:rsidP="00053F32">
            <w:pPr>
              <w:jc w:val="center"/>
              <w:rPr>
                <w:rFonts w:ascii="Arial Narrow" w:hAnsi="Arial Narrow" w:cs="Calibri"/>
                <w:sz w:val="20"/>
                <w:szCs w:val="20"/>
              </w:rPr>
            </w:pPr>
            <w:r w:rsidRPr="00E3331A">
              <w:rPr>
                <w:rFonts w:ascii="Arial Narrow" w:hAnsi="Arial Narrow" w:cs="Calibri"/>
                <w:sz w:val="20"/>
                <w:szCs w:val="20"/>
              </w:rPr>
              <w:t>PBS</w:t>
            </w:r>
          </w:p>
        </w:tc>
        <w:tc>
          <w:tcPr>
            <w:tcW w:w="909" w:type="dxa"/>
            <w:tcBorders>
              <w:top w:val="nil"/>
              <w:left w:val="nil"/>
              <w:bottom w:val="single" w:sz="4" w:space="0" w:color="auto"/>
              <w:right w:val="single" w:sz="4" w:space="0" w:color="auto"/>
            </w:tcBorders>
            <w:shd w:val="clear" w:color="auto" w:fill="auto"/>
            <w:noWrap/>
            <w:vAlign w:val="center"/>
            <w:hideMark/>
          </w:tcPr>
          <w:p w:rsidR="00053F32" w:rsidRPr="00E3331A" w:rsidRDefault="00053F32" w:rsidP="00053F32">
            <w:pPr>
              <w:jc w:val="center"/>
              <w:rPr>
                <w:rFonts w:ascii="Arial Narrow" w:hAnsi="Arial Narrow" w:cs="Calibri"/>
                <w:sz w:val="20"/>
                <w:szCs w:val="20"/>
              </w:rPr>
            </w:pPr>
            <w:r w:rsidRPr="00E3331A">
              <w:rPr>
                <w:rFonts w:ascii="Arial Narrow" w:hAnsi="Arial Narrow" w:cs="Calibri"/>
                <w:sz w:val="20"/>
                <w:szCs w:val="20"/>
              </w:rPr>
              <w:t>$13.9</w:t>
            </w:r>
          </w:p>
        </w:tc>
        <w:tc>
          <w:tcPr>
            <w:tcW w:w="918" w:type="dxa"/>
            <w:tcBorders>
              <w:top w:val="nil"/>
              <w:left w:val="nil"/>
              <w:bottom w:val="single" w:sz="4" w:space="0" w:color="auto"/>
              <w:right w:val="single" w:sz="4" w:space="0" w:color="auto"/>
            </w:tcBorders>
            <w:shd w:val="clear" w:color="auto" w:fill="auto"/>
            <w:noWrap/>
            <w:vAlign w:val="center"/>
            <w:hideMark/>
          </w:tcPr>
          <w:p w:rsidR="00053F32" w:rsidRPr="00E3331A" w:rsidRDefault="00053F32" w:rsidP="00053F32">
            <w:pPr>
              <w:jc w:val="center"/>
              <w:rPr>
                <w:rFonts w:ascii="Arial Narrow" w:hAnsi="Arial Narrow" w:cs="Calibri"/>
                <w:sz w:val="20"/>
                <w:szCs w:val="20"/>
              </w:rPr>
            </w:pPr>
            <w:r w:rsidRPr="00E3331A">
              <w:rPr>
                <w:rFonts w:ascii="Arial Narrow" w:hAnsi="Arial Narrow" w:cs="Calibri"/>
                <w:sz w:val="20"/>
                <w:szCs w:val="20"/>
              </w:rPr>
              <w:t>28</w:t>
            </w:r>
          </w:p>
        </w:tc>
        <w:tc>
          <w:tcPr>
            <w:tcW w:w="10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$13.0</w:t>
            </w:r>
          </w:p>
        </w:tc>
        <w:tc>
          <w:tcPr>
            <w:tcW w:w="2740" w:type="dxa"/>
            <w:tcBorders>
              <w:top w:val="nil"/>
              <w:left w:val="nil"/>
              <w:bottom w:val="single" w:sz="4" w:space="0" w:color="auto"/>
              <w:right w:val="single" w:sz="4" w:space="0" w:color="auto"/>
            </w:tcBorders>
            <w:shd w:val="clear" w:color="auto" w:fill="auto"/>
            <w:vAlign w:val="bottom"/>
            <w:hideMark/>
          </w:tcPr>
          <w:p w:rsidR="00053F32" w:rsidRPr="00E3331A" w:rsidRDefault="00053F32" w:rsidP="00053F32">
            <w:pPr>
              <w:rPr>
                <w:rFonts w:ascii="Arial Narrow" w:hAnsi="Arial Narrow" w:cs="Calibri"/>
                <w:sz w:val="20"/>
                <w:szCs w:val="20"/>
              </w:rPr>
            </w:pPr>
            <w:r w:rsidRPr="00E3331A">
              <w:rPr>
                <w:rFonts w:ascii="Arial Narrow" w:hAnsi="Arial Narrow" w:cs="Calibri"/>
                <w:sz w:val="20"/>
                <w:szCs w:val="20"/>
              </w:rPr>
              <w:t>40mg per day while on treatment PBAC 8007K (40 mg tablet, 30), https://www.pbs.gov.au/medicine, 29 April 2019</w:t>
            </w:r>
          </w:p>
        </w:tc>
      </w:tr>
      <w:tr w:rsidR="00053F32" w:rsidRPr="00E3331A" w:rsidTr="00493DDF">
        <w:trPr>
          <w:trHeight w:val="510"/>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 xml:space="preserve">Prednisolone PBAC 1917X (5mg tablet, 60). </w:t>
            </w:r>
          </w:p>
        </w:tc>
        <w:tc>
          <w:tcPr>
            <w:tcW w:w="922" w:type="dxa"/>
            <w:tcBorders>
              <w:top w:val="nil"/>
              <w:left w:val="nil"/>
              <w:bottom w:val="single" w:sz="4" w:space="0" w:color="auto"/>
              <w:right w:val="single" w:sz="4" w:space="0" w:color="auto"/>
            </w:tcBorders>
            <w:shd w:val="clear" w:color="000000" w:fill="FFFFFF"/>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PBS</w:t>
            </w:r>
          </w:p>
        </w:tc>
        <w:tc>
          <w:tcPr>
            <w:tcW w:w="909"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$14.3</w:t>
            </w:r>
          </w:p>
        </w:tc>
        <w:tc>
          <w:tcPr>
            <w:tcW w:w="918"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56.00</w:t>
            </w:r>
          </w:p>
        </w:tc>
        <w:tc>
          <w:tcPr>
            <w:tcW w:w="10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$13.4</w:t>
            </w:r>
          </w:p>
        </w:tc>
        <w:tc>
          <w:tcPr>
            <w:tcW w:w="2740" w:type="dxa"/>
            <w:tcBorders>
              <w:top w:val="nil"/>
              <w:left w:val="nil"/>
              <w:bottom w:val="single" w:sz="4" w:space="0" w:color="auto"/>
              <w:right w:val="single" w:sz="4" w:space="0" w:color="auto"/>
            </w:tcBorders>
            <w:shd w:val="clear" w:color="000000" w:fill="FFFFFF"/>
            <w:vAlign w:val="bottom"/>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60mg per day of prednisone for the first 4 weeks of treatment. PBAC 1917X (5mg tablet, 60), https://www.pbs.gov.au/medicine, 29 April 2019</w:t>
            </w:r>
          </w:p>
        </w:tc>
      </w:tr>
      <w:tr w:rsidR="00053F32" w:rsidRPr="00E3331A" w:rsidTr="00493DDF">
        <w:trPr>
          <w:trHeight w:val="510"/>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 xml:space="preserve">Prednisolone PBAC 1916W (25 mg tablet, 30). </w:t>
            </w:r>
          </w:p>
        </w:tc>
        <w:tc>
          <w:tcPr>
            <w:tcW w:w="922" w:type="dxa"/>
            <w:tcBorders>
              <w:top w:val="nil"/>
              <w:left w:val="nil"/>
              <w:bottom w:val="single" w:sz="4" w:space="0" w:color="auto"/>
              <w:right w:val="single" w:sz="4" w:space="0" w:color="auto"/>
            </w:tcBorders>
            <w:shd w:val="clear" w:color="000000" w:fill="FFFFFF"/>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PBS</w:t>
            </w:r>
          </w:p>
        </w:tc>
        <w:tc>
          <w:tcPr>
            <w:tcW w:w="909"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$15.6</w:t>
            </w:r>
          </w:p>
        </w:tc>
        <w:tc>
          <w:tcPr>
            <w:tcW w:w="918"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56.00</w:t>
            </w:r>
          </w:p>
        </w:tc>
        <w:tc>
          <w:tcPr>
            <w:tcW w:w="10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$29.1</w:t>
            </w:r>
          </w:p>
        </w:tc>
        <w:tc>
          <w:tcPr>
            <w:tcW w:w="2740" w:type="dxa"/>
            <w:tcBorders>
              <w:top w:val="nil"/>
              <w:left w:val="nil"/>
              <w:bottom w:val="single" w:sz="4" w:space="0" w:color="auto"/>
              <w:right w:val="single" w:sz="4" w:space="0" w:color="auto"/>
            </w:tcBorders>
            <w:shd w:val="clear" w:color="000000" w:fill="FFFFFF"/>
            <w:vAlign w:val="bottom"/>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60mg per day of prednisone for the first 4 weeks of treatment. PBAC 1916W (25mg tablet, 30), https://www.pbs.gov.au/medicine, 29 April 2019</w:t>
            </w:r>
          </w:p>
        </w:tc>
      </w:tr>
      <w:tr w:rsidR="00053F32" w:rsidRPr="00E3331A" w:rsidTr="00493DDF">
        <w:trPr>
          <w:trHeight w:val="510"/>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Alendronate 70mg + colecalciferol 140ug PBAC 2224C</w:t>
            </w:r>
          </w:p>
        </w:tc>
        <w:tc>
          <w:tcPr>
            <w:tcW w:w="922" w:type="dxa"/>
            <w:tcBorders>
              <w:top w:val="nil"/>
              <w:left w:val="nil"/>
              <w:bottom w:val="single" w:sz="4" w:space="0" w:color="auto"/>
              <w:right w:val="single" w:sz="4" w:space="0" w:color="auto"/>
            </w:tcBorders>
            <w:shd w:val="clear" w:color="000000" w:fill="FFFFFF"/>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PBS</w:t>
            </w:r>
          </w:p>
        </w:tc>
        <w:tc>
          <w:tcPr>
            <w:tcW w:w="909"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$18.2</w:t>
            </w:r>
          </w:p>
        </w:tc>
        <w:tc>
          <w:tcPr>
            <w:tcW w:w="918"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4.00</w:t>
            </w:r>
          </w:p>
        </w:tc>
        <w:tc>
          <w:tcPr>
            <w:tcW w:w="10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$18.2</w:t>
            </w:r>
          </w:p>
        </w:tc>
        <w:tc>
          <w:tcPr>
            <w:tcW w:w="2740" w:type="dxa"/>
            <w:tcBorders>
              <w:top w:val="nil"/>
              <w:left w:val="nil"/>
              <w:bottom w:val="single" w:sz="4" w:space="0" w:color="auto"/>
              <w:right w:val="single" w:sz="4" w:space="0" w:color="auto"/>
            </w:tcBorders>
            <w:shd w:val="clear" w:color="000000" w:fill="FFFFFF"/>
            <w:vAlign w:val="bottom"/>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PBAC 2224C. https://www.pbs.gov.au/medicine, 29 April 2019</w:t>
            </w:r>
          </w:p>
        </w:tc>
      </w:tr>
      <w:tr w:rsidR="00053F32" w:rsidRPr="00E3331A" w:rsidTr="00493DDF">
        <w:trPr>
          <w:trHeight w:val="255"/>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GP Consultations</w:t>
            </w:r>
          </w:p>
        </w:tc>
        <w:tc>
          <w:tcPr>
            <w:tcW w:w="922"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$34.9</w:t>
            </w:r>
          </w:p>
        </w:tc>
        <w:tc>
          <w:tcPr>
            <w:tcW w:w="918"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3.00</w:t>
            </w:r>
          </w:p>
        </w:tc>
        <w:tc>
          <w:tcPr>
            <w:tcW w:w="10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$104.7</w:t>
            </w:r>
          </w:p>
        </w:tc>
        <w:tc>
          <w:tcPr>
            <w:tcW w:w="2740" w:type="dxa"/>
            <w:tcBorders>
              <w:top w:val="nil"/>
              <w:left w:val="nil"/>
              <w:bottom w:val="single" w:sz="4" w:space="0" w:color="auto"/>
              <w:right w:val="single" w:sz="4" w:space="0" w:color="auto"/>
            </w:tcBorders>
            <w:shd w:val="clear" w:color="000000" w:fill="FFFFFF"/>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MBS 23. Professional attendance by a general practitioner at consulting rooms</w:t>
            </w:r>
          </w:p>
        </w:tc>
      </w:tr>
      <w:tr w:rsidR="00053F32" w:rsidRPr="00E3331A" w:rsidTr="00493DDF">
        <w:trPr>
          <w:trHeight w:val="255"/>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lastRenderedPageBreak/>
              <w:t xml:space="preserve">Neurologist Specialist Consultations </w:t>
            </w:r>
          </w:p>
        </w:tc>
        <w:tc>
          <w:tcPr>
            <w:tcW w:w="922"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$267.9</w:t>
            </w:r>
          </w:p>
        </w:tc>
        <w:tc>
          <w:tcPr>
            <w:tcW w:w="918"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0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$267.9</w:t>
            </w:r>
          </w:p>
        </w:tc>
        <w:tc>
          <w:tcPr>
            <w:tcW w:w="2740" w:type="dxa"/>
            <w:tcBorders>
              <w:top w:val="nil"/>
              <w:left w:val="nil"/>
              <w:bottom w:val="single" w:sz="4" w:space="0" w:color="auto"/>
              <w:right w:val="single" w:sz="4" w:space="0" w:color="auto"/>
            </w:tcBorders>
            <w:shd w:val="clear" w:color="000000" w:fill="FFFFFF"/>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MBS 132. Professional attendance at consulting rooms or hospital</w:t>
            </w:r>
          </w:p>
        </w:tc>
      </w:tr>
      <w:tr w:rsidR="00053F32" w:rsidRPr="00E3331A" w:rsidTr="00493DDF">
        <w:trPr>
          <w:trHeight w:val="510"/>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Liver function tests, Urea, Electrolytes, Creatinine</w:t>
            </w:r>
          </w:p>
        </w:tc>
        <w:tc>
          <w:tcPr>
            <w:tcW w:w="922"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$17.1</w:t>
            </w:r>
          </w:p>
        </w:tc>
        <w:tc>
          <w:tcPr>
            <w:tcW w:w="918"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0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$17.1</w:t>
            </w:r>
          </w:p>
        </w:tc>
        <w:tc>
          <w:tcPr>
            <w:tcW w:w="2740" w:type="dxa"/>
            <w:tcBorders>
              <w:top w:val="nil"/>
              <w:left w:val="nil"/>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MBS 66512. Liver function tests, Urea, Electrolytes, Creatinine</w:t>
            </w:r>
          </w:p>
        </w:tc>
      </w:tr>
      <w:tr w:rsidR="00053F32" w:rsidRPr="00E3331A" w:rsidTr="00493DDF">
        <w:trPr>
          <w:trHeight w:val="765"/>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Full Blood Examination</w:t>
            </w:r>
          </w:p>
        </w:tc>
        <w:tc>
          <w:tcPr>
            <w:tcW w:w="922"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$17.0</w:t>
            </w:r>
          </w:p>
        </w:tc>
        <w:tc>
          <w:tcPr>
            <w:tcW w:w="918"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0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$17.0</w:t>
            </w:r>
          </w:p>
        </w:tc>
        <w:tc>
          <w:tcPr>
            <w:tcW w:w="2740" w:type="dxa"/>
            <w:tcBorders>
              <w:top w:val="nil"/>
              <w:left w:val="nil"/>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MBS 65070. Full Blood Examination</w:t>
            </w:r>
          </w:p>
        </w:tc>
      </w:tr>
      <w:tr w:rsidR="00053F32" w:rsidRPr="00E3331A" w:rsidTr="00493DDF">
        <w:trPr>
          <w:trHeight w:val="255"/>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Neuro muscular electro diagnosis</w:t>
            </w:r>
          </w:p>
        </w:tc>
        <w:tc>
          <w:tcPr>
            <w:tcW w:w="922"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$227.6</w:t>
            </w:r>
          </w:p>
        </w:tc>
        <w:tc>
          <w:tcPr>
            <w:tcW w:w="918"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10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8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$227.6</w:t>
            </w:r>
          </w:p>
        </w:tc>
        <w:tc>
          <w:tcPr>
            <w:tcW w:w="2740" w:type="dxa"/>
            <w:tcBorders>
              <w:top w:val="nil"/>
              <w:left w:val="nil"/>
              <w:bottom w:val="single" w:sz="4" w:space="0" w:color="auto"/>
              <w:right w:val="single" w:sz="4" w:space="0" w:color="auto"/>
            </w:tcBorders>
            <w:shd w:val="clear" w:color="000000" w:fill="FFFFFF"/>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MBS 11018. Neuro muscular electro diagnosis, 4 nerves</w:t>
            </w:r>
          </w:p>
        </w:tc>
      </w:tr>
      <w:tr w:rsidR="00053F32" w:rsidRPr="00E3331A" w:rsidTr="00493DDF">
        <w:trPr>
          <w:trHeight w:val="255"/>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b/>
                <w:bCs/>
                <w:color w:val="000000"/>
                <w:sz w:val="20"/>
                <w:szCs w:val="20"/>
              </w:rPr>
            </w:pPr>
            <w:r w:rsidRPr="00E3331A">
              <w:rPr>
                <w:rFonts w:ascii="Arial Narrow" w:hAnsi="Arial Narrow" w:cs="Calibri"/>
                <w:b/>
                <w:bCs/>
                <w:color w:val="000000"/>
                <w:sz w:val="20"/>
                <w:szCs w:val="20"/>
              </w:rPr>
              <w:t>Subtotal</w:t>
            </w:r>
          </w:p>
        </w:tc>
        <w:tc>
          <w:tcPr>
            <w:tcW w:w="922" w:type="dxa"/>
            <w:tcBorders>
              <w:top w:val="nil"/>
              <w:left w:val="nil"/>
              <w:bottom w:val="single" w:sz="4" w:space="0" w:color="auto"/>
              <w:right w:val="single" w:sz="4" w:space="0" w:color="auto"/>
            </w:tcBorders>
            <w:shd w:val="clear" w:color="000000" w:fill="FFFFFF"/>
            <w:noWrap/>
            <w:vAlign w:val="bottom"/>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09"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18"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0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8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$707.8</w:t>
            </w:r>
          </w:p>
        </w:tc>
        <w:tc>
          <w:tcPr>
            <w:tcW w:w="2740" w:type="dxa"/>
            <w:tcBorders>
              <w:top w:val="nil"/>
              <w:left w:val="nil"/>
              <w:bottom w:val="single" w:sz="4" w:space="0" w:color="auto"/>
              <w:right w:val="single" w:sz="4" w:space="0" w:color="auto"/>
            </w:tcBorders>
            <w:shd w:val="clear" w:color="000000" w:fill="FFFFFF"/>
            <w:vAlign w:val="bottom"/>
            <w:hideMark/>
          </w:tcPr>
          <w:p w:rsidR="00053F32" w:rsidRPr="00E3331A" w:rsidRDefault="00053F32" w:rsidP="00053F32">
            <w:pPr>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r w:rsidR="00053F32" w:rsidRPr="00E3331A" w:rsidTr="00493DDF">
        <w:trPr>
          <w:trHeight w:val="255"/>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b/>
                <w:bCs/>
                <w:color w:val="000000"/>
                <w:sz w:val="20"/>
                <w:szCs w:val="20"/>
              </w:rPr>
            </w:pPr>
            <w:r w:rsidRPr="00E3331A">
              <w:rPr>
                <w:rFonts w:ascii="Arial Narrow" w:hAnsi="Arial Narrow" w:cs="Calibri"/>
                <w:b/>
                <w:bCs/>
                <w:color w:val="000000"/>
                <w:sz w:val="20"/>
                <w:szCs w:val="20"/>
              </w:rPr>
              <w:t>Subtotal weekly</w:t>
            </w:r>
          </w:p>
        </w:tc>
        <w:tc>
          <w:tcPr>
            <w:tcW w:w="922" w:type="dxa"/>
            <w:tcBorders>
              <w:top w:val="nil"/>
              <w:left w:val="nil"/>
              <w:bottom w:val="single" w:sz="4" w:space="0" w:color="auto"/>
              <w:right w:val="single" w:sz="4" w:space="0" w:color="auto"/>
            </w:tcBorders>
            <w:shd w:val="clear" w:color="000000" w:fill="FFFFFF"/>
            <w:noWrap/>
            <w:vAlign w:val="bottom"/>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09"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18"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0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8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67F8C">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$176.9</w:t>
            </w:r>
          </w:p>
        </w:tc>
        <w:tc>
          <w:tcPr>
            <w:tcW w:w="2740" w:type="dxa"/>
            <w:tcBorders>
              <w:top w:val="nil"/>
              <w:left w:val="nil"/>
              <w:bottom w:val="single" w:sz="4" w:space="0" w:color="auto"/>
              <w:right w:val="single" w:sz="4" w:space="0" w:color="auto"/>
            </w:tcBorders>
            <w:shd w:val="clear" w:color="000000" w:fill="FFFFFF"/>
            <w:vAlign w:val="bottom"/>
            <w:hideMark/>
          </w:tcPr>
          <w:p w:rsidR="00053F32" w:rsidRPr="00E3331A" w:rsidRDefault="00053F32" w:rsidP="00053F32">
            <w:pPr>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r w:rsidR="00053F32" w:rsidRPr="00E3331A" w:rsidTr="0007007F">
        <w:trPr>
          <w:trHeight w:val="255"/>
        </w:trPr>
        <w:tc>
          <w:tcPr>
            <w:tcW w:w="9016" w:type="dxa"/>
            <w:gridSpan w:val="7"/>
            <w:tcBorders>
              <w:top w:val="nil"/>
              <w:left w:val="single" w:sz="4" w:space="0" w:color="auto"/>
              <w:bottom w:val="single" w:sz="4" w:space="0" w:color="auto"/>
              <w:right w:val="single" w:sz="4" w:space="0" w:color="auto"/>
            </w:tcBorders>
            <w:shd w:val="clear" w:color="auto" w:fill="D9D9D9"/>
            <w:vAlign w:val="center"/>
            <w:hideMark/>
          </w:tcPr>
          <w:p w:rsidR="00053F32" w:rsidRPr="00E3331A" w:rsidRDefault="00053F32" w:rsidP="00053F32">
            <w:pPr>
              <w:rPr>
                <w:rFonts w:ascii="Arial Narrow" w:hAnsi="Arial Narrow" w:cs="Calibri"/>
                <w:b/>
                <w:bCs/>
                <w:color w:val="FFFFFF"/>
                <w:sz w:val="20"/>
                <w:szCs w:val="20"/>
              </w:rPr>
            </w:pPr>
            <w:r w:rsidRPr="00E3331A">
              <w:rPr>
                <w:rFonts w:ascii="Arial Narrow" w:hAnsi="Arial Narrow" w:cs="Calibri"/>
                <w:b/>
                <w:bCs/>
                <w:sz w:val="20"/>
                <w:szCs w:val="20"/>
              </w:rPr>
              <w:t>Corticosteroids No AE—4-24 weeks</w:t>
            </w:r>
          </w:p>
        </w:tc>
      </w:tr>
      <w:tr w:rsidR="00053F32" w:rsidRPr="00E3331A" w:rsidTr="00493DDF">
        <w:trPr>
          <w:trHeight w:val="510"/>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053F32" w:rsidRPr="00E3331A" w:rsidRDefault="00053F32" w:rsidP="00053F32">
            <w:pPr>
              <w:rPr>
                <w:rFonts w:ascii="Arial Narrow" w:hAnsi="Arial Narrow" w:cs="Calibri"/>
                <w:sz w:val="20"/>
                <w:szCs w:val="20"/>
              </w:rPr>
            </w:pPr>
            <w:r w:rsidRPr="00E3331A">
              <w:rPr>
                <w:rFonts w:ascii="Arial Narrow" w:hAnsi="Arial Narrow" w:cs="Calibri"/>
                <w:sz w:val="20"/>
                <w:szCs w:val="20"/>
              </w:rPr>
              <w:t>Pantoprazole 40mg enteric tablet, 30 pack</w:t>
            </w:r>
          </w:p>
        </w:tc>
        <w:tc>
          <w:tcPr>
            <w:tcW w:w="922" w:type="dxa"/>
            <w:tcBorders>
              <w:top w:val="nil"/>
              <w:left w:val="nil"/>
              <w:bottom w:val="single" w:sz="4" w:space="0" w:color="auto"/>
              <w:right w:val="single" w:sz="4" w:space="0" w:color="auto"/>
            </w:tcBorders>
            <w:shd w:val="clear" w:color="000000" w:fill="FFFFFF"/>
            <w:vAlign w:val="center"/>
            <w:hideMark/>
          </w:tcPr>
          <w:p w:rsidR="00053F32" w:rsidRPr="00E3331A" w:rsidRDefault="00053F32" w:rsidP="00053F32">
            <w:pPr>
              <w:jc w:val="center"/>
              <w:rPr>
                <w:rFonts w:ascii="Arial Narrow" w:hAnsi="Arial Narrow" w:cs="Calibri"/>
                <w:sz w:val="20"/>
                <w:szCs w:val="20"/>
              </w:rPr>
            </w:pPr>
            <w:r w:rsidRPr="00E3331A">
              <w:rPr>
                <w:rFonts w:ascii="Arial Narrow" w:hAnsi="Arial Narrow" w:cs="Calibri"/>
                <w:sz w:val="20"/>
                <w:szCs w:val="20"/>
              </w:rPr>
              <w:t>PBS</w:t>
            </w:r>
          </w:p>
        </w:tc>
        <w:tc>
          <w:tcPr>
            <w:tcW w:w="909" w:type="dxa"/>
            <w:tcBorders>
              <w:top w:val="nil"/>
              <w:left w:val="nil"/>
              <w:bottom w:val="single" w:sz="4" w:space="0" w:color="auto"/>
              <w:right w:val="single" w:sz="4" w:space="0" w:color="auto"/>
            </w:tcBorders>
            <w:shd w:val="clear" w:color="auto" w:fill="auto"/>
            <w:noWrap/>
            <w:vAlign w:val="center"/>
            <w:hideMark/>
          </w:tcPr>
          <w:p w:rsidR="00053F32" w:rsidRPr="00E3331A" w:rsidRDefault="00053F32" w:rsidP="00053F32">
            <w:pPr>
              <w:jc w:val="center"/>
              <w:rPr>
                <w:rFonts w:ascii="Arial Narrow" w:hAnsi="Arial Narrow" w:cs="Calibri"/>
                <w:sz w:val="20"/>
                <w:szCs w:val="20"/>
              </w:rPr>
            </w:pPr>
            <w:r w:rsidRPr="00E3331A">
              <w:rPr>
                <w:rFonts w:ascii="Arial Narrow" w:hAnsi="Arial Narrow" w:cs="Calibri"/>
                <w:sz w:val="20"/>
                <w:szCs w:val="20"/>
              </w:rPr>
              <w:t>13.88</w:t>
            </w:r>
          </w:p>
        </w:tc>
        <w:tc>
          <w:tcPr>
            <w:tcW w:w="918" w:type="dxa"/>
            <w:tcBorders>
              <w:top w:val="nil"/>
              <w:left w:val="nil"/>
              <w:bottom w:val="single" w:sz="4" w:space="0" w:color="auto"/>
              <w:right w:val="single" w:sz="4" w:space="0" w:color="auto"/>
            </w:tcBorders>
            <w:shd w:val="clear" w:color="auto" w:fill="auto"/>
            <w:noWrap/>
            <w:vAlign w:val="center"/>
            <w:hideMark/>
          </w:tcPr>
          <w:p w:rsidR="00053F32" w:rsidRPr="00E3331A" w:rsidRDefault="00053F32" w:rsidP="00053F32">
            <w:pPr>
              <w:jc w:val="center"/>
              <w:rPr>
                <w:rFonts w:ascii="Arial Narrow" w:hAnsi="Arial Narrow" w:cs="Calibri"/>
                <w:sz w:val="20"/>
                <w:szCs w:val="20"/>
              </w:rPr>
            </w:pPr>
            <w:r w:rsidRPr="00E3331A">
              <w:rPr>
                <w:rFonts w:ascii="Arial Narrow" w:hAnsi="Arial Narrow" w:cs="Calibri"/>
                <w:sz w:val="20"/>
                <w:szCs w:val="20"/>
              </w:rPr>
              <w:t>140</w:t>
            </w:r>
          </w:p>
        </w:tc>
        <w:tc>
          <w:tcPr>
            <w:tcW w:w="10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64.77</w:t>
            </w:r>
          </w:p>
        </w:tc>
        <w:tc>
          <w:tcPr>
            <w:tcW w:w="2740" w:type="dxa"/>
            <w:tcBorders>
              <w:top w:val="nil"/>
              <w:left w:val="nil"/>
              <w:bottom w:val="single" w:sz="4" w:space="0" w:color="auto"/>
              <w:right w:val="single" w:sz="4" w:space="0" w:color="auto"/>
            </w:tcBorders>
            <w:shd w:val="clear" w:color="auto" w:fill="auto"/>
            <w:vAlign w:val="center"/>
            <w:hideMark/>
          </w:tcPr>
          <w:p w:rsidR="00053F32" w:rsidRPr="00E3331A" w:rsidRDefault="00053F32" w:rsidP="00053F32">
            <w:pPr>
              <w:rPr>
                <w:rFonts w:ascii="Arial Narrow" w:hAnsi="Arial Narrow" w:cs="Calibri"/>
                <w:sz w:val="20"/>
                <w:szCs w:val="20"/>
              </w:rPr>
            </w:pPr>
            <w:r w:rsidRPr="00E3331A">
              <w:rPr>
                <w:rFonts w:ascii="Arial Narrow" w:hAnsi="Arial Narrow" w:cs="Calibri"/>
                <w:sz w:val="20"/>
                <w:szCs w:val="20"/>
              </w:rPr>
              <w:t>40mg per day while on treatment PBAC 8007K (40mg tablet, 30), https://www.pbs.gov.au/medicine, 29 April 2019</w:t>
            </w:r>
          </w:p>
        </w:tc>
      </w:tr>
      <w:tr w:rsidR="00053F32" w:rsidRPr="00E3331A" w:rsidTr="00493DDF">
        <w:trPr>
          <w:trHeight w:val="510"/>
        </w:trPr>
        <w:tc>
          <w:tcPr>
            <w:tcW w:w="1617" w:type="dxa"/>
            <w:tcBorders>
              <w:top w:val="nil"/>
              <w:left w:val="single" w:sz="4" w:space="0" w:color="auto"/>
              <w:bottom w:val="single" w:sz="4" w:space="0" w:color="auto"/>
              <w:right w:val="single" w:sz="4" w:space="0" w:color="auto"/>
            </w:tcBorders>
            <w:shd w:val="clear" w:color="auto" w:fill="auto"/>
            <w:vAlign w:val="center"/>
          </w:tcPr>
          <w:p w:rsidR="00053F32" w:rsidRPr="00E3331A" w:rsidRDefault="00053F32" w:rsidP="00053F32">
            <w:pPr>
              <w:rPr>
                <w:rFonts w:ascii="Arial Narrow" w:hAnsi="Arial Narrow" w:cs="Calibri"/>
                <w:sz w:val="20"/>
                <w:szCs w:val="20"/>
              </w:rPr>
            </w:pPr>
            <w:r w:rsidRPr="00E3331A">
              <w:rPr>
                <w:rFonts w:ascii="Arial Narrow" w:hAnsi="Arial Narrow" w:cs="Calibri"/>
                <w:sz w:val="20"/>
                <w:szCs w:val="20"/>
              </w:rPr>
              <w:t>Pneumococcal vaccination, PBS 10210J</w:t>
            </w:r>
          </w:p>
        </w:tc>
        <w:tc>
          <w:tcPr>
            <w:tcW w:w="922" w:type="dxa"/>
            <w:tcBorders>
              <w:top w:val="nil"/>
              <w:left w:val="nil"/>
              <w:bottom w:val="single" w:sz="4" w:space="0" w:color="auto"/>
              <w:right w:val="single" w:sz="4" w:space="0" w:color="auto"/>
            </w:tcBorders>
            <w:shd w:val="clear" w:color="000000" w:fill="FFFFFF"/>
            <w:vAlign w:val="center"/>
          </w:tcPr>
          <w:p w:rsidR="00053F32" w:rsidRPr="00E3331A" w:rsidRDefault="00053F32" w:rsidP="00053F32">
            <w:pPr>
              <w:jc w:val="center"/>
              <w:rPr>
                <w:rFonts w:ascii="Arial Narrow" w:hAnsi="Arial Narrow" w:cs="Calibri"/>
                <w:sz w:val="20"/>
                <w:szCs w:val="20"/>
              </w:rPr>
            </w:pPr>
            <w:r w:rsidRPr="00E3331A">
              <w:rPr>
                <w:rFonts w:ascii="Arial Narrow" w:hAnsi="Arial Narrow" w:cs="Calibri"/>
                <w:sz w:val="20"/>
                <w:szCs w:val="20"/>
              </w:rPr>
              <w:t>PBS</w:t>
            </w:r>
          </w:p>
        </w:tc>
        <w:tc>
          <w:tcPr>
            <w:tcW w:w="909" w:type="dxa"/>
            <w:tcBorders>
              <w:top w:val="nil"/>
              <w:left w:val="nil"/>
              <w:bottom w:val="single" w:sz="4" w:space="0" w:color="auto"/>
              <w:right w:val="single" w:sz="4" w:space="0" w:color="auto"/>
            </w:tcBorders>
            <w:shd w:val="clear" w:color="auto" w:fill="auto"/>
            <w:noWrap/>
            <w:vAlign w:val="center"/>
          </w:tcPr>
          <w:p w:rsidR="00053F32" w:rsidRPr="00E3331A" w:rsidRDefault="00053F32" w:rsidP="00053F32">
            <w:pPr>
              <w:jc w:val="center"/>
              <w:rPr>
                <w:rFonts w:ascii="Arial Narrow" w:hAnsi="Arial Narrow" w:cs="Calibri"/>
                <w:sz w:val="20"/>
                <w:szCs w:val="20"/>
              </w:rPr>
            </w:pPr>
            <w:r w:rsidRPr="00E3331A">
              <w:rPr>
                <w:rFonts w:ascii="Arial Narrow" w:hAnsi="Arial Narrow" w:cs="Calibri"/>
                <w:sz w:val="20"/>
                <w:szCs w:val="20"/>
              </w:rPr>
              <w:t>$49.2</w:t>
            </w:r>
          </w:p>
        </w:tc>
        <w:tc>
          <w:tcPr>
            <w:tcW w:w="918" w:type="dxa"/>
            <w:tcBorders>
              <w:top w:val="nil"/>
              <w:left w:val="nil"/>
              <w:bottom w:val="single" w:sz="4" w:space="0" w:color="auto"/>
              <w:right w:val="single" w:sz="4" w:space="0" w:color="auto"/>
            </w:tcBorders>
            <w:shd w:val="clear" w:color="auto" w:fill="auto"/>
            <w:noWrap/>
            <w:vAlign w:val="center"/>
          </w:tcPr>
          <w:p w:rsidR="00053F32" w:rsidRPr="00E3331A" w:rsidRDefault="00053F32" w:rsidP="00053F32">
            <w:pPr>
              <w:jc w:val="center"/>
              <w:rPr>
                <w:rFonts w:ascii="Arial Narrow" w:hAnsi="Arial Narrow" w:cs="Calibri"/>
                <w:sz w:val="20"/>
                <w:szCs w:val="20"/>
              </w:rPr>
            </w:pPr>
            <w:r w:rsidRPr="00E3331A">
              <w:rPr>
                <w:rFonts w:ascii="Arial Narrow" w:hAnsi="Arial Narrow" w:cs="Calibri"/>
                <w:sz w:val="20"/>
                <w:szCs w:val="20"/>
              </w:rPr>
              <w:t>1</w:t>
            </w:r>
          </w:p>
        </w:tc>
        <w:tc>
          <w:tcPr>
            <w:tcW w:w="1055" w:type="dxa"/>
            <w:tcBorders>
              <w:top w:val="nil"/>
              <w:left w:val="nil"/>
              <w:bottom w:val="single" w:sz="4" w:space="0" w:color="auto"/>
              <w:right w:val="single" w:sz="4" w:space="0" w:color="auto"/>
            </w:tcBorders>
            <w:shd w:val="clear" w:color="000000" w:fill="FFFFFF"/>
            <w:noWrap/>
            <w:vAlign w:val="center"/>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$49.2</w:t>
            </w:r>
          </w:p>
        </w:tc>
        <w:tc>
          <w:tcPr>
            <w:tcW w:w="2740" w:type="dxa"/>
            <w:tcBorders>
              <w:top w:val="nil"/>
              <w:left w:val="nil"/>
              <w:bottom w:val="single" w:sz="4" w:space="0" w:color="auto"/>
              <w:right w:val="single" w:sz="4" w:space="0" w:color="auto"/>
            </w:tcBorders>
            <w:shd w:val="clear" w:color="auto" w:fill="auto"/>
            <w:vAlign w:val="center"/>
          </w:tcPr>
          <w:p w:rsidR="00053F32" w:rsidRPr="00E3331A" w:rsidRDefault="00053F32" w:rsidP="00053F32">
            <w:pPr>
              <w:rPr>
                <w:rFonts w:ascii="Arial Narrow" w:hAnsi="Arial Narrow" w:cs="Calibri"/>
                <w:sz w:val="20"/>
                <w:szCs w:val="20"/>
              </w:rPr>
            </w:pPr>
            <w:r w:rsidRPr="00E3331A">
              <w:rPr>
                <w:rFonts w:ascii="Arial Narrow" w:hAnsi="Arial Narrow" w:cs="Calibri"/>
                <w:sz w:val="20"/>
                <w:szCs w:val="20"/>
              </w:rPr>
              <w:t>Pneumococcal vaccination for patients on prednisolone &gt; 20mg/day for &gt; 4 weeks. https://www.pbs.gov.au/medicine, 29 April 2019</w:t>
            </w:r>
          </w:p>
        </w:tc>
      </w:tr>
      <w:tr w:rsidR="00053F32" w:rsidRPr="00E3331A" w:rsidTr="00493DDF">
        <w:trPr>
          <w:trHeight w:val="510"/>
        </w:trPr>
        <w:tc>
          <w:tcPr>
            <w:tcW w:w="1617" w:type="dxa"/>
            <w:tcBorders>
              <w:top w:val="nil"/>
              <w:left w:val="single" w:sz="4" w:space="0" w:color="auto"/>
              <w:bottom w:val="single" w:sz="4" w:space="0" w:color="auto"/>
              <w:right w:val="single" w:sz="4" w:space="0" w:color="auto"/>
            </w:tcBorders>
            <w:shd w:val="clear" w:color="auto" w:fill="auto"/>
            <w:vAlign w:val="center"/>
          </w:tcPr>
          <w:p w:rsidR="00053F32" w:rsidRPr="00E3331A" w:rsidRDefault="00053F32" w:rsidP="00053F32">
            <w:pPr>
              <w:rPr>
                <w:rFonts w:ascii="Arial Narrow" w:hAnsi="Arial Narrow" w:cs="Calibri"/>
                <w:sz w:val="20"/>
                <w:szCs w:val="20"/>
              </w:rPr>
            </w:pPr>
            <w:r w:rsidRPr="00E3331A">
              <w:rPr>
                <w:rFonts w:ascii="Arial Narrow" w:hAnsi="Arial Narrow" w:cs="Calibri"/>
                <w:sz w:val="20"/>
                <w:szCs w:val="20"/>
              </w:rPr>
              <w:t>Trimethoprim 160 mg + sulfamethoxazole 800 mg tablet, 10 pack, PBS 2951H</w:t>
            </w:r>
          </w:p>
        </w:tc>
        <w:tc>
          <w:tcPr>
            <w:tcW w:w="922" w:type="dxa"/>
            <w:tcBorders>
              <w:top w:val="nil"/>
              <w:left w:val="nil"/>
              <w:bottom w:val="single" w:sz="4" w:space="0" w:color="auto"/>
              <w:right w:val="single" w:sz="4" w:space="0" w:color="auto"/>
            </w:tcBorders>
            <w:shd w:val="clear" w:color="000000" w:fill="FFFFFF"/>
            <w:vAlign w:val="center"/>
          </w:tcPr>
          <w:p w:rsidR="00053F32" w:rsidRPr="00E3331A" w:rsidRDefault="00053F32" w:rsidP="00053F32">
            <w:pPr>
              <w:jc w:val="center"/>
              <w:rPr>
                <w:rFonts w:ascii="Arial Narrow" w:hAnsi="Arial Narrow" w:cs="Calibri"/>
                <w:sz w:val="20"/>
                <w:szCs w:val="20"/>
              </w:rPr>
            </w:pPr>
            <w:r w:rsidRPr="00E3331A">
              <w:rPr>
                <w:rFonts w:ascii="Arial Narrow" w:hAnsi="Arial Narrow" w:cs="Calibri"/>
                <w:sz w:val="20"/>
                <w:szCs w:val="20"/>
              </w:rPr>
              <w:t>PBS</w:t>
            </w:r>
          </w:p>
        </w:tc>
        <w:tc>
          <w:tcPr>
            <w:tcW w:w="909" w:type="dxa"/>
            <w:tcBorders>
              <w:top w:val="nil"/>
              <w:left w:val="nil"/>
              <w:bottom w:val="single" w:sz="4" w:space="0" w:color="auto"/>
              <w:right w:val="single" w:sz="4" w:space="0" w:color="auto"/>
            </w:tcBorders>
            <w:shd w:val="clear" w:color="auto" w:fill="auto"/>
            <w:noWrap/>
            <w:vAlign w:val="center"/>
          </w:tcPr>
          <w:p w:rsidR="00053F32" w:rsidRPr="00E3331A" w:rsidRDefault="00053F32" w:rsidP="00053F32">
            <w:pPr>
              <w:jc w:val="center"/>
              <w:rPr>
                <w:rFonts w:ascii="Arial Narrow" w:hAnsi="Arial Narrow" w:cs="Calibri"/>
                <w:sz w:val="20"/>
                <w:szCs w:val="20"/>
              </w:rPr>
            </w:pPr>
            <w:r w:rsidRPr="00E3331A">
              <w:rPr>
                <w:rFonts w:ascii="Arial Narrow" w:hAnsi="Arial Narrow" w:cs="Calibri"/>
                <w:sz w:val="20"/>
                <w:szCs w:val="20"/>
              </w:rPr>
              <w:t>$13.4</w:t>
            </w:r>
          </w:p>
        </w:tc>
        <w:tc>
          <w:tcPr>
            <w:tcW w:w="918" w:type="dxa"/>
            <w:tcBorders>
              <w:top w:val="nil"/>
              <w:left w:val="nil"/>
              <w:bottom w:val="single" w:sz="4" w:space="0" w:color="auto"/>
              <w:right w:val="single" w:sz="4" w:space="0" w:color="auto"/>
            </w:tcBorders>
            <w:shd w:val="clear" w:color="auto" w:fill="auto"/>
            <w:noWrap/>
            <w:vAlign w:val="center"/>
          </w:tcPr>
          <w:p w:rsidR="00053F32" w:rsidRPr="00E3331A" w:rsidRDefault="00053F32" w:rsidP="00053F32">
            <w:pPr>
              <w:jc w:val="center"/>
              <w:rPr>
                <w:rFonts w:ascii="Arial Narrow" w:hAnsi="Arial Narrow" w:cs="Calibri"/>
                <w:sz w:val="20"/>
                <w:szCs w:val="20"/>
              </w:rPr>
            </w:pPr>
            <w:r w:rsidRPr="00E3331A">
              <w:rPr>
                <w:rFonts w:ascii="Arial Narrow" w:hAnsi="Arial Narrow" w:cs="Calibri"/>
                <w:sz w:val="20"/>
                <w:szCs w:val="20"/>
              </w:rPr>
              <w:t>546</w:t>
            </w:r>
          </w:p>
        </w:tc>
        <w:tc>
          <w:tcPr>
            <w:tcW w:w="1055" w:type="dxa"/>
            <w:tcBorders>
              <w:top w:val="nil"/>
              <w:left w:val="nil"/>
              <w:bottom w:val="single" w:sz="4" w:space="0" w:color="auto"/>
              <w:right w:val="single" w:sz="4" w:space="0" w:color="auto"/>
            </w:tcBorders>
            <w:shd w:val="clear" w:color="000000" w:fill="FFFFFF"/>
            <w:noWrap/>
            <w:vAlign w:val="center"/>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$730.0</w:t>
            </w:r>
          </w:p>
        </w:tc>
        <w:tc>
          <w:tcPr>
            <w:tcW w:w="2740" w:type="dxa"/>
            <w:tcBorders>
              <w:top w:val="nil"/>
              <w:left w:val="nil"/>
              <w:bottom w:val="single" w:sz="4" w:space="0" w:color="auto"/>
              <w:right w:val="single" w:sz="4" w:space="0" w:color="auto"/>
            </w:tcBorders>
            <w:shd w:val="clear" w:color="auto" w:fill="auto"/>
            <w:vAlign w:val="center"/>
          </w:tcPr>
          <w:p w:rsidR="00053F32" w:rsidRPr="00E3331A" w:rsidRDefault="00053F32" w:rsidP="00053F32">
            <w:pPr>
              <w:rPr>
                <w:rFonts w:ascii="Arial Narrow" w:hAnsi="Arial Narrow" w:cs="Calibri"/>
                <w:sz w:val="20"/>
                <w:szCs w:val="20"/>
              </w:rPr>
            </w:pPr>
            <w:r w:rsidRPr="00E3331A">
              <w:rPr>
                <w:rFonts w:ascii="Arial Narrow" w:hAnsi="Arial Narrow" w:cs="Calibri"/>
                <w:sz w:val="20"/>
                <w:szCs w:val="20"/>
              </w:rPr>
              <w:t xml:space="preserve">PJP </w:t>
            </w:r>
            <w:r w:rsidR="00E810A5" w:rsidRPr="00E3331A">
              <w:rPr>
                <w:rFonts w:ascii="Arial Narrow" w:hAnsi="Arial Narrow" w:cs="Calibri"/>
                <w:sz w:val="20"/>
                <w:szCs w:val="20"/>
              </w:rPr>
              <w:t>prophylaxis</w:t>
            </w:r>
            <w:r w:rsidRPr="00E3331A">
              <w:rPr>
                <w:rFonts w:ascii="Arial Narrow" w:hAnsi="Arial Narrow" w:cs="Calibri"/>
                <w:sz w:val="20"/>
                <w:szCs w:val="20"/>
              </w:rPr>
              <w:t>, trimethoprim+sulfamethoxazole 160+800 mg orally, 3 times weekly; continued until 6 weeks’ post cessation for prednisolone patients &gt; 20mg/day for &gt; 4 weeks, https://www.pbs.gov.au/medicine, 29 April 2019</w:t>
            </w:r>
          </w:p>
        </w:tc>
      </w:tr>
      <w:tr w:rsidR="00053F32" w:rsidRPr="00E3331A" w:rsidTr="00493DDF">
        <w:trPr>
          <w:trHeight w:val="510"/>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lastRenderedPageBreak/>
              <w:t>Prednisolone PBS 1917X (5 mg tablet, 60</w:t>
            </w:r>
            <w:r w:rsidR="001E1860" w:rsidRPr="00E3331A">
              <w:rPr>
                <w:rFonts w:ascii="Arial Narrow" w:hAnsi="Arial Narrow" w:cs="Calibri"/>
                <w:color w:val="000000"/>
                <w:sz w:val="20"/>
                <w:szCs w:val="20"/>
              </w:rPr>
              <w:t xml:space="preserve"> pack</w:t>
            </w:r>
            <w:r w:rsidRPr="00E3331A">
              <w:rPr>
                <w:rFonts w:ascii="Arial Narrow" w:hAnsi="Arial Narrow" w:cs="Calibri"/>
                <w:color w:val="000000"/>
                <w:sz w:val="20"/>
                <w:szCs w:val="20"/>
              </w:rPr>
              <w:t>)</w:t>
            </w:r>
          </w:p>
        </w:tc>
        <w:tc>
          <w:tcPr>
            <w:tcW w:w="922"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PBS</w:t>
            </w:r>
          </w:p>
        </w:tc>
        <w:tc>
          <w:tcPr>
            <w:tcW w:w="909"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$14.3</w:t>
            </w:r>
          </w:p>
        </w:tc>
        <w:tc>
          <w:tcPr>
            <w:tcW w:w="918"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280.00</w:t>
            </w:r>
          </w:p>
        </w:tc>
        <w:tc>
          <w:tcPr>
            <w:tcW w:w="10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$66.9</w:t>
            </w:r>
          </w:p>
        </w:tc>
        <w:tc>
          <w:tcPr>
            <w:tcW w:w="2740" w:type="dxa"/>
            <w:tcBorders>
              <w:top w:val="nil"/>
              <w:left w:val="nil"/>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 xml:space="preserve">Steroids would typically be tapered from 1mg/kg/day down to 10mg/day over 6-8 months. </w:t>
            </w:r>
            <w:r w:rsidR="001E1860" w:rsidRPr="00E3331A">
              <w:rPr>
                <w:rFonts w:ascii="Arial Narrow" w:hAnsi="Arial Narrow" w:cs="Calibri"/>
                <w:color w:val="000000"/>
                <w:sz w:val="20"/>
                <w:szCs w:val="20"/>
              </w:rPr>
              <w:t>A</w:t>
            </w:r>
            <w:r w:rsidRPr="00E3331A">
              <w:rPr>
                <w:rFonts w:ascii="Arial Narrow" w:hAnsi="Arial Narrow" w:cs="Calibri"/>
                <w:color w:val="000000"/>
                <w:sz w:val="20"/>
                <w:szCs w:val="20"/>
              </w:rPr>
              <w:t xml:space="preserve">verage of 37mg/day over weeks 4-24. PBS 1917X (5 mg tablet, 60), </w:t>
            </w:r>
            <w:r w:rsidR="001E1860" w:rsidRPr="009F4F4E">
              <w:rPr>
                <w:rFonts w:ascii="Arial Narrow" w:hAnsi="Arial Narrow" w:cs="Calibri"/>
                <w:sz w:val="20"/>
                <w:szCs w:val="20"/>
              </w:rPr>
              <w:t>https://www.pbs.gov.au/</w:t>
            </w:r>
            <w:r w:rsidRPr="00E3331A">
              <w:rPr>
                <w:rFonts w:ascii="Arial Narrow" w:hAnsi="Arial Narrow" w:cs="Calibri"/>
                <w:color w:val="000000"/>
                <w:sz w:val="20"/>
                <w:szCs w:val="20"/>
              </w:rPr>
              <w:t>medicine, 29 April 2019</w:t>
            </w:r>
          </w:p>
        </w:tc>
      </w:tr>
      <w:tr w:rsidR="00053F32" w:rsidRPr="00E3331A" w:rsidTr="00493DDF">
        <w:trPr>
          <w:trHeight w:val="510"/>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Prednisolone PBS 1916W (25 mg tablet, 30</w:t>
            </w:r>
            <w:r w:rsidR="001E1860" w:rsidRPr="00E3331A">
              <w:rPr>
                <w:rFonts w:ascii="Arial Narrow" w:hAnsi="Arial Narrow" w:cs="Calibri"/>
                <w:color w:val="000000"/>
                <w:sz w:val="20"/>
                <w:szCs w:val="20"/>
              </w:rPr>
              <w:t xml:space="preserve"> pack</w:t>
            </w:r>
            <w:r w:rsidRPr="00E3331A">
              <w:rPr>
                <w:rFonts w:ascii="Arial Narrow" w:hAnsi="Arial Narrow" w:cs="Calibri"/>
                <w:color w:val="000000"/>
                <w:sz w:val="20"/>
                <w:szCs w:val="20"/>
              </w:rPr>
              <w:t>)</w:t>
            </w:r>
          </w:p>
        </w:tc>
        <w:tc>
          <w:tcPr>
            <w:tcW w:w="922"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PBS</w:t>
            </w:r>
          </w:p>
        </w:tc>
        <w:tc>
          <w:tcPr>
            <w:tcW w:w="909"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$15.6</w:t>
            </w:r>
          </w:p>
        </w:tc>
        <w:tc>
          <w:tcPr>
            <w:tcW w:w="918"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140.00</w:t>
            </w:r>
          </w:p>
        </w:tc>
        <w:tc>
          <w:tcPr>
            <w:tcW w:w="10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$72.8</w:t>
            </w:r>
          </w:p>
        </w:tc>
        <w:tc>
          <w:tcPr>
            <w:tcW w:w="2740" w:type="dxa"/>
            <w:tcBorders>
              <w:top w:val="nil"/>
              <w:left w:val="nil"/>
              <w:bottom w:val="single" w:sz="4" w:space="0" w:color="auto"/>
              <w:right w:val="single" w:sz="4" w:space="0" w:color="auto"/>
            </w:tcBorders>
            <w:shd w:val="clear" w:color="000000" w:fill="FFFFFF"/>
            <w:vAlign w:val="center"/>
            <w:hideMark/>
          </w:tcPr>
          <w:p w:rsidR="00053F32" w:rsidRPr="00E3331A" w:rsidRDefault="00053F32" w:rsidP="009F4F4E">
            <w:pPr>
              <w:rPr>
                <w:rFonts w:ascii="Arial Narrow" w:hAnsi="Arial Narrow" w:cs="Calibri"/>
                <w:color w:val="000000"/>
                <w:sz w:val="20"/>
                <w:szCs w:val="20"/>
              </w:rPr>
            </w:pPr>
            <w:r w:rsidRPr="00E3331A">
              <w:rPr>
                <w:rFonts w:ascii="Arial Narrow" w:hAnsi="Arial Narrow" w:cs="Calibri"/>
                <w:color w:val="000000"/>
                <w:sz w:val="20"/>
                <w:szCs w:val="20"/>
              </w:rPr>
              <w:t xml:space="preserve">As above. PBS 1916W (25 mg tablet, 30), </w:t>
            </w:r>
            <w:r w:rsidR="001E1860" w:rsidRPr="009F4F4E">
              <w:rPr>
                <w:rFonts w:ascii="Arial Narrow" w:hAnsi="Arial Narrow" w:cs="Calibri"/>
                <w:sz w:val="20"/>
                <w:szCs w:val="20"/>
              </w:rPr>
              <w:t>https://www.pbs.gov.au/</w:t>
            </w:r>
            <w:r w:rsidRPr="00E3331A">
              <w:rPr>
                <w:rFonts w:ascii="Arial Narrow" w:hAnsi="Arial Narrow" w:cs="Calibri"/>
                <w:color w:val="000000"/>
                <w:sz w:val="20"/>
                <w:szCs w:val="20"/>
              </w:rPr>
              <w:t>medicine, 29 April 2019</w:t>
            </w:r>
          </w:p>
        </w:tc>
      </w:tr>
      <w:tr w:rsidR="00053F32" w:rsidRPr="00E3331A" w:rsidTr="00493DDF">
        <w:trPr>
          <w:trHeight w:val="510"/>
        </w:trPr>
        <w:tc>
          <w:tcPr>
            <w:tcW w:w="1617" w:type="dxa"/>
            <w:tcBorders>
              <w:top w:val="nil"/>
              <w:left w:val="single" w:sz="4" w:space="0" w:color="auto"/>
              <w:bottom w:val="single" w:sz="4" w:space="0" w:color="auto"/>
              <w:right w:val="single" w:sz="4" w:space="0" w:color="auto"/>
            </w:tcBorders>
            <w:shd w:val="clear" w:color="000000" w:fill="FFFFFF"/>
            <w:vAlign w:val="center"/>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Prednisolone PBS 3152X (1 mg tablet, 100</w:t>
            </w:r>
            <w:r w:rsidR="001E1860" w:rsidRPr="00E3331A">
              <w:rPr>
                <w:rFonts w:ascii="Arial Narrow" w:hAnsi="Arial Narrow" w:cs="Calibri"/>
                <w:color w:val="000000"/>
                <w:sz w:val="20"/>
                <w:szCs w:val="20"/>
              </w:rPr>
              <w:t xml:space="preserve"> pack</w:t>
            </w:r>
            <w:r w:rsidRPr="00E3331A">
              <w:rPr>
                <w:rFonts w:ascii="Arial Narrow" w:hAnsi="Arial Narrow" w:cs="Calibri"/>
                <w:color w:val="000000"/>
                <w:sz w:val="20"/>
                <w:szCs w:val="20"/>
              </w:rPr>
              <w:t>)</w:t>
            </w:r>
          </w:p>
        </w:tc>
        <w:tc>
          <w:tcPr>
            <w:tcW w:w="922" w:type="dxa"/>
            <w:tcBorders>
              <w:top w:val="nil"/>
              <w:left w:val="nil"/>
              <w:bottom w:val="single" w:sz="4" w:space="0" w:color="auto"/>
              <w:right w:val="single" w:sz="4" w:space="0" w:color="auto"/>
            </w:tcBorders>
            <w:shd w:val="clear" w:color="000000" w:fill="FFFFFF"/>
            <w:noWrap/>
            <w:vAlign w:val="center"/>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PBS</w:t>
            </w:r>
          </w:p>
        </w:tc>
        <w:tc>
          <w:tcPr>
            <w:tcW w:w="909" w:type="dxa"/>
            <w:tcBorders>
              <w:top w:val="nil"/>
              <w:left w:val="nil"/>
              <w:bottom w:val="single" w:sz="4" w:space="0" w:color="auto"/>
              <w:right w:val="single" w:sz="4" w:space="0" w:color="auto"/>
            </w:tcBorders>
            <w:shd w:val="clear" w:color="000000" w:fill="FFFFFF"/>
            <w:noWrap/>
            <w:vAlign w:val="center"/>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$14.0</w:t>
            </w:r>
          </w:p>
        </w:tc>
        <w:tc>
          <w:tcPr>
            <w:tcW w:w="918" w:type="dxa"/>
            <w:tcBorders>
              <w:top w:val="nil"/>
              <w:left w:val="nil"/>
              <w:bottom w:val="single" w:sz="4" w:space="0" w:color="auto"/>
              <w:right w:val="single" w:sz="4" w:space="0" w:color="auto"/>
            </w:tcBorders>
            <w:shd w:val="clear" w:color="000000" w:fill="FFFFFF"/>
            <w:noWrap/>
            <w:vAlign w:val="center"/>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280.00</w:t>
            </w:r>
          </w:p>
        </w:tc>
        <w:tc>
          <w:tcPr>
            <w:tcW w:w="1055" w:type="dxa"/>
            <w:tcBorders>
              <w:top w:val="nil"/>
              <w:left w:val="nil"/>
              <w:bottom w:val="single" w:sz="4" w:space="0" w:color="auto"/>
              <w:right w:val="single" w:sz="4" w:space="0" w:color="auto"/>
            </w:tcBorders>
            <w:shd w:val="clear" w:color="000000" w:fill="FFFFFF"/>
            <w:noWrap/>
            <w:vAlign w:val="center"/>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$39.3</w:t>
            </w:r>
          </w:p>
        </w:tc>
        <w:tc>
          <w:tcPr>
            <w:tcW w:w="2740" w:type="dxa"/>
            <w:tcBorders>
              <w:top w:val="nil"/>
              <w:left w:val="nil"/>
              <w:bottom w:val="single" w:sz="4" w:space="0" w:color="auto"/>
              <w:right w:val="single" w:sz="4" w:space="0" w:color="auto"/>
            </w:tcBorders>
            <w:shd w:val="clear" w:color="000000" w:fill="FFFFFF"/>
            <w:vAlign w:val="center"/>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 xml:space="preserve">As above. PBS 3152X (1 mg tablet, 100), </w:t>
            </w:r>
            <w:r w:rsidR="001E1860" w:rsidRPr="009F4F4E">
              <w:rPr>
                <w:rFonts w:ascii="Arial Narrow" w:hAnsi="Arial Narrow" w:cs="Calibri"/>
                <w:sz w:val="20"/>
                <w:szCs w:val="20"/>
              </w:rPr>
              <w:t>https://www.pbs.gov.au/</w:t>
            </w:r>
            <w:r w:rsidRPr="00E3331A">
              <w:rPr>
                <w:rFonts w:ascii="Arial Narrow" w:hAnsi="Arial Narrow" w:cs="Calibri"/>
                <w:color w:val="000000"/>
                <w:sz w:val="20"/>
                <w:szCs w:val="20"/>
              </w:rPr>
              <w:t>medicine, 29 April 2019</w:t>
            </w:r>
          </w:p>
        </w:tc>
      </w:tr>
      <w:tr w:rsidR="00053F32" w:rsidRPr="00E3331A" w:rsidTr="00493DDF">
        <w:trPr>
          <w:trHeight w:val="510"/>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 xml:space="preserve">Alendronate 70 mg + colecalciferol 140 microgram, 4 </w:t>
            </w:r>
            <w:r w:rsidR="001E1860" w:rsidRPr="00E3331A">
              <w:rPr>
                <w:rFonts w:ascii="Arial Narrow" w:hAnsi="Arial Narrow" w:cs="Calibri"/>
                <w:color w:val="000000"/>
                <w:sz w:val="20"/>
                <w:szCs w:val="20"/>
              </w:rPr>
              <w:t>pack, PBS</w:t>
            </w:r>
            <w:r w:rsidRPr="00E3331A">
              <w:rPr>
                <w:rFonts w:ascii="Arial Narrow" w:hAnsi="Arial Narrow" w:cs="Calibri"/>
                <w:color w:val="000000"/>
                <w:sz w:val="20"/>
                <w:szCs w:val="20"/>
              </w:rPr>
              <w:t xml:space="preserve"> 2224C</w:t>
            </w:r>
          </w:p>
        </w:tc>
        <w:tc>
          <w:tcPr>
            <w:tcW w:w="922"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PBS</w:t>
            </w:r>
          </w:p>
        </w:tc>
        <w:tc>
          <w:tcPr>
            <w:tcW w:w="909"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$18.2</w:t>
            </w:r>
          </w:p>
        </w:tc>
        <w:tc>
          <w:tcPr>
            <w:tcW w:w="918"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20.00</w:t>
            </w:r>
          </w:p>
        </w:tc>
        <w:tc>
          <w:tcPr>
            <w:tcW w:w="10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hideMark/>
          </w:tcPr>
          <w:p w:rsidR="00053F32" w:rsidRPr="00E3331A" w:rsidRDefault="00053F32" w:rsidP="00053F32">
            <w:pPr>
              <w:jc w:val="center"/>
              <w:rPr>
                <w:rFonts w:ascii="Arial Narrow" w:hAnsi="Arial Narrow" w:cs="Calibri"/>
                <w:color w:val="000000"/>
                <w:sz w:val="20"/>
                <w:szCs w:val="20"/>
              </w:rPr>
            </w:pPr>
            <w:r w:rsidRPr="00E3331A">
              <w:rPr>
                <w:rFonts w:ascii="Arial Narrow" w:hAnsi="Arial Narrow" w:cs="Calibri"/>
                <w:color w:val="000000"/>
                <w:sz w:val="20"/>
                <w:szCs w:val="20"/>
              </w:rPr>
              <w:t>$90.9</w:t>
            </w:r>
          </w:p>
        </w:tc>
        <w:tc>
          <w:tcPr>
            <w:tcW w:w="2740" w:type="dxa"/>
            <w:tcBorders>
              <w:top w:val="nil"/>
              <w:left w:val="nil"/>
              <w:bottom w:val="single" w:sz="4" w:space="0" w:color="auto"/>
              <w:right w:val="single" w:sz="4" w:space="0" w:color="auto"/>
            </w:tcBorders>
            <w:shd w:val="clear" w:color="000000" w:fill="FFFFFF"/>
            <w:vAlign w:val="center"/>
            <w:hideMark/>
          </w:tcPr>
          <w:p w:rsidR="00053F32" w:rsidRPr="00E3331A" w:rsidRDefault="00053F32" w:rsidP="00053F32">
            <w:pPr>
              <w:rPr>
                <w:rFonts w:ascii="Arial Narrow" w:hAnsi="Arial Narrow" w:cs="Calibri"/>
                <w:color w:val="000000"/>
                <w:sz w:val="20"/>
                <w:szCs w:val="20"/>
              </w:rPr>
            </w:pPr>
            <w:r w:rsidRPr="00E3331A">
              <w:rPr>
                <w:rFonts w:ascii="Arial Narrow" w:hAnsi="Arial Narrow" w:cs="Calibri"/>
                <w:color w:val="000000"/>
                <w:sz w:val="20"/>
                <w:szCs w:val="20"/>
              </w:rPr>
              <w:t xml:space="preserve">PBS 2224C, </w:t>
            </w:r>
            <w:r w:rsidR="001E1860" w:rsidRPr="009F4F4E">
              <w:rPr>
                <w:rFonts w:ascii="Arial Narrow" w:hAnsi="Arial Narrow" w:cs="Calibri"/>
                <w:sz w:val="20"/>
                <w:szCs w:val="20"/>
              </w:rPr>
              <w:t>https://www.pbs.gov.au/</w:t>
            </w:r>
            <w:r w:rsidRPr="00E3331A">
              <w:rPr>
                <w:rFonts w:ascii="Arial Narrow" w:hAnsi="Arial Narrow" w:cs="Calibri"/>
                <w:color w:val="000000"/>
                <w:sz w:val="20"/>
                <w:szCs w:val="20"/>
              </w:rPr>
              <w:t>medicine, 29 April 2019</w:t>
            </w:r>
          </w:p>
        </w:tc>
      </w:tr>
      <w:tr w:rsidR="001E1860" w:rsidRPr="00E3331A" w:rsidTr="00493DDF">
        <w:trPr>
          <w:trHeight w:val="255"/>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GP Consultations</w:t>
            </w:r>
          </w:p>
        </w:tc>
        <w:tc>
          <w:tcPr>
            <w:tcW w:w="922"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$34.9</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2.00</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$69.8</w:t>
            </w:r>
          </w:p>
        </w:tc>
        <w:tc>
          <w:tcPr>
            <w:tcW w:w="2740"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MBS 23. Professional attendance by a general practitioner at consulting rooms</w:t>
            </w:r>
          </w:p>
        </w:tc>
      </w:tr>
      <w:tr w:rsidR="001E1860" w:rsidRPr="00E3331A" w:rsidTr="00493DDF">
        <w:trPr>
          <w:trHeight w:val="255"/>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Neurologist Specialist Consultations</w:t>
            </w:r>
          </w:p>
        </w:tc>
        <w:tc>
          <w:tcPr>
            <w:tcW w:w="922"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$136.3</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8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$136.3</w:t>
            </w:r>
          </w:p>
        </w:tc>
        <w:tc>
          <w:tcPr>
            <w:tcW w:w="2740"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 xml:space="preserve"> MBS 132 for initial then MBS 133 (professional attendance of at least 20 minutes’ duration subsequent to the first attendance) for subsequent visits</w:t>
            </w:r>
          </w:p>
        </w:tc>
      </w:tr>
      <w:tr w:rsidR="001E1860" w:rsidRPr="00E3331A" w:rsidTr="00067F8C">
        <w:trPr>
          <w:trHeight w:val="255"/>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Neuro muscular electro diagnosis</w:t>
            </w:r>
          </w:p>
        </w:tc>
        <w:tc>
          <w:tcPr>
            <w:tcW w:w="922"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$227.6</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8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$227.6</w:t>
            </w:r>
          </w:p>
        </w:tc>
        <w:tc>
          <w:tcPr>
            <w:tcW w:w="2740"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MBS 11018. Neuro muscular electro diagnosis, 4 or more nerves</w:t>
            </w:r>
          </w:p>
        </w:tc>
      </w:tr>
      <w:tr w:rsidR="001E1860" w:rsidRPr="00E3331A" w:rsidTr="00493DDF">
        <w:trPr>
          <w:trHeight w:val="255"/>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Subtotal</w:t>
            </w:r>
          </w:p>
        </w:tc>
        <w:tc>
          <w:tcPr>
            <w:tcW w:w="922" w:type="dxa"/>
            <w:tcBorders>
              <w:top w:val="nil"/>
              <w:left w:val="nil"/>
              <w:bottom w:val="single" w:sz="4" w:space="0" w:color="auto"/>
              <w:right w:val="single" w:sz="4" w:space="0" w:color="auto"/>
            </w:tcBorders>
            <w:shd w:val="clear" w:color="000000" w:fill="FFFFFF"/>
            <w:noWrap/>
            <w:vAlign w:val="bottom"/>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09"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8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$1,547.5</w:t>
            </w:r>
          </w:p>
        </w:tc>
        <w:tc>
          <w:tcPr>
            <w:tcW w:w="2740" w:type="dxa"/>
            <w:tcBorders>
              <w:top w:val="nil"/>
              <w:left w:val="nil"/>
              <w:bottom w:val="single" w:sz="4" w:space="0" w:color="auto"/>
              <w:right w:val="single" w:sz="4" w:space="0" w:color="auto"/>
            </w:tcBorders>
            <w:shd w:val="clear" w:color="000000" w:fill="FFFFFF"/>
            <w:vAlign w:val="bottom"/>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r w:rsidR="001E1860" w:rsidRPr="00E3331A" w:rsidTr="00493DDF">
        <w:trPr>
          <w:trHeight w:val="255"/>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Subtotal per week</w:t>
            </w:r>
          </w:p>
        </w:tc>
        <w:tc>
          <w:tcPr>
            <w:tcW w:w="922" w:type="dxa"/>
            <w:tcBorders>
              <w:top w:val="nil"/>
              <w:left w:val="nil"/>
              <w:bottom w:val="single" w:sz="4" w:space="0" w:color="auto"/>
              <w:right w:val="single" w:sz="4" w:space="0" w:color="auto"/>
            </w:tcBorders>
            <w:shd w:val="clear" w:color="000000" w:fill="FFFFFF"/>
            <w:noWrap/>
            <w:vAlign w:val="bottom"/>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09"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8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$77.4</w:t>
            </w:r>
          </w:p>
        </w:tc>
        <w:tc>
          <w:tcPr>
            <w:tcW w:w="2740" w:type="dxa"/>
            <w:tcBorders>
              <w:top w:val="nil"/>
              <w:left w:val="nil"/>
              <w:bottom w:val="single" w:sz="4" w:space="0" w:color="auto"/>
              <w:right w:val="single" w:sz="4" w:space="0" w:color="auto"/>
            </w:tcBorders>
            <w:shd w:val="clear" w:color="000000" w:fill="FFFFFF"/>
            <w:vAlign w:val="bottom"/>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r w:rsidR="00053F32" w:rsidRPr="00E3331A" w:rsidTr="0007007F">
        <w:trPr>
          <w:trHeight w:val="510"/>
        </w:trPr>
        <w:tc>
          <w:tcPr>
            <w:tcW w:w="9016" w:type="dxa"/>
            <w:gridSpan w:val="7"/>
            <w:tcBorders>
              <w:top w:val="nil"/>
              <w:left w:val="single" w:sz="4" w:space="0" w:color="auto"/>
              <w:bottom w:val="single" w:sz="4" w:space="0" w:color="auto"/>
              <w:right w:val="single" w:sz="4" w:space="0" w:color="auto"/>
            </w:tcBorders>
            <w:shd w:val="clear" w:color="auto" w:fill="D9D9D9"/>
            <w:vAlign w:val="center"/>
            <w:hideMark/>
          </w:tcPr>
          <w:p w:rsidR="00053F32" w:rsidRPr="00E3331A" w:rsidRDefault="00053F32" w:rsidP="00053F32">
            <w:pPr>
              <w:rPr>
                <w:rFonts w:ascii="Arial Narrow" w:hAnsi="Arial Narrow" w:cs="Calibri"/>
                <w:b/>
                <w:bCs/>
                <w:color w:val="FFFFFF"/>
                <w:sz w:val="20"/>
                <w:szCs w:val="20"/>
              </w:rPr>
            </w:pPr>
            <w:r w:rsidRPr="00E3331A">
              <w:rPr>
                <w:rFonts w:ascii="Arial Narrow" w:hAnsi="Arial Narrow" w:cs="Calibri"/>
                <w:b/>
                <w:bCs/>
                <w:sz w:val="20"/>
                <w:szCs w:val="20"/>
              </w:rPr>
              <w:lastRenderedPageBreak/>
              <w:t>Corticosteroids No AE—following 24-52 weeks</w:t>
            </w:r>
          </w:p>
        </w:tc>
      </w:tr>
      <w:tr w:rsidR="001E1860" w:rsidRPr="00E3331A" w:rsidTr="00493DDF">
        <w:trPr>
          <w:trHeight w:val="510"/>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1E1860" w:rsidRPr="00E3331A" w:rsidRDefault="001E1860" w:rsidP="001E1860">
            <w:pPr>
              <w:rPr>
                <w:rFonts w:ascii="Arial Narrow" w:hAnsi="Arial Narrow" w:cs="Calibri"/>
                <w:sz w:val="20"/>
                <w:szCs w:val="20"/>
              </w:rPr>
            </w:pPr>
            <w:r w:rsidRPr="00E3331A">
              <w:rPr>
                <w:rFonts w:ascii="Arial Narrow" w:hAnsi="Arial Narrow" w:cs="Calibri"/>
                <w:sz w:val="20"/>
                <w:szCs w:val="20"/>
              </w:rPr>
              <w:t>Pantoprazole 40mg enteric tablet, 30</w:t>
            </w:r>
          </w:p>
        </w:tc>
        <w:tc>
          <w:tcPr>
            <w:tcW w:w="922"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sz w:val="20"/>
                <w:szCs w:val="20"/>
              </w:rPr>
            </w:pPr>
            <w:r w:rsidRPr="00E3331A">
              <w:rPr>
                <w:rFonts w:ascii="Arial Narrow" w:hAnsi="Arial Narrow" w:cs="Calibri"/>
                <w:sz w:val="20"/>
                <w:szCs w:val="20"/>
              </w:rPr>
              <w:t>PBS</w:t>
            </w:r>
          </w:p>
        </w:tc>
        <w:tc>
          <w:tcPr>
            <w:tcW w:w="909" w:type="dxa"/>
            <w:tcBorders>
              <w:top w:val="nil"/>
              <w:left w:val="nil"/>
              <w:bottom w:val="single" w:sz="4" w:space="0" w:color="auto"/>
              <w:right w:val="single" w:sz="4" w:space="0" w:color="auto"/>
            </w:tcBorders>
            <w:shd w:val="clear" w:color="auto" w:fill="auto"/>
            <w:noWrap/>
            <w:vAlign w:val="center"/>
            <w:hideMark/>
          </w:tcPr>
          <w:p w:rsidR="001E1860" w:rsidRPr="00E3331A" w:rsidRDefault="001E1860" w:rsidP="001E1860">
            <w:pPr>
              <w:jc w:val="center"/>
              <w:rPr>
                <w:rFonts w:ascii="Arial Narrow" w:hAnsi="Arial Narrow" w:cs="Calibri"/>
                <w:sz w:val="20"/>
                <w:szCs w:val="20"/>
              </w:rPr>
            </w:pPr>
            <w:r w:rsidRPr="00E3331A">
              <w:rPr>
                <w:rFonts w:ascii="Arial Narrow" w:hAnsi="Arial Narrow" w:cs="Calibri"/>
                <w:sz w:val="20"/>
                <w:szCs w:val="20"/>
              </w:rPr>
              <w:t>$13.9</w:t>
            </w:r>
          </w:p>
        </w:tc>
        <w:tc>
          <w:tcPr>
            <w:tcW w:w="918" w:type="dxa"/>
            <w:tcBorders>
              <w:top w:val="nil"/>
              <w:left w:val="nil"/>
              <w:bottom w:val="single" w:sz="4" w:space="0" w:color="auto"/>
              <w:right w:val="single" w:sz="4" w:space="0" w:color="auto"/>
            </w:tcBorders>
            <w:shd w:val="clear" w:color="auto" w:fill="auto"/>
            <w:noWrap/>
            <w:vAlign w:val="center"/>
            <w:hideMark/>
          </w:tcPr>
          <w:p w:rsidR="001E1860" w:rsidRPr="00E3331A" w:rsidRDefault="001E1860" w:rsidP="001E1860">
            <w:pPr>
              <w:jc w:val="center"/>
              <w:rPr>
                <w:rFonts w:ascii="Arial Narrow" w:hAnsi="Arial Narrow" w:cs="Calibri"/>
                <w:sz w:val="20"/>
                <w:szCs w:val="20"/>
              </w:rPr>
            </w:pPr>
            <w:r w:rsidRPr="00E3331A">
              <w:rPr>
                <w:rFonts w:ascii="Arial Narrow" w:hAnsi="Arial Narrow" w:cs="Calibri"/>
                <w:sz w:val="20"/>
                <w:szCs w:val="20"/>
              </w:rPr>
              <w:t>196</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$90.7</w:t>
            </w:r>
          </w:p>
        </w:tc>
        <w:tc>
          <w:tcPr>
            <w:tcW w:w="2740" w:type="dxa"/>
            <w:tcBorders>
              <w:top w:val="nil"/>
              <w:left w:val="nil"/>
              <w:bottom w:val="single" w:sz="4" w:space="0" w:color="auto"/>
              <w:right w:val="single" w:sz="4" w:space="0" w:color="auto"/>
            </w:tcBorders>
            <w:shd w:val="clear" w:color="auto" w:fill="auto"/>
            <w:vAlign w:val="bottom"/>
            <w:hideMark/>
          </w:tcPr>
          <w:p w:rsidR="001E1860" w:rsidRPr="00E3331A" w:rsidRDefault="001E1860" w:rsidP="001E1860">
            <w:pPr>
              <w:rPr>
                <w:rFonts w:ascii="Arial Narrow" w:hAnsi="Arial Narrow" w:cs="Calibri"/>
                <w:sz w:val="20"/>
                <w:szCs w:val="20"/>
              </w:rPr>
            </w:pPr>
            <w:r w:rsidRPr="00E3331A">
              <w:rPr>
                <w:rFonts w:ascii="Arial Narrow" w:hAnsi="Arial Narrow" w:cs="Calibri"/>
                <w:sz w:val="20"/>
                <w:szCs w:val="20"/>
              </w:rPr>
              <w:t>40mg per day while on treatment PBAC 8007K (40mg tablet, 30), https://www.pbs.gov.au/medicine, 29 April 2019</w:t>
            </w:r>
          </w:p>
        </w:tc>
      </w:tr>
      <w:tr w:rsidR="001E1860" w:rsidRPr="00E3331A" w:rsidTr="00067F8C">
        <w:trPr>
          <w:trHeight w:val="510"/>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Prednisolone PBAC 1917X (5mg tablet, 60). Number of tablets</w:t>
            </w:r>
          </w:p>
        </w:tc>
        <w:tc>
          <w:tcPr>
            <w:tcW w:w="922"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PBS</w:t>
            </w:r>
          </w:p>
        </w:tc>
        <w:tc>
          <w:tcPr>
            <w:tcW w:w="909"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$14.3</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196.00</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$46.8</w:t>
            </w:r>
          </w:p>
        </w:tc>
        <w:tc>
          <w:tcPr>
            <w:tcW w:w="2740" w:type="dxa"/>
            <w:tcBorders>
              <w:top w:val="nil"/>
              <w:left w:val="nil"/>
              <w:bottom w:val="single" w:sz="4" w:space="0" w:color="auto"/>
              <w:right w:val="single" w:sz="4" w:space="0" w:color="auto"/>
            </w:tcBorders>
            <w:shd w:val="clear" w:color="000000" w:fill="FFFFFF"/>
            <w:vAlign w:val="bottom"/>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5mg per day. PBAC 1917X (5mg tablet, 60), https://www.pbs.gov.au/medicine, 29 April 2019</w:t>
            </w:r>
          </w:p>
        </w:tc>
      </w:tr>
      <w:tr w:rsidR="001E1860" w:rsidRPr="00E3331A" w:rsidTr="00067F8C">
        <w:trPr>
          <w:trHeight w:val="510"/>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Prednisolone PBAC 1916W (25mg tablet, 30). Number of tablets</w:t>
            </w:r>
          </w:p>
        </w:tc>
        <w:tc>
          <w:tcPr>
            <w:tcW w:w="922"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PBS</w:t>
            </w:r>
          </w:p>
        </w:tc>
        <w:tc>
          <w:tcPr>
            <w:tcW w:w="909"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$15.6</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0.00</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$0.0</w:t>
            </w:r>
          </w:p>
        </w:tc>
        <w:tc>
          <w:tcPr>
            <w:tcW w:w="2740" w:type="dxa"/>
            <w:tcBorders>
              <w:top w:val="nil"/>
              <w:left w:val="nil"/>
              <w:bottom w:val="single" w:sz="4" w:space="0" w:color="auto"/>
              <w:right w:val="single" w:sz="4" w:space="0" w:color="auto"/>
            </w:tcBorders>
            <w:shd w:val="clear" w:color="000000" w:fill="FFFFFF"/>
            <w:vAlign w:val="bottom"/>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PBAC 1916W (25mg tablet, 30), https://www.pbs.gov.au/medicine, 29 April 2019</w:t>
            </w:r>
          </w:p>
        </w:tc>
      </w:tr>
      <w:tr w:rsidR="001E1860" w:rsidRPr="00E3331A" w:rsidTr="00067F8C">
        <w:trPr>
          <w:trHeight w:val="510"/>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Alendronate 70mg + colecalciferol 140ug PBAC 2224C</w:t>
            </w:r>
          </w:p>
        </w:tc>
        <w:tc>
          <w:tcPr>
            <w:tcW w:w="922"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PBS</w:t>
            </w:r>
          </w:p>
        </w:tc>
        <w:tc>
          <w:tcPr>
            <w:tcW w:w="909"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$18.2</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28.00</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$127.3</w:t>
            </w:r>
          </w:p>
        </w:tc>
        <w:tc>
          <w:tcPr>
            <w:tcW w:w="2740" w:type="dxa"/>
            <w:tcBorders>
              <w:top w:val="nil"/>
              <w:left w:val="nil"/>
              <w:bottom w:val="single" w:sz="4" w:space="0" w:color="auto"/>
              <w:right w:val="single" w:sz="4" w:space="0" w:color="auto"/>
            </w:tcBorders>
            <w:shd w:val="clear" w:color="000000" w:fill="FFFFFF"/>
            <w:vAlign w:val="bottom"/>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PBAC 2224C, https://www.pbs.gov.au/medicine, 29 April 2019</w:t>
            </w:r>
          </w:p>
        </w:tc>
      </w:tr>
      <w:tr w:rsidR="001E1860" w:rsidRPr="00E3331A" w:rsidTr="00493DDF">
        <w:trPr>
          <w:trHeight w:val="255"/>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GP Consultations</w:t>
            </w:r>
          </w:p>
        </w:tc>
        <w:tc>
          <w:tcPr>
            <w:tcW w:w="922"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$34.9</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3.00</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$104.7</w:t>
            </w:r>
          </w:p>
        </w:tc>
        <w:tc>
          <w:tcPr>
            <w:tcW w:w="2740" w:type="dxa"/>
            <w:tcBorders>
              <w:top w:val="nil"/>
              <w:left w:val="nil"/>
              <w:bottom w:val="single" w:sz="4" w:space="0" w:color="auto"/>
              <w:right w:val="single" w:sz="4" w:space="0" w:color="auto"/>
            </w:tcBorders>
            <w:shd w:val="clear" w:color="000000" w:fill="FFFFFF"/>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MBS 23. Professional attendance by a general practitioner at consulting rooms</w:t>
            </w:r>
          </w:p>
        </w:tc>
      </w:tr>
      <w:tr w:rsidR="001E1860" w:rsidRPr="00E3331A" w:rsidTr="00493DDF">
        <w:trPr>
          <w:trHeight w:val="255"/>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Neurologist Specialist Consultations</w:t>
            </w:r>
          </w:p>
        </w:tc>
        <w:tc>
          <w:tcPr>
            <w:tcW w:w="922"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$136.3</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8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$136.3</w:t>
            </w:r>
          </w:p>
        </w:tc>
        <w:tc>
          <w:tcPr>
            <w:tcW w:w="2740" w:type="dxa"/>
            <w:tcBorders>
              <w:top w:val="nil"/>
              <w:left w:val="nil"/>
              <w:bottom w:val="single" w:sz="4" w:space="0" w:color="auto"/>
              <w:right w:val="single" w:sz="4" w:space="0" w:color="auto"/>
            </w:tcBorders>
            <w:shd w:val="clear" w:color="000000" w:fill="FFFFFF"/>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MBS 116. Professional attendance at consulting rooms or hospital</w:t>
            </w:r>
          </w:p>
        </w:tc>
      </w:tr>
      <w:tr w:rsidR="001E1860" w:rsidRPr="00E3331A" w:rsidTr="00493DDF">
        <w:trPr>
          <w:trHeight w:val="255"/>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DEXA Scan</w:t>
            </w:r>
          </w:p>
        </w:tc>
        <w:tc>
          <w:tcPr>
            <w:tcW w:w="922"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$102.4</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$102.4</w:t>
            </w:r>
          </w:p>
        </w:tc>
        <w:tc>
          <w:tcPr>
            <w:tcW w:w="2740" w:type="dxa"/>
            <w:tcBorders>
              <w:top w:val="nil"/>
              <w:left w:val="nil"/>
              <w:bottom w:val="single" w:sz="4" w:space="0" w:color="auto"/>
              <w:right w:val="single" w:sz="4" w:space="0" w:color="auto"/>
            </w:tcBorders>
            <w:shd w:val="clear" w:color="000000" w:fill="FFFFFF"/>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MBS 12321. Bone densitometry, using dual energy X</w:t>
            </w:r>
            <w:r w:rsidRPr="00E3331A">
              <w:rPr>
                <w:rFonts w:ascii="Arial Narrow" w:hAnsi="Arial Narrow" w:cs="Calibri"/>
                <w:color w:val="000000"/>
                <w:sz w:val="20"/>
                <w:szCs w:val="20"/>
              </w:rPr>
              <w:noBreakHyphen/>
              <w:t>ray absorptiometry</w:t>
            </w:r>
          </w:p>
        </w:tc>
      </w:tr>
      <w:tr w:rsidR="001E1860" w:rsidRPr="00E3331A" w:rsidTr="00493DDF">
        <w:trPr>
          <w:trHeight w:val="510"/>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Liver Function, Urea, Electrolytes, Creatinine Tests</w:t>
            </w:r>
          </w:p>
        </w:tc>
        <w:tc>
          <w:tcPr>
            <w:tcW w:w="922"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$17.1</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3.00</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$51.3</w:t>
            </w:r>
          </w:p>
        </w:tc>
        <w:tc>
          <w:tcPr>
            <w:tcW w:w="2740"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MBS 66512. Liver function tests, Urea, Electrolytes, Creatinine</w:t>
            </w:r>
          </w:p>
        </w:tc>
      </w:tr>
      <w:tr w:rsidR="001E1860" w:rsidRPr="00E3331A" w:rsidTr="00493DDF">
        <w:trPr>
          <w:trHeight w:val="765"/>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Full Blood Examination</w:t>
            </w:r>
          </w:p>
        </w:tc>
        <w:tc>
          <w:tcPr>
            <w:tcW w:w="922"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$17.0</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3.00</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8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$50.9</w:t>
            </w:r>
          </w:p>
        </w:tc>
        <w:tc>
          <w:tcPr>
            <w:tcW w:w="2740"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 xml:space="preserve">MBS 65070. </w:t>
            </w:r>
          </w:p>
        </w:tc>
      </w:tr>
      <w:tr w:rsidR="001E1860" w:rsidRPr="00E3331A" w:rsidTr="00493DDF">
        <w:trPr>
          <w:trHeight w:val="255"/>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Test for Open Angle Glaucoma</w:t>
            </w:r>
          </w:p>
        </w:tc>
        <w:tc>
          <w:tcPr>
            <w:tcW w:w="922"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$40.8</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5%</w:t>
            </w:r>
          </w:p>
        </w:tc>
        <w:tc>
          <w:tcPr>
            <w:tcW w:w="8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$2.0</w:t>
            </w:r>
          </w:p>
        </w:tc>
        <w:tc>
          <w:tcPr>
            <w:tcW w:w="2740" w:type="dxa"/>
            <w:tcBorders>
              <w:top w:val="nil"/>
              <w:left w:val="nil"/>
              <w:bottom w:val="single" w:sz="4" w:space="0" w:color="auto"/>
              <w:right w:val="single" w:sz="4" w:space="0" w:color="auto"/>
            </w:tcBorders>
            <w:shd w:val="clear" w:color="000000" w:fill="FFFFFF"/>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MBS 11200. Glaucoma test</w:t>
            </w:r>
          </w:p>
        </w:tc>
      </w:tr>
      <w:tr w:rsidR="001E1860" w:rsidRPr="00E3331A" w:rsidTr="00493DDF">
        <w:trPr>
          <w:trHeight w:val="510"/>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lastRenderedPageBreak/>
              <w:t>Test for Diabetes</w:t>
            </w:r>
          </w:p>
        </w:tc>
        <w:tc>
          <w:tcPr>
            <w:tcW w:w="922"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$16.8</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3.00</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50%</w:t>
            </w:r>
          </w:p>
        </w:tc>
        <w:tc>
          <w:tcPr>
            <w:tcW w:w="8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$25.2</w:t>
            </w:r>
          </w:p>
        </w:tc>
        <w:tc>
          <w:tcPr>
            <w:tcW w:w="2740" w:type="dxa"/>
            <w:tcBorders>
              <w:top w:val="nil"/>
              <w:left w:val="nil"/>
              <w:bottom w:val="single" w:sz="4" w:space="0" w:color="auto"/>
              <w:right w:val="single" w:sz="4" w:space="0" w:color="auto"/>
            </w:tcBorders>
            <w:shd w:val="clear" w:color="000000" w:fill="FFFFFF"/>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MBS 66841. Quantitation of HbA1c</w:t>
            </w:r>
          </w:p>
        </w:tc>
      </w:tr>
      <w:tr w:rsidR="001E1860" w:rsidRPr="00E3331A" w:rsidTr="00493DDF">
        <w:trPr>
          <w:trHeight w:val="255"/>
        </w:trPr>
        <w:tc>
          <w:tcPr>
            <w:tcW w:w="161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Neuro Muscular Electro Diagnosis</w:t>
            </w:r>
          </w:p>
        </w:tc>
        <w:tc>
          <w:tcPr>
            <w:tcW w:w="922"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09"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$227.6</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8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$227.6</w:t>
            </w:r>
          </w:p>
        </w:tc>
        <w:tc>
          <w:tcPr>
            <w:tcW w:w="2740" w:type="dxa"/>
            <w:tcBorders>
              <w:top w:val="nil"/>
              <w:left w:val="nil"/>
              <w:bottom w:val="single" w:sz="4" w:space="0" w:color="auto"/>
              <w:right w:val="single" w:sz="4" w:space="0" w:color="auto"/>
            </w:tcBorders>
            <w:shd w:val="clear" w:color="000000" w:fill="FFFFFF"/>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MBS 11018. Neuro muscular electro diagnosis</w:t>
            </w:r>
          </w:p>
        </w:tc>
      </w:tr>
      <w:tr w:rsidR="001E1860" w:rsidRPr="00E3331A" w:rsidTr="00067F8C">
        <w:trPr>
          <w:trHeight w:val="255"/>
        </w:trPr>
        <w:tc>
          <w:tcPr>
            <w:tcW w:w="1617" w:type="dxa"/>
            <w:tcBorders>
              <w:top w:val="nil"/>
              <w:left w:val="single" w:sz="4" w:space="0" w:color="auto"/>
              <w:bottom w:val="single" w:sz="4" w:space="0" w:color="auto"/>
              <w:right w:val="single" w:sz="4" w:space="0" w:color="auto"/>
            </w:tcBorders>
            <w:shd w:val="clear" w:color="auto" w:fill="D9D9D9"/>
            <w:vAlign w:val="center"/>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Subtotal</w:t>
            </w:r>
          </w:p>
        </w:tc>
        <w:tc>
          <w:tcPr>
            <w:tcW w:w="922" w:type="dxa"/>
            <w:tcBorders>
              <w:top w:val="nil"/>
              <w:left w:val="nil"/>
              <w:bottom w:val="single" w:sz="4" w:space="0" w:color="auto"/>
              <w:right w:val="single" w:sz="4" w:space="0" w:color="auto"/>
            </w:tcBorders>
            <w:shd w:val="clear" w:color="auto" w:fill="D9D9D9"/>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09" w:type="dxa"/>
            <w:tcBorders>
              <w:top w:val="nil"/>
              <w:left w:val="nil"/>
              <w:bottom w:val="single" w:sz="4" w:space="0" w:color="auto"/>
              <w:right w:val="single" w:sz="4" w:space="0" w:color="auto"/>
            </w:tcBorders>
            <w:shd w:val="clear" w:color="auto" w:fill="D9D9D9"/>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18" w:type="dxa"/>
            <w:tcBorders>
              <w:top w:val="nil"/>
              <w:left w:val="nil"/>
              <w:bottom w:val="single" w:sz="4" w:space="0" w:color="auto"/>
              <w:right w:val="single" w:sz="4" w:space="0" w:color="auto"/>
            </w:tcBorders>
            <w:shd w:val="clear" w:color="auto" w:fill="D9D9D9"/>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055" w:type="dxa"/>
            <w:tcBorders>
              <w:top w:val="nil"/>
              <w:left w:val="nil"/>
              <w:bottom w:val="single" w:sz="4" w:space="0" w:color="auto"/>
              <w:right w:val="single" w:sz="4" w:space="0" w:color="auto"/>
            </w:tcBorders>
            <w:shd w:val="clear" w:color="auto" w:fill="D9D9D9"/>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855" w:type="dxa"/>
            <w:tcBorders>
              <w:top w:val="nil"/>
              <w:left w:val="nil"/>
              <w:bottom w:val="single" w:sz="4" w:space="0" w:color="auto"/>
              <w:right w:val="single" w:sz="4" w:space="0" w:color="auto"/>
            </w:tcBorders>
            <w:shd w:val="clear" w:color="auto" w:fill="D9D9D9"/>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$965.0</w:t>
            </w:r>
          </w:p>
        </w:tc>
        <w:tc>
          <w:tcPr>
            <w:tcW w:w="2740" w:type="dxa"/>
            <w:tcBorders>
              <w:top w:val="nil"/>
              <w:left w:val="nil"/>
              <w:bottom w:val="single" w:sz="4" w:space="0" w:color="auto"/>
              <w:right w:val="single" w:sz="4" w:space="0" w:color="auto"/>
            </w:tcBorders>
            <w:shd w:val="clear" w:color="auto" w:fill="D9D9D9"/>
            <w:vAlign w:val="center"/>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r w:rsidR="00053F32" w:rsidRPr="00E3331A" w:rsidTr="00067F8C">
        <w:trPr>
          <w:trHeight w:val="255"/>
        </w:trPr>
        <w:tc>
          <w:tcPr>
            <w:tcW w:w="1617" w:type="dxa"/>
            <w:tcBorders>
              <w:top w:val="nil"/>
              <w:left w:val="single" w:sz="4" w:space="0" w:color="auto"/>
              <w:bottom w:val="single" w:sz="4" w:space="0" w:color="auto"/>
              <w:right w:val="single" w:sz="4" w:space="0" w:color="auto"/>
            </w:tcBorders>
            <w:shd w:val="clear" w:color="auto" w:fill="D9D9D9"/>
            <w:vAlign w:val="center"/>
            <w:hideMark/>
          </w:tcPr>
          <w:p w:rsidR="00053F32" w:rsidRPr="00E3331A" w:rsidRDefault="00053F32" w:rsidP="00053F32">
            <w:pPr>
              <w:rPr>
                <w:rFonts w:ascii="Arial Narrow" w:hAnsi="Arial Narrow" w:cs="Calibri"/>
                <w:b/>
                <w:bCs/>
                <w:color w:val="000000"/>
                <w:sz w:val="20"/>
                <w:szCs w:val="20"/>
              </w:rPr>
            </w:pPr>
            <w:r w:rsidRPr="00E3331A">
              <w:rPr>
                <w:rFonts w:ascii="Arial Narrow" w:hAnsi="Arial Narrow" w:cs="Calibri"/>
                <w:b/>
                <w:bCs/>
                <w:color w:val="000000"/>
                <w:sz w:val="20"/>
                <w:szCs w:val="20"/>
              </w:rPr>
              <w:t>Total per year</w:t>
            </w:r>
          </w:p>
        </w:tc>
        <w:tc>
          <w:tcPr>
            <w:tcW w:w="922" w:type="dxa"/>
            <w:tcBorders>
              <w:top w:val="nil"/>
              <w:left w:val="nil"/>
              <w:bottom w:val="single" w:sz="4" w:space="0" w:color="auto"/>
              <w:right w:val="single" w:sz="4" w:space="0" w:color="auto"/>
            </w:tcBorders>
            <w:shd w:val="clear" w:color="auto" w:fill="D9D9D9"/>
            <w:noWrap/>
            <w:vAlign w:val="center"/>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09" w:type="dxa"/>
            <w:tcBorders>
              <w:top w:val="nil"/>
              <w:left w:val="nil"/>
              <w:bottom w:val="single" w:sz="4" w:space="0" w:color="auto"/>
              <w:right w:val="single" w:sz="4" w:space="0" w:color="auto"/>
            </w:tcBorders>
            <w:shd w:val="clear" w:color="auto" w:fill="D9D9D9"/>
            <w:noWrap/>
            <w:vAlign w:val="center"/>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18" w:type="dxa"/>
            <w:tcBorders>
              <w:top w:val="nil"/>
              <w:left w:val="nil"/>
              <w:bottom w:val="single" w:sz="4" w:space="0" w:color="auto"/>
              <w:right w:val="single" w:sz="4" w:space="0" w:color="auto"/>
            </w:tcBorders>
            <w:shd w:val="clear" w:color="auto" w:fill="D9D9D9"/>
            <w:noWrap/>
            <w:vAlign w:val="center"/>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055" w:type="dxa"/>
            <w:tcBorders>
              <w:top w:val="nil"/>
              <w:left w:val="nil"/>
              <w:bottom w:val="single" w:sz="4" w:space="0" w:color="auto"/>
              <w:right w:val="single" w:sz="4" w:space="0" w:color="auto"/>
            </w:tcBorders>
            <w:shd w:val="clear" w:color="auto" w:fill="D9D9D9"/>
            <w:noWrap/>
            <w:vAlign w:val="center"/>
            <w:hideMark/>
          </w:tcPr>
          <w:p w:rsidR="00053F32" w:rsidRPr="00E3331A" w:rsidRDefault="00053F32" w:rsidP="00053F32">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855" w:type="dxa"/>
            <w:tcBorders>
              <w:top w:val="nil"/>
              <w:left w:val="nil"/>
              <w:bottom w:val="single" w:sz="4" w:space="0" w:color="auto"/>
              <w:right w:val="single" w:sz="4" w:space="0" w:color="auto"/>
            </w:tcBorders>
            <w:shd w:val="clear" w:color="auto" w:fill="D9D9D9"/>
            <w:noWrap/>
            <w:vAlign w:val="center"/>
            <w:hideMark/>
          </w:tcPr>
          <w:p w:rsidR="00053F32" w:rsidRPr="00E3331A" w:rsidRDefault="001E1860">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$3,220.4</w:t>
            </w:r>
          </w:p>
        </w:tc>
        <w:tc>
          <w:tcPr>
            <w:tcW w:w="2740" w:type="dxa"/>
            <w:tcBorders>
              <w:top w:val="nil"/>
              <w:left w:val="nil"/>
              <w:bottom w:val="single" w:sz="4" w:space="0" w:color="auto"/>
              <w:right w:val="single" w:sz="4" w:space="0" w:color="auto"/>
            </w:tcBorders>
            <w:shd w:val="clear" w:color="auto" w:fill="D9D9D9"/>
            <w:vAlign w:val="center"/>
            <w:hideMark/>
          </w:tcPr>
          <w:p w:rsidR="00053F32" w:rsidRPr="00E3331A" w:rsidRDefault="00053F32" w:rsidP="00053F32">
            <w:pPr>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bl>
    <w:p w:rsidR="001F5B33" w:rsidRPr="00E3331A" w:rsidRDefault="001F5B33" w:rsidP="001F5B33"/>
    <w:p w:rsidR="001F5B33" w:rsidRPr="00E3331A" w:rsidRDefault="004C5E7B" w:rsidP="00B30C0B">
      <w:pPr>
        <w:pStyle w:val="Heading5"/>
      </w:pPr>
      <w:r w:rsidRPr="004C5E7B">
        <w:t>Azathioprine used</w:t>
      </w:r>
      <w:r w:rsidR="00465293">
        <w:t xml:space="preserve"> as</w:t>
      </w:r>
      <w:r w:rsidRPr="004C5E7B">
        <w:t xml:space="preserve"> an </w:t>
      </w:r>
      <w:r w:rsidR="00E810A5" w:rsidRPr="004C5E7B">
        <w:t>immun</w:t>
      </w:r>
      <w:r w:rsidR="00E810A5">
        <w:t>osuppressant</w:t>
      </w:r>
      <w:r w:rsidRPr="004C5E7B">
        <w:t xml:space="preserve"> </w:t>
      </w:r>
      <w:r w:rsidR="001F5B33" w:rsidRPr="00E3331A">
        <w:t xml:space="preserve">for </w:t>
      </w:r>
      <w:r w:rsidR="005767C6" w:rsidRPr="00E3331A">
        <w:t>s</w:t>
      </w:r>
      <w:r w:rsidR="001F5B33" w:rsidRPr="00E3331A">
        <w:t xml:space="preserve">teroid </w:t>
      </w:r>
      <w:r w:rsidR="005767C6" w:rsidRPr="00E3331A">
        <w:t>n</w:t>
      </w:r>
      <w:r w:rsidR="001F5B33" w:rsidRPr="00E3331A">
        <w:t>on-</w:t>
      </w:r>
      <w:r w:rsidR="005767C6" w:rsidRPr="00E3331A">
        <w:t>r</w:t>
      </w:r>
      <w:r w:rsidR="001F5B33" w:rsidRPr="00E3331A">
        <w:t>esponders</w:t>
      </w:r>
    </w:p>
    <w:p w:rsidR="001F5B33" w:rsidRPr="00E3331A" w:rsidRDefault="001F5B33" w:rsidP="00B30C0B">
      <w:pPr>
        <w:pStyle w:val="BodyTextSTD"/>
      </w:pPr>
      <w:r w:rsidRPr="00E3331A">
        <w:t xml:space="preserve">Immunosuppressants </w:t>
      </w:r>
      <w:r w:rsidRPr="00E3331A">
        <w:rPr>
          <w:noProof/>
        </w:rPr>
        <w:t xml:space="preserve">are generally used with </w:t>
      </w:r>
      <w:r w:rsidR="00E810A5" w:rsidRPr="00E3331A">
        <w:t>corticosteroids or</w:t>
      </w:r>
      <w:r w:rsidRPr="00E3331A">
        <w:t xml:space="preserve"> following tapering of steroid dosage. They are included in the economic model for corticosteroid non-responders on both arms of the model. The annual cost of an </w:t>
      </w:r>
      <w:r w:rsidR="00A37A21" w:rsidRPr="00E3331A">
        <w:t>a</w:t>
      </w:r>
      <w:r w:rsidRPr="00E3331A">
        <w:t>zathioprine regimen, including service delivery, is estimated to be $2,</w:t>
      </w:r>
      <w:r w:rsidR="001E1860" w:rsidRPr="00E3331A">
        <w:t>603</w:t>
      </w:r>
      <w:r w:rsidRPr="00E3331A">
        <w:t xml:space="preserve">. Costs are presented in </w:t>
      </w:r>
      <w:r w:rsidR="006F35B9" w:rsidRPr="00E3331A">
        <w:t xml:space="preserve">Table </w:t>
      </w:r>
      <w:r w:rsidR="006F35B9">
        <w:rPr>
          <w:noProof/>
        </w:rPr>
        <w:t>73</w:t>
      </w:r>
      <w:r w:rsidRPr="00E3331A">
        <w:t>.</w:t>
      </w:r>
    </w:p>
    <w:p w:rsidR="001F5B33" w:rsidRPr="00E3331A" w:rsidRDefault="001F5B33" w:rsidP="001F5B33">
      <w:pPr>
        <w:pStyle w:val="Caption"/>
      </w:pPr>
      <w:bookmarkStart w:id="452" w:name="_Ref8666459"/>
      <w:bookmarkStart w:id="453" w:name="_Toc24103379"/>
      <w:r w:rsidRPr="00E3331A">
        <w:t xml:space="preserve">Table </w:t>
      </w:r>
      <w:r w:rsidR="006F35B9">
        <w:rPr>
          <w:noProof/>
        </w:rPr>
        <w:t>73</w:t>
      </w:r>
      <w:bookmarkEnd w:id="452"/>
      <w:r w:rsidR="00A37A21" w:rsidRPr="00E3331A">
        <w:tab/>
      </w:r>
      <w:r w:rsidRPr="00E3331A">
        <w:t xml:space="preserve">Costs of </w:t>
      </w:r>
      <w:r w:rsidR="004C5E7B" w:rsidRPr="004C5E7B">
        <w:t>Azathioprine</w:t>
      </w:r>
      <w:r w:rsidR="004C5E7B">
        <w:t xml:space="preserve"> regimen</w:t>
      </w:r>
      <w:r w:rsidRPr="00E3331A">
        <w:t xml:space="preserve"> for steroid non-responders</w:t>
      </w:r>
      <w:bookmarkEnd w:id="453"/>
    </w:p>
    <w:tbl>
      <w:tblPr>
        <w:tblW w:w="0" w:type="auto"/>
        <w:tblLayout w:type="fixed"/>
        <w:tblLook w:val="04A0" w:firstRow="1" w:lastRow="0" w:firstColumn="1" w:lastColumn="0" w:noHBand="0" w:noVBand="1"/>
      </w:tblPr>
      <w:tblGrid>
        <w:gridCol w:w="1369"/>
        <w:gridCol w:w="1036"/>
        <w:gridCol w:w="851"/>
        <w:gridCol w:w="850"/>
        <w:gridCol w:w="1134"/>
        <w:gridCol w:w="1134"/>
        <w:gridCol w:w="2642"/>
      </w:tblGrid>
      <w:tr w:rsidR="001F5B33" w:rsidRPr="00E3331A" w:rsidTr="0007007F">
        <w:trPr>
          <w:trHeight w:val="765"/>
          <w:tblHeader/>
        </w:trPr>
        <w:tc>
          <w:tcPr>
            <w:tcW w:w="13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F5B33" w:rsidRPr="00E3331A" w:rsidRDefault="001F5B33" w:rsidP="00B30C0B">
            <w:pPr>
              <w:keepNext/>
              <w:jc w:val="center"/>
              <w:rPr>
                <w:rFonts w:ascii="Arial Narrow" w:hAnsi="Arial Narrow" w:cs="Calibri"/>
                <w:b/>
                <w:bCs/>
                <w:sz w:val="20"/>
                <w:szCs w:val="20"/>
              </w:rPr>
            </w:pPr>
            <w:r w:rsidRPr="00E3331A">
              <w:rPr>
                <w:rFonts w:ascii="Arial Narrow" w:hAnsi="Arial Narrow" w:cs="Calibri"/>
                <w:b/>
                <w:bCs/>
                <w:sz w:val="20"/>
                <w:szCs w:val="20"/>
              </w:rPr>
              <w:t>MBS Item</w:t>
            </w:r>
          </w:p>
        </w:tc>
        <w:tc>
          <w:tcPr>
            <w:tcW w:w="1036" w:type="dxa"/>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B30C0B">
            <w:pPr>
              <w:keepNext/>
              <w:jc w:val="center"/>
              <w:rPr>
                <w:rFonts w:ascii="Arial Narrow" w:hAnsi="Arial Narrow" w:cs="Calibri"/>
                <w:b/>
                <w:bCs/>
                <w:sz w:val="20"/>
                <w:szCs w:val="20"/>
              </w:rPr>
            </w:pPr>
            <w:r w:rsidRPr="00E3331A">
              <w:rPr>
                <w:rFonts w:ascii="Arial Narrow" w:hAnsi="Arial Narrow" w:cs="Calibri"/>
                <w:b/>
                <w:bCs/>
                <w:sz w:val="20"/>
                <w:szCs w:val="20"/>
              </w:rPr>
              <w:t xml:space="preserve">Provider </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B30C0B">
            <w:pPr>
              <w:keepNext/>
              <w:jc w:val="center"/>
              <w:rPr>
                <w:rFonts w:ascii="Arial Narrow" w:hAnsi="Arial Narrow" w:cs="Calibri"/>
                <w:b/>
                <w:bCs/>
                <w:sz w:val="20"/>
                <w:szCs w:val="20"/>
              </w:rPr>
            </w:pPr>
            <w:r w:rsidRPr="00E3331A">
              <w:rPr>
                <w:rFonts w:ascii="Arial Narrow" w:hAnsi="Arial Narrow" w:cs="Calibri"/>
                <w:b/>
                <w:bCs/>
                <w:sz w:val="20"/>
                <w:szCs w:val="20"/>
              </w:rPr>
              <w:t xml:space="preserve">Price per unit </w:t>
            </w:r>
            <w:r w:rsidR="001E1860" w:rsidRPr="00E3331A">
              <w:rPr>
                <w:rFonts w:ascii="Arial Narrow" w:hAnsi="Arial Narrow" w:cs="Calibri"/>
                <w:b/>
                <w:bCs/>
                <w:sz w:val="20"/>
                <w:szCs w:val="20"/>
              </w:rPr>
              <w:t>(AU$)</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B30C0B">
            <w:pPr>
              <w:keepNext/>
              <w:jc w:val="center"/>
              <w:rPr>
                <w:rFonts w:ascii="Arial Narrow" w:hAnsi="Arial Narrow" w:cs="Calibri"/>
                <w:b/>
                <w:bCs/>
                <w:sz w:val="20"/>
                <w:szCs w:val="20"/>
              </w:rPr>
            </w:pPr>
            <w:r w:rsidRPr="00E3331A">
              <w:rPr>
                <w:rFonts w:ascii="Arial Narrow" w:hAnsi="Arial Narrow" w:cs="Calibri"/>
                <w:b/>
                <w:bCs/>
                <w:sz w:val="20"/>
                <w:szCs w:val="20"/>
              </w:rPr>
              <w:t xml:space="preserve">Number </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B30C0B">
            <w:pPr>
              <w:keepNext/>
              <w:jc w:val="center"/>
              <w:rPr>
                <w:rFonts w:ascii="Arial Narrow" w:hAnsi="Arial Narrow" w:cs="Calibri"/>
                <w:b/>
                <w:bCs/>
                <w:sz w:val="20"/>
                <w:szCs w:val="20"/>
              </w:rPr>
            </w:pPr>
            <w:r w:rsidRPr="00E3331A">
              <w:rPr>
                <w:rFonts w:ascii="Arial Narrow" w:hAnsi="Arial Narrow" w:cs="Calibri"/>
                <w:b/>
                <w:bCs/>
                <w:sz w:val="20"/>
                <w:szCs w:val="20"/>
              </w:rPr>
              <w:t xml:space="preserve">Proportion availing </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rsidR="001E1860" w:rsidRPr="00E3331A" w:rsidRDefault="001F5B33">
            <w:pPr>
              <w:keepNext/>
              <w:jc w:val="center"/>
              <w:rPr>
                <w:rFonts w:ascii="Arial Narrow" w:hAnsi="Arial Narrow" w:cs="Calibri"/>
                <w:b/>
                <w:bCs/>
                <w:sz w:val="20"/>
                <w:szCs w:val="20"/>
              </w:rPr>
            </w:pPr>
            <w:r w:rsidRPr="00E3331A">
              <w:rPr>
                <w:rFonts w:ascii="Arial Narrow" w:hAnsi="Arial Narrow" w:cs="Calibri"/>
                <w:b/>
                <w:bCs/>
                <w:sz w:val="20"/>
                <w:szCs w:val="20"/>
              </w:rPr>
              <w:t>Total cost</w:t>
            </w:r>
            <w:r w:rsidR="001E1860" w:rsidRPr="00E3331A">
              <w:rPr>
                <w:rFonts w:ascii="Arial Narrow" w:hAnsi="Arial Narrow" w:cs="Calibri"/>
                <w:b/>
                <w:bCs/>
                <w:sz w:val="20"/>
                <w:szCs w:val="20"/>
              </w:rPr>
              <w:t xml:space="preserve"> (AU$)</w:t>
            </w:r>
          </w:p>
        </w:tc>
        <w:tc>
          <w:tcPr>
            <w:tcW w:w="2642" w:type="dxa"/>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B30C0B">
            <w:pPr>
              <w:keepNext/>
              <w:jc w:val="center"/>
              <w:rPr>
                <w:rFonts w:ascii="Arial Narrow" w:hAnsi="Arial Narrow" w:cs="Calibri"/>
                <w:b/>
                <w:bCs/>
                <w:sz w:val="20"/>
                <w:szCs w:val="20"/>
              </w:rPr>
            </w:pPr>
            <w:r w:rsidRPr="00E3331A">
              <w:rPr>
                <w:rFonts w:ascii="Arial Narrow" w:hAnsi="Arial Narrow" w:cs="Calibri"/>
                <w:b/>
                <w:bCs/>
                <w:sz w:val="20"/>
                <w:szCs w:val="20"/>
              </w:rPr>
              <w:t>Source</w:t>
            </w:r>
          </w:p>
        </w:tc>
      </w:tr>
      <w:tr w:rsidR="001E1860" w:rsidRPr="00E3331A" w:rsidTr="00493DDF">
        <w:trPr>
          <w:trHeight w:val="765"/>
        </w:trPr>
        <w:tc>
          <w:tcPr>
            <w:tcW w:w="1369" w:type="dxa"/>
            <w:tcBorders>
              <w:top w:val="nil"/>
              <w:left w:val="single" w:sz="4" w:space="0" w:color="auto"/>
              <w:bottom w:val="single" w:sz="4" w:space="0" w:color="auto"/>
              <w:right w:val="single" w:sz="4" w:space="0" w:color="auto"/>
            </w:tcBorders>
            <w:shd w:val="clear" w:color="000000" w:fill="FFFFFF"/>
            <w:vAlign w:val="center"/>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sz w:val="20"/>
                <w:szCs w:val="20"/>
              </w:rPr>
              <w:t>Pantoprazole 40 mg enteric tablet, 30 pack</w:t>
            </w:r>
          </w:p>
        </w:tc>
        <w:tc>
          <w:tcPr>
            <w:tcW w:w="1036" w:type="dxa"/>
            <w:tcBorders>
              <w:top w:val="nil"/>
              <w:left w:val="nil"/>
              <w:bottom w:val="single" w:sz="4" w:space="0" w:color="auto"/>
              <w:right w:val="single" w:sz="4" w:space="0" w:color="auto"/>
            </w:tcBorders>
            <w:shd w:val="clear" w:color="000000" w:fill="FFFFFF"/>
            <w:vAlign w:val="center"/>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sz w:val="20"/>
                <w:szCs w:val="20"/>
              </w:rPr>
              <w:t>PBS</w:t>
            </w:r>
          </w:p>
        </w:tc>
        <w:tc>
          <w:tcPr>
            <w:tcW w:w="851" w:type="dxa"/>
            <w:tcBorders>
              <w:top w:val="nil"/>
              <w:left w:val="nil"/>
              <w:bottom w:val="single" w:sz="4" w:space="0" w:color="auto"/>
              <w:right w:val="single" w:sz="4" w:space="0" w:color="auto"/>
            </w:tcBorders>
            <w:shd w:val="clear" w:color="000000" w:fill="FFFFFF"/>
            <w:vAlign w:val="center"/>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sz w:val="20"/>
                <w:szCs w:val="20"/>
              </w:rPr>
              <w:t>$13.9</w:t>
            </w:r>
          </w:p>
        </w:tc>
        <w:tc>
          <w:tcPr>
            <w:tcW w:w="850" w:type="dxa"/>
            <w:tcBorders>
              <w:top w:val="nil"/>
              <w:left w:val="nil"/>
              <w:bottom w:val="single" w:sz="4" w:space="0" w:color="auto"/>
              <w:right w:val="single" w:sz="4" w:space="0" w:color="auto"/>
            </w:tcBorders>
            <w:shd w:val="clear" w:color="000000" w:fill="FFFFFF"/>
            <w:vAlign w:val="center"/>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sz w:val="20"/>
                <w:szCs w:val="20"/>
              </w:rPr>
              <w:t>196</w:t>
            </w:r>
          </w:p>
        </w:tc>
        <w:tc>
          <w:tcPr>
            <w:tcW w:w="1134" w:type="dxa"/>
            <w:tcBorders>
              <w:top w:val="nil"/>
              <w:left w:val="nil"/>
              <w:bottom w:val="single" w:sz="4" w:space="0" w:color="auto"/>
              <w:right w:val="single" w:sz="4" w:space="0" w:color="auto"/>
            </w:tcBorders>
            <w:shd w:val="clear" w:color="000000" w:fill="FFFFFF"/>
            <w:vAlign w:val="center"/>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134" w:type="dxa"/>
            <w:tcBorders>
              <w:top w:val="nil"/>
              <w:left w:val="nil"/>
              <w:bottom w:val="single" w:sz="4" w:space="0" w:color="auto"/>
              <w:right w:val="single" w:sz="4" w:space="0" w:color="auto"/>
            </w:tcBorders>
            <w:shd w:val="clear" w:color="000000" w:fill="FFFFFF"/>
            <w:vAlign w:val="center"/>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$90.7</w:t>
            </w:r>
          </w:p>
        </w:tc>
        <w:tc>
          <w:tcPr>
            <w:tcW w:w="2642" w:type="dxa"/>
            <w:tcBorders>
              <w:top w:val="nil"/>
              <w:left w:val="nil"/>
              <w:bottom w:val="single" w:sz="4" w:space="0" w:color="auto"/>
              <w:right w:val="single" w:sz="4" w:space="0" w:color="auto"/>
            </w:tcBorders>
            <w:shd w:val="clear" w:color="000000" w:fill="FFFFFF"/>
            <w:vAlign w:val="center"/>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sz w:val="20"/>
                <w:szCs w:val="20"/>
              </w:rPr>
              <w:t xml:space="preserve">40 mg per day while on treatment PBS 8007K (40 mg tablet, 30), </w:t>
            </w:r>
            <w:r w:rsidRPr="009F4F4E">
              <w:rPr>
                <w:rFonts w:ascii="Arial Narrow" w:hAnsi="Arial Narrow" w:cs="Calibri"/>
                <w:sz w:val="20"/>
                <w:szCs w:val="20"/>
              </w:rPr>
              <w:t>https://www.pbs.gov.au/</w:t>
            </w:r>
            <w:r w:rsidRPr="00E3331A">
              <w:rPr>
                <w:rFonts w:ascii="Arial Narrow" w:hAnsi="Arial Narrow" w:cs="Calibri"/>
                <w:sz w:val="20"/>
                <w:szCs w:val="20"/>
              </w:rPr>
              <w:t>medicine, 29 April 2019</w:t>
            </w:r>
          </w:p>
        </w:tc>
      </w:tr>
      <w:tr w:rsidR="001E1860" w:rsidRPr="00E3331A" w:rsidTr="00493DDF">
        <w:trPr>
          <w:trHeight w:val="765"/>
        </w:trPr>
        <w:tc>
          <w:tcPr>
            <w:tcW w:w="1369"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 xml:space="preserve">Azathioprine </w:t>
            </w:r>
            <w:r w:rsidR="001E4486" w:rsidRPr="00E3331A">
              <w:rPr>
                <w:rFonts w:ascii="Arial Narrow" w:hAnsi="Arial Narrow" w:cs="Calibri"/>
                <w:color w:val="000000"/>
                <w:sz w:val="20"/>
                <w:szCs w:val="20"/>
              </w:rPr>
              <w:t>PBS</w:t>
            </w:r>
            <w:r w:rsidRPr="00E3331A">
              <w:rPr>
                <w:rFonts w:ascii="Arial Narrow" w:hAnsi="Arial Narrow" w:cs="Calibri"/>
                <w:color w:val="000000"/>
                <w:sz w:val="20"/>
                <w:szCs w:val="20"/>
              </w:rPr>
              <w:t xml:space="preserve">. 2688L (25mg tablet, 100 pack) </w:t>
            </w:r>
          </w:p>
        </w:tc>
        <w:tc>
          <w:tcPr>
            <w:tcW w:w="1036"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PBS</w:t>
            </w:r>
          </w:p>
        </w:tc>
        <w:tc>
          <w:tcPr>
            <w:tcW w:w="851"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$23.5</w:t>
            </w:r>
          </w:p>
        </w:tc>
        <w:tc>
          <w:tcPr>
            <w:tcW w:w="850"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21.90</w:t>
            </w:r>
          </w:p>
        </w:tc>
        <w:tc>
          <w:tcPr>
            <w:tcW w:w="1134"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134"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$514.4</w:t>
            </w:r>
          </w:p>
        </w:tc>
        <w:tc>
          <w:tcPr>
            <w:tcW w:w="2642"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 xml:space="preserve">150 mg day. 6 tablet per day or 2,190 tablets per year for 25mg tablets. </w:t>
            </w:r>
            <w:r w:rsidRPr="009F4F4E">
              <w:rPr>
                <w:rFonts w:ascii="Arial Narrow" w:hAnsi="Arial Narrow" w:cs="Calibri"/>
                <w:sz w:val="20"/>
                <w:szCs w:val="20"/>
              </w:rPr>
              <w:t>http://www.pbs.gov.au/</w:t>
            </w:r>
            <w:r w:rsidRPr="00E3331A">
              <w:rPr>
                <w:rFonts w:ascii="Arial Narrow" w:hAnsi="Arial Narrow" w:cs="Calibri"/>
                <w:color w:val="000000"/>
                <w:sz w:val="20"/>
                <w:szCs w:val="20"/>
              </w:rPr>
              <w:t xml:space="preserve"> medicine/item/2688L. Accessed 29 April 2019</w:t>
            </w:r>
          </w:p>
        </w:tc>
      </w:tr>
      <w:tr w:rsidR="001E1860" w:rsidRPr="00E3331A" w:rsidTr="00493DDF">
        <w:trPr>
          <w:trHeight w:val="255"/>
        </w:trPr>
        <w:tc>
          <w:tcPr>
            <w:tcW w:w="1369"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 xml:space="preserve">Prednisolone </w:t>
            </w:r>
            <w:r w:rsidR="001E4486" w:rsidRPr="00E3331A">
              <w:rPr>
                <w:rFonts w:ascii="Arial Narrow" w:hAnsi="Arial Narrow" w:cs="Calibri"/>
                <w:color w:val="000000"/>
                <w:sz w:val="20"/>
                <w:szCs w:val="20"/>
              </w:rPr>
              <w:t xml:space="preserve">PBS </w:t>
            </w:r>
            <w:r w:rsidRPr="00E3331A">
              <w:rPr>
                <w:rFonts w:ascii="Arial Narrow" w:hAnsi="Arial Narrow" w:cs="Calibri"/>
                <w:color w:val="000000"/>
                <w:sz w:val="20"/>
                <w:szCs w:val="20"/>
              </w:rPr>
              <w:t>1917X (5mg tablet, 60)</w:t>
            </w:r>
          </w:p>
        </w:tc>
        <w:tc>
          <w:tcPr>
            <w:tcW w:w="1036"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PBS</w:t>
            </w:r>
          </w:p>
        </w:tc>
        <w:tc>
          <w:tcPr>
            <w:tcW w:w="851"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$14.3</w:t>
            </w:r>
          </w:p>
        </w:tc>
        <w:tc>
          <w:tcPr>
            <w:tcW w:w="850"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12.17</w:t>
            </w:r>
          </w:p>
        </w:tc>
        <w:tc>
          <w:tcPr>
            <w:tcW w:w="1134"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134"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$174.3</w:t>
            </w:r>
          </w:p>
        </w:tc>
        <w:tc>
          <w:tcPr>
            <w:tcW w:w="2642"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10mg/day. http://www.pbs.gov.au/medicine/item/2688L. Accessed 29 April 2019</w:t>
            </w:r>
          </w:p>
        </w:tc>
      </w:tr>
      <w:tr w:rsidR="001E1860" w:rsidRPr="00E3331A" w:rsidTr="00493DDF">
        <w:trPr>
          <w:trHeight w:val="255"/>
        </w:trPr>
        <w:tc>
          <w:tcPr>
            <w:tcW w:w="1369"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 xml:space="preserve">Prednisolone </w:t>
            </w:r>
            <w:r w:rsidR="001E4486" w:rsidRPr="00E3331A">
              <w:rPr>
                <w:rFonts w:ascii="Arial Narrow" w:hAnsi="Arial Narrow" w:cs="Calibri"/>
                <w:color w:val="000000"/>
                <w:sz w:val="20"/>
                <w:szCs w:val="20"/>
              </w:rPr>
              <w:t xml:space="preserve">PBS </w:t>
            </w:r>
            <w:r w:rsidRPr="00E3331A">
              <w:rPr>
                <w:rFonts w:ascii="Arial Narrow" w:hAnsi="Arial Narrow" w:cs="Calibri"/>
                <w:color w:val="000000"/>
                <w:sz w:val="20"/>
                <w:szCs w:val="20"/>
              </w:rPr>
              <w:t xml:space="preserve">1916W </w:t>
            </w:r>
            <w:r w:rsidRPr="00E3331A">
              <w:rPr>
                <w:rFonts w:ascii="Arial Narrow" w:hAnsi="Arial Narrow" w:cs="Calibri"/>
                <w:color w:val="000000"/>
                <w:sz w:val="20"/>
                <w:szCs w:val="20"/>
              </w:rPr>
              <w:lastRenderedPageBreak/>
              <w:t>(25mg tablet, 30)</w:t>
            </w:r>
          </w:p>
        </w:tc>
        <w:tc>
          <w:tcPr>
            <w:tcW w:w="1036"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lastRenderedPageBreak/>
              <w:t>PBS</w:t>
            </w:r>
          </w:p>
        </w:tc>
        <w:tc>
          <w:tcPr>
            <w:tcW w:w="851"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$15.6</w:t>
            </w:r>
          </w:p>
        </w:tc>
        <w:tc>
          <w:tcPr>
            <w:tcW w:w="850"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24.33</w:t>
            </w:r>
          </w:p>
        </w:tc>
        <w:tc>
          <w:tcPr>
            <w:tcW w:w="1134"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134"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$379.8</w:t>
            </w:r>
          </w:p>
        </w:tc>
        <w:tc>
          <w:tcPr>
            <w:tcW w:w="2642"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50mg/day. http://www.pbs.gov.au/medicine/i</w:t>
            </w:r>
            <w:r w:rsidRPr="00E3331A">
              <w:rPr>
                <w:rFonts w:ascii="Arial Narrow" w:hAnsi="Arial Narrow" w:cs="Calibri"/>
                <w:color w:val="000000"/>
                <w:sz w:val="20"/>
                <w:szCs w:val="20"/>
              </w:rPr>
              <w:lastRenderedPageBreak/>
              <w:t>tem/2688L. Accessed 29 April 2019</w:t>
            </w:r>
          </w:p>
        </w:tc>
      </w:tr>
      <w:tr w:rsidR="001E1860" w:rsidRPr="00E3331A" w:rsidTr="00493DDF">
        <w:trPr>
          <w:trHeight w:val="255"/>
        </w:trPr>
        <w:tc>
          <w:tcPr>
            <w:tcW w:w="1369" w:type="dxa"/>
            <w:tcBorders>
              <w:top w:val="nil"/>
              <w:left w:val="single" w:sz="4" w:space="0" w:color="auto"/>
              <w:bottom w:val="single" w:sz="4" w:space="0" w:color="auto"/>
              <w:right w:val="single" w:sz="4" w:space="0" w:color="auto"/>
            </w:tcBorders>
            <w:shd w:val="clear" w:color="000000" w:fill="FFFFFF"/>
            <w:vAlign w:val="center"/>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lastRenderedPageBreak/>
              <w:t>Alendronate 70 mg + colecalciferol 140 microgram, 4 PBS 2224C</w:t>
            </w:r>
          </w:p>
        </w:tc>
        <w:tc>
          <w:tcPr>
            <w:tcW w:w="1036" w:type="dxa"/>
            <w:tcBorders>
              <w:top w:val="nil"/>
              <w:left w:val="nil"/>
              <w:bottom w:val="single" w:sz="4" w:space="0" w:color="auto"/>
              <w:right w:val="single" w:sz="4" w:space="0" w:color="auto"/>
            </w:tcBorders>
            <w:shd w:val="clear" w:color="000000" w:fill="FFFFFF"/>
            <w:vAlign w:val="center"/>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PBS</w:t>
            </w:r>
          </w:p>
        </w:tc>
        <w:tc>
          <w:tcPr>
            <w:tcW w:w="851" w:type="dxa"/>
            <w:tcBorders>
              <w:top w:val="nil"/>
              <w:left w:val="nil"/>
              <w:bottom w:val="single" w:sz="4" w:space="0" w:color="auto"/>
              <w:right w:val="single" w:sz="4" w:space="0" w:color="auto"/>
            </w:tcBorders>
            <w:shd w:val="clear" w:color="000000" w:fill="FFFFFF"/>
            <w:vAlign w:val="center"/>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$18.2</w:t>
            </w:r>
          </w:p>
        </w:tc>
        <w:tc>
          <w:tcPr>
            <w:tcW w:w="850" w:type="dxa"/>
            <w:tcBorders>
              <w:top w:val="nil"/>
              <w:left w:val="nil"/>
              <w:bottom w:val="single" w:sz="4" w:space="0" w:color="auto"/>
              <w:right w:val="single" w:sz="4" w:space="0" w:color="auto"/>
            </w:tcBorders>
            <w:shd w:val="clear" w:color="000000" w:fill="FFFFFF"/>
            <w:vAlign w:val="center"/>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28</w:t>
            </w:r>
          </w:p>
        </w:tc>
        <w:tc>
          <w:tcPr>
            <w:tcW w:w="1134" w:type="dxa"/>
            <w:tcBorders>
              <w:top w:val="nil"/>
              <w:left w:val="nil"/>
              <w:bottom w:val="single" w:sz="4" w:space="0" w:color="auto"/>
              <w:right w:val="single" w:sz="4" w:space="0" w:color="auto"/>
            </w:tcBorders>
            <w:shd w:val="clear" w:color="000000" w:fill="FFFFFF"/>
            <w:vAlign w:val="center"/>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w:t>
            </w:r>
            <w:r w:rsidR="00067F8C" w:rsidRPr="00E3331A">
              <w:rPr>
                <w:rFonts w:ascii="Arial Narrow" w:hAnsi="Arial Narrow" w:cs="Calibri"/>
                <w:color w:val="000000"/>
                <w:sz w:val="20"/>
                <w:szCs w:val="20"/>
              </w:rPr>
              <w:t>00</w:t>
            </w:r>
            <w:r w:rsidR="00464E0A" w:rsidRPr="00E3331A">
              <w:rPr>
                <w:rFonts w:ascii="Arial Narrow" w:hAnsi="Arial Narrow" w:cs="Calibri"/>
                <w:color w:val="000000"/>
                <w:sz w:val="20"/>
                <w:szCs w:val="20"/>
              </w:rPr>
              <w:t>%</w:t>
            </w:r>
          </w:p>
        </w:tc>
        <w:tc>
          <w:tcPr>
            <w:tcW w:w="1134" w:type="dxa"/>
            <w:tcBorders>
              <w:top w:val="nil"/>
              <w:left w:val="nil"/>
              <w:bottom w:val="single" w:sz="4" w:space="0" w:color="auto"/>
              <w:right w:val="single" w:sz="4" w:space="0" w:color="auto"/>
            </w:tcBorders>
            <w:shd w:val="clear" w:color="000000" w:fill="FFFFFF"/>
            <w:vAlign w:val="center"/>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$127.3</w:t>
            </w:r>
          </w:p>
        </w:tc>
        <w:tc>
          <w:tcPr>
            <w:tcW w:w="2642" w:type="dxa"/>
            <w:tcBorders>
              <w:top w:val="nil"/>
              <w:left w:val="nil"/>
              <w:bottom w:val="single" w:sz="4" w:space="0" w:color="auto"/>
              <w:right w:val="single" w:sz="4" w:space="0" w:color="auto"/>
            </w:tcBorders>
            <w:shd w:val="clear" w:color="000000" w:fill="FFFFFF"/>
            <w:vAlign w:val="center"/>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PBS 2224C, https://www.pbs.gov.au/medicine, 29 April 2019</w:t>
            </w:r>
          </w:p>
        </w:tc>
      </w:tr>
      <w:tr w:rsidR="001E1860" w:rsidRPr="00E3331A" w:rsidTr="00493DDF">
        <w:trPr>
          <w:trHeight w:val="510"/>
        </w:trPr>
        <w:tc>
          <w:tcPr>
            <w:tcW w:w="1369"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GP Consultations. Assumes 4 GP visits per year</w:t>
            </w:r>
          </w:p>
        </w:tc>
        <w:tc>
          <w:tcPr>
            <w:tcW w:w="103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851"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$34.9</w:t>
            </w:r>
          </w:p>
        </w:tc>
        <w:tc>
          <w:tcPr>
            <w:tcW w:w="850"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8.00</w:t>
            </w:r>
          </w:p>
        </w:tc>
        <w:tc>
          <w:tcPr>
            <w:tcW w:w="1134"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$279.2</w:t>
            </w:r>
          </w:p>
        </w:tc>
        <w:tc>
          <w:tcPr>
            <w:tcW w:w="2642"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MBS 23. Professional attendance by a general practitioner</w:t>
            </w:r>
          </w:p>
        </w:tc>
      </w:tr>
      <w:tr w:rsidR="001E1860" w:rsidRPr="00E3331A" w:rsidTr="00493DDF">
        <w:trPr>
          <w:trHeight w:val="510"/>
        </w:trPr>
        <w:tc>
          <w:tcPr>
            <w:tcW w:w="1369"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Neurologist Specialist Consultations. Assumes 1 specialist visit per year</w:t>
            </w:r>
          </w:p>
        </w:tc>
        <w:tc>
          <w:tcPr>
            <w:tcW w:w="103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851"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$267.9</w:t>
            </w:r>
          </w:p>
        </w:tc>
        <w:tc>
          <w:tcPr>
            <w:tcW w:w="850"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2.00</w:t>
            </w:r>
          </w:p>
        </w:tc>
        <w:tc>
          <w:tcPr>
            <w:tcW w:w="1134"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$535.7</w:t>
            </w:r>
          </w:p>
        </w:tc>
        <w:tc>
          <w:tcPr>
            <w:tcW w:w="2642"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MBS 132. Professional attendance at consulting rooms or hospital, by a consultant physician</w:t>
            </w:r>
          </w:p>
        </w:tc>
      </w:tr>
      <w:tr w:rsidR="001E1860" w:rsidRPr="00E3331A" w:rsidTr="00493DDF">
        <w:trPr>
          <w:trHeight w:val="255"/>
        </w:trPr>
        <w:tc>
          <w:tcPr>
            <w:tcW w:w="1369"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DEXA Scan</w:t>
            </w:r>
          </w:p>
        </w:tc>
        <w:tc>
          <w:tcPr>
            <w:tcW w:w="103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851"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$102.4</w:t>
            </w:r>
          </w:p>
        </w:tc>
        <w:tc>
          <w:tcPr>
            <w:tcW w:w="850"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$102.4</w:t>
            </w:r>
          </w:p>
        </w:tc>
        <w:tc>
          <w:tcPr>
            <w:tcW w:w="2642" w:type="dxa"/>
            <w:tcBorders>
              <w:top w:val="nil"/>
              <w:left w:val="nil"/>
              <w:bottom w:val="single" w:sz="4" w:space="0" w:color="auto"/>
              <w:right w:val="single" w:sz="4" w:space="0" w:color="auto"/>
            </w:tcBorders>
            <w:shd w:val="clear" w:color="000000" w:fill="FFFFFF"/>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MBS 12321. Bone densitometry, using dual energy X</w:t>
            </w:r>
            <w:r w:rsidRPr="00E3331A">
              <w:rPr>
                <w:rFonts w:ascii="Arial Narrow" w:hAnsi="Arial Narrow" w:cs="Calibri"/>
                <w:color w:val="000000"/>
                <w:sz w:val="20"/>
                <w:szCs w:val="20"/>
              </w:rPr>
              <w:noBreakHyphen/>
              <w:t>ray absorptiometry</w:t>
            </w:r>
          </w:p>
        </w:tc>
      </w:tr>
      <w:tr w:rsidR="001E1860" w:rsidRPr="00E3331A" w:rsidTr="00493DDF">
        <w:trPr>
          <w:trHeight w:val="510"/>
        </w:trPr>
        <w:tc>
          <w:tcPr>
            <w:tcW w:w="1369"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Liver Function, Urea, Electrolytes, Creatinine Tests</w:t>
            </w:r>
          </w:p>
        </w:tc>
        <w:tc>
          <w:tcPr>
            <w:tcW w:w="103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851"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$17.1</w:t>
            </w:r>
          </w:p>
        </w:tc>
        <w:tc>
          <w:tcPr>
            <w:tcW w:w="850"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4.00</w:t>
            </w:r>
          </w:p>
        </w:tc>
        <w:tc>
          <w:tcPr>
            <w:tcW w:w="1134"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$68.4</w:t>
            </w:r>
          </w:p>
        </w:tc>
        <w:tc>
          <w:tcPr>
            <w:tcW w:w="2642"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MBS 66512. Liver function tests, Urea, Electrolytes, Creatinine</w:t>
            </w:r>
          </w:p>
        </w:tc>
      </w:tr>
      <w:tr w:rsidR="001E1860" w:rsidRPr="00E3331A" w:rsidTr="00493DDF">
        <w:trPr>
          <w:trHeight w:val="255"/>
        </w:trPr>
        <w:tc>
          <w:tcPr>
            <w:tcW w:w="1369"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Full Blood Examination</w:t>
            </w:r>
          </w:p>
        </w:tc>
        <w:tc>
          <w:tcPr>
            <w:tcW w:w="103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851"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$17.0</w:t>
            </w:r>
          </w:p>
        </w:tc>
        <w:tc>
          <w:tcPr>
            <w:tcW w:w="850"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4.00</w:t>
            </w:r>
          </w:p>
        </w:tc>
        <w:tc>
          <w:tcPr>
            <w:tcW w:w="1134"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$67.8</w:t>
            </w:r>
          </w:p>
        </w:tc>
        <w:tc>
          <w:tcPr>
            <w:tcW w:w="2642"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MBS 65070. Blood examination</w:t>
            </w:r>
          </w:p>
        </w:tc>
      </w:tr>
      <w:tr w:rsidR="001E1860" w:rsidRPr="00E3331A" w:rsidTr="00493DDF">
        <w:trPr>
          <w:trHeight w:val="255"/>
        </w:trPr>
        <w:tc>
          <w:tcPr>
            <w:tcW w:w="1369"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Test for Open Angle Glaucoma</w:t>
            </w:r>
          </w:p>
        </w:tc>
        <w:tc>
          <w:tcPr>
            <w:tcW w:w="103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851"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$40.8</w:t>
            </w:r>
          </w:p>
        </w:tc>
        <w:tc>
          <w:tcPr>
            <w:tcW w:w="850"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$2.0</w:t>
            </w:r>
          </w:p>
        </w:tc>
        <w:tc>
          <w:tcPr>
            <w:tcW w:w="2642" w:type="dxa"/>
            <w:tcBorders>
              <w:top w:val="nil"/>
              <w:left w:val="nil"/>
              <w:bottom w:val="single" w:sz="4" w:space="0" w:color="auto"/>
              <w:right w:val="single" w:sz="4" w:space="0" w:color="auto"/>
            </w:tcBorders>
            <w:shd w:val="clear" w:color="000000" w:fill="FFFFFF"/>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MBS 11200. Glaucoma test</w:t>
            </w:r>
          </w:p>
        </w:tc>
      </w:tr>
      <w:tr w:rsidR="001E1860" w:rsidRPr="00E3331A" w:rsidTr="00493DDF">
        <w:trPr>
          <w:trHeight w:val="510"/>
        </w:trPr>
        <w:tc>
          <w:tcPr>
            <w:tcW w:w="1369"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Test for Diabetes</w:t>
            </w:r>
          </w:p>
        </w:tc>
        <w:tc>
          <w:tcPr>
            <w:tcW w:w="103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851"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$16.8</w:t>
            </w:r>
          </w:p>
        </w:tc>
        <w:tc>
          <w:tcPr>
            <w:tcW w:w="850"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4.00</w:t>
            </w:r>
          </w:p>
        </w:tc>
        <w:tc>
          <w:tcPr>
            <w:tcW w:w="1134"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50%</w:t>
            </w:r>
          </w:p>
        </w:tc>
        <w:tc>
          <w:tcPr>
            <w:tcW w:w="1134"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$33.6</w:t>
            </w:r>
          </w:p>
        </w:tc>
        <w:tc>
          <w:tcPr>
            <w:tcW w:w="2642" w:type="dxa"/>
            <w:tcBorders>
              <w:top w:val="nil"/>
              <w:left w:val="nil"/>
              <w:bottom w:val="single" w:sz="4" w:space="0" w:color="auto"/>
              <w:right w:val="single" w:sz="4" w:space="0" w:color="auto"/>
            </w:tcBorders>
            <w:shd w:val="clear" w:color="000000" w:fill="FFFFFF"/>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 xml:space="preserve">MBS 66841. Quantitation of HbA1c </w:t>
            </w:r>
          </w:p>
        </w:tc>
      </w:tr>
      <w:tr w:rsidR="001E1860" w:rsidRPr="00E3331A" w:rsidTr="00493DDF">
        <w:trPr>
          <w:trHeight w:val="255"/>
        </w:trPr>
        <w:tc>
          <w:tcPr>
            <w:tcW w:w="1369"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 xml:space="preserve">Neuro muscular </w:t>
            </w:r>
            <w:r w:rsidRPr="00E3331A">
              <w:rPr>
                <w:rFonts w:ascii="Arial Narrow" w:hAnsi="Arial Narrow" w:cs="Calibri"/>
                <w:color w:val="000000"/>
                <w:sz w:val="20"/>
                <w:szCs w:val="20"/>
              </w:rPr>
              <w:lastRenderedPageBreak/>
              <w:t>electro diagnosis</w:t>
            </w:r>
          </w:p>
        </w:tc>
        <w:tc>
          <w:tcPr>
            <w:tcW w:w="103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lastRenderedPageBreak/>
              <w:t>MBS</w:t>
            </w:r>
          </w:p>
        </w:tc>
        <w:tc>
          <w:tcPr>
            <w:tcW w:w="851"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$227.6</w:t>
            </w:r>
          </w:p>
        </w:tc>
        <w:tc>
          <w:tcPr>
            <w:tcW w:w="850"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$227.6</w:t>
            </w:r>
          </w:p>
        </w:tc>
        <w:tc>
          <w:tcPr>
            <w:tcW w:w="2642"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MBS 11018. Neuro muscular electro diagnosis</w:t>
            </w:r>
          </w:p>
        </w:tc>
      </w:tr>
      <w:tr w:rsidR="001E1860" w:rsidRPr="00E3331A" w:rsidTr="0007007F">
        <w:trPr>
          <w:trHeight w:val="255"/>
        </w:trPr>
        <w:tc>
          <w:tcPr>
            <w:tcW w:w="1369" w:type="dxa"/>
            <w:tcBorders>
              <w:top w:val="nil"/>
              <w:left w:val="single" w:sz="4" w:space="0" w:color="auto"/>
              <w:bottom w:val="single" w:sz="4" w:space="0" w:color="auto"/>
              <w:right w:val="single" w:sz="4" w:space="0" w:color="auto"/>
            </w:tcBorders>
            <w:shd w:val="clear" w:color="auto" w:fill="D9D9D9"/>
            <w:vAlign w:val="center"/>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Annual total</w:t>
            </w:r>
          </w:p>
        </w:tc>
        <w:tc>
          <w:tcPr>
            <w:tcW w:w="1036" w:type="dxa"/>
            <w:tcBorders>
              <w:top w:val="nil"/>
              <w:left w:val="nil"/>
              <w:bottom w:val="single" w:sz="4" w:space="0" w:color="auto"/>
              <w:right w:val="single" w:sz="4" w:space="0" w:color="auto"/>
            </w:tcBorders>
            <w:shd w:val="clear" w:color="auto" w:fill="D9D9D9"/>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851" w:type="dxa"/>
            <w:tcBorders>
              <w:top w:val="nil"/>
              <w:left w:val="nil"/>
              <w:bottom w:val="single" w:sz="4" w:space="0" w:color="auto"/>
              <w:right w:val="single" w:sz="4" w:space="0" w:color="auto"/>
            </w:tcBorders>
            <w:shd w:val="clear" w:color="auto" w:fill="D9D9D9"/>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850" w:type="dxa"/>
            <w:tcBorders>
              <w:top w:val="nil"/>
              <w:left w:val="nil"/>
              <w:bottom w:val="single" w:sz="4" w:space="0" w:color="auto"/>
              <w:right w:val="single" w:sz="4" w:space="0" w:color="auto"/>
            </w:tcBorders>
            <w:shd w:val="clear" w:color="auto" w:fill="D9D9D9"/>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134" w:type="dxa"/>
            <w:tcBorders>
              <w:top w:val="nil"/>
              <w:left w:val="nil"/>
              <w:bottom w:val="single" w:sz="4" w:space="0" w:color="auto"/>
              <w:right w:val="single" w:sz="4" w:space="0" w:color="auto"/>
            </w:tcBorders>
            <w:shd w:val="clear" w:color="auto" w:fill="D9D9D9"/>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134" w:type="dxa"/>
            <w:tcBorders>
              <w:top w:val="nil"/>
              <w:left w:val="nil"/>
              <w:bottom w:val="single" w:sz="4" w:space="0" w:color="auto"/>
              <w:right w:val="single" w:sz="4" w:space="0" w:color="auto"/>
            </w:tcBorders>
            <w:shd w:val="clear" w:color="auto" w:fill="D9D9D9"/>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$2,603.3</w:t>
            </w:r>
          </w:p>
        </w:tc>
        <w:tc>
          <w:tcPr>
            <w:tcW w:w="2642" w:type="dxa"/>
            <w:tcBorders>
              <w:top w:val="nil"/>
              <w:left w:val="nil"/>
              <w:bottom w:val="single" w:sz="4" w:space="0" w:color="auto"/>
              <w:right w:val="single" w:sz="4" w:space="0" w:color="auto"/>
            </w:tcBorders>
            <w:shd w:val="clear" w:color="auto" w:fill="D9D9D9"/>
            <w:vAlign w:val="center"/>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r w:rsidR="001E1860" w:rsidRPr="00E3331A" w:rsidTr="0007007F">
        <w:trPr>
          <w:trHeight w:val="300"/>
        </w:trPr>
        <w:tc>
          <w:tcPr>
            <w:tcW w:w="1369" w:type="dxa"/>
            <w:tcBorders>
              <w:top w:val="nil"/>
              <w:left w:val="single" w:sz="4" w:space="0" w:color="auto"/>
              <w:bottom w:val="single" w:sz="4" w:space="0" w:color="auto"/>
              <w:right w:val="single" w:sz="4" w:space="0" w:color="auto"/>
            </w:tcBorders>
            <w:shd w:val="clear" w:color="auto" w:fill="D9D9D9"/>
            <w:vAlign w:val="center"/>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Weekly equivalent</w:t>
            </w:r>
          </w:p>
        </w:tc>
        <w:tc>
          <w:tcPr>
            <w:tcW w:w="1036" w:type="dxa"/>
            <w:tcBorders>
              <w:top w:val="nil"/>
              <w:left w:val="nil"/>
              <w:bottom w:val="single" w:sz="4" w:space="0" w:color="auto"/>
              <w:right w:val="single" w:sz="4" w:space="0" w:color="auto"/>
            </w:tcBorders>
            <w:shd w:val="clear" w:color="auto" w:fill="D9D9D9"/>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851" w:type="dxa"/>
            <w:tcBorders>
              <w:top w:val="nil"/>
              <w:left w:val="nil"/>
              <w:bottom w:val="single" w:sz="4" w:space="0" w:color="auto"/>
              <w:right w:val="single" w:sz="4" w:space="0" w:color="auto"/>
            </w:tcBorders>
            <w:shd w:val="clear" w:color="auto" w:fill="D9D9D9"/>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850" w:type="dxa"/>
            <w:tcBorders>
              <w:top w:val="nil"/>
              <w:left w:val="nil"/>
              <w:bottom w:val="single" w:sz="4" w:space="0" w:color="auto"/>
              <w:right w:val="single" w:sz="4" w:space="0" w:color="auto"/>
            </w:tcBorders>
            <w:shd w:val="clear" w:color="auto" w:fill="D9D9D9"/>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134" w:type="dxa"/>
            <w:tcBorders>
              <w:top w:val="nil"/>
              <w:left w:val="nil"/>
              <w:bottom w:val="single" w:sz="4" w:space="0" w:color="auto"/>
              <w:right w:val="single" w:sz="4" w:space="0" w:color="auto"/>
            </w:tcBorders>
            <w:shd w:val="clear" w:color="auto" w:fill="D9D9D9"/>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134" w:type="dxa"/>
            <w:tcBorders>
              <w:top w:val="nil"/>
              <w:left w:val="nil"/>
              <w:bottom w:val="single" w:sz="4" w:space="0" w:color="auto"/>
              <w:right w:val="single" w:sz="4" w:space="0" w:color="auto"/>
            </w:tcBorders>
            <w:shd w:val="clear" w:color="auto" w:fill="D9D9D9"/>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$50.1</w:t>
            </w:r>
          </w:p>
        </w:tc>
        <w:tc>
          <w:tcPr>
            <w:tcW w:w="2642" w:type="dxa"/>
            <w:tcBorders>
              <w:top w:val="nil"/>
              <w:left w:val="nil"/>
              <w:bottom w:val="single" w:sz="4" w:space="0" w:color="auto"/>
              <w:right w:val="single" w:sz="4" w:space="0" w:color="auto"/>
            </w:tcBorders>
            <w:shd w:val="clear" w:color="auto" w:fill="D9D9D9"/>
            <w:vAlign w:val="center"/>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bl>
    <w:p w:rsidR="001E4486" w:rsidRPr="00E3331A" w:rsidRDefault="001E4486" w:rsidP="001E4486">
      <w:pPr>
        <w:pStyle w:val="BodyTextSTD"/>
        <w:rPr>
          <w:rFonts w:ascii="Arial Narrow" w:hAnsi="Arial Narrow"/>
          <w:sz w:val="18"/>
        </w:rPr>
      </w:pPr>
      <w:r w:rsidRPr="00E3331A">
        <w:rPr>
          <w:rFonts w:ascii="Arial Narrow" w:hAnsi="Arial Narrow"/>
          <w:sz w:val="18"/>
        </w:rPr>
        <w:t>AR-DRG = Australian Refined Diagnosis Related Group, AU$ = Australia dollar, MBS=Medical Benefits Schedule.</w:t>
      </w:r>
    </w:p>
    <w:p w:rsidR="001F5B33" w:rsidRPr="00E3331A" w:rsidRDefault="001F5B33" w:rsidP="00B30C0B">
      <w:pPr>
        <w:pStyle w:val="Heading5"/>
      </w:pPr>
      <w:r w:rsidRPr="00E3331A">
        <w:t xml:space="preserve">Corticosteroid AE </w:t>
      </w:r>
      <w:r w:rsidR="001B576E">
        <w:t>c</w:t>
      </w:r>
      <w:r w:rsidRPr="00E3331A">
        <w:t>osts</w:t>
      </w:r>
    </w:p>
    <w:p w:rsidR="001F5B33" w:rsidRPr="00E3331A" w:rsidRDefault="001F5B33" w:rsidP="00BB6E4C">
      <w:pPr>
        <w:pStyle w:val="BodyTextSTD"/>
      </w:pPr>
      <w:r w:rsidRPr="00E3331A">
        <w:t xml:space="preserve">Costs are included for the first and following years following </w:t>
      </w:r>
      <w:r w:rsidR="005541CA" w:rsidRPr="00E3331A">
        <w:t>c</w:t>
      </w:r>
      <w:r w:rsidRPr="00E3331A">
        <w:t>orticosteroid adverse events. Patients who experience an AE are assumed to take</w:t>
      </w:r>
      <w:r w:rsidR="00A37A21" w:rsidRPr="00E3331A">
        <w:t xml:space="preserve"> </w:t>
      </w:r>
      <w:r w:rsidRPr="00E3331A">
        <w:t xml:space="preserve">up immunosuppressants. Costs for treating adverse events and </w:t>
      </w:r>
      <w:r w:rsidR="00A37A21" w:rsidRPr="00E3331A">
        <w:t xml:space="preserve">the </w:t>
      </w:r>
      <w:r w:rsidRPr="00E3331A">
        <w:t xml:space="preserve">following years of treatment are outlined in </w:t>
      </w:r>
      <w:r w:rsidR="006F35B9" w:rsidRPr="00E3331A">
        <w:t xml:space="preserve">Table </w:t>
      </w:r>
      <w:r w:rsidR="006F35B9">
        <w:rPr>
          <w:noProof/>
        </w:rPr>
        <w:t>74</w:t>
      </w:r>
      <w:r w:rsidRPr="00E3331A">
        <w:t>.</w:t>
      </w:r>
    </w:p>
    <w:p w:rsidR="001F5B33" w:rsidRPr="00E3331A" w:rsidRDefault="001F5B33" w:rsidP="001F5B33">
      <w:pPr>
        <w:pStyle w:val="Caption"/>
      </w:pPr>
      <w:bookmarkStart w:id="454" w:name="_Ref8666727"/>
      <w:bookmarkStart w:id="455" w:name="_Toc24103380"/>
      <w:r w:rsidRPr="00E3331A">
        <w:t xml:space="preserve">Table </w:t>
      </w:r>
      <w:r w:rsidR="006F35B9">
        <w:rPr>
          <w:noProof/>
        </w:rPr>
        <w:t>74</w:t>
      </w:r>
      <w:bookmarkEnd w:id="454"/>
      <w:r w:rsidR="00A37A21" w:rsidRPr="00E3331A">
        <w:tab/>
      </w:r>
      <w:r w:rsidRPr="00E3331A">
        <w:t xml:space="preserve">Corticosteroid </w:t>
      </w:r>
      <w:r w:rsidR="00A37A21" w:rsidRPr="00E3331A">
        <w:t>adverse event</w:t>
      </w:r>
      <w:r w:rsidRPr="00E3331A">
        <w:t xml:space="preserve"> </w:t>
      </w:r>
      <w:r w:rsidR="00A37A21" w:rsidRPr="00E3331A">
        <w:t>c</w:t>
      </w:r>
      <w:r w:rsidRPr="00E3331A">
        <w:t>osts</w:t>
      </w:r>
      <w:bookmarkEnd w:id="455"/>
    </w:p>
    <w:tbl>
      <w:tblPr>
        <w:tblW w:w="0" w:type="auto"/>
        <w:tblLayout w:type="fixed"/>
        <w:tblLook w:val="04A0" w:firstRow="1" w:lastRow="0" w:firstColumn="1" w:lastColumn="0" w:noHBand="0" w:noVBand="1"/>
      </w:tblPr>
      <w:tblGrid>
        <w:gridCol w:w="1557"/>
        <w:gridCol w:w="909"/>
        <w:gridCol w:w="946"/>
        <w:gridCol w:w="918"/>
        <w:gridCol w:w="1055"/>
        <w:gridCol w:w="946"/>
        <w:gridCol w:w="2685"/>
      </w:tblGrid>
      <w:tr w:rsidR="001F5B33" w:rsidRPr="00E3331A" w:rsidTr="0007007F">
        <w:trPr>
          <w:trHeight w:val="765"/>
          <w:tblHeader/>
        </w:trPr>
        <w:tc>
          <w:tcPr>
            <w:tcW w:w="155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MBS Item</w:t>
            </w:r>
          </w:p>
        </w:tc>
        <w:tc>
          <w:tcPr>
            <w:tcW w:w="909" w:type="dxa"/>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 xml:space="preserve">Provider </w:t>
            </w:r>
          </w:p>
        </w:tc>
        <w:tc>
          <w:tcPr>
            <w:tcW w:w="946" w:type="dxa"/>
            <w:tcBorders>
              <w:top w:val="single" w:sz="4" w:space="0" w:color="auto"/>
              <w:left w:val="nil"/>
              <w:bottom w:val="single" w:sz="4" w:space="0" w:color="auto"/>
              <w:right w:val="single" w:sz="4" w:space="0" w:color="auto"/>
            </w:tcBorders>
            <w:shd w:val="clear" w:color="auto" w:fill="D9D9D9"/>
            <w:vAlign w:val="center"/>
            <w:hideMark/>
          </w:tcPr>
          <w:p w:rsidR="001E1860" w:rsidRPr="00E3331A" w:rsidRDefault="001F5B33">
            <w:pPr>
              <w:jc w:val="center"/>
              <w:rPr>
                <w:rFonts w:ascii="Arial Narrow" w:hAnsi="Arial Narrow" w:cs="Calibri"/>
                <w:b/>
                <w:bCs/>
                <w:sz w:val="20"/>
                <w:szCs w:val="20"/>
              </w:rPr>
            </w:pPr>
            <w:r w:rsidRPr="00E3331A">
              <w:rPr>
                <w:rFonts w:ascii="Arial Narrow" w:hAnsi="Arial Narrow" w:cs="Calibri"/>
                <w:b/>
                <w:bCs/>
                <w:sz w:val="20"/>
                <w:szCs w:val="20"/>
              </w:rPr>
              <w:t xml:space="preserve">Price per unit </w:t>
            </w:r>
            <w:r w:rsidR="001E1860" w:rsidRPr="00E3331A">
              <w:rPr>
                <w:rFonts w:ascii="Arial Narrow" w:hAnsi="Arial Narrow" w:cs="Calibri"/>
                <w:b/>
                <w:bCs/>
                <w:sz w:val="20"/>
                <w:szCs w:val="20"/>
              </w:rPr>
              <w:t>(AU$)</w:t>
            </w:r>
          </w:p>
        </w:tc>
        <w:tc>
          <w:tcPr>
            <w:tcW w:w="918" w:type="dxa"/>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 xml:space="preserve">Number </w:t>
            </w:r>
          </w:p>
        </w:tc>
        <w:tc>
          <w:tcPr>
            <w:tcW w:w="1055" w:type="dxa"/>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 xml:space="preserve">Proportion availing </w:t>
            </w:r>
          </w:p>
        </w:tc>
        <w:tc>
          <w:tcPr>
            <w:tcW w:w="946" w:type="dxa"/>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Total cost</w:t>
            </w:r>
            <w:r w:rsidR="001E1860" w:rsidRPr="00E3331A">
              <w:rPr>
                <w:rFonts w:ascii="Arial Narrow" w:hAnsi="Arial Narrow" w:cs="Calibri"/>
                <w:b/>
                <w:bCs/>
                <w:sz w:val="20"/>
                <w:szCs w:val="20"/>
              </w:rPr>
              <w:t xml:space="preserve"> (AU$)</w:t>
            </w:r>
          </w:p>
        </w:tc>
        <w:tc>
          <w:tcPr>
            <w:tcW w:w="2685" w:type="dxa"/>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Source</w:t>
            </w:r>
          </w:p>
        </w:tc>
      </w:tr>
      <w:tr w:rsidR="001F5B33" w:rsidRPr="00E3331A" w:rsidTr="00464E0A">
        <w:trPr>
          <w:trHeight w:val="463"/>
        </w:trPr>
        <w:tc>
          <w:tcPr>
            <w:tcW w:w="9016" w:type="dxa"/>
            <w:gridSpan w:val="7"/>
            <w:tcBorders>
              <w:top w:val="nil"/>
              <w:left w:val="single" w:sz="4" w:space="0" w:color="auto"/>
              <w:bottom w:val="single" w:sz="4" w:space="0" w:color="auto"/>
              <w:right w:val="single" w:sz="4" w:space="0" w:color="auto"/>
            </w:tcBorders>
            <w:shd w:val="clear" w:color="auto" w:fill="D9D9D9"/>
            <w:vAlign w:val="center"/>
            <w:hideMark/>
          </w:tcPr>
          <w:p w:rsidR="001F5B33" w:rsidRPr="00E3331A" w:rsidRDefault="001F5B33" w:rsidP="00493DDF">
            <w:pPr>
              <w:rPr>
                <w:rFonts w:ascii="Arial Narrow" w:hAnsi="Arial Narrow" w:cs="Calibri"/>
                <w:b/>
                <w:bCs/>
                <w:sz w:val="20"/>
                <w:szCs w:val="20"/>
              </w:rPr>
            </w:pPr>
            <w:r w:rsidRPr="00E3331A">
              <w:rPr>
                <w:rFonts w:ascii="Arial Narrow" w:hAnsi="Arial Narrow" w:cs="Calibri"/>
                <w:b/>
                <w:bCs/>
                <w:sz w:val="20"/>
                <w:szCs w:val="20"/>
              </w:rPr>
              <w:t>Corticosteroids AEs</w:t>
            </w:r>
          </w:p>
        </w:tc>
      </w:tr>
      <w:tr w:rsidR="009F4F4E" w:rsidRPr="00E3331A" w:rsidTr="009F4F4E">
        <w:trPr>
          <w:trHeight w:val="255"/>
        </w:trPr>
        <w:tc>
          <w:tcPr>
            <w:tcW w:w="9016" w:type="dxa"/>
            <w:gridSpan w:val="7"/>
            <w:tcBorders>
              <w:top w:val="nil"/>
              <w:left w:val="single" w:sz="4" w:space="0" w:color="auto"/>
              <w:bottom w:val="single" w:sz="4" w:space="0" w:color="auto"/>
              <w:right w:val="single" w:sz="4" w:space="0" w:color="auto"/>
            </w:tcBorders>
            <w:shd w:val="clear" w:color="auto" w:fill="D9D9D9"/>
            <w:vAlign w:val="center"/>
            <w:hideMark/>
          </w:tcPr>
          <w:p w:rsidR="009F4F4E" w:rsidRPr="00E3331A" w:rsidRDefault="009F4F4E" w:rsidP="009F4F4E">
            <w:pPr>
              <w:rPr>
                <w:rFonts w:ascii="Arial Narrow" w:hAnsi="Arial Narrow" w:cs="Calibri"/>
                <w:b/>
                <w:bCs/>
                <w:sz w:val="20"/>
                <w:szCs w:val="20"/>
              </w:rPr>
            </w:pPr>
            <w:r w:rsidRPr="00E3331A">
              <w:rPr>
                <w:rFonts w:ascii="Arial Narrow" w:hAnsi="Arial Narrow" w:cs="Calibri"/>
                <w:b/>
                <w:bCs/>
                <w:sz w:val="20"/>
                <w:szCs w:val="20"/>
              </w:rPr>
              <w:t>Initial cost Fracture</w:t>
            </w:r>
          </w:p>
        </w:tc>
      </w:tr>
      <w:tr w:rsidR="001E1860" w:rsidRPr="00E3331A" w:rsidTr="00464E0A">
        <w:trPr>
          <w:trHeight w:val="765"/>
        </w:trPr>
        <w:tc>
          <w:tcPr>
            <w:tcW w:w="155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Average cost per fracture</w:t>
            </w:r>
          </w:p>
        </w:tc>
        <w:tc>
          <w:tcPr>
            <w:tcW w:w="909"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Health system</w:t>
            </w:r>
          </w:p>
        </w:tc>
        <w:tc>
          <w:tcPr>
            <w:tcW w:w="946"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$12,902.0</w:t>
            </w:r>
          </w:p>
        </w:tc>
        <w:tc>
          <w:tcPr>
            <w:tcW w:w="918"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055"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$12,902.0</w:t>
            </w:r>
          </w:p>
        </w:tc>
        <w:tc>
          <w:tcPr>
            <w:tcW w:w="2685"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 xml:space="preserve">From Watts, J. </w:t>
            </w:r>
            <w:r w:rsidR="00983BA7">
              <w:rPr>
                <w:rFonts w:ascii="Arial Narrow" w:hAnsi="Arial Narrow" w:cs="Calibri"/>
                <w:color w:val="000000"/>
                <w:sz w:val="20"/>
                <w:szCs w:val="20"/>
              </w:rPr>
              <w:t xml:space="preserve">et al. </w:t>
            </w:r>
            <w:r w:rsidRPr="00E3331A">
              <w:rPr>
                <w:rFonts w:ascii="Arial Narrow" w:hAnsi="Arial Narrow" w:cs="Calibri"/>
                <w:color w:val="000000"/>
                <w:sz w:val="20"/>
                <w:szCs w:val="20"/>
              </w:rPr>
              <w:t xml:space="preserve">2012. Osteoporosis costing all Australians A new burden of disease analysis – 2012 to 2022. Osteoporosis Australia. Average cost per fracture in 2020. </w:t>
            </w:r>
          </w:p>
        </w:tc>
      </w:tr>
      <w:tr w:rsidR="001E1860" w:rsidRPr="00E3331A" w:rsidTr="00464E0A">
        <w:trPr>
          <w:trHeight w:val="255"/>
        </w:trPr>
        <w:tc>
          <w:tcPr>
            <w:tcW w:w="155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Total</w:t>
            </w:r>
          </w:p>
        </w:tc>
        <w:tc>
          <w:tcPr>
            <w:tcW w:w="909"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$12,902.0</w:t>
            </w:r>
          </w:p>
        </w:tc>
        <w:tc>
          <w:tcPr>
            <w:tcW w:w="2685" w:type="dxa"/>
            <w:tcBorders>
              <w:top w:val="nil"/>
              <w:left w:val="nil"/>
              <w:bottom w:val="single" w:sz="4" w:space="0" w:color="auto"/>
              <w:right w:val="single" w:sz="4" w:space="0" w:color="auto"/>
            </w:tcBorders>
            <w:shd w:val="clear" w:color="000000" w:fill="FFFFFF"/>
            <w:vAlign w:val="bottom"/>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r w:rsidR="009F4F4E" w:rsidRPr="00E3331A" w:rsidTr="009F4F4E">
        <w:trPr>
          <w:trHeight w:val="255"/>
        </w:trPr>
        <w:tc>
          <w:tcPr>
            <w:tcW w:w="9016" w:type="dxa"/>
            <w:gridSpan w:val="7"/>
            <w:tcBorders>
              <w:top w:val="nil"/>
              <w:left w:val="single" w:sz="4" w:space="0" w:color="auto"/>
              <w:bottom w:val="single" w:sz="4" w:space="0" w:color="auto"/>
              <w:right w:val="single" w:sz="4" w:space="0" w:color="auto"/>
            </w:tcBorders>
            <w:shd w:val="clear" w:color="auto" w:fill="D9D9D9"/>
            <w:vAlign w:val="center"/>
            <w:hideMark/>
          </w:tcPr>
          <w:p w:rsidR="009F4F4E" w:rsidRPr="00E3331A" w:rsidRDefault="009F4F4E" w:rsidP="009F4F4E">
            <w:pPr>
              <w:rPr>
                <w:rFonts w:ascii="Arial Narrow" w:hAnsi="Arial Narrow" w:cs="Calibri"/>
                <w:b/>
                <w:bCs/>
                <w:color w:val="FFFFFF"/>
                <w:sz w:val="20"/>
                <w:szCs w:val="20"/>
              </w:rPr>
            </w:pPr>
            <w:r w:rsidRPr="00E3331A">
              <w:rPr>
                <w:rFonts w:ascii="Arial Narrow" w:hAnsi="Arial Narrow" w:cs="Calibri"/>
                <w:b/>
                <w:bCs/>
                <w:sz w:val="20"/>
                <w:szCs w:val="20"/>
              </w:rPr>
              <w:t>Initial cost Diabetes</w:t>
            </w:r>
          </w:p>
        </w:tc>
      </w:tr>
      <w:tr w:rsidR="001E1860" w:rsidRPr="00E3331A" w:rsidTr="00464E0A">
        <w:trPr>
          <w:trHeight w:val="510"/>
        </w:trPr>
        <w:tc>
          <w:tcPr>
            <w:tcW w:w="155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Average cost per case of early stage diabetes</w:t>
            </w:r>
          </w:p>
        </w:tc>
        <w:tc>
          <w:tcPr>
            <w:tcW w:w="909"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Health system</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$2,081.0</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$2,081.0</w:t>
            </w:r>
          </w:p>
        </w:tc>
        <w:tc>
          <w:tcPr>
            <w:tcW w:w="2685" w:type="dxa"/>
            <w:tcBorders>
              <w:top w:val="nil"/>
              <w:left w:val="nil"/>
              <w:bottom w:val="single" w:sz="4" w:space="0" w:color="auto"/>
              <w:right w:val="single" w:sz="4" w:space="0" w:color="auto"/>
            </w:tcBorders>
            <w:shd w:val="clear" w:color="000000" w:fill="FFFFFF"/>
            <w:vAlign w:val="bottom"/>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 xml:space="preserve">From Ying Lee, </w:t>
            </w:r>
            <w:r w:rsidR="00983BA7">
              <w:rPr>
                <w:rFonts w:ascii="Arial Narrow" w:hAnsi="Arial Narrow" w:cs="Calibri"/>
                <w:color w:val="000000"/>
                <w:sz w:val="20"/>
                <w:szCs w:val="20"/>
              </w:rPr>
              <w:t xml:space="preserve">et al. </w:t>
            </w:r>
            <w:r w:rsidRPr="00E3331A">
              <w:rPr>
                <w:rFonts w:ascii="Arial Narrow" w:hAnsi="Arial Narrow" w:cs="Calibri"/>
                <w:color w:val="000000"/>
                <w:sz w:val="20"/>
                <w:szCs w:val="20"/>
              </w:rPr>
              <w:t>2013. Annual direct per person costs were A$1898 for those with normal glucose tolerance to A$2,081 for new diabetes</w:t>
            </w:r>
          </w:p>
        </w:tc>
      </w:tr>
      <w:tr w:rsidR="001E1860" w:rsidRPr="00E3331A" w:rsidTr="00464E0A">
        <w:trPr>
          <w:trHeight w:val="255"/>
        </w:trPr>
        <w:tc>
          <w:tcPr>
            <w:tcW w:w="155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Total</w:t>
            </w:r>
          </w:p>
        </w:tc>
        <w:tc>
          <w:tcPr>
            <w:tcW w:w="909"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$2,081.0</w:t>
            </w:r>
          </w:p>
        </w:tc>
        <w:tc>
          <w:tcPr>
            <w:tcW w:w="2685" w:type="dxa"/>
            <w:tcBorders>
              <w:top w:val="nil"/>
              <w:left w:val="nil"/>
              <w:bottom w:val="single" w:sz="4" w:space="0" w:color="auto"/>
              <w:right w:val="single" w:sz="4" w:space="0" w:color="auto"/>
            </w:tcBorders>
            <w:shd w:val="clear" w:color="000000" w:fill="FFFFFF"/>
            <w:vAlign w:val="bottom"/>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r w:rsidR="009F4F4E" w:rsidRPr="00E3331A" w:rsidTr="009F4F4E">
        <w:trPr>
          <w:trHeight w:val="255"/>
        </w:trPr>
        <w:tc>
          <w:tcPr>
            <w:tcW w:w="9016" w:type="dxa"/>
            <w:gridSpan w:val="7"/>
            <w:tcBorders>
              <w:top w:val="nil"/>
              <w:left w:val="single" w:sz="4" w:space="0" w:color="auto"/>
              <w:bottom w:val="single" w:sz="4" w:space="0" w:color="auto"/>
              <w:right w:val="single" w:sz="4" w:space="0" w:color="auto"/>
            </w:tcBorders>
            <w:shd w:val="clear" w:color="auto" w:fill="D9D9D9"/>
            <w:vAlign w:val="center"/>
            <w:hideMark/>
          </w:tcPr>
          <w:p w:rsidR="009F4F4E" w:rsidRPr="00E3331A" w:rsidRDefault="009F4F4E" w:rsidP="009F4F4E">
            <w:pPr>
              <w:rPr>
                <w:rFonts w:ascii="Arial Narrow" w:hAnsi="Arial Narrow" w:cs="Calibri"/>
                <w:b/>
                <w:bCs/>
                <w:color w:val="FFFFFF"/>
                <w:sz w:val="20"/>
                <w:szCs w:val="20"/>
              </w:rPr>
            </w:pPr>
            <w:r w:rsidRPr="00E3331A">
              <w:rPr>
                <w:rFonts w:ascii="Arial Narrow" w:hAnsi="Arial Narrow" w:cs="Calibri"/>
                <w:b/>
                <w:bCs/>
                <w:sz w:val="20"/>
                <w:szCs w:val="20"/>
              </w:rPr>
              <w:lastRenderedPageBreak/>
              <w:t>Initial cost Glaucoma</w:t>
            </w:r>
          </w:p>
        </w:tc>
      </w:tr>
      <w:tr w:rsidR="001E1860" w:rsidRPr="00E3331A" w:rsidTr="00464E0A">
        <w:trPr>
          <w:trHeight w:val="510"/>
        </w:trPr>
        <w:tc>
          <w:tcPr>
            <w:tcW w:w="155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Average cost per case for surgery</w:t>
            </w:r>
          </w:p>
        </w:tc>
        <w:tc>
          <w:tcPr>
            <w:tcW w:w="909"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Health system</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$1,118.0</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$1,118.0</w:t>
            </w:r>
          </w:p>
        </w:tc>
        <w:tc>
          <w:tcPr>
            <w:tcW w:w="2685" w:type="dxa"/>
            <w:tcBorders>
              <w:top w:val="nil"/>
              <w:left w:val="nil"/>
              <w:bottom w:val="single" w:sz="4" w:space="0" w:color="auto"/>
              <w:right w:val="single" w:sz="4" w:space="0" w:color="auto"/>
            </w:tcBorders>
            <w:shd w:val="clear" w:color="000000" w:fill="FFFFFF"/>
            <w:vAlign w:val="bottom"/>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 xml:space="preserve">Dirani </w:t>
            </w:r>
            <w:r w:rsidR="00983BA7">
              <w:rPr>
                <w:rFonts w:ascii="Arial Narrow" w:hAnsi="Arial Narrow" w:cs="Calibri"/>
                <w:color w:val="000000"/>
                <w:sz w:val="20"/>
                <w:szCs w:val="20"/>
              </w:rPr>
              <w:t xml:space="preserve">et al. </w:t>
            </w:r>
            <w:r w:rsidRPr="00E3331A">
              <w:rPr>
                <w:rFonts w:ascii="Arial Narrow" w:hAnsi="Arial Narrow" w:cs="Calibri"/>
                <w:color w:val="000000"/>
                <w:sz w:val="20"/>
                <w:szCs w:val="20"/>
              </w:rPr>
              <w:t xml:space="preserve">2011. Australia $1,118.15 for topical application in 50-year-old male. Costs include costs of side effect </w:t>
            </w:r>
          </w:p>
        </w:tc>
      </w:tr>
      <w:tr w:rsidR="001E1860" w:rsidRPr="00E3331A" w:rsidTr="00464E0A">
        <w:trPr>
          <w:trHeight w:val="255"/>
        </w:trPr>
        <w:tc>
          <w:tcPr>
            <w:tcW w:w="155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Total</w:t>
            </w:r>
          </w:p>
        </w:tc>
        <w:tc>
          <w:tcPr>
            <w:tcW w:w="909"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$1,118.0</w:t>
            </w:r>
          </w:p>
        </w:tc>
        <w:tc>
          <w:tcPr>
            <w:tcW w:w="2685" w:type="dxa"/>
            <w:tcBorders>
              <w:top w:val="nil"/>
              <w:left w:val="nil"/>
              <w:bottom w:val="single" w:sz="4" w:space="0" w:color="auto"/>
              <w:right w:val="single" w:sz="4" w:space="0" w:color="auto"/>
            </w:tcBorders>
            <w:shd w:val="clear" w:color="000000" w:fill="FFFFFF"/>
            <w:vAlign w:val="bottom"/>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r w:rsidR="009F4F4E" w:rsidRPr="00E3331A" w:rsidTr="009F4F4E">
        <w:trPr>
          <w:trHeight w:val="255"/>
        </w:trPr>
        <w:tc>
          <w:tcPr>
            <w:tcW w:w="9016" w:type="dxa"/>
            <w:gridSpan w:val="7"/>
            <w:tcBorders>
              <w:top w:val="nil"/>
              <w:left w:val="single" w:sz="4" w:space="0" w:color="auto"/>
              <w:bottom w:val="single" w:sz="4" w:space="0" w:color="auto"/>
              <w:right w:val="single" w:sz="4" w:space="0" w:color="auto"/>
            </w:tcBorders>
            <w:shd w:val="clear" w:color="auto" w:fill="D9D9D9"/>
            <w:vAlign w:val="center"/>
            <w:hideMark/>
          </w:tcPr>
          <w:p w:rsidR="009F4F4E" w:rsidRPr="00E3331A" w:rsidRDefault="009F4F4E" w:rsidP="009F4F4E">
            <w:pPr>
              <w:rPr>
                <w:rFonts w:ascii="Arial Narrow" w:hAnsi="Arial Narrow" w:cs="Calibri"/>
                <w:b/>
                <w:bCs/>
                <w:color w:val="FFFFFF"/>
                <w:sz w:val="20"/>
                <w:szCs w:val="20"/>
              </w:rPr>
            </w:pPr>
            <w:r w:rsidRPr="00E3331A">
              <w:rPr>
                <w:rFonts w:ascii="Arial Narrow" w:hAnsi="Arial Narrow" w:cs="Calibri"/>
                <w:b/>
                <w:bCs/>
                <w:sz w:val="20"/>
                <w:szCs w:val="20"/>
              </w:rPr>
              <w:t>Initial cost Cataract</w:t>
            </w:r>
          </w:p>
        </w:tc>
      </w:tr>
      <w:tr w:rsidR="001E1860" w:rsidRPr="00E3331A" w:rsidTr="00464E0A">
        <w:trPr>
          <w:trHeight w:val="510"/>
        </w:trPr>
        <w:tc>
          <w:tcPr>
            <w:tcW w:w="155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Average cost per case for surgery</w:t>
            </w:r>
          </w:p>
        </w:tc>
        <w:tc>
          <w:tcPr>
            <w:tcW w:w="909"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Health system</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$7,000.0</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$7,000.0</w:t>
            </w:r>
          </w:p>
        </w:tc>
        <w:tc>
          <w:tcPr>
            <w:tcW w:w="2685" w:type="dxa"/>
            <w:tcBorders>
              <w:top w:val="nil"/>
              <w:left w:val="nil"/>
              <w:bottom w:val="single" w:sz="4" w:space="0" w:color="auto"/>
              <w:right w:val="single" w:sz="4" w:space="0" w:color="auto"/>
            </w:tcBorders>
            <w:shd w:val="clear" w:color="000000" w:fill="FFFFFF"/>
            <w:vAlign w:val="bottom"/>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 xml:space="preserve">A cost of $6,218 was taken from Hopkins </w:t>
            </w:r>
            <w:r w:rsidR="00983BA7">
              <w:rPr>
                <w:rFonts w:ascii="Arial Narrow" w:hAnsi="Arial Narrow" w:cs="Calibri"/>
                <w:color w:val="000000"/>
                <w:sz w:val="20"/>
                <w:szCs w:val="20"/>
              </w:rPr>
              <w:t xml:space="preserve">et al. </w:t>
            </w:r>
            <w:r w:rsidRPr="00E3331A">
              <w:rPr>
                <w:rFonts w:ascii="Arial Narrow" w:hAnsi="Arial Narrow" w:cs="Calibri"/>
                <w:color w:val="000000"/>
                <w:sz w:val="20"/>
                <w:szCs w:val="20"/>
              </w:rPr>
              <w:t>study and primarily comprises surgery costs.</w:t>
            </w:r>
          </w:p>
        </w:tc>
      </w:tr>
      <w:tr w:rsidR="001E1860" w:rsidRPr="00E3331A" w:rsidTr="00464E0A">
        <w:trPr>
          <w:trHeight w:val="255"/>
        </w:trPr>
        <w:tc>
          <w:tcPr>
            <w:tcW w:w="155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Total</w:t>
            </w:r>
          </w:p>
        </w:tc>
        <w:tc>
          <w:tcPr>
            <w:tcW w:w="909"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$7,000.0</w:t>
            </w:r>
          </w:p>
        </w:tc>
        <w:tc>
          <w:tcPr>
            <w:tcW w:w="2685" w:type="dxa"/>
            <w:tcBorders>
              <w:top w:val="nil"/>
              <w:left w:val="nil"/>
              <w:bottom w:val="single" w:sz="4" w:space="0" w:color="auto"/>
              <w:right w:val="single" w:sz="4" w:space="0" w:color="auto"/>
            </w:tcBorders>
            <w:shd w:val="clear" w:color="000000" w:fill="FFFFFF"/>
            <w:vAlign w:val="bottom"/>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r w:rsidR="009F4F4E" w:rsidRPr="00E3331A" w:rsidTr="009F4F4E">
        <w:trPr>
          <w:trHeight w:val="255"/>
        </w:trPr>
        <w:tc>
          <w:tcPr>
            <w:tcW w:w="9016" w:type="dxa"/>
            <w:gridSpan w:val="7"/>
            <w:tcBorders>
              <w:top w:val="nil"/>
              <w:left w:val="single" w:sz="4" w:space="0" w:color="auto"/>
              <w:bottom w:val="single" w:sz="4" w:space="0" w:color="auto"/>
              <w:right w:val="single" w:sz="4" w:space="0" w:color="auto"/>
            </w:tcBorders>
            <w:shd w:val="clear" w:color="auto" w:fill="D9D9D9"/>
            <w:vAlign w:val="center"/>
            <w:hideMark/>
          </w:tcPr>
          <w:p w:rsidR="009F4F4E" w:rsidRPr="00E3331A" w:rsidRDefault="009F4F4E" w:rsidP="009F4F4E">
            <w:pPr>
              <w:rPr>
                <w:rFonts w:ascii="Arial Narrow" w:hAnsi="Arial Narrow" w:cs="Calibri"/>
                <w:b/>
                <w:bCs/>
                <w:color w:val="FFFFFF"/>
                <w:sz w:val="20"/>
                <w:szCs w:val="20"/>
              </w:rPr>
            </w:pPr>
            <w:r w:rsidRPr="00E3331A">
              <w:rPr>
                <w:rFonts w:ascii="Arial Narrow" w:hAnsi="Arial Narrow" w:cs="Calibri"/>
                <w:b/>
                <w:bCs/>
                <w:sz w:val="20"/>
                <w:szCs w:val="20"/>
              </w:rPr>
              <w:t>Initial cost Infection</w:t>
            </w:r>
          </w:p>
        </w:tc>
      </w:tr>
      <w:tr w:rsidR="001E1860" w:rsidRPr="00E3331A" w:rsidTr="00464E0A">
        <w:trPr>
          <w:trHeight w:val="1834"/>
        </w:trPr>
        <w:tc>
          <w:tcPr>
            <w:tcW w:w="155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Average cost per case for community-acquired pneumonia treatment</w:t>
            </w:r>
          </w:p>
        </w:tc>
        <w:tc>
          <w:tcPr>
            <w:tcW w:w="909"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Health system</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$7,171.0</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$7,171.0</w:t>
            </w:r>
          </w:p>
        </w:tc>
        <w:tc>
          <w:tcPr>
            <w:tcW w:w="2685" w:type="dxa"/>
            <w:tcBorders>
              <w:top w:val="nil"/>
              <w:left w:val="nil"/>
              <w:bottom w:val="single" w:sz="4" w:space="0" w:color="auto"/>
              <w:right w:val="single" w:sz="4" w:space="0" w:color="auto"/>
            </w:tcBorders>
            <w:shd w:val="clear" w:color="000000" w:fill="FFFFFF"/>
            <w:vAlign w:val="bottom"/>
            <w:hideMark/>
          </w:tcPr>
          <w:p w:rsidR="001E1860" w:rsidRPr="00E3331A" w:rsidRDefault="005648C3" w:rsidP="001E1860">
            <w:pPr>
              <w:rPr>
                <w:rFonts w:ascii="Arial Narrow" w:hAnsi="Arial Narrow" w:cs="Calibri"/>
                <w:color w:val="000000"/>
                <w:sz w:val="20"/>
                <w:szCs w:val="20"/>
              </w:rPr>
            </w:pPr>
            <w:r w:rsidRPr="00E3331A">
              <w:rPr>
                <w:rFonts w:ascii="Arial Narrow" w:hAnsi="Arial Narrow" w:cs="Calibri"/>
                <w:color w:val="000000"/>
                <w:sz w:val="20"/>
                <w:szCs w:val="20"/>
              </w:rPr>
              <w:t>The average Australian Refined Diagnosis Related Group (AR-DRG) for patients admitted for respiratory infections was $7,171 (weighted average of AR-DRGs E62AB)</w:t>
            </w:r>
            <w:r w:rsidR="00130F53">
              <w:rPr>
                <w:rFonts w:ascii="Arial Narrow" w:hAnsi="Arial Narrow" w:cs="Calibri"/>
                <w:color w:val="000000"/>
                <w:sz w:val="20"/>
                <w:szCs w:val="20"/>
              </w:rPr>
              <w:t>.</w:t>
            </w:r>
          </w:p>
        </w:tc>
      </w:tr>
      <w:tr w:rsidR="001E1860" w:rsidRPr="00E3331A" w:rsidTr="00464E0A">
        <w:trPr>
          <w:trHeight w:val="255"/>
        </w:trPr>
        <w:tc>
          <w:tcPr>
            <w:tcW w:w="155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Total</w:t>
            </w:r>
          </w:p>
        </w:tc>
        <w:tc>
          <w:tcPr>
            <w:tcW w:w="909"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$7,171.0</w:t>
            </w:r>
          </w:p>
        </w:tc>
        <w:tc>
          <w:tcPr>
            <w:tcW w:w="2685" w:type="dxa"/>
            <w:tcBorders>
              <w:top w:val="nil"/>
              <w:left w:val="nil"/>
              <w:bottom w:val="single" w:sz="4" w:space="0" w:color="auto"/>
              <w:right w:val="single" w:sz="4" w:space="0" w:color="auto"/>
            </w:tcBorders>
            <w:shd w:val="clear" w:color="000000" w:fill="FFFFFF"/>
            <w:vAlign w:val="bottom"/>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r w:rsidR="009F4F4E" w:rsidRPr="00E3331A" w:rsidTr="009F4F4E">
        <w:trPr>
          <w:trHeight w:val="255"/>
        </w:trPr>
        <w:tc>
          <w:tcPr>
            <w:tcW w:w="9016" w:type="dxa"/>
            <w:gridSpan w:val="7"/>
            <w:tcBorders>
              <w:top w:val="nil"/>
              <w:left w:val="single" w:sz="4" w:space="0" w:color="auto"/>
              <w:bottom w:val="single" w:sz="4" w:space="0" w:color="auto"/>
              <w:right w:val="single" w:sz="4" w:space="0" w:color="auto"/>
            </w:tcBorders>
            <w:shd w:val="clear" w:color="auto" w:fill="D9D9D9"/>
            <w:vAlign w:val="center"/>
            <w:hideMark/>
          </w:tcPr>
          <w:p w:rsidR="009F4F4E" w:rsidRPr="00E3331A" w:rsidRDefault="009F4F4E" w:rsidP="009F4F4E">
            <w:pPr>
              <w:rPr>
                <w:rFonts w:ascii="Arial Narrow" w:hAnsi="Arial Narrow" w:cs="Calibri"/>
                <w:b/>
                <w:bCs/>
                <w:color w:val="FFFFFF"/>
                <w:sz w:val="20"/>
                <w:szCs w:val="20"/>
              </w:rPr>
            </w:pPr>
            <w:r w:rsidRPr="00E3331A">
              <w:rPr>
                <w:rFonts w:ascii="Arial Narrow" w:hAnsi="Arial Narrow" w:cs="Calibri"/>
                <w:b/>
                <w:bCs/>
                <w:sz w:val="20"/>
                <w:szCs w:val="20"/>
              </w:rPr>
              <w:t>Follow-on Fracture</w:t>
            </w:r>
          </w:p>
        </w:tc>
      </w:tr>
      <w:tr w:rsidR="001E1860" w:rsidRPr="00E3331A" w:rsidTr="00464E0A">
        <w:trPr>
          <w:trHeight w:val="510"/>
        </w:trPr>
        <w:tc>
          <w:tcPr>
            <w:tcW w:w="155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Average cost per fracture</w:t>
            </w:r>
          </w:p>
        </w:tc>
        <w:tc>
          <w:tcPr>
            <w:tcW w:w="909"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Health system</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$258.0</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$258.0</w:t>
            </w:r>
          </w:p>
        </w:tc>
        <w:tc>
          <w:tcPr>
            <w:tcW w:w="2685" w:type="dxa"/>
            <w:tcBorders>
              <w:top w:val="nil"/>
              <w:left w:val="nil"/>
              <w:bottom w:val="single" w:sz="4" w:space="0" w:color="auto"/>
              <w:right w:val="single" w:sz="4" w:space="0" w:color="auto"/>
            </w:tcBorders>
            <w:shd w:val="clear" w:color="000000" w:fill="FFFFFF"/>
            <w:vAlign w:val="bottom"/>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 xml:space="preserve">From Watts, J. </w:t>
            </w:r>
            <w:r w:rsidR="00983BA7">
              <w:rPr>
                <w:rFonts w:ascii="Arial Narrow" w:hAnsi="Arial Narrow" w:cs="Calibri"/>
                <w:color w:val="000000"/>
                <w:sz w:val="20"/>
                <w:szCs w:val="20"/>
              </w:rPr>
              <w:t xml:space="preserve">et al. </w:t>
            </w:r>
            <w:r w:rsidRPr="00E3331A">
              <w:rPr>
                <w:rFonts w:ascii="Arial Narrow" w:hAnsi="Arial Narrow" w:cs="Calibri"/>
                <w:color w:val="000000"/>
                <w:sz w:val="20"/>
                <w:szCs w:val="20"/>
              </w:rPr>
              <w:t>2012</w:t>
            </w:r>
          </w:p>
        </w:tc>
      </w:tr>
      <w:tr w:rsidR="001E1860" w:rsidRPr="00E3331A" w:rsidTr="00464E0A">
        <w:trPr>
          <w:trHeight w:val="255"/>
        </w:trPr>
        <w:tc>
          <w:tcPr>
            <w:tcW w:w="155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 xml:space="preserve">Annual cost of </w:t>
            </w:r>
            <w:r w:rsidR="008448F4">
              <w:rPr>
                <w:rFonts w:ascii="Arial Narrow" w:hAnsi="Arial Narrow" w:cs="Calibri"/>
                <w:color w:val="000000"/>
                <w:sz w:val="20"/>
                <w:szCs w:val="20"/>
              </w:rPr>
              <w:t xml:space="preserve">medicines </w:t>
            </w:r>
            <w:r w:rsidR="004C5E7B">
              <w:rPr>
                <w:rFonts w:ascii="Arial Narrow" w:hAnsi="Arial Narrow" w:cs="Calibri"/>
                <w:color w:val="000000"/>
                <w:sz w:val="20"/>
                <w:szCs w:val="20"/>
              </w:rPr>
              <w:t>regimen</w:t>
            </w:r>
          </w:p>
        </w:tc>
        <w:tc>
          <w:tcPr>
            <w:tcW w:w="909" w:type="dxa"/>
            <w:tcBorders>
              <w:top w:val="nil"/>
              <w:left w:val="nil"/>
              <w:bottom w:val="single" w:sz="4" w:space="0" w:color="auto"/>
              <w:right w:val="single" w:sz="4" w:space="0" w:color="auto"/>
            </w:tcBorders>
            <w:shd w:val="clear" w:color="000000" w:fill="FFFFFF"/>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Health system</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$2,603.3</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color w:val="000000"/>
                <w:sz w:val="20"/>
                <w:szCs w:val="20"/>
              </w:rPr>
            </w:pPr>
            <w:r w:rsidRPr="00E3331A">
              <w:rPr>
                <w:rFonts w:ascii="Arial Narrow" w:hAnsi="Arial Narrow" w:cs="Calibri"/>
                <w:color w:val="000000"/>
                <w:sz w:val="20"/>
                <w:szCs w:val="20"/>
              </w:rPr>
              <w:t>$2,603.3</w:t>
            </w:r>
          </w:p>
        </w:tc>
        <w:tc>
          <w:tcPr>
            <w:tcW w:w="2685" w:type="dxa"/>
            <w:tcBorders>
              <w:top w:val="nil"/>
              <w:left w:val="nil"/>
              <w:bottom w:val="single" w:sz="4" w:space="0" w:color="auto"/>
              <w:right w:val="single" w:sz="4" w:space="0" w:color="auto"/>
            </w:tcBorders>
            <w:shd w:val="clear" w:color="000000" w:fill="FFFFFF"/>
            <w:vAlign w:val="bottom"/>
            <w:hideMark/>
          </w:tcPr>
          <w:p w:rsidR="001E1860" w:rsidRPr="00E3331A" w:rsidRDefault="001E1860" w:rsidP="001E1860">
            <w:pPr>
              <w:rPr>
                <w:rFonts w:ascii="Arial Narrow" w:hAnsi="Arial Narrow" w:cs="Calibri"/>
                <w:color w:val="000000"/>
                <w:sz w:val="20"/>
                <w:szCs w:val="20"/>
              </w:rPr>
            </w:pPr>
            <w:r w:rsidRPr="00E3331A">
              <w:rPr>
                <w:rFonts w:ascii="Arial Narrow" w:hAnsi="Arial Narrow" w:cs="Calibri"/>
                <w:color w:val="000000"/>
                <w:sz w:val="20"/>
                <w:szCs w:val="20"/>
              </w:rPr>
              <w:t xml:space="preserve">From Azathioprine regimen costing </w:t>
            </w:r>
          </w:p>
        </w:tc>
      </w:tr>
      <w:tr w:rsidR="001E1860" w:rsidRPr="00E3331A" w:rsidTr="00464E0A">
        <w:trPr>
          <w:trHeight w:val="255"/>
        </w:trPr>
        <w:tc>
          <w:tcPr>
            <w:tcW w:w="155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Weekly equivalent</w:t>
            </w:r>
          </w:p>
        </w:tc>
        <w:tc>
          <w:tcPr>
            <w:tcW w:w="909"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18"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055"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46" w:type="dxa"/>
            <w:tcBorders>
              <w:top w:val="nil"/>
              <w:left w:val="nil"/>
              <w:bottom w:val="single" w:sz="4" w:space="0" w:color="auto"/>
              <w:right w:val="single" w:sz="4" w:space="0" w:color="auto"/>
            </w:tcBorders>
            <w:shd w:val="clear" w:color="000000" w:fill="FFFFFF"/>
            <w:noWrap/>
            <w:vAlign w:val="center"/>
            <w:hideMark/>
          </w:tcPr>
          <w:p w:rsidR="001E1860" w:rsidRPr="00E3331A" w:rsidRDefault="001E1860"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$55.0</w:t>
            </w:r>
          </w:p>
        </w:tc>
        <w:tc>
          <w:tcPr>
            <w:tcW w:w="2685" w:type="dxa"/>
            <w:tcBorders>
              <w:top w:val="nil"/>
              <w:left w:val="nil"/>
              <w:bottom w:val="single" w:sz="4" w:space="0" w:color="auto"/>
              <w:right w:val="single" w:sz="4" w:space="0" w:color="auto"/>
            </w:tcBorders>
            <w:shd w:val="clear" w:color="000000" w:fill="FFFFFF"/>
            <w:vAlign w:val="bottom"/>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r w:rsidR="007907E2" w:rsidRPr="00E3331A" w:rsidTr="00153121">
        <w:trPr>
          <w:trHeight w:val="255"/>
        </w:trPr>
        <w:tc>
          <w:tcPr>
            <w:tcW w:w="9016" w:type="dxa"/>
            <w:gridSpan w:val="7"/>
            <w:tcBorders>
              <w:top w:val="nil"/>
              <w:left w:val="single" w:sz="4" w:space="0" w:color="auto"/>
              <w:bottom w:val="single" w:sz="4" w:space="0" w:color="auto"/>
              <w:right w:val="single" w:sz="4" w:space="0" w:color="auto"/>
            </w:tcBorders>
            <w:shd w:val="clear" w:color="auto" w:fill="D9D9D9"/>
            <w:vAlign w:val="center"/>
            <w:hideMark/>
          </w:tcPr>
          <w:p w:rsidR="007907E2" w:rsidRPr="00E3331A" w:rsidRDefault="007907E2" w:rsidP="00464E0A">
            <w:pPr>
              <w:rPr>
                <w:rFonts w:ascii="Arial Narrow" w:hAnsi="Arial Narrow" w:cs="Calibri"/>
                <w:b/>
                <w:bCs/>
                <w:color w:val="FFFFFF"/>
                <w:sz w:val="20"/>
                <w:szCs w:val="20"/>
              </w:rPr>
            </w:pPr>
            <w:r w:rsidRPr="00E3331A">
              <w:rPr>
                <w:rFonts w:ascii="Arial Narrow" w:hAnsi="Arial Narrow" w:cs="Calibri"/>
                <w:b/>
                <w:bCs/>
                <w:sz w:val="20"/>
                <w:szCs w:val="20"/>
              </w:rPr>
              <w:t>Follow-on Diabetes, Glaucoma, Cataract, Infection</w:t>
            </w:r>
          </w:p>
        </w:tc>
      </w:tr>
      <w:tr w:rsidR="007907E2" w:rsidRPr="00E3331A" w:rsidTr="00464E0A">
        <w:trPr>
          <w:trHeight w:val="255"/>
        </w:trPr>
        <w:tc>
          <w:tcPr>
            <w:tcW w:w="1557" w:type="dxa"/>
            <w:tcBorders>
              <w:top w:val="nil"/>
              <w:left w:val="single" w:sz="4" w:space="0" w:color="auto"/>
              <w:bottom w:val="single" w:sz="4" w:space="0" w:color="auto"/>
              <w:right w:val="single" w:sz="4" w:space="0" w:color="auto"/>
            </w:tcBorders>
            <w:shd w:val="clear" w:color="000000" w:fill="FFFFFF"/>
            <w:vAlign w:val="center"/>
            <w:hideMark/>
          </w:tcPr>
          <w:p w:rsidR="007907E2" w:rsidRPr="00E3331A" w:rsidRDefault="008448F4" w:rsidP="007907E2">
            <w:pPr>
              <w:rPr>
                <w:rFonts w:ascii="Arial Narrow" w:hAnsi="Arial Narrow" w:cs="Calibri"/>
                <w:color w:val="000000"/>
                <w:sz w:val="20"/>
                <w:szCs w:val="20"/>
              </w:rPr>
            </w:pPr>
            <w:r w:rsidRPr="00E3331A">
              <w:rPr>
                <w:rFonts w:ascii="Arial Narrow" w:hAnsi="Arial Narrow" w:cs="Calibri"/>
                <w:color w:val="000000"/>
                <w:sz w:val="20"/>
                <w:szCs w:val="20"/>
              </w:rPr>
              <w:lastRenderedPageBreak/>
              <w:t xml:space="preserve">Annual cost of </w:t>
            </w:r>
            <w:r>
              <w:rPr>
                <w:rFonts w:ascii="Arial Narrow" w:hAnsi="Arial Narrow" w:cs="Calibri"/>
                <w:color w:val="000000"/>
                <w:sz w:val="20"/>
                <w:szCs w:val="20"/>
              </w:rPr>
              <w:t>medicines regimen</w:t>
            </w:r>
          </w:p>
        </w:tc>
        <w:tc>
          <w:tcPr>
            <w:tcW w:w="909" w:type="dxa"/>
            <w:tcBorders>
              <w:top w:val="nil"/>
              <w:left w:val="nil"/>
              <w:bottom w:val="single" w:sz="4" w:space="0" w:color="auto"/>
              <w:right w:val="single" w:sz="4" w:space="0" w:color="auto"/>
            </w:tcBorders>
            <w:shd w:val="clear" w:color="000000" w:fill="FFFFFF"/>
            <w:vAlign w:val="center"/>
            <w:hideMark/>
          </w:tcPr>
          <w:p w:rsidR="007907E2" w:rsidRPr="00E3331A" w:rsidRDefault="007907E2" w:rsidP="007907E2">
            <w:pPr>
              <w:jc w:val="center"/>
              <w:rPr>
                <w:rFonts w:ascii="Arial Narrow" w:hAnsi="Arial Narrow" w:cs="Calibri"/>
                <w:color w:val="000000"/>
                <w:sz w:val="20"/>
                <w:szCs w:val="20"/>
              </w:rPr>
            </w:pPr>
            <w:r w:rsidRPr="00E3331A">
              <w:rPr>
                <w:rFonts w:ascii="Arial Narrow" w:hAnsi="Arial Narrow" w:cs="Calibri"/>
                <w:color w:val="000000"/>
                <w:sz w:val="20"/>
                <w:szCs w:val="20"/>
              </w:rPr>
              <w:t>Health system</w:t>
            </w:r>
          </w:p>
        </w:tc>
        <w:tc>
          <w:tcPr>
            <w:tcW w:w="946" w:type="dxa"/>
            <w:tcBorders>
              <w:top w:val="nil"/>
              <w:left w:val="nil"/>
              <w:bottom w:val="single" w:sz="4" w:space="0" w:color="auto"/>
              <w:right w:val="single" w:sz="4" w:space="0" w:color="auto"/>
            </w:tcBorders>
            <w:shd w:val="clear" w:color="000000" w:fill="FFFFFF"/>
            <w:noWrap/>
            <w:vAlign w:val="center"/>
            <w:hideMark/>
          </w:tcPr>
          <w:p w:rsidR="007907E2" w:rsidRPr="00E3331A" w:rsidRDefault="007907E2" w:rsidP="007907E2">
            <w:pPr>
              <w:jc w:val="center"/>
              <w:rPr>
                <w:rFonts w:ascii="Arial Narrow" w:hAnsi="Arial Narrow" w:cs="Calibri"/>
                <w:color w:val="000000"/>
                <w:sz w:val="20"/>
                <w:szCs w:val="20"/>
              </w:rPr>
            </w:pPr>
            <w:r w:rsidRPr="00E3331A">
              <w:rPr>
                <w:rFonts w:ascii="Arial Narrow" w:hAnsi="Arial Narrow" w:cs="Calibri"/>
                <w:color w:val="000000"/>
                <w:sz w:val="20"/>
                <w:szCs w:val="20"/>
              </w:rPr>
              <w:t>$2,603.3</w:t>
            </w:r>
          </w:p>
        </w:tc>
        <w:tc>
          <w:tcPr>
            <w:tcW w:w="918" w:type="dxa"/>
            <w:tcBorders>
              <w:top w:val="nil"/>
              <w:left w:val="nil"/>
              <w:bottom w:val="single" w:sz="4" w:space="0" w:color="auto"/>
              <w:right w:val="single" w:sz="4" w:space="0" w:color="auto"/>
            </w:tcBorders>
            <w:shd w:val="clear" w:color="000000" w:fill="FFFFFF"/>
            <w:noWrap/>
            <w:vAlign w:val="center"/>
            <w:hideMark/>
          </w:tcPr>
          <w:p w:rsidR="007907E2" w:rsidRPr="00E3331A" w:rsidRDefault="007907E2" w:rsidP="007907E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055" w:type="dxa"/>
            <w:tcBorders>
              <w:top w:val="nil"/>
              <w:left w:val="nil"/>
              <w:bottom w:val="single" w:sz="4" w:space="0" w:color="auto"/>
              <w:right w:val="single" w:sz="4" w:space="0" w:color="auto"/>
            </w:tcBorders>
            <w:shd w:val="clear" w:color="000000" w:fill="FFFFFF"/>
            <w:noWrap/>
            <w:vAlign w:val="center"/>
            <w:hideMark/>
          </w:tcPr>
          <w:p w:rsidR="007907E2" w:rsidRPr="00E3331A" w:rsidRDefault="007907E2" w:rsidP="007907E2">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46" w:type="dxa"/>
            <w:tcBorders>
              <w:top w:val="nil"/>
              <w:left w:val="nil"/>
              <w:bottom w:val="single" w:sz="4" w:space="0" w:color="auto"/>
              <w:right w:val="single" w:sz="4" w:space="0" w:color="auto"/>
            </w:tcBorders>
            <w:shd w:val="clear" w:color="000000" w:fill="FFFFFF"/>
            <w:noWrap/>
            <w:vAlign w:val="center"/>
            <w:hideMark/>
          </w:tcPr>
          <w:p w:rsidR="007907E2" w:rsidRPr="00E3331A" w:rsidRDefault="007907E2" w:rsidP="007907E2">
            <w:pPr>
              <w:jc w:val="center"/>
              <w:rPr>
                <w:rFonts w:ascii="Arial Narrow" w:hAnsi="Arial Narrow" w:cs="Calibri"/>
                <w:color w:val="000000"/>
                <w:sz w:val="20"/>
                <w:szCs w:val="20"/>
              </w:rPr>
            </w:pPr>
            <w:r w:rsidRPr="00E3331A">
              <w:rPr>
                <w:rFonts w:ascii="Arial Narrow" w:hAnsi="Arial Narrow" w:cs="Calibri"/>
                <w:color w:val="000000"/>
                <w:sz w:val="20"/>
                <w:szCs w:val="20"/>
              </w:rPr>
              <w:t>$2,603.3</w:t>
            </w:r>
          </w:p>
        </w:tc>
        <w:tc>
          <w:tcPr>
            <w:tcW w:w="2685" w:type="dxa"/>
            <w:tcBorders>
              <w:top w:val="nil"/>
              <w:left w:val="nil"/>
              <w:bottom w:val="single" w:sz="4" w:space="0" w:color="auto"/>
              <w:right w:val="single" w:sz="4" w:space="0" w:color="auto"/>
            </w:tcBorders>
            <w:shd w:val="clear" w:color="000000" w:fill="FFFFFF"/>
            <w:vAlign w:val="bottom"/>
            <w:hideMark/>
          </w:tcPr>
          <w:p w:rsidR="007907E2" w:rsidRPr="00E3331A" w:rsidRDefault="007907E2" w:rsidP="007907E2">
            <w:pPr>
              <w:rPr>
                <w:rFonts w:ascii="Arial Narrow" w:hAnsi="Arial Narrow" w:cs="Calibri"/>
                <w:color w:val="000000"/>
                <w:sz w:val="20"/>
                <w:szCs w:val="20"/>
              </w:rPr>
            </w:pPr>
            <w:r w:rsidRPr="00E3331A">
              <w:rPr>
                <w:rFonts w:ascii="Arial Narrow" w:hAnsi="Arial Narrow" w:cs="Calibri"/>
                <w:color w:val="000000"/>
                <w:sz w:val="20"/>
                <w:szCs w:val="20"/>
              </w:rPr>
              <w:t xml:space="preserve">From Azathioprine regimen costing </w:t>
            </w:r>
          </w:p>
        </w:tc>
      </w:tr>
      <w:tr w:rsidR="001E1860" w:rsidRPr="00E3331A" w:rsidTr="00464E0A">
        <w:trPr>
          <w:trHeight w:val="255"/>
        </w:trPr>
        <w:tc>
          <w:tcPr>
            <w:tcW w:w="1557" w:type="dxa"/>
            <w:tcBorders>
              <w:top w:val="nil"/>
              <w:left w:val="single" w:sz="4" w:space="0" w:color="auto"/>
              <w:bottom w:val="single" w:sz="4" w:space="0" w:color="auto"/>
              <w:right w:val="single" w:sz="4" w:space="0" w:color="auto"/>
            </w:tcBorders>
            <w:shd w:val="clear" w:color="000000" w:fill="FFFFFF"/>
            <w:vAlign w:val="center"/>
            <w:hideMark/>
          </w:tcPr>
          <w:p w:rsidR="001E1860" w:rsidRPr="00E3331A" w:rsidRDefault="001E1860" w:rsidP="001E1860">
            <w:pPr>
              <w:rPr>
                <w:rFonts w:ascii="Arial Narrow" w:hAnsi="Arial Narrow" w:cs="Calibri"/>
                <w:b/>
                <w:bCs/>
                <w:color w:val="000000"/>
                <w:sz w:val="20"/>
                <w:szCs w:val="20"/>
              </w:rPr>
            </w:pPr>
            <w:r w:rsidRPr="00E3331A">
              <w:rPr>
                <w:rFonts w:ascii="Arial Narrow" w:hAnsi="Arial Narrow" w:cs="Calibri"/>
                <w:b/>
                <w:bCs/>
                <w:color w:val="000000"/>
                <w:sz w:val="20"/>
                <w:szCs w:val="20"/>
              </w:rPr>
              <w:t>Weekly equivalent</w:t>
            </w:r>
          </w:p>
        </w:tc>
        <w:tc>
          <w:tcPr>
            <w:tcW w:w="909" w:type="dxa"/>
            <w:tcBorders>
              <w:top w:val="nil"/>
              <w:left w:val="nil"/>
              <w:bottom w:val="single" w:sz="4" w:space="0" w:color="auto"/>
              <w:right w:val="single" w:sz="4" w:space="0" w:color="auto"/>
            </w:tcBorders>
            <w:shd w:val="clear" w:color="000000" w:fill="FFFFFF"/>
            <w:noWrap/>
            <w:vAlign w:val="center"/>
          </w:tcPr>
          <w:p w:rsidR="001E1860" w:rsidRPr="00E3331A" w:rsidRDefault="001E1860" w:rsidP="001E1860">
            <w:pPr>
              <w:jc w:val="center"/>
              <w:rPr>
                <w:rFonts w:ascii="Arial Narrow" w:hAnsi="Arial Narrow" w:cs="Calibri"/>
                <w:b/>
                <w:bCs/>
                <w:color w:val="000000"/>
                <w:sz w:val="20"/>
                <w:szCs w:val="20"/>
              </w:rPr>
            </w:pPr>
          </w:p>
        </w:tc>
        <w:tc>
          <w:tcPr>
            <w:tcW w:w="946" w:type="dxa"/>
            <w:tcBorders>
              <w:top w:val="nil"/>
              <w:left w:val="nil"/>
              <w:bottom w:val="single" w:sz="4" w:space="0" w:color="auto"/>
              <w:right w:val="single" w:sz="4" w:space="0" w:color="auto"/>
            </w:tcBorders>
            <w:shd w:val="clear" w:color="000000" w:fill="FFFFFF"/>
            <w:noWrap/>
            <w:vAlign w:val="center"/>
          </w:tcPr>
          <w:p w:rsidR="001E1860" w:rsidRPr="00E3331A" w:rsidRDefault="001E1860" w:rsidP="001E1860">
            <w:pPr>
              <w:jc w:val="center"/>
              <w:rPr>
                <w:rFonts w:ascii="Arial Narrow" w:hAnsi="Arial Narrow" w:cs="Calibri"/>
                <w:b/>
                <w:bCs/>
                <w:color w:val="000000"/>
                <w:sz w:val="20"/>
                <w:szCs w:val="20"/>
              </w:rPr>
            </w:pPr>
          </w:p>
        </w:tc>
        <w:tc>
          <w:tcPr>
            <w:tcW w:w="918" w:type="dxa"/>
            <w:tcBorders>
              <w:top w:val="nil"/>
              <w:left w:val="nil"/>
              <w:bottom w:val="single" w:sz="4" w:space="0" w:color="auto"/>
              <w:right w:val="single" w:sz="4" w:space="0" w:color="auto"/>
            </w:tcBorders>
            <w:shd w:val="clear" w:color="000000" w:fill="FFFFFF"/>
            <w:noWrap/>
            <w:vAlign w:val="center"/>
          </w:tcPr>
          <w:p w:rsidR="001E1860" w:rsidRPr="00E3331A" w:rsidRDefault="001E1860" w:rsidP="001E1860">
            <w:pPr>
              <w:jc w:val="center"/>
              <w:rPr>
                <w:rFonts w:ascii="Arial Narrow" w:hAnsi="Arial Narrow" w:cs="Calibri"/>
                <w:b/>
                <w:bCs/>
                <w:color w:val="000000"/>
                <w:sz w:val="20"/>
                <w:szCs w:val="20"/>
              </w:rPr>
            </w:pPr>
          </w:p>
        </w:tc>
        <w:tc>
          <w:tcPr>
            <w:tcW w:w="1055" w:type="dxa"/>
            <w:tcBorders>
              <w:top w:val="nil"/>
              <w:left w:val="nil"/>
              <w:bottom w:val="single" w:sz="4" w:space="0" w:color="auto"/>
              <w:right w:val="single" w:sz="4" w:space="0" w:color="auto"/>
            </w:tcBorders>
            <w:shd w:val="clear" w:color="000000" w:fill="FFFFFF"/>
            <w:noWrap/>
            <w:vAlign w:val="center"/>
          </w:tcPr>
          <w:p w:rsidR="001E1860" w:rsidRPr="00E3331A" w:rsidRDefault="001E1860" w:rsidP="001E1860">
            <w:pPr>
              <w:jc w:val="center"/>
              <w:rPr>
                <w:rFonts w:ascii="Arial Narrow" w:hAnsi="Arial Narrow" w:cs="Calibri"/>
                <w:b/>
                <w:bCs/>
                <w:color w:val="000000"/>
                <w:sz w:val="20"/>
                <w:szCs w:val="20"/>
              </w:rPr>
            </w:pPr>
          </w:p>
        </w:tc>
        <w:tc>
          <w:tcPr>
            <w:tcW w:w="946" w:type="dxa"/>
            <w:tcBorders>
              <w:top w:val="nil"/>
              <w:left w:val="nil"/>
              <w:bottom w:val="single" w:sz="4" w:space="0" w:color="auto"/>
              <w:right w:val="single" w:sz="4" w:space="0" w:color="auto"/>
            </w:tcBorders>
            <w:shd w:val="clear" w:color="000000" w:fill="FFFFFF"/>
            <w:noWrap/>
            <w:vAlign w:val="center"/>
          </w:tcPr>
          <w:p w:rsidR="001E1860" w:rsidRPr="00E3331A" w:rsidRDefault="007907E2" w:rsidP="001E1860">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$50.1</w:t>
            </w:r>
          </w:p>
        </w:tc>
        <w:tc>
          <w:tcPr>
            <w:tcW w:w="2685" w:type="dxa"/>
            <w:tcBorders>
              <w:top w:val="nil"/>
              <w:left w:val="nil"/>
              <w:bottom w:val="single" w:sz="4" w:space="0" w:color="auto"/>
              <w:right w:val="single" w:sz="4" w:space="0" w:color="auto"/>
            </w:tcBorders>
            <w:shd w:val="clear" w:color="000000" w:fill="FFFFFF"/>
            <w:vAlign w:val="bottom"/>
          </w:tcPr>
          <w:p w:rsidR="001E1860" w:rsidRPr="00E3331A" w:rsidRDefault="001E1860" w:rsidP="001E1860">
            <w:pPr>
              <w:rPr>
                <w:rFonts w:ascii="Arial Narrow" w:hAnsi="Arial Narrow" w:cs="Calibri"/>
                <w:b/>
                <w:bCs/>
                <w:color w:val="000000"/>
                <w:sz w:val="20"/>
                <w:szCs w:val="20"/>
              </w:rPr>
            </w:pPr>
          </w:p>
        </w:tc>
      </w:tr>
    </w:tbl>
    <w:p w:rsidR="001F5B33" w:rsidRPr="00E3331A" w:rsidRDefault="001E4486" w:rsidP="00BB6E4C">
      <w:pPr>
        <w:pStyle w:val="BodyTextSTD"/>
        <w:rPr>
          <w:rFonts w:ascii="Arial Narrow" w:hAnsi="Arial Narrow"/>
          <w:sz w:val="18"/>
        </w:rPr>
      </w:pPr>
      <w:r w:rsidRPr="00E3331A">
        <w:rPr>
          <w:rFonts w:ascii="Arial Narrow" w:hAnsi="Arial Narrow"/>
          <w:sz w:val="18"/>
        </w:rPr>
        <w:t>AR-DRG = Australian Refined Diagnosis Related Group, AU$ = Australia dollar, MBS=Medical Benefits Schedule.</w:t>
      </w:r>
    </w:p>
    <w:p w:rsidR="001F5B33" w:rsidRPr="00E3331A" w:rsidRDefault="001F5B33" w:rsidP="00906C5E">
      <w:pPr>
        <w:pStyle w:val="Heading5underline"/>
      </w:pPr>
      <w:r w:rsidRPr="00E3331A">
        <w:t xml:space="preserve">Fracture </w:t>
      </w:r>
    </w:p>
    <w:p w:rsidR="001F5B33" w:rsidRPr="00E3331A" w:rsidRDefault="001F5B33" w:rsidP="00BB6E4C">
      <w:pPr>
        <w:pStyle w:val="BodyTextSTD"/>
      </w:pPr>
      <w:r w:rsidRPr="00E3331A">
        <w:t xml:space="preserve">The Blackhouse </w:t>
      </w:r>
      <w:r w:rsidR="00983BA7">
        <w:t xml:space="preserve">et al. </w:t>
      </w:r>
      <w:r w:rsidRPr="00E3331A">
        <w:t xml:space="preserve">(2010) economic model used a weighted cost per fracture noting </w:t>
      </w:r>
      <w:r w:rsidR="00A37A21" w:rsidRPr="00E3331A">
        <w:t xml:space="preserve">that the </w:t>
      </w:r>
      <w:r w:rsidRPr="00E3331A">
        <w:t xml:space="preserve">most common sites of osteoporosis-related fractures were in the vertebra, followed by </w:t>
      </w:r>
      <w:r w:rsidR="00A37A21" w:rsidRPr="00E3331A">
        <w:t xml:space="preserve">the </w:t>
      </w:r>
      <w:r w:rsidRPr="00E3331A">
        <w:t xml:space="preserve">hip and forearm. Average fracture cost ranged from $3,926 in the first year for 40-year olds, to $10,880 </w:t>
      </w:r>
      <w:r w:rsidR="009E0A93" w:rsidRPr="00E3331A">
        <w:t xml:space="preserve">for those age </w:t>
      </w:r>
      <w:r w:rsidRPr="00E3331A">
        <w:t>70 year</w:t>
      </w:r>
      <w:r w:rsidR="009E0A93" w:rsidRPr="00E3331A">
        <w:t>s and</w:t>
      </w:r>
      <w:r w:rsidRPr="00E3331A">
        <w:t xml:space="preserve"> old</w:t>
      </w:r>
      <w:r w:rsidR="009E0A93" w:rsidRPr="00E3331A">
        <w:t>er (estimates in Australia in 2012 from Watts et al, 2012)</w:t>
      </w:r>
      <w:r w:rsidRPr="00E3331A">
        <w:t xml:space="preserve">. The cost decreased to $63 per year </w:t>
      </w:r>
      <w:r w:rsidR="009E0A93" w:rsidRPr="00E3331A">
        <w:t>(</w:t>
      </w:r>
      <w:r w:rsidRPr="00E3331A">
        <w:t>40-year-old</w:t>
      </w:r>
      <w:r w:rsidR="009E0A93" w:rsidRPr="00E3331A">
        <w:t>)</w:t>
      </w:r>
      <w:r w:rsidRPr="00E3331A">
        <w:t xml:space="preserve"> to $744 </w:t>
      </w:r>
      <w:r w:rsidR="009E0A93" w:rsidRPr="00E3331A">
        <w:t>(</w:t>
      </w:r>
      <w:r w:rsidRPr="00E3331A">
        <w:t>70+ years</w:t>
      </w:r>
      <w:r w:rsidR="009E0A93" w:rsidRPr="00E3331A">
        <w:t>)</w:t>
      </w:r>
      <w:r w:rsidRPr="00E3331A">
        <w:t xml:space="preserve"> in the following year. The total cost of osteoporosis and osteopenia in Australians over 50 years of age </w:t>
      </w:r>
      <w:r w:rsidR="009E0A93" w:rsidRPr="00E3331A">
        <w:t xml:space="preserve">was </w:t>
      </w:r>
      <w:r w:rsidRPr="00E3331A">
        <w:t xml:space="preserve">$2.75 billion. Costs included ambulance services, hospitalisations, emergency department and outpatient services, rehabilitation, aged care and community services. Total direct costs were $12,902 per fracture. Patients are assumed to take-up </w:t>
      </w:r>
      <w:r w:rsidR="002B786E">
        <w:t>immunosuppressants</w:t>
      </w:r>
      <w:r w:rsidR="002B786E" w:rsidRPr="00E3331A" w:rsidDel="002B786E">
        <w:t xml:space="preserve"> </w:t>
      </w:r>
      <w:r w:rsidRPr="00E3331A">
        <w:t xml:space="preserve">for the remaining period of the projection once a steroid AE has occurred. </w:t>
      </w:r>
    </w:p>
    <w:p w:rsidR="001F5B33" w:rsidRPr="00E3331A" w:rsidRDefault="001F5B33" w:rsidP="00906C5E">
      <w:pPr>
        <w:pStyle w:val="Heading5underline"/>
      </w:pPr>
      <w:r w:rsidRPr="00E3331A">
        <w:t xml:space="preserve">Diabetes mellitus </w:t>
      </w:r>
    </w:p>
    <w:p w:rsidR="001F5B33" w:rsidRPr="00E3331A" w:rsidRDefault="001F5B33" w:rsidP="00BB6E4C">
      <w:pPr>
        <w:pStyle w:val="BodyTextSTD"/>
      </w:pPr>
      <w:r w:rsidRPr="00E3331A">
        <w:t xml:space="preserve">The cost of diabetes was estimated using the Ontario Diabetes Model (O'Reilly </w:t>
      </w:r>
      <w:r w:rsidR="00983BA7">
        <w:t xml:space="preserve">et al. </w:t>
      </w:r>
      <w:r w:rsidRPr="00E3331A">
        <w:t xml:space="preserve">2006) in the Blackhouse </w:t>
      </w:r>
      <w:r w:rsidR="00983BA7">
        <w:t xml:space="preserve">et al. </w:t>
      </w:r>
      <w:r w:rsidRPr="00E3331A">
        <w:t>(2010) study. First year costs ranged from $12-</w:t>
      </w:r>
      <w:r w:rsidR="00AC49D7" w:rsidRPr="00E3331A">
        <w:t>$</w:t>
      </w:r>
      <w:r w:rsidRPr="00E3331A">
        <w:t>27 and second</w:t>
      </w:r>
      <w:r w:rsidR="00AC49D7" w:rsidRPr="00E3331A">
        <w:t>-</w:t>
      </w:r>
      <w:r w:rsidRPr="00E3331A">
        <w:t xml:space="preserve">year </w:t>
      </w:r>
      <w:r w:rsidR="00AC49D7" w:rsidRPr="00E3331A">
        <w:t xml:space="preserve">costs </w:t>
      </w:r>
      <w:r w:rsidRPr="00E3331A">
        <w:t>$24-</w:t>
      </w:r>
      <w:r w:rsidR="00AC49D7" w:rsidRPr="00E3331A">
        <w:t>$</w:t>
      </w:r>
      <w:r w:rsidRPr="00E3331A">
        <w:t>341 per case of diabetes. Costs for diabetes cases were recently estimated in Australia</w:t>
      </w:r>
      <w:r w:rsidR="00AC49D7" w:rsidRPr="00E3331A">
        <w:t>,</w:t>
      </w:r>
      <w:r w:rsidRPr="00E3331A">
        <w:t xml:space="preserve"> </w:t>
      </w:r>
      <w:r w:rsidR="00AC49D7" w:rsidRPr="00E3331A">
        <w:t>with t</w:t>
      </w:r>
      <w:r w:rsidRPr="00E3331A">
        <w:t xml:space="preserve">he annual direct per person cost (Ying Lee, </w:t>
      </w:r>
      <w:r w:rsidR="00983BA7">
        <w:t xml:space="preserve">et al. </w:t>
      </w:r>
      <w:r w:rsidRPr="00E3331A">
        <w:t xml:space="preserve">2013) </w:t>
      </w:r>
      <w:r w:rsidR="00AC49D7" w:rsidRPr="00E3331A">
        <w:t xml:space="preserve">being </w:t>
      </w:r>
      <w:r w:rsidRPr="00E3331A">
        <w:t>A</w:t>
      </w:r>
      <w:r w:rsidR="00AC49D7" w:rsidRPr="00E3331A">
        <w:t>U</w:t>
      </w:r>
      <w:r w:rsidRPr="00E3331A">
        <w:t>$1898 for those with normal glucose tolerance to A</w:t>
      </w:r>
      <w:r w:rsidR="00AC49D7" w:rsidRPr="00E3331A">
        <w:t>U</w:t>
      </w:r>
      <w:r w:rsidRPr="00E3331A">
        <w:t xml:space="preserve">$2,081 </w:t>
      </w:r>
      <w:r w:rsidR="00AC49D7" w:rsidRPr="00E3331A">
        <w:t xml:space="preserve">for those </w:t>
      </w:r>
      <w:r w:rsidRPr="00E3331A">
        <w:t>with new</w:t>
      </w:r>
      <w:r w:rsidR="00AC49D7" w:rsidRPr="00E3331A">
        <w:t>ly</w:t>
      </w:r>
      <w:r w:rsidRPr="00E3331A">
        <w:t xml:space="preserve"> </w:t>
      </w:r>
      <w:r w:rsidR="00AC49D7" w:rsidRPr="00E3331A">
        <w:t>diagnose</w:t>
      </w:r>
      <w:r w:rsidR="00F10BDD" w:rsidRPr="00E3331A">
        <w:t>d</w:t>
      </w:r>
      <w:r w:rsidR="00AC49D7" w:rsidRPr="00E3331A">
        <w:t xml:space="preserve"> </w:t>
      </w:r>
      <w:r w:rsidRPr="00E3331A">
        <w:t xml:space="preserve">diabetes. Costs were substantially higher in diabetes </w:t>
      </w:r>
      <w:r w:rsidR="00AC49D7" w:rsidRPr="00E3331A">
        <w:t xml:space="preserve">patients with </w:t>
      </w:r>
      <w:r w:rsidRPr="00E3331A">
        <w:t xml:space="preserve">macrovascular complications. A cost of $2,081 with new diabetes is included as the AE cost in this study. Patients are assumed to take-up </w:t>
      </w:r>
      <w:r w:rsidR="002B786E">
        <w:t>immunosuppressants</w:t>
      </w:r>
      <w:r w:rsidR="002B786E" w:rsidRPr="00E3331A" w:rsidDel="002B786E">
        <w:t xml:space="preserve"> </w:t>
      </w:r>
      <w:r w:rsidRPr="00E3331A">
        <w:t>for the remaining period of the projection once a steroid AE has occurred</w:t>
      </w:r>
      <w:r w:rsidR="00AC49D7" w:rsidRPr="00E3331A">
        <w:t>.</w:t>
      </w:r>
    </w:p>
    <w:p w:rsidR="001F5B33" w:rsidRPr="00E3331A" w:rsidRDefault="001F5B33" w:rsidP="00906C5E">
      <w:pPr>
        <w:pStyle w:val="Heading5underline"/>
      </w:pPr>
      <w:r w:rsidRPr="00E3331A">
        <w:t xml:space="preserve">Cataract </w:t>
      </w:r>
    </w:p>
    <w:p w:rsidR="001F5B33" w:rsidRPr="00E3331A" w:rsidRDefault="001F5B33" w:rsidP="00BB6E4C">
      <w:pPr>
        <w:pStyle w:val="BodyTextSTD"/>
      </w:pPr>
      <w:r w:rsidRPr="00E3331A">
        <w:t xml:space="preserve">Blackhouse </w:t>
      </w:r>
      <w:r w:rsidR="00983BA7">
        <w:t xml:space="preserve">et al. </w:t>
      </w:r>
      <w:r w:rsidRPr="00E3331A">
        <w:t xml:space="preserve">(2010) used the cataract case </w:t>
      </w:r>
      <w:r w:rsidR="00AC49D7" w:rsidRPr="00E3331A">
        <w:t xml:space="preserve">cost </w:t>
      </w:r>
      <w:r w:rsidRPr="00E3331A">
        <w:t>of $</w:t>
      </w:r>
      <w:r w:rsidR="00BE723B" w:rsidRPr="00E3331A">
        <w:t xml:space="preserve">Canadian </w:t>
      </w:r>
      <w:r w:rsidRPr="00E3331A">
        <w:t>6218 from the North American study by Hopkins</w:t>
      </w:r>
      <w:r w:rsidRPr="00E3331A">
        <w:rPr>
          <w:rStyle w:val="FootnoteReference"/>
          <w:vertAlign w:val="baseline"/>
        </w:rPr>
        <w:t xml:space="preserve"> </w:t>
      </w:r>
      <w:r w:rsidR="00983BA7">
        <w:t xml:space="preserve">et al. </w:t>
      </w:r>
      <w:r w:rsidRPr="00E3331A">
        <w:t xml:space="preserve">2008. Resources were mainly associated with surgery. In 2009, total </w:t>
      </w:r>
      <w:r w:rsidR="00AC49D7" w:rsidRPr="00E3331A">
        <w:t xml:space="preserve">Australian </w:t>
      </w:r>
      <w:r w:rsidRPr="00E3331A">
        <w:t>health system expenditure on disorders of the eye and adnexa were estimated at $</w:t>
      </w:r>
      <w:r w:rsidR="00BE723B" w:rsidRPr="00E3331A">
        <w:t xml:space="preserve">A </w:t>
      </w:r>
      <w:r w:rsidRPr="00E3331A">
        <w:t>2.98 billion or $</w:t>
      </w:r>
      <w:r w:rsidR="00BE723B" w:rsidRPr="00E3331A">
        <w:t xml:space="preserve">A </w:t>
      </w:r>
      <w:r w:rsidRPr="00E3331A">
        <w:t xml:space="preserve">5,183 per person </w:t>
      </w:r>
      <w:r w:rsidR="00FC4512" w:rsidRPr="00E3331A">
        <w:t xml:space="preserve">with vision loss aged over 40 </w:t>
      </w:r>
      <w:r w:rsidRPr="00E3331A">
        <w:t xml:space="preserve">(Centre for Eye Research Australia and Access Economics 2004 and 2009). A cost of $A7,000 is included as the AE cost in this CIDP Ig study </w:t>
      </w:r>
      <w:r w:rsidRPr="00E3331A">
        <w:lastRenderedPageBreak/>
        <w:t xml:space="preserve">for 2019. Patients are assumed to take-up </w:t>
      </w:r>
      <w:r w:rsidR="002B786E">
        <w:t>immunosuppressants</w:t>
      </w:r>
      <w:r w:rsidR="002B786E" w:rsidRPr="00E3331A" w:rsidDel="002B786E">
        <w:t xml:space="preserve"> </w:t>
      </w:r>
      <w:r w:rsidRPr="00E3331A">
        <w:t>for the remaining period of the projection once a steroid AE has occurred</w:t>
      </w:r>
      <w:r w:rsidR="00FC4512" w:rsidRPr="00E3331A">
        <w:t>.</w:t>
      </w:r>
    </w:p>
    <w:p w:rsidR="001F5B33" w:rsidRPr="00E3331A" w:rsidRDefault="001F5B33" w:rsidP="00906C5E">
      <w:pPr>
        <w:pStyle w:val="Heading5underline"/>
      </w:pPr>
      <w:r w:rsidRPr="00E3331A">
        <w:t xml:space="preserve">Glaucoma </w:t>
      </w:r>
    </w:p>
    <w:p w:rsidR="001F5B33" w:rsidRPr="00E3331A" w:rsidRDefault="001F5B33" w:rsidP="00BB6E4C">
      <w:pPr>
        <w:pStyle w:val="BodyTextSTD"/>
      </w:pPr>
      <w:r w:rsidRPr="00E3331A">
        <w:t xml:space="preserve">Blackhouse </w:t>
      </w:r>
      <w:r w:rsidR="00983BA7">
        <w:t xml:space="preserve">et al. </w:t>
      </w:r>
      <w:r w:rsidRPr="00E3331A">
        <w:t xml:space="preserve">(2010) estimates for glaucoma ($152) were based on </w:t>
      </w:r>
      <w:r w:rsidR="00241004" w:rsidRPr="00E3331A">
        <w:t xml:space="preserve">those </w:t>
      </w:r>
      <w:r w:rsidRPr="00E3331A">
        <w:t>used by Bae et al. 2003, Gottlieb</w:t>
      </w:r>
      <w:r w:rsidRPr="00E3331A">
        <w:rPr>
          <w:rStyle w:val="FootnoteReference"/>
          <w:vertAlign w:val="baseline"/>
        </w:rPr>
        <w:t xml:space="preserve"> </w:t>
      </w:r>
      <w:r w:rsidR="00983BA7">
        <w:t xml:space="preserve">et al. </w:t>
      </w:r>
      <w:r w:rsidRPr="00E3331A">
        <w:t>1983 and Stewart</w:t>
      </w:r>
      <w:r w:rsidRPr="00E3331A">
        <w:rPr>
          <w:rStyle w:val="FootnoteReference"/>
          <w:vertAlign w:val="baseline"/>
        </w:rPr>
        <w:t xml:space="preserve"> </w:t>
      </w:r>
      <w:r w:rsidR="00983BA7">
        <w:t xml:space="preserve">et al. </w:t>
      </w:r>
      <w:r w:rsidRPr="00E3331A">
        <w:t>1997.</w:t>
      </w:r>
      <w:r w:rsidR="00345C95" w:rsidRPr="00E3331A">
        <w:t xml:space="preserve"> </w:t>
      </w:r>
      <w:r w:rsidRPr="00E3331A">
        <w:t xml:space="preserve">Resource utilisation and direct costs associated with glaucoma progression have been </w:t>
      </w:r>
      <w:r w:rsidR="00241004" w:rsidRPr="00E3331A">
        <w:t xml:space="preserve">estimated </w:t>
      </w:r>
      <w:r w:rsidRPr="00E3331A">
        <w:t xml:space="preserve">more recently in Europe (Traverso </w:t>
      </w:r>
      <w:r w:rsidR="00983BA7">
        <w:t xml:space="preserve">et al. </w:t>
      </w:r>
      <w:r w:rsidRPr="00E3331A">
        <w:t>2005). Costs were calculated for 194 patients stratified by disease severity using a six</w:t>
      </w:r>
      <w:r w:rsidR="00241004" w:rsidRPr="00E3331A">
        <w:t>-</w:t>
      </w:r>
      <w:r w:rsidRPr="00E3331A">
        <w:t>stage glaucoma staging system based on static threshold visual field parameters. The direct cost of treatment increased by an estimated €86 for each incremental step</w:t>
      </w:r>
      <w:r w:rsidR="00241004" w:rsidRPr="00E3331A">
        <w:t>,</w:t>
      </w:r>
      <w:r w:rsidRPr="00E3331A">
        <w:t xml:space="preserve"> ranging from €455 per person </w:t>
      </w:r>
      <w:r w:rsidR="00241004" w:rsidRPr="00E3331A">
        <w:t xml:space="preserve">per </w:t>
      </w:r>
      <w:r w:rsidRPr="00E3331A">
        <w:t xml:space="preserve">year for stage 0 to €969 per person </w:t>
      </w:r>
      <w:r w:rsidR="00241004" w:rsidRPr="00E3331A">
        <w:t xml:space="preserve">per </w:t>
      </w:r>
      <w:r w:rsidRPr="00E3331A">
        <w:t xml:space="preserve">year for stage 4 disease. </w:t>
      </w:r>
    </w:p>
    <w:p w:rsidR="001F5B33" w:rsidRPr="00E3331A" w:rsidRDefault="001F5B33" w:rsidP="00BB6E4C">
      <w:pPr>
        <w:pStyle w:val="BodyTextSTD"/>
      </w:pPr>
      <w:r w:rsidRPr="00E3331A">
        <w:t xml:space="preserve">Data outlining </w:t>
      </w:r>
      <w:r w:rsidR="00241004" w:rsidRPr="00E3331A">
        <w:t xml:space="preserve">the economic impact of </w:t>
      </w:r>
      <w:r w:rsidRPr="00E3331A">
        <w:t xml:space="preserve">glaucoma </w:t>
      </w:r>
      <w:r w:rsidR="00241004" w:rsidRPr="00E3331A">
        <w:t>i</w:t>
      </w:r>
      <w:r w:rsidRPr="00E3331A">
        <w:t>n Australia is limited, but a 2011 study by the Centre for Eye Research Australia (CERA) estimated that health system costs related to primary open-angle glaucoma could reach $</w:t>
      </w:r>
      <w:r w:rsidR="00BE723B" w:rsidRPr="00E3331A">
        <w:t xml:space="preserve">A </w:t>
      </w:r>
      <w:r w:rsidRPr="00E3331A">
        <w:t xml:space="preserve">784 million by 2025 (Dirani </w:t>
      </w:r>
      <w:r w:rsidR="00983BA7">
        <w:t xml:space="preserve">et al. </w:t>
      </w:r>
      <w:r w:rsidRPr="00E3331A">
        <w:t>2011). Treatment cost was estimated at $</w:t>
      </w:r>
      <w:r w:rsidR="00BE723B" w:rsidRPr="00E3331A">
        <w:t xml:space="preserve">A </w:t>
      </w:r>
      <w:r w:rsidRPr="00E3331A">
        <w:t xml:space="preserve">1,118.15 for 50-year-old male. </w:t>
      </w:r>
      <w:r w:rsidR="00241004" w:rsidRPr="00E3331A">
        <w:t xml:space="preserve">Costs of side effects for patients on b blockers were included, and the overall </w:t>
      </w:r>
      <w:r w:rsidRPr="00E3331A">
        <w:t xml:space="preserve">cost is </w:t>
      </w:r>
      <w:r w:rsidR="00241004" w:rsidRPr="00E3331A">
        <w:t xml:space="preserve">included </w:t>
      </w:r>
      <w:r w:rsidRPr="00E3331A">
        <w:t>in the CIDP model.</w:t>
      </w:r>
    </w:p>
    <w:p w:rsidR="001F5B33" w:rsidRPr="00E3331A" w:rsidRDefault="001F5B33" w:rsidP="00906C5E">
      <w:pPr>
        <w:pStyle w:val="Heading5underline"/>
      </w:pPr>
      <w:r w:rsidRPr="00E3331A">
        <w:t>Infection</w:t>
      </w:r>
    </w:p>
    <w:p w:rsidR="001F5B33" w:rsidRPr="00E3331A" w:rsidRDefault="00241004" w:rsidP="00BB6E4C">
      <w:pPr>
        <w:pStyle w:val="BodyTextSTD"/>
      </w:pPr>
      <w:r w:rsidRPr="00E3331A">
        <w:t>C</w:t>
      </w:r>
      <w:r w:rsidR="001F5B33" w:rsidRPr="00E3331A">
        <w:t xml:space="preserve">osts </w:t>
      </w:r>
      <w:r w:rsidRPr="00E3331A">
        <w:t xml:space="preserve">in Blackhouse </w:t>
      </w:r>
      <w:r w:rsidR="00983BA7">
        <w:t xml:space="preserve">et al. </w:t>
      </w:r>
      <w:r w:rsidRPr="00E3331A">
        <w:t xml:space="preserve">(2010) </w:t>
      </w:r>
      <w:r w:rsidR="001F5B33" w:rsidRPr="00E3331A">
        <w:t>that related to steroid</w:t>
      </w:r>
      <w:r w:rsidR="00D45BCF" w:rsidRPr="00E3331A">
        <w:t xml:space="preserve"> </w:t>
      </w:r>
      <w:r w:rsidR="001F5B33" w:rsidRPr="00E3331A">
        <w:t>AE serious infection ($</w:t>
      </w:r>
      <w:r w:rsidR="00BE723B" w:rsidRPr="00E3331A">
        <w:t xml:space="preserve">Canadian </w:t>
      </w:r>
      <w:r w:rsidR="001F5B33" w:rsidRPr="00E3331A">
        <w:t xml:space="preserve">24,334) were based on the estimates used by Bae </w:t>
      </w:r>
      <w:r w:rsidR="00983BA7">
        <w:t xml:space="preserve">et al. </w:t>
      </w:r>
      <w:r w:rsidR="001F5B33" w:rsidRPr="00E3331A">
        <w:t xml:space="preserve">2003 with a risk of </w:t>
      </w:r>
      <w:r w:rsidR="005541CA" w:rsidRPr="00E3331A">
        <w:t>i</w:t>
      </w:r>
      <w:r w:rsidR="001F5B33" w:rsidRPr="00E3331A">
        <w:t xml:space="preserve">nfection of 0.0035. Community-acquired pneumonia can be managed with oral antibiotics at home, with </w:t>
      </w:r>
      <w:r w:rsidRPr="00E3331A">
        <w:t xml:space="preserve">the </w:t>
      </w:r>
      <w:r w:rsidR="001F5B33" w:rsidRPr="00E3331A">
        <w:t xml:space="preserve">cost of home care being estimated around $A1,000 (Rhew et a; 1998). This cost included transport, staff time, equipment, pharmaceuticals and support services (administrative, laboratory and radiology costs) for each patient. The Canadian CIDP model included costs for serious infection </w:t>
      </w:r>
      <w:r w:rsidRPr="00E3331A">
        <w:t>(</w:t>
      </w:r>
      <w:r w:rsidR="001F5B33" w:rsidRPr="00E3331A">
        <w:t>generally hospitalised</w:t>
      </w:r>
      <w:r w:rsidRPr="00E3331A">
        <w:t>)</w:t>
      </w:r>
      <w:r w:rsidR="001F5B33" w:rsidRPr="00E3331A">
        <w:t xml:space="preserve">. </w:t>
      </w:r>
      <w:r w:rsidR="005648C3" w:rsidRPr="00E3331A">
        <w:t xml:space="preserve">The </w:t>
      </w:r>
      <w:r w:rsidR="001F5B33" w:rsidRPr="00E3331A">
        <w:t xml:space="preserve">average </w:t>
      </w:r>
      <w:r w:rsidR="005A05FA" w:rsidRPr="00E3331A">
        <w:t>Australian Refined Diagnosis Related Group</w:t>
      </w:r>
      <w:r w:rsidR="001F5B33" w:rsidRPr="00E3331A">
        <w:t xml:space="preserve"> </w:t>
      </w:r>
      <w:r w:rsidR="005A05FA" w:rsidRPr="00E3331A">
        <w:t>(</w:t>
      </w:r>
      <w:r w:rsidR="001F5B33" w:rsidRPr="00E3331A">
        <w:t>AR-DRG</w:t>
      </w:r>
      <w:r w:rsidR="005A05FA" w:rsidRPr="00E3331A">
        <w:t>)</w:t>
      </w:r>
      <w:r w:rsidR="001F5B33" w:rsidRPr="00E3331A">
        <w:t xml:space="preserve"> for </w:t>
      </w:r>
      <w:r w:rsidRPr="00E3331A">
        <w:t xml:space="preserve">patients </w:t>
      </w:r>
      <w:r w:rsidR="001F5B33" w:rsidRPr="00E3331A">
        <w:t xml:space="preserve">admitted for respiratory infections was $7,171 (weighted average of AR-DRGs E62AB). A cost of $7,171 is included </w:t>
      </w:r>
      <w:r w:rsidR="005648C3" w:rsidRPr="00E3331A">
        <w:t>in the economic model</w:t>
      </w:r>
      <w:r w:rsidR="001F5B33" w:rsidRPr="00E3331A">
        <w:t>.</w:t>
      </w:r>
    </w:p>
    <w:p w:rsidR="005A05FA" w:rsidRPr="00E3331A" w:rsidRDefault="002B786E" w:rsidP="005A05FA">
      <w:pPr>
        <w:pStyle w:val="Heading5underline"/>
      </w:pPr>
      <w:r>
        <w:t>Immunosuppressants</w:t>
      </w:r>
      <w:r w:rsidRPr="00E3331A" w:rsidDel="002B786E">
        <w:t xml:space="preserve"> </w:t>
      </w:r>
      <w:r w:rsidR="005A05FA" w:rsidRPr="00E3331A">
        <w:t>non-response and disabled</w:t>
      </w:r>
    </w:p>
    <w:p w:rsidR="005A05FA" w:rsidRPr="00E3331A" w:rsidRDefault="00153121" w:rsidP="00ED775A">
      <w:pPr>
        <w:pStyle w:val="BodyTextSTD"/>
      </w:pPr>
      <w:r w:rsidRPr="00E3331A">
        <w:t xml:space="preserve">Bamrungsawad </w:t>
      </w:r>
      <w:r w:rsidR="00983BA7">
        <w:t xml:space="preserve">et al. </w:t>
      </w:r>
      <w:r w:rsidRPr="00E3331A">
        <w:t>(2016) included annual outpatient and inpatients cost for pre-disabled and disabled CIDP patients from medical records</w:t>
      </w:r>
      <w:r w:rsidR="00ED775A" w:rsidRPr="00E3331A">
        <w:t xml:space="preserve"> in Thailand</w:t>
      </w:r>
      <w:r w:rsidRPr="00E3331A">
        <w:t xml:space="preserve">. </w:t>
      </w:r>
      <w:r w:rsidR="00ED775A" w:rsidRPr="00E3331A">
        <w:t xml:space="preserve">Pre-disabled and disabled CIDP cost data </w:t>
      </w:r>
      <w:r w:rsidR="000401D9" w:rsidRPr="00E3331A">
        <w:t>are</w:t>
      </w:r>
      <w:r w:rsidR="00ED775A" w:rsidRPr="00E3331A">
        <w:t xml:space="preserve"> not readily available for Australian patients. Equipment, nursing, community services and alterations to home costs reported for mild, moderate and severe </w:t>
      </w:r>
      <w:r w:rsidR="000401D9" w:rsidRPr="00E3331A">
        <w:t xml:space="preserve">patients </w:t>
      </w:r>
      <w:r w:rsidR="00ED775A" w:rsidRPr="00E3331A">
        <w:t xml:space="preserve">in the Palmer </w:t>
      </w:r>
      <w:r w:rsidR="00983BA7">
        <w:t xml:space="preserve">et al. </w:t>
      </w:r>
      <w:r w:rsidR="00ED775A" w:rsidRPr="00E3331A">
        <w:t>(2013) economic impact of multiple sclerosis in Australia in 2010 study are used for pre-disabled CIDP (equivalent to mild multiple sclerosis) and moderate/severe for disabled CIDP patients. Health service costs (GP visits, specialist visits and testing) i</w:t>
      </w:r>
      <w:r w:rsidR="00433907" w:rsidRPr="00E3331A">
        <w:t>n pre-</w:t>
      </w:r>
      <w:r w:rsidR="00BF41C7" w:rsidRPr="00E3331A">
        <w:t>disabled</w:t>
      </w:r>
      <w:r w:rsidR="00433907" w:rsidRPr="00E3331A">
        <w:t xml:space="preserve"> and </w:t>
      </w:r>
      <w:r w:rsidR="00BF41C7" w:rsidRPr="00E3331A">
        <w:t>disabled</w:t>
      </w:r>
      <w:r w:rsidR="00ED775A" w:rsidRPr="00E3331A">
        <w:t xml:space="preserve"> patients are assumed to the same as for CIDP </w:t>
      </w:r>
      <w:r w:rsidR="00BF41C7" w:rsidRPr="00E3331A">
        <w:t>patients</w:t>
      </w:r>
      <w:r w:rsidR="00ED775A" w:rsidRPr="00E3331A">
        <w:t xml:space="preserve"> </w:t>
      </w:r>
      <w:r w:rsidR="00B878C3" w:rsidRPr="00E3331A">
        <w:t>availing</w:t>
      </w:r>
      <w:r w:rsidR="00ED775A" w:rsidRPr="00E3331A">
        <w:t xml:space="preserve"> </w:t>
      </w:r>
      <w:r w:rsidR="002B786E">
        <w:t>immunosuppressants</w:t>
      </w:r>
      <w:r w:rsidR="00ED775A" w:rsidRPr="00E3331A">
        <w:t xml:space="preserve">. Costs for </w:t>
      </w:r>
      <w:r w:rsidR="002B786E">
        <w:t>immunosuppressant</w:t>
      </w:r>
      <w:r w:rsidR="00ED775A" w:rsidRPr="00E3331A">
        <w:t xml:space="preserve">non-responders and disabled states are summarised in </w:t>
      </w:r>
      <w:r w:rsidR="006F35B9" w:rsidRPr="00E3331A">
        <w:t xml:space="preserve">Table </w:t>
      </w:r>
      <w:r w:rsidR="006F35B9">
        <w:rPr>
          <w:noProof/>
        </w:rPr>
        <w:t>75</w:t>
      </w:r>
      <w:r w:rsidR="00FE1648" w:rsidRPr="00E3331A">
        <w:t>.</w:t>
      </w:r>
    </w:p>
    <w:p w:rsidR="005A05FA" w:rsidRPr="00E3331A" w:rsidRDefault="005A05FA">
      <w:pPr>
        <w:pStyle w:val="Caption"/>
      </w:pPr>
      <w:bookmarkStart w:id="456" w:name="_Ref19208104"/>
      <w:bookmarkStart w:id="457" w:name="_Toc24103381"/>
      <w:r w:rsidRPr="00E3331A">
        <w:lastRenderedPageBreak/>
        <w:t xml:space="preserve">Table </w:t>
      </w:r>
      <w:r w:rsidR="006F35B9">
        <w:rPr>
          <w:noProof/>
        </w:rPr>
        <w:t>75</w:t>
      </w:r>
      <w:bookmarkEnd w:id="456"/>
      <w:r w:rsidRPr="00E3331A">
        <w:tab/>
      </w:r>
      <w:r w:rsidR="008448F4" w:rsidRPr="008448F4">
        <w:t>Azathioprine</w:t>
      </w:r>
      <w:r w:rsidR="008448F4">
        <w:t xml:space="preserve"> </w:t>
      </w:r>
      <w:r w:rsidR="008448F4" w:rsidRPr="008448F4">
        <w:t>immunosuppressant</w:t>
      </w:r>
      <w:r w:rsidRPr="00E3331A">
        <w:t xml:space="preserve"> non-response and disabled costs</w:t>
      </w:r>
      <w:bookmarkEnd w:id="457"/>
    </w:p>
    <w:tbl>
      <w:tblPr>
        <w:tblW w:w="5000" w:type="pct"/>
        <w:tblLook w:val="04A0" w:firstRow="1" w:lastRow="0" w:firstColumn="1" w:lastColumn="0" w:noHBand="0" w:noVBand="1"/>
      </w:tblPr>
      <w:tblGrid>
        <w:gridCol w:w="1703"/>
        <w:gridCol w:w="1009"/>
        <w:gridCol w:w="855"/>
        <w:gridCol w:w="918"/>
        <w:gridCol w:w="1055"/>
        <w:gridCol w:w="946"/>
        <w:gridCol w:w="2530"/>
      </w:tblGrid>
      <w:tr w:rsidR="005A05FA" w:rsidRPr="00E3331A" w:rsidTr="00497E19">
        <w:trPr>
          <w:trHeight w:val="765"/>
          <w:tblHeader/>
        </w:trPr>
        <w:tc>
          <w:tcPr>
            <w:tcW w:w="8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05FA" w:rsidRPr="00E3331A" w:rsidRDefault="005A05FA" w:rsidP="005A05FA">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Item</w:t>
            </w:r>
          </w:p>
        </w:tc>
        <w:tc>
          <w:tcPr>
            <w:tcW w:w="56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05FA" w:rsidRPr="00E3331A" w:rsidRDefault="005A05FA" w:rsidP="005A05FA">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Provider of resource</w:t>
            </w:r>
          </w:p>
        </w:tc>
        <w:tc>
          <w:tcPr>
            <w:tcW w:w="4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05FA" w:rsidRPr="00E3331A" w:rsidRDefault="005A05FA" w:rsidP="005A05FA">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Price per unit (AU$)</w:t>
            </w:r>
          </w:p>
        </w:tc>
        <w:tc>
          <w:tcPr>
            <w:tcW w:w="5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05FA" w:rsidRPr="00E3331A" w:rsidRDefault="005A05FA" w:rsidP="005A05FA">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Number of grams, products or services</w:t>
            </w:r>
          </w:p>
        </w:tc>
        <w:tc>
          <w:tcPr>
            <w:tcW w:w="5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05FA" w:rsidRPr="00E3331A" w:rsidRDefault="005A05FA" w:rsidP="005A05FA">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Proportion availing service / product</w:t>
            </w:r>
          </w:p>
        </w:tc>
        <w:tc>
          <w:tcPr>
            <w:tcW w:w="5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05FA" w:rsidRPr="00E3331A" w:rsidRDefault="005A05FA" w:rsidP="005A05FA">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Total cost</w:t>
            </w:r>
          </w:p>
          <w:p w:rsidR="005A05FA" w:rsidRPr="00E3331A" w:rsidRDefault="005A05FA" w:rsidP="005A05FA">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(AU$)</w:t>
            </w:r>
          </w:p>
        </w:tc>
        <w:tc>
          <w:tcPr>
            <w:tcW w:w="146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05FA" w:rsidRPr="00E3331A" w:rsidRDefault="005A05FA" w:rsidP="005A05FA">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Source</w:t>
            </w:r>
          </w:p>
        </w:tc>
      </w:tr>
      <w:tr w:rsidR="005A05FA" w:rsidRPr="00E3331A" w:rsidTr="005A05FA">
        <w:trPr>
          <w:trHeight w:val="255"/>
        </w:trPr>
        <w:tc>
          <w:tcPr>
            <w:tcW w:w="5000" w:type="pct"/>
            <w:gridSpan w:val="7"/>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A05FA" w:rsidRPr="00E3331A" w:rsidRDefault="005A05FA" w:rsidP="00464E0A">
            <w:pPr>
              <w:spacing w:after="0" w:line="240" w:lineRule="auto"/>
              <w:rPr>
                <w:rFonts w:ascii="Arial Narrow" w:hAnsi="Arial Narrow" w:cs="Calibri"/>
                <w:b/>
                <w:bCs/>
                <w:color w:val="FFFFFF"/>
                <w:sz w:val="20"/>
                <w:szCs w:val="20"/>
              </w:rPr>
            </w:pPr>
            <w:r w:rsidRPr="002B786E">
              <w:rPr>
                <w:rFonts w:ascii="Arial Narrow" w:hAnsi="Arial Narrow" w:cs="Calibri"/>
                <w:b/>
                <w:sz w:val="20"/>
                <w:szCs w:val="20"/>
              </w:rPr>
              <w:t> </w:t>
            </w:r>
            <w:r w:rsidR="002B786E" w:rsidRPr="002B786E">
              <w:rPr>
                <w:rFonts w:ascii="Arial Narrow" w:hAnsi="Arial Narrow" w:cs="Calibri"/>
                <w:b/>
                <w:sz w:val="20"/>
                <w:szCs w:val="20"/>
              </w:rPr>
              <w:t>immunosuppressant</w:t>
            </w:r>
            <w:r w:rsidR="002B786E" w:rsidRPr="00E3331A" w:rsidDel="002B786E">
              <w:rPr>
                <w:rFonts w:ascii="Arial Narrow" w:hAnsi="Arial Narrow" w:cs="Calibri"/>
                <w:b/>
                <w:sz w:val="20"/>
                <w:szCs w:val="20"/>
              </w:rPr>
              <w:t xml:space="preserve"> </w:t>
            </w:r>
            <w:r w:rsidRPr="00E3331A">
              <w:rPr>
                <w:rFonts w:ascii="Arial Narrow" w:hAnsi="Arial Narrow" w:cs="Calibri"/>
                <w:b/>
                <w:sz w:val="20"/>
                <w:szCs w:val="20"/>
              </w:rPr>
              <w:t>non</w:t>
            </w:r>
            <w:r w:rsidR="00B73E3D">
              <w:rPr>
                <w:rFonts w:ascii="Arial Narrow" w:hAnsi="Arial Narrow" w:cs="Calibri"/>
                <w:b/>
                <w:sz w:val="20"/>
                <w:szCs w:val="20"/>
              </w:rPr>
              <w:t>-</w:t>
            </w:r>
            <w:r w:rsidRPr="00E3331A">
              <w:rPr>
                <w:rFonts w:ascii="Arial Narrow" w:hAnsi="Arial Narrow" w:cs="Calibri"/>
                <w:b/>
                <w:sz w:val="20"/>
                <w:szCs w:val="20"/>
              </w:rPr>
              <w:t>responder</w:t>
            </w:r>
            <w:r w:rsidR="00BF41C7" w:rsidRPr="00E3331A">
              <w:rPr>
                <w:rFonts w:ascii="Arial Narrow" w:hAnsi="Arial Narrow" w:cs="Calibri"/>
                <w:b/>
                <w:sz w:val="20"/>
                <w:szCs w:val="20"/>
              </w:rPr>
              <w:t xml:space="preserve"> (pre-disabled)</w:t>
            </w:r>
          </w:p>
        </w:tc>
      </w:tr>
      <w:tr w:rsidR="005A05FA" w:rsidRPr="00E3331A" w:rsidTr="00464E0A">
        <w:trPr>
          <w:trHeight w:val="255"/>
        </w:trPr>
        <w:tc>
          <w:tcPr>
            <w:tcW w:w="881" w:type="pct"/>
            <w:tcBorders>
              <w:top w:val="nil"/>
              <w:left w:val="single" w:sz="4" w:space="0" w:color="auto"/>
              <w:bottom w:val="single" w:sz="4" w:space="0" w:color="auto"/>
              <w:right w:val="single" w:sz="4" w:space="0" w:color="auto"/>
            </w:tcBorders>
            <w:shd w:val="clear" w:color="auto" w:fill="auto"/>
            <w:vAlign w:val="center"/>
            <w:hideMark/>
          </w:tcPr>
          <w:p w:rsidR="005A05FA" w:rsidRPr="00E3331A" w:rsidRDefault="002B786E" w:rsidP="005A05FA">
            <w:pPr>
              <w:spacing w:after="0" w:line="240" w:lineRule="auto"/>
              <w:rPr>
                <w:rFonts w:ascii="Arial Narrow" w:hAnsi="Arial Narrow" w:cs="Calibri"/>
                <w:sz w:val="20"/>
                <w:szCs w:val="20"/>
              </w:rPr>
            </w:pPr>
            <w:r w:rsidRPr="00304276">
              <w:rPr>
                <w:rFonts w:ascii="Arial Narrow" w:hAnsi="Arial Narrow" w:cs="Calibri"/>
                <w:sz w:val="20"/>
                <w:szCs w:val="20"/>
              </w:rPr>
              <w:t>Immunosuppressant</w:t>
            </w:r>
            <w:r w:rsidRPr="00E3331A" w:rsidDel="002B786E">
              <w:rPr>
                <w:rFonts w:ascii="Arial Narrow" w:hAnsi="Arial Narrow" w:cs="Calibri"/>
                <w:sz w:val="20"/>
                <w:szCs w:val="20"/>
              </w:rPr>
              <w:t xml:space="preserve"> </w:t>
            </w:r>
            <w:r w:rsidR="005A05FA" w:rsidRPr="00E3331A">
              <w:rPr>
                <w:rFonts w:ascii="Arial Narrow" w:hAnsi="Arial Narrow" w:cs="Calibri"/>
                <w:sz w:val="20"/>
                <w:szCs w:val="20"/>
              </w:rPr>
              <w:t>health services</w:t>
            </w:r>
          </w:p>
        </w:tc>
        <w:tc>
          <w:tcPr>
            <w:tcW w:w="560"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474"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$1,316.7</w:t>
            </w:r>
          </w:p>
        </w:tc>
        <w:tc>
          <w:tcPr>
            <w:tcW w:w="509"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85"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25" w:type="pct"/>
            <w:tcBorders>
              <w:top w:val="nil"/>
              <w:left w:val="nil"/>
              <w:bottom w:val="single" w:sz="4" w:space="0" w:color="auto"/>
              <w:right w:val="single" w:sz="4" w:space="0" w:color="auto"/>
            </w:tcBorders>
            <w:shd w:val="clear" w:color="auto" w:fill="auto"/>
            <w:noWrap/>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$1,316.7</w:t>
            </w:r>
          </w:p>
        </w:tc>
        <w:tc>
          <w:tcPr>
            <w:tcW w:w="1466"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See</w:t>
            </w:r>
            <w:r w:rsidR="002B786E">
              <w:rPr>
                <w:rFonts w:ascii="Arial Narrow" w:hAnsi="Arial Narrow" w:cs="Calibri"/>
                <w:color w:val="000000"/>
                <w:sz w:val="20"/>
                <w:szCs w:val="20"/>
              </w:rPr>
              <w:t xml:space="preserve"> </w:t>
            </w:r>
            <w:r w:rsidR="002B786E" w:rsidRPr="002B786E">
              <w:rPr>
                <w:rFonts w:ascii="Arial Narrow" w:hAnsi="Arial Narrow" w:cs="Calibri"/>
                <w:color w:val="000000"/>
                <w:sz w:val="20"/>
                <w:szCs w:val="20"/>
              </w:rPr>
              <w:t>immunosuppressants</w:t>
            </w:r>
            <w:r w:rsidR="002B786E" w:rsidRPr="002B786E" w:rsidDel="002B786E">
              <w:rPr>
                <w:rFonts w:ascii="Arial Narrow" w:hAnsi="Arial Narrow" w:cs="Calibri"/>
                <w:color w:val="000000"/>
                <w:sz w:val="20"/>
                <w:szCs w:val="20"/>
              </w:rPr>
              <w:t xml:space="preserve"> </w:t>
            </w:r>
            <w:r w:rsidRPr="00E3331A">
              <w:rPr>
                <w:rFonts w:ascii="Arial Narrow" w:hAnsi="Arial Narrow" w:cs="Calibri"/>
                <w:color w:val="000000"/>
                <w:sz w:val="20"/>
                <w:szCs w:val="20"/>
              </w:rPr>
              <w:t xml:space="preserve">Costs </w:t>
            </w:r>
          </w:p>
        </w:tc>
      </w:tr>
      <w:tr w:rsidR="005A05FA" w:rsidRPr="00E3331A" w:rsidTr="00464E0A">
        <w:trPr>
          <w:trHeight w:val="1050"/>
        </w:trPr>
        <w:tc>
          <w:tcPr>
            <w:tcW w:w="881" w:type="pct"/>
            <w:tcBorders>
              <w:top w:val="nil"/>
              <w:left w:val="single" w:sz="4" w:space="0" w:color="auto"/>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Equipment, nursing, community services, and alterations to home for pre-disabled non</w:t>
            </w:r>
            <w:r w:rsidR="00B73E3D">
              <w:rPr>
                <w:rFonts w:ascii="Arial Narrow" w:hAnsi="Arial Narrow" w:cs="Calibri"/>
                <w:color w:val="000000"/>
                <w:sz w:val="20"/>
                <w:szCs w:val="20"/>
              </w:rPr>
              <w:t>-</w:t>
            </w:r>
            <w:r w:rsidRPr="00E3331A">
              <w:rPr>
                <w:rFonts w:ascii="Arial Narrow" w:hAnsi="Arial Narrow" w:cs="Calibri"/>
                <w:color w:val="000000"/>
                <w:sz w:val="20"/>
                <w:szCs w:val="20"/>
              </w:rPr>
              <w:t>responders</w:t>
            </w:r>
          </w:p>
        </w:tc>
        <w:tc>
          <w:tcPr>
            <w:tcW w:w="560"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DSS, community</w:t>
            </w:r>
          </w:p>
        </w:tc>
        <w:tc>
          <w:tcPr>
            <w:tcW w:w="474"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$2,155.0</w:t>
            </w:r>
          </w:p>
        </w:tc>
        <w:tc>
          <w:tcPr>
            <w:tcW w:w="509"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85"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25" w:type="pct"/>
            <w:tcBorders>
              <w:top w:val="nil"/>
              <w:left w:val="nil"/>
              <w:bottom w:val="single" w:sz="4" w:space="0" w:color="auto"/>
              <w:right w:val="single" w:sz="4" w:space="0" w:color="auto"/>
            </w:tcBorders>
            <w:shd w:val="clear" w:color="auto" w:fill="auto"/>
            <w:noWrap/>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$2,155.0</w:t>
            </w:r>
          </w:p>
        </w:tc>
        <w:tc>
          <w:tcPr>
            <w:tcW w:w="1466"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Bamrungsawad </w:t>
            </w:r>
            <w:r w:rsidR="00983BA7">
              <w:rPr>
                <w:rFonts w:ascii="Arial Narrow" w:hAnsi="Arial Narrow" w:cs="Calibri"/>
                <w:color w:val="000000"/>
                <w:sz w:val="20"/>
                <w:szCs w:val="20"/>
              </w:rPr>
              <w:t xml:space="preserve">et al. </w:t>
            </w:r>
            <w:r w:rsidR="00B960BB" w:rsidRPr="00E3331A">
              <w:rPr>
                <w:rFonts w:ascii="Arial Narrow" w:hAnsi="Arial Narrow" w:cs="Calibri"/>
                <w:color w:val="000000"/>
                <w:sz w:val="20"/>
                <w:szCs w:val="20"/>
              </w:rPr>
              <w:t>(</w:t>
            </w:r>
            <w:r w:rsidRPr="00E3331A">
              <w:rPr>
                <w:rFonts w:ascii="Arial Narrow" w:hAnsi="Arial Narrow" w:cs="Calibri"/>
                <w:color w:val="000000"/>
                <w:sz w:val="20"/>
                <w:szCs w:val="20"/>
              </w:rPr>
              <w:t>2016</w:t>
            </w:r>
            <w:r w:rsidR="00B960BB" w:rsidRPr="00E3331A">
              <w:rPr>
                <w:rFonts w:ascii="Arial Narrow" w:hAnsi="Arial Narrow" w:cs="Calibri"/>
                <w:color w:val="000000"/>
                <w:sz w:val="20"/>
                <w:szCs w:val="20"/>
              </w:rPr>
              <w:t>)</w:t>
            </w:r>
            <w:r w:rsidRPr="00E3331A">
              <w:rPr>
                <w:rFonts w:ascii="Arial Narrow" w:hAnsi="Arial Narrow" w:cs="Calibri"/>
                <w:color w:val="000000"/>
                <w:sz w:val="20"/>
                <w:szCs w:val="20"/>
              </w:rPr>
              <w:t xml:space="preserve"> included annual pre-disabled outpatient service cost of US$1363 </w:t>
            </w:r>
            <w:r w:rsidR="00B960BB" w:rsidRPr="00E3331A">
              <w:rPr>
                <w:rFonts w:ascii="Arial Narrow" w:hAnsi="Arial Narrow" w:cs="Calibri"/>
                <w:color w:val="000000"/>
                <w:sz w:val="20"/>
                <w:szCs w:val="20"/>
              </w:rPr>
              <w:t xml:space="preserve">from medical records. Inpatient costs were estimated to be US$ 528 per year. </w:t>
            </w:r>
            <w:r w:rsidRPr="00E3331A">
              <w:rPr>
                <w:rFonts w:ascii="Arial Narrow" w:hAnsi="Arial Narrow" w:cs="Calibri"/>
                <w:color w:val="000000"/>
                <w:sz w:val="20"/>
                <w:szCs w:val="20"/>
              </w:rPr>
              <w:t xml:space="preserve">Mild MS costs in Palmer </w:t>
            </w:r>
            <w:r w:rsidR="00983BA7">
              <w:rPr>
                <w:rFonts w:ascii="Arial Narrow" w:hAnsi="Arial Narrow" w:cs="Calibri"/>
                <w:color w:val="000000"/>
                <w:sz w:val="20"/>
                <w:szCs w:val="20"/>
              </w:rPr>
              <w:t xml:space="preserve">et al. </w:t>
            </w:r>
            <w:r w:rsidR="00ED775A" w:rsidRPr="00E3331A">
              <w:rPr>
                <w:rFonts w:ascii="Arial Narrow" w:hAnsi="Arial Narrow" w:cs="Calibri"/>
                <w:color w:val="000000"/>
                <w:sz w:val="20"/>
                <w:szCs w:val="20"/>
              </w:rPr>
              <w:t xml:space="preserve">(2013) </w:t>
            </w:r>
            <w:r w:rsidRPr="00E3331A">
              <w:rPr>
                <w:rFonts w:ascii="Arial Narrow" w:hAnsi="Arial Narrow" w:cs="Calibri"/>
                <w:color w:val="000000"/>
                <w:sz w:val="20"/>
                <w:szCs w:val="20"/>
              </w:rPr>
              <w:t>for equipment, nursing, community services, and alterations to home were $A 1,826 in 2010. The 2019 equivalent is $A 2,155</w:t>
            </w:r>
          </w:p>
        </w:tc>
      </w:tr>
      <w:tr w:rsidR="00B960BB" w:rsidRPr="00E3331A" w:rsidTr="00464E0A">
        <w:trPr>
          <w:trHeight w:val="255"/>
        </w:trPr>
        <w:tc>
          <w:tcPr>
            <w:tcW w:w="881" w:type="pct"/>
            <w:tcBorders>
              <w:top w:val="nil"/>
              <w:left w:val="single" w:sz="4" w:space="0" w:color="auto"/>
              <w:bottom w:val="single" w:sz="4" w:space="0" w:color="auto"/>
              <w:right w:val="single" w:sz="4" w:space="0" w:color="auto"/>
            </w:tcBorders>
            <w:shd w:val="clear" w:color="auto" w:fill="auto"/>
            <w:vAlign w:val="center"/>
            <w:hideMark/>
          </w:tcPr>
          <w:p w:rsidR="00B960BB" w:rsidRPr="00E3331A" w:rsidRDefault="00B960BB" w:rsidP="00B960BB">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Annual total</w:t>
            </w:r>
          </w:p>
        </w:tc>
        <w:tc>
          <w:tcPr>
            <w:tcW w:w="560" w:type="pct"/>
            <w:tcBorders>
              <w:top w:val="nil"/>
              <w:left w:val="nil"/>
              <w:bottom w:val="single" w:sz="4" w:space="0" w:color="auto"/>
              <w:right w:val="single" w:sz="4" w:space="0" w:color="auto"/>
            </w:tcBorders>
            <w:shd w:val="clear" w:color="auto" w:fill="auto"/>
            <w:vAlign w:val="center"/>
            <w:hideMark/>
          </w:tcPr>
          <w:p w:rsidR="00B960BB" w:rsidRPr="00E3331A" w:rsidRDefault="00B960BB" w:rsidP="00B960BB">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474" w:type="pct"/>
            <w:tcBorders>
              <w:top w:val="nil"/>
              <w:left w:val="nil"/>
              <w:bottom w:val="single" w:sz="4" w:space="0" w:color="auto"/>
              <w:right w:val="single" w:sz="4" w:space="0" w:color="auto"/>
            </w:tcBorders>
            <w:shd w:val="clear" w:color="auto" w:fill="auto"/>
            <w:vAlign w:val="center"/>
            <w:hideMark/>
          </w:tcPr>
          <w:p w:rsidR="00B960BB" w:rsidRPr="00E3331A" w:rsidRDefault="00B960BB" w:rsidP="00B960BB">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09" w:type="pct"/>
            <w:tcBorders>
              <w:top w:val="nil"/>
              <w:left w:val="nil"/>
              <w:bottom w:val="single" w:sz="4" w:space="0" w:color="auto"/>
              <w:right w:val="single" w:sz="4" w:space="0" w:color="auto"/>
            </w:tcBorders>
            <w:shd w:val="clear" w:color="auto" w:fill="auto"/>
            <w:vAlign w:val="center"/>
            <w:hideMark/>
          </w:tcPr>
          <w:p w:rsidR="00B960BB" w:rsidRPr="00E3331A" w:rsidRDefault="00B960BB" w:rsidP="00B960BB">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85" w:type="pct"/>
            <w:tcBorders>
              <w:top w:val="nil"/>
              <w:left w:val="nil"/>
              <w:bottom w:val="single" w:sz="4" w:space="0" w:color="auto"/>
              <w:right w:val="single" w:sz="4" w:space="0" w:color="auto"/>
            </w:tcBorders>
            <w:shd w:val="clear" w:color="auto" w:fill="auto"/>
            <w:vAlign w:val="center"/>
            <w:hideMark/>
          </w:tcPr>
          <w:p w:rsidR="00B960BB" w:rsidRPr="00E3331A" w:rsidRDefault="00B960BB" w:rsidP="00B960BB">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25" w:type="pct"/>
            <w:tcBorders>
              <w:top w:val="nil"/>
              <w:left w:val="nil"/>
              <w:bottom w:val="single" w:sz="4" w:space="0" w:color="auto"/>
              <w:right w:val="single" w:sz="4" w:space="0" w:color="auto"/>
            </w:tcBorders>
            <w:shd w:val="clear" w:color="auto" w:fill="auto"/>
            <w:vAlign w:val="center"/>
            <w:hideMark/>
          </w:tcPr>
          <w:p w:rsidR="00B960BB" w:rsidRPr="00E3331A" w:rsidRDefault="00B960BB" w:rsidP="00B960BB">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$3,471.7</w:t>
            </w:r>
          </w:p>
        </w:tc>
        <w:tc>
          <w:tcPr>
            <w:tcW w:w="1466" w:type="pct"/>
            <w:tcBorders>
              <w:top w:val="nil"/>
              <w:left w:val="nil"/>
              <w:bottom w:val="single" w:sz="4" w:space="0" w:color="auto"/>
              <w:right w:val="single" w:sz="4" w:space="0" w:color="auto"/>
            </w:tcBorders>
            <w:shd w:val="clear" w:color="auto" w:fill="auto"/>
            <w:vAlign w:val="center"/>
            <w:hideMark/>
          </w:tcPr>
          <w:p w:rsidR="00B960BB" w:rsidRPr="00E3331A" w:rsidRDefault="00B960BB" w:rsidP="00B960BB">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r w:rsidR="00B960BB" w:rsidRPr="00E3331A" w:rsidTr="00464E0A">
        <w:trPr>
          <w:trHeight w:val="300"/>
        </w:trPr>
        <w:tc>
          <w:tcPr>
            <w:tcW w:w="881" w:type="pct"/>
            <w:tcBorders>
              <w:top w:val="nil"/>
              <w:left w:val="single" w:sz="4" w:space="0" w:color="auto"/>
              <w:bottom w:val="single" w:sz="4" w:space="0" w:color="auto"/>
              <w:right w:val="single" w:sz="4" w:space="0" w:color="auto"/>
            </w:tcBorders>
            <w:shd w:val="clear" w:color="auto" w:fill="auto"/>
            <w:vAlign w:val="center"/>
            <w:hideMark/>
          </w:tcPr>
          <w:p w:rsidR="00B960BB" w:rsidRPr="00E3331A" w:rsidRDefault="00B960BB" w:rsidP="00B960BB">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Weekly equivalent</w:t>
            </w:r>
          </w:p>
        </w:tc>
        <w:tc>
          <w:tcPr>
            <w:tcW w:w="560" w:type="pct"/>
            <w:tcBorders>
              <w:top w:val="nil"/>
              <w:left w:val="nil"/>
              <w:bottom w:val="single" w:sz="4" w:space="0" w:color="auto"/>
              <w:right w:val="single" w:sz="4" w:space="0" w:color="auto"/>
            </w:tcBorders>
            <w:shd w:val="clear" w:color="auto" w:fill="auto"/>
            <w:vAlign w:val="center"/>
            <w:hideMark/>
          </w:tcPr>
          <w:p w:rsidR="00B960BB" w:rsidRPr="00E3331A" w:rsidRDefault="00B960BB" w:rsidP="00B960BB">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474" w:type="pct"/>
            <w:tcBorders>
              <w:top w:val="nil"/>
              <w:left w:val="nil"/>
              <w:bottom w:val="single" w:sz="4" w:space="0" w:color="auto"/>
              <w:right w:val="single" w:sz="4" w:space="0" w:color="auto"/>
            </w:tcBorders>
            <w:shd w:val="clear" w:color="auto" w:fill="auto"/>
            <w:vAlign w:val="center"/>
            <w:hideMark/>
          </w:tcPr>
          <w:p w:rsidR="00B960BB" w:rsidRPr="00E3331A" w:rsidRDefault="00B960BB" w:rsidP="00B960BB">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09" w:type="pct"/>
            <w:tcBorders>
              <w:top w:val="nil"/>
              <w:left w:val="nil"/>
              <w:bottom w:val="single" w:sz="4" w:space="0" w:color="auto"/>
              <w:right w:val="single" w:sz="4" w:space="0" w:color="auto"/>
            </w:tcBorders>
            <w:shd w:val="clear" w:color="auto" w:fill="auto"/>
            <w:vAlign w:val="center"/>
            <w:hideMark/>
          </w:tcPr>
          <w:p w:rsidR="00B960BB" w:rsidRPr="00E3331A" w:rsidRDefault="00B960BB" w:rsidP="00B960BB">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85" w:type="pct"/>
            <w:tcBorders>
              <w:top w:val="nil"/>
              <w:left w:val="nil"/>
              <w:bottom w:val="single" w:sz="4" w:space="0" w:color="auto"/>
              <w:right w:val="single" w:sz="4" w:space="0" w:color="auto"/>
            </w:tcBorders>
            <w:shd w:val="clear" w:color="auto" w:fill="auto"/>
            <w:vAlign w:val="center"/>
            <w:hideMark/>
          </w:tcPr>
          <w:p w:rsidR="00B960BB" w:rsidRPr="00E3331A" w:rsidRDefault="00B960BB" w:rsidP="00B960BB">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25" w:type="pct"/>
            <w:tcBorders>
              <w:top w:val="nil"/>
              <w:left w:val="nil"/>
              <w:bottom w:val="single" w:sz="4" w:space="0" w:color="auto"/>
              <w:right w:val="single" w:sz="4" w:space="0" w:color="auto"/>
            </w:tcBorders>
            <w:shd w:val="clear" w:color="auto" w:fill="auto"/>
            <w:vAlign w:val="center"/>
            <w:hideMark/>
          </w:tcPr>
          <w:p w:rsidR="00B960BB" w:rsidRPr="00E3331A" w:rsidRDefault="00B960BB" w:rsidP="00B960BB">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$66.8</w:t>
            </w:r>
          </w:p>
        </w:tc>
        <w:tc>
          <w:tcPr>
            <w:tcW w:w="1466" w:type="pct"/>
            <w:tcBorders>
              <w:top w:val="nil"/>
              <w:left w:val="nil"/>
              <w:bottom w:val="single" w:sz="4" w:space="0" w:color="auto"/>
              <w:right w:val="single" w:sz="4" w:space="0" w:color="auto"/>
            </w:tcBorders>
            <w:shd w:val="clear" w:color="auto" w:fill="auto"/>
            <w:vAlign w:val="center"/>
            <w:hideMark/>
          </w:tcPr>
          <w:p w:rsidR="00B960BB" w:rsidRPr="00E3331A" w:rsidRDefault="00B960BB" w:rsidP="00B960BB">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r w:rsidR="005A05FA" w:rsidRPr="00E3331A" w:rsidTr="005A05FA">
        <w:trPr>
          <w:trHeight w:val="255"/>
        </w:trPr>
        <w:tc>
          <w:tcPr>
            <w:tcW w:w="5000" w:type="pct"/>
            <w:gridSpan w:val="7"/>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A05FA" w:rsidRPr="00E3331A" w:rsidRDefault="005A05FA" w:rsidP="00464E0A">
            <w:pPr>
              <w:spacing w:after="0" w:line="240" w:lineRule="auto"/>
              <w:rPr>
                <w:rFonts w:ascii="Arial Narrow" w:hAnsi="Arial Narrow" w:cs="Calibri"/>
                <w:b/>
                <w:bCs/>
                <w:color w:val="FFFFFF"/>
                <w:sz w:val="20"/>
                <w:szCs w:val="20"/>
              </w:rPr>
            </w:pPr>
            <w:r w:rsidRPr="00E3331A">
              <w:rPr>
                <w:rFonts w:ascii="Arial Narrow" w:hAnsi="Arial Narrow" w:cs="Calibri"/>
                <w:b/>
                <w:bCs/>
                <w:sz w:val="20"/>
                <w:szCs w:val="20"/>
              </w:rPr>
              <w:t> Disabled</w:t>
            </w:r>
            <w:r w:rsidR="00BF41C7" w:rsidRPr="00E3331A">
              <w:rPr>
                <w:rFonts w:ascii="Arial Narrow" w:hAnsi="Arial Narrow" w:cs="Calibri"/>
                <w:b/>
                <w:bCs/>
                <w:sz w:val="20"/>
                <w:szCs w:val="20"/>
              </w:rPr>
              <w:t xml:space="preserve"> </w:t>
            </w:r>
            <w:r w:rsidR="00AB7B11">
              <w:rPr>
                <w:rFonts w:ascii="Arial Narrow" w:hAnsi="Arial Narrow" w:cs="Calibri"/>
                <w:b/>
                <w:bCs/>
                <w:sz w:val="20"/>
                <w:szCs w:val="20"/>
              </w:rPr>
              <w:t>CIDP</w:t>
            </w:r>
            <w:r w:rsidR="00BF41C7" w:rsidRPr="00E3331A">
              <w:rPr>
                <w:rFonts w:ascii="Arial Narrow" w:hAnsi="Arial Narrow" w:cs="Calibri"/>
                <w:b/>
                <w:bCs/>
                <w:sz w:val="20"/>
                <w:szCs w:val="20"/>
              </w:rPr>
              <w:t xml:space="preserve"> patient</w:t>
            </w:r>
          </w:p>
        </w:tc>
      </w:tr>
      <w:tr w:rsidR="005A05FA" w:rsidRPr="00E3331A" w:rsidTr="00464E0A">
        <w:trPr>
          <w:trHeight w:val="255"/>
        </w:trPr>
        <w:tc>
          <w:tcPr>
            <w:tcW w:w="881" w:type="pct"/>
            <w:tcBorders>
              <w:top w:val="nil"/>
              <w:left w:val="single" w:sz="4" w:space="0" w:color="auto"/>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rPr>
                <w:rFonts w:ascii="Arial Narrow" w:hAnsi="Arial Narrow" w:cs="Calibri"/>
                <w:sz w:val="20"/>
                <w:szCs w:val="20"/>
              </w:rPr>
            </w:pPr>
            <w:r w:rsidRPr="00E3331A">
              <w:rPr>
                <w:rFonts w:ascii="Arial Narrow" w:hAnsi="Arial Narrow" w:cs="Calibri"/>
                <w:sz w:val="20"/>
                <w:szCs w:val="20"/>
              </w:rPr>
              <w:t>Health services</w:t>
            </w:r>
          </w:p>
        </w:tc>
        <w:tc>
          <w:tcPr>
            <w:tcW w:w="560"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474"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$1,316.7</w:t>
            </w:r>
          </w:p>
        </w:tc>
        <w:tc>
          <w:tcPr>
            <w:tcW w:w="509"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85"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25"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$1,316.7</w:t>
            </w:r>
          </w:p>
        </w:tc>
        <w:tc>
          <w:tcPr>
            <w:tcW w:w="1466" w:type="pct"/>
            <w:tcBorders>
              <w:top w:val="nil"/>
              <w:left w:val="nil"/>
              <w:bottom w:val="single" w:sz="4" w:space="0" w:color="auto"/>
              <w:right w:val="single" w:sz="4" w:space="0" w:color="auto"/>
            </w:tcBorders>
            <w:shd w:val="clear" w:color="auto" w:fill="auto"/>
            <w:vAlign w:val="bottom"/>
            <w:hideMark/>
          </w:tcPr>
          <w:p w:rsidR="005A05FA" w:rsidRPr="00E3331A" w:rsidRDefault="005A05FA" w:rsidP="005A05FA">
            <w:pPr>
              <w:spacing w:after="0" w:line="240" w:lineRule="auto"/>
              <w:rPr>
                <w:rFonts w:ascii="Arial Narrow" w:hAnsi="Arial Narrow" w:cs="Calibri"/>
                <w:sz w:val="20"/>
                <w:szCs w:val="20"/>
              </w:rPr>
            </w:pPr>
            <w:r w:rsidRPr="00E3331A">
              <w:rPr>
                <w:rFonts w:ascii="Arial Narrow" w:hAnsi="Arial Narrow" w:cs="Calibri"/>
                <w:sz w:val="20"/>
                <w:szCs w:val="20"/>
              </w:rPr>
              <w:t xml:space="preserve">Medical services similar to </w:t>
            </w:r>
            <w:r w:rsidR="002B786E" w:rsidRPr="002B786E">
              <w:rPr>
                <w:rFonts w:ascii="Arial Narrow" w:hAnsi="Arial Narrow" w:cs="Calibri"/>
                <w:sz w:val="20"/>
                <w:szCs w:val="20"/>
              </w:rPr>
              <w:t>immunosuppressants</w:t>
            </w:r>
          </w:p>
        </w:tc>
      </w:tr>
      <w:tr w:rsidR="005A05FA" w:rsidRPr="00E3331A" w:rsidTr="00464E0A">
        <w:trPr>
          <w:trHeight w:val="1005"/>
        </w:trPr>
        <w:tc>
          <w:tcPr>
            <w:tcW w:w="881" w:type="pct"/>
            <w:tcBorders>
              <w:top w:val="nil"/>
              <w:left w:val="single" w:sz="4" w:space="0" w:color="auto"/>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Equipment, nursing, community services, and alterations to home for disabled non</w:t>
            </w:r>
            <w:r w:rsidR="00B73E3D">
              <w:rPr>
                <w:rFonts w:ascii="Arial Narrow" w:hAnsi="Arial Narrow" w:cs="Calibri"/>
                <w:color w:val="000000"/>
                <w:sz w:val="20"/>
                <w:szCs w:val="20"/>
              </w:rPr>
              <w:t>-</w:t>
            </w:r>
            <w:r w:rsidRPr="00E3331A">
              <w:rPr>
                <w:rFonts w:ascii="Arial Narrow" w:hAnsi="Arial Narrow" w:cs="Calibri"/>
                <w:color w:val="000000"/>
                <w:sz w:val="20"/>
                <w:szCs w:val="20"/>
              </w:rPr>
              <w:t>responders</w:t>
            </w:r>
          </w:p>
        </w:tc>
        <w:tc>
          <w:tcPr>
            <w:tcW w:w="560"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DSS, community</w:t>
            </w:r>
          </w:p>
        </w:tc>
        <w:tc>
          <w:tcPr>
            <w:tcW w:w="474"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$6,995.0</w:t>
            </w:r>
          </w:p>
        </w:tc>
        <w:tc>
          <w:tcPr>
            <w:tcW w:w="509"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85"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25" w:type="pct"/>
            <w:tcBorders>
              <w:top w:val="nil"/>
              <w:left w:val="nil"/>
              <w:bottom w:val="single" w:sz="4" w:space="0" w:color="auto"/>
              <w:right w:val="single" w:sz="4" w:space="0" w:color="auto"/>
            </w:tcBorders>
            <w:shd w:val="clear" w:color="auto" w:fill="auto"/>
            <w:noWrap/>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$6,995.0</w:t>
            </w:r>
          </w:p>
        </w:tc>
        <w:tc>
          <w:tcPr>
            <w:tcW w:w="1466"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Bamrungsawad </w:t>
            </w:r>
            <w:r w:rsidR="00983BA7">
              <w:rPr>
                <w:rFonts w:ascii="Arial Narrow" w:hAnsi="Arial Narrow" w:cs="Calibri"/>
                <w:color w:val="000000"/>
                <w:sz w:val="20"/>
                <w:szCs w:val="20"/>
              </w:rPr>
              <w:t xml:space="preserve">et al. </w:t>
            </w:r>
            <w:r w:rsidR="00ED775A" w:rsidRPr="00E3331A">
              <w:rPr>
                <w:rFonts w:ascii="Arial Narrow" w:hAnsi="Arial Narrow" w:cs="Calibri"/>
                <w:color w:val="000000"/>
                <w:sz w:val="20"/>
                <w:szCs w:val="20"/>
              </w:rPr>
              <w:t>(</w:t>
            </w:r>
            <w:r w:rsidRPr="00E3331A">
              <w:rPr>
                <w:rFonts w:ascii="Arial Narrow" w:hAnsi="Arial Narrow" w:cs="Calibri"/>
                <w:color w:val="000000"/>
                <w:sz w:val="20"/>
                <w:szCs w:val="20"/>
              </w:rPr>
              <w:t>2016</w:t>
            </w:r>
            <w:r w:rsidR="00ED775A" w:rsidRPr="00E3331A">
              <w:rPr>
                <w:rFonts w:ascii="Arial Narrow" w:hAnsi="Arial Narrow" w:cs="Calibri"/>
                <w:color w:val="000000"/>
                <w:sz w:val="20"/>
                <w:szCs w:val="20"/>
              </w:rPr>
              <w:t>)</w:t>
            </w:r>
            <w:r w:rsidRPr="00E3331A">
              <w:rPr>
                <w:rFonts w:ascii="Arial Narrow" w:hAnsi="Arial Narrow" w:cs="Calibri"/>
                <w:color w:val="000000"/>
                <w:sz w:val="20"/>
                <w:szCs w:val="20"/>
              </w:rPr>
              <w:t xml:space="preserve"> included annual disabled outpatient service cost of US$1402 and US $528 </w:t>
            </w:r>
            <w:r w:rsidR="00ED775A" w:rsidRPr="00E3331A">
              <w:rPr>
                <w:rFonts w:ascii="Arial Narrow" w:hAnsi="Arial Narrow" w:cs="Calibri"/>
                <w:color w:val="000000"/>
                <w:sz w:val="20"/>
                <w:szCs w:val="20"/>
              </w:rPr>
              <w:t xml:space="preserve">for </w:t>
            </w:r>
            <w:r w:rsidRPr="00E3331A">
              <w:rPr>
                <w:rFonts w:ascii="Arial Narrow" w:hAnsi="Arial Narrow" w:cs="Calibri"/>
                <w:color w:val="000000"/>
                <w:sz w:val="20"/>
                <w:szCs w:val="20"/>
              </w:rPr>
              <w:t xml:space="preserve">inpatients from medical records. Moderate and severe MS costs in Palmer </w:t>
            </w:r>
            <w:r w:rsidR="00983BA7">
              <w:rPr>
                <w:rFonts w:ascii="Arial Narrow" w:hAnsi="Arial Narrow" w:cs="Calibri"/>
                <w:color w:val="000000"/>
                <w:sz w:val="20"/>
                <w:szCs w:val="20"/>
              </w:rPr>
              <w:t xml:space="preserve">et al. </w:t>
            </w:r>
            <w:r w:rsidR="00ED775A" w:rsidRPr="00E3331A">
              <w:rPr>
                <w:rFonts w:ascii="Arial Narrow" w:hAnsi="Arial Narrow" w:cs="Calibri"/>
                <w:color w:val="000000"/>
                <w:sz w:val="20"/>
                <w:szCs w:val="20"/>
              </w:rPr>
              <w:t xml:space="preserve">(2013) are used </w:t>
            </w:r>
            <w:r w:rsidRPr="00E3331A">
              <w:rPr>
                <w:rFonts w:ascii="Arial Narrow" w:hAnsi="Arial Narrow" w:cs="Calibri"/>
                <w:color w:val="000000"/>
                <w:sz w:val="20"/>
                <w:szCs w:val="20"/>
              </w:rPr>
              <w:t xml:space="preserve">for equipment, nursing, community services and alterations to home </w:t>
            </w:r>
            <w:r w:rsidR="00ED775A" w:rsidRPr="00E3331A">
              <w:rPr>
                <w:rFonts w:ascii="Arial Narrow" w:hAnsi="Arial Narrow" w:cs="Calibri"/>
                <w:color w:val="000000"/>
                <w:sz w:val="20"/>
                <w:szCs w:val="20"/>
              </w:rPr>
              <w:t xml:space="preserve">costs assuming 15% are severe. </w:t>
            </w:r>
            <w:r w:rsidR="00795C9C" w:rsidRPr="00E3331A">
              <w:rPr>
                <w:rFonts w:ascii="Arial Narrow" w:hAnsi="Arial Narrow" w:cs="Calibri"/>
                <w:color w:val="000000"/>
                <w:sz w:val="20"/>
                <w:szCs w:val="20"/>
              </w:rPr>
              <w:t>Using</w:t>
            </w:r>
            <w:r w:rsidR="00ED775A" w:rsidRPr="00E3331A">
              <w:rPr>
                <w:rFonts w:ascii="Arial Narrow" w:hAnsi="Arial Narrow" w:cs="Calibri"/>
                <w:color w:val="000000"/>
                <w:sz w:val="20"/>
                <w:szCs w:val="20"/>
              </w:rPr>
              <w:t xml:space="preserve"> this </w:t>
            </w:r>
            <w:r w:rsidR="00795C9C" w:rsidRPr="00E3331A">
              <w:rPr>
                <w:rFonts w:ascii="Arial Narrow" w:hAnsi="Arial Narrow" w:cs="Calibri"/>
                <w:color w:val="000000"/>
                <w:sz w:val="20"/>
                <w:szCs w:val="20"/>
              </w:rPr>
              <w:t>proportion,</w:t>
            </w:r>
            <w:r w:rsidR="00ED775A" w:rsidRPr="00E3331A">
              <w:rPr>
                <w:rFonts w:ascii="Arial Narrow" w:hAnsi="Arial Narrow" w:cs="Calibri"/>
                <w:color w:val="000000"/>
                <w:sz w:val="20"/>
                <w:szCs w:val="20"/>
              </w:rPr>
              <w:t xml:space="preserve"> they </w:t>
            </w:r>
            <w:r w:rsidRPr="00E3331A">
              <w:rPr>
                <w:rFonts w:ascii="Arial Narrow" w:hAnsi="Arial Narrow" w:cs="Calibri"/>
                <w:color w:val="000000"/>
                <w:sz w:val="20"/>
                <w:szCs w:val="20"/>
              </w:rPr>
              <w:t>were $A 5,928 in 2010. The 2019 equivalent is $A 6,995</w:t>
            </w:r>
            <w:r w:rsidR="00ED775A" w:rsidRPr="00E3331A">
              <w:rPr>
                <w:rFonts w:ascii="Arial Narrow" w:hAnsi="Arial Narrow" w:cs="Calibri"/>
                <w:color w:val="000000"/>
                <w:sz w:val="20"/>
                <w:szCs w:val="20"/>
              </w:rPr>
              <w:t>.</w:t>
            </w:r>
          </w:p>
        </w:tc>
      </w:tr>
      <w:tr w:rsidR="005A05FA" w:rsidRPr="00E3331A" w:rsidTr="00464E0A">
        <w:trPr>
          <w:trHeight w:val="765"/>
        </w:trPr>
        <w:tc>
          <w:tcPr>
            <w:tcW w:w="881" w:type="pct"/>
            <w:tcBorders>
              <w:top w:val="nil"/>
              <w:left w:val="single" w:sz="4" w:space="0" w:color="auto"/>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Nursing home</w:t>
            </w:r>
          </w:p>
        </w:tc>
        <w:tc>
          <w:tcPr>
            <w:tcW w:w="560"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DSS, community</w:t>
            </w:r>
          </w:p>
        </w:tc>
        <w:tc>
          <w:tcPr>
            <w:tcW w:w="474"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$5,162.2</w:t>
            </w:r>
          </w:p>
        </w:tc>
        <w:tc>
          <w:tcPr>
            <w:tcW w:w="509"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85"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25"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$5,162.2</w:t>
            </w:r>
          </w:p>
        </w:tc>
        <w:tc>
          <w:tcPr>
            <w:tcW w:w="1466"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CIDP disabled person home and nursing home care were estimated at US</w:t>
            </w:r>
            <w:r w:rsidR="00CB2A0D" w:rsidRPr="00E3331A">
              <w:rPr>
                <w:rFonts w:ascii="Arial Narrow" w:hAnsi="Arial Narrow" w:cs="Calibri"/>
                <w:color w:val="000000"/>
                <w:sz w:val="20"/>
                <w:szCs w:val="20"/>
              </w:rPr>
              <w:t>$</w:t>
            </w:r>
            <w:r w:rsidRPr="00E3331A">
              <w:rPr>
                <w:rFonts w:ascii="Arial Narrow" w:hAnsi="Arial Narrow" w:cs="Calibri"/>
                <w:color w:val="000000"/>
                <w:sz w:val="20"/>
                <w:szCs w:val="20"/>
              </w:rPr>
              <w:t xml:space="preserve"> 403 and 1137 per year in Bamrungsawad </w:t>
            </w:r>
            <w:r w:rsidR="00983BA7">
              <w:rPr>
                <w:rFonts w:ascii="Arial Narrow" w:hAnsi="Arial Narrow" w:cs="Calibri"/>
                <w:color w:val="000000"/>
                <w:sz w:val="20"/>
                <w:szCs w:val="20"/>
              </w:rPr>
              <w:t xml:space="preserve">et al. </w:t>
            </w:r>
            <w:r w:rsidR="00ED775A" w:rsidRPr="00E3331A">
              <w:rPr>
                <w:rFonts w:ascii="Arial Narrow" w:hAnsi="Arial Narrow" w:cs="Calibri"/>
                <w:color w:val="000000"/>
                <w:sz w:val="20"/>
                <w:szCs w:val="20"/>
              </w:rPr>
              <w:t>(</w:t>
            </w:r>
            <w:r w:rsidRPr="00E3331A">
              <w:rPr>
                <w:rFonts w:ascii="Arial Narrow" w:hAnsi="Arial Narrow" w:cs="Calibri"/>
                <w:color w:val="000000"/>
                <w:sz w:val="20"/>
                <w:szCs w:val="20"/>
              </w:rPr>
              <w:t>2016</w:t>
            </w:r>
            <w:r w:rsidR="00ED775A" w:rsidRPr="00E3331A">
              <w:rPr>
                <w:rFonts w:ascii="Arial Narrow" w:hAnsi="Arial Narrow" w:cs="Calibri"/>
                <w:color w:val="000000"/>
                <w:sz w:val="20"/>
                <w:szCs w:val="20"/>
              </w:rPr>
              <w:t>)</w:t>
            </w:r>
            <w:r w:rsidRPr="00E3331A">
              <w:rPr>
                <w:rFonts w:ascii="Arial Narrow" w:hAnsi="Arial Narrow" w:cs="Calibri"/>
                <w:color w:val="000000"/>
                <w:sz w:val="20"/>
                <w:szCs w:val="20"/>
              </w:rPr>
              <w:t xml:space="preserve">. Palmer </w:t>
            </w:r>
            <w:r w:rsidR="00983BA7">
              <w:rPr>
                <w:rFonts w:ascii="Arial Narrow" w:hAnsi="Arial Narrow" w:cs="Calibri"/>
                <w:color w:val="000000"/>
                <w:sz w:val="20"/>
                <w:szCs w:val="20"/>
              </w:rPr>
              <w:t xml:space="preserve">et al. </w:t>
            </w:r>
            <w:r w:rsidR="00CB2A0D" w:rsidRPr="00E3331A">
              <w:rPr>
                <w:rFonts w:ascii="Arial Narrow" w:hAnsi="Arial Narrow" w:cs="Calibri"/>
                <w:color w:val="000000"/>
                <w:sz w:val="20"/>
                <w:szCs w:val="20"/>
              </w:rPr>
              <w:t xml:space="preserve">(2013) </w:t>
            </w:r>
            <w:r w:rsidRPr="00E3331A">
              <w:rPr>
                <w:rFonts w:ascii="Arial Narrow" w:hAnsi="Arial Narrow" w:cs="Calibri"/>
                <w:color w:val="000000"/>
                <w:sz w:val="20"/>
                <w:szCs w:val="20"/>
              </w:rPr>
              <w:t>moderate and severe nursing home costs for Australian MS patients are inflated to 2019</w:t>
            </w:r>
          </w:p>
        </w:tc>
      </w:tr>
      <w:tr w:rsidR="005A05FA" w:rsidRPr="00E3331A" w:rsidTr="00464E0A">
        <w:trPr>
          <w:trHeight w:val="255"/>
        </w:trPr>
        <w:tc>
          <w:tcPr>
            <w:tcW w:w="881" w:type="pct"/>
            <w:tcBorders>
              <w:top w:val="nil"/>
              <w:left w:val="single" w:sz="4" w:space="0" w:color="auto"/>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Annual total</w:t>
            </w:r>
          </w:p>
        </w:tc>
        <w:tc>
          <w:tcPr>
            <w:tcW w:w="560"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474"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09"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85"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25"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$13,473.9</w:t>
            </w:r>
          </w:p>
        </w:tc>
        <w:tc>
          <w:tcPr>
            <w:tcW w:w="1466"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r w:rsidR="005A05FA" w:rsidRPr="00E3331A" w:rsidTr="00464E0A">
        <w:trPr>
          <w:trHeight w:val="300"/>
        </w:trPr>
        <w:tc>
          <w:tcPr>
            <w:tcW w:w="881" w:type="pct"/>
            <w:tcBorders>
              <w:top w:val="nil"/>
              <w:left w:val="single" w:sz="4" w:space="0" w:color="auto"/>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Weekly equivalent</w:t>
            </w:r>
          </w:p>
        </w:tc>
        <w:tc>
          <w:tcPr>
            <w:tcW w:w="560"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474"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09"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85"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25"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$259.1</w:t>
            </w:r>
          </w:p>
        </w:tc>
        <w:tc>
          <w:tcPr>
            <w:tcW w:w="1466" w:type="pct"/>
            <w:tcBorders>
              <w:top w:val="nil"/>
              <w:left w:val="nil"/>
              <w:bottom w:val="single" w:sz="4" w:space="0" w:color="auto"/>
              <w:right w:val="single" w:sz="4" w:space="0" w:color="auto"/>
            </w:tcBorders>
            <w:shd w:val="clear" w:color="auto" w:fill="auto"/>
            <w:vAlign w:val="center"/>
            <w:hideMark/>
          </w:tcPr>
          <w:p w:rsidR="005A05FA" w:rsidRPr="00E3331A" w:rsidRDefault="005A05FA" w:rsidP="005A05FA">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bl>
    <w:p w:rsidR="005A05FA" w:rsidRPr="00E3331A" w:rsidRDefault="00B960BB" w:rsidP="005A05FA">
      <w:pPr>
        <w:pStyle w:val="BodyTextSTD"/>
      </w:pPr>
      <w:r w:rsidRPr="00E3331A">
        <w:rPr>
          <w:rFonts w:ascii="Arial Narrow" w:hAnsi="Arial Narrow"/>
          <w:sz w:val="18"/>
        </w:rPr>
        <w:t xml:space="preserve">Abbreviations: AE = adverse event, CIDP = Chronic Inflammatory Demyelinating Polyneuropathy, MS = </w:t>
      </w:r>
      <w:r w:rsidR="00ED775A" w:rsidRPr="00E3331A">
        <w:rPr>
          <w:rFonts w:ascii="Arial Narrow" w:hAnsi="Arial Narrow"/>
          <w:sz w:val="18"/>
        </w:rPr>
        <w:t>Multiple Sclerosis</w:t>
      </w:r>
    </w:p>
    <w:p w:rsidR="001F5B33" w:rsidRPr="00E3331A" w:rsidRDefault="001F5B33" w:rsidP="00906C5E">
      <w:pPr>
        <w:pStyle w:val="Heading4"/>
      </w:pPr>
      <w:r w:rsidRPr="00E3331A">
        <w:lastRenderedPageBreak/>
        <w:t>Utility values</w:t>
      </w:r>
    </w:p>
    <w:p w:rsidR="001F5B33" w:rsidRPr="00E3331A" w:rsidRDefault="001F5B33" w:rsidP="00BB6E4C">
      <w:pPr>
        <w:pStyle w:val="BodyTextSTD"/>
      </w:pPr>
      <w:r w:rsidRPr="00E3331A">
        <w:t>The derivation of utilities was outlined in Section C</w:t>
      </w:r>
      <w:r w:rsidR="00241004" w:rsidRPr="00E3331A">
        <w:t xml:space="preserve"> and</w:t>
      </w:r>
      <w:r w:rsidRPr="00E3331A">
        <w:t xml:space="preserve"> presented</w:t>
      </w:r>
      <w:r w:rsidR="00241004" w:rsidRPr="00E3331A">
        <w:t xml:space="preserve"> here</w:t>
      </w:r>
      <w:r w:rsidRPr="00E3331A">
        <w:t xml:space="preserve"> in</w:t>
      </w:r>
      <w:r w:rsidR="00345C95" w:rsidRPr="00E3331A">
        <w:t xml:space="preserve"> </w:t>
      </w:r>
      <w:r w:rsidR="006F35B9" w:rsidRPr="00E3331A">
        <w:t xml:space="preserve">Table </w:t>
      </w:r>
      <w:r w:rsidR="006F35B9">
        <w:rPr>
          <w:noProof/>
        </w:rPr>
        <w:t>76</w:t>
      </w:r>
      <w:r w:rsidRPr="00E3331A">
        <w:t xml:space="preserve">. Given the uncertainties they are subjected to a range of sensitivity analyses presented at the end of Section D </w:t>
      </w:r>
      <w:r w:rsidR="006F35B9" w:rsidRPr="00E3331A">
        <w:t xml:space="preserve">Table </w:t>
      </w:r>
      <w:r w:rsidR="006F35B9">
        <w:rPr>
          <w:noProof/>
        </w:rPr>
        <w:t>76</w:t>
      </w:r>
    </w:p>
    <w:p w:rsidR="001F5B33" w:rsidRPr="00E3331A" w:rsidRDefault="001F5B33" w:rsidP="001F5B33">
      <w:pPr>
        <w:pStyle w:val="Caption"/>
      </w:pPr>
      <w:bookmarkStart w:id="458" w:name="_Ref492921976"/>
      <w:bookmarkStart w:id="459" w:name="_Toc390153132"/>
      <w:bookmarkStart w:id="460" w:name="_Toc442872185"/>
      <w:bookmarkStart w:id="461" w:name="_Toc493000476"/>
      <w:bookmarkStart w:id="462" w:name="_Toc24103382"/>
      <w:r w:rsidRPr="00E3331A">
        <w:t xml:space="preserve">Table </w:t>
      </w:r>
      <w:r w:rsidR="006F35B9">
        <w:rPr>
          <w:noProof/>
        </w:rPr>
        <w:t>76</w:t>
      </w:r>
      <w:bookmarkEnd w:id="458"/>
      <w:r w:rsidR="00241004" w:rsidRPr="00E3331A">
        <w:tab/>
      </w:r>
      <w:r w:rsidRPr="00E3331A">
        <w:rPr>
          <w:bCs w:val="0"/>
          <w:szCs w:val="20"/>
        </w:rPr>
        <w:t xml:space="preserve">Utility </w:t>
      </w:r>
      <w:bookmarkEnd w:id="459"/>
      <w:r w:rsidRPr="00E3331A">
        <w:rPr>
          <w:bCs w:val="0"/>
          <w:szCs w:val="20"/>
        </w:rPr>
        <w:t>value used in the model</w:t>
      </w:r>
      <w:bookmarkEnd w:id="460"/>
      <w:bookmarkEnd w:id="461"/>
      <w:bookmarkEnd w:id="462"/>
      <w:r w:rsidRPr="00E3331A">
        <w:rPr>
          <w:bCs w:val="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34"/>
        <w:gridCol w:w="2835"/>
        <w:gridCol w:w="1843"/>
        <w:gridCol w:w="1508"/>
      </w:tblGrid>
      <w:tr w:rsidR="00553E4B" w:rsidRPr="00E3331A" w:rsidTr="00464E0A">
        <w:trPr>
          <w:trHeight w:hRule="exact" w:val="939"/>
          <w:tblHeader/>
        </w:trPr>
        <w:tc>
          <w:tcPr>
            <w:tcW w:w="1696" w:type="dxa"/>
            <w:shd w:val="clear" w:color="auto" w:fill="D9D9D9"/>
            <w:vAlign w:val="center"/>
          </w:tcPr>
          <w:p w:rsidR="00553E4B" w:rsidRPr="00E3331A" w:rsidRDefault="00553E4B" w:rsidP="00493DDF">
            <w:pPr>
              <w:jc w:val="center"/>
              <w:rPr>
                <w:rFonts w:ascii="Arial Narrow" w:eastAsia="Arial" w:hAnsi="Arial Narrow"/>
                <w:b/>
                <w:sz w:val="20"/>
                <w:szCs w:val="20"/>
              </w:rPr>
            </w:pPr>
            <w:r w:rsidRPr="00E3331A">
              <w:rPr>
                <w:rFonts w:ascii="Arial Narrow" w:hAnsi="Arial Narrow"/>
                <w:b/>
                <w:sz w:val="20"/>
                <w:szCs w:val="20"/>
              </w:rPr>
              <w:t>Health state</w:t>
            </w:r>
          </w:p>
        </w:tc>
        <w:tc>
          <w:tcPr>
            <w:tcW w:w="1134" w:type="dxa"/>
            <w:shd w:val="clear" w:color="auto" w:fill="D9D9D9"/>
            <w:vAlign w:val="center"/>
          </w:tcPr>
          <w:p w:rsidR="00553E4B" w:rsidRPr="00E3331A" w:rsidRDefault="00553E4B" w:rsidP="00493DDF">
            <w:pPr>
              <w:jc w:val="center"/>
              <w:rPr>
                <w:rFonts w:ascii="Arial Narrow" w:eastAsia="Arial" w:hAnsi="Arial Narrow"/>
                <w:b/>
                <w:sz w:val="20"/>
                <w:szCs w:val="20"/>
              </w:rPr>
            </w:pPr>
            <w:r w:rsidRPr="00E3331A">
              <w:rPr>
                <w:rFonts w:ascii="Arial Narrow" w:hAnsi="Arial Narrow"/>
                <w:b/>
                <w:sz w:val="20"/>
                <w:szCs w:val="20"/>
              </w:rPr>
              <w:t>Utility/ Disutility</w:t>
            </w:r>
          </w:p>
        </w:tc>
        <w:tc>
          <w:tcPr>
            <w:tcW w:w="2835" w:type="dxa"/>
            <w:shd w:val="clear" w:color="auto" w:fill="D9D9D9"/>
            <w:vAlign w:val="center"/>
          </w:tcPr>
          <w:p w:rsidR="00553E4B" w:rsidRPr="00E3331A" w:rsidRDefault="00553E4B" w:rsidP="00493DDF">
            <w:pPr>
              <w:jc w:val="center"/>
              <w:rPr>
                <w:rFonts w:ascii="Arial Narrow" w:eastAsia="Arial" w:hAnsi="Arial Narrow"/>
                <w:b/>
                <w:sz w:val="20"/>
                <w:szCs w:val="20"/>
              </w:rPr>
            </w:pPr>
            <w:r w:rsidRPr="00E3331A">
              <w:rPr>
                <w:rFonts w:ascii="Arial Narrow" w:hAnsi="Arial Narrow"/>
                <w:b/>
                <w:sz w:val="20"/>
                <w:szCs w:val="20"/>
              </w:rPr>
              <w:t>Nature of estimate</w:t>
            </w:r>
          </w:p>
        </w:tc>
        <w:tc>
          <w:tcPr>
            <w:tcW w:w="1843" w:type="dxa"/>
            <w:shd w:val="clear" w:color="auto" w:fill="D9D9D9"/>
            <w:vAlign w:val="center"/>
          </w:tcPr>
          <w:p w:rsidR="00553E4B" w:rsidRPr="00E3331A" w:rsidRDefault="00553E4B" w:rsidP="00493DDF">
            <w:pPr>
              <w:jc w:val="center"/>
              <w:rPr>
                <w:rFonts w:ascii="Arial Narrow" w:eastAsia="Arial" w:hAnsi="Arial Narrow"/>
                <w:b/>
                <w:sz w:val="20"/>
                <w:szCs w:val="20"/>
              </w:rPr>
            </w:pPr>
            <w:r w:rsidRPr="00E3331A">
              <w:rPr>
                <w:rFonts w:ascii="Arial Narrow" w:hAnsi="Arial Narrow"/>
                <w:b/>
                <w:sz w:val="20"/>
                <w:szCs w:val="20"/>
              </w:rPr>
              <w:t>Source</w:t>
            </w:r>
          </w:p>
        </w:tc>
        <w:tc>
          <w:tcPr>
            <w:tcW w:w="1508" w:type="dxa"/>
            <w:shd w:val="clear" w:color="auto" w:fill="D9D9D9"/>
            <w:vAlign w:val="center"/>
          </w:tcPr>
          <w:p w:rsidR="00553E4B" w:rsidRPr="00E3331A" w:rsidRDefault="00553E4B" w:rsidP="00493DDF">
            <w:pPr>
              <w:jc w:val="center"/>
              <w:rPr>
                <w:rFonts w:ascii="Arial Narrow" w:eastAsia="Arial" w:hAnsi="Arial Narrow"/>
                <w:b/>
                <w:sz w:val="20"/>
                <w:szCs w:val="20"/>
              </w:rPr>
            </w:pPr>
            <w:r w:rsidRPr="00E3331A">
              <w:rPr>
                <w:rFonts w:ascii="Arial Narrow" w:hAnsi="Arial Narrow"/>
                <w:b/>
                <w:sz w:val="20"/>
                <w:szCs w:val="20"/>
              </w:rPr>
              <w:t>Utility value</w:t>
            </w:r>
            <w:r w:rsidR="00896AC9" w:rsidRPr="00E3331A">
              <w:rPr>
                <w:rFonts w:ascii="Arial Narrow" w:hAnsi="Arial Narrow"/>
                <w:b/>
                <w:sz w:val="20"/>
                <w:szCs w:val="20"/>
              </w:rPr>
              <w:t>s</w:t>
            </w:r>
            <w:r w:rsidRPr="00E3331A">
              <w:rPr>
                <w:rFonts w:ascii="Arial Narrow" w:hAnsi="Arial Narrow"/>
                <w:b/>
                <w:sz w:val="20"/>
                <w:szCs w:val="20"/>
              </w:rPr>
              <w:t xml:space="preserve"> used in sensitivity analysis</w:t>
            </w:r>
          </w:p>
        </w:tc>
      </w:tr>
      <w:tr w:rsidR="008D0E46" w:rsidRPr="00E3331A" w:rsidTr="00464E0A">
        <w:trPr>
          <w:trHeight w:hRule="exact" w:val="1263"/>
        </w:trPr>
        <w:tc>
          <w:tcPr>
            <w:tcW w:w="1696" w:type="dxa"/>
            <w:vAlign w:val="center"/>
          </w:tcPr>
          <w:p w:rsidR="008D0E46" w:rsidRPr="00E3331A" w:rsidRDefault="008D0E46" w:rsidP="008D0E46">
            <w:pPr>
              <w:rPr>
                <w:rFonts w:ascii="Arial Narrow" w:eastAsia="Arial" w:hAnsi="Arial Narrow"/>
                <w:sz w:val="20"/>
                <w:szCs w:val="20"/>
              </w:rPr>
            </w:pPr>
            <w:r w:rsidRPr="00E3331A">
              <w:rPr>
                <w:rFonts w:ascii="Arial Narrow" w:hAnsi="Arial Narrow"/>
                <w:sz w:val="20"/>
                <w:szCs w:val="20"/>
                <w:lang w:val="en-US"/>
              </w:rPr>
              <w:t>Ig Initial Treatment</w:t>
            </w:r>
          </w:p>
        </w:tc>
        <w:tc>
          <w:tcPr>
            <w:tcW w:w="1134" w:type="dxa"/>
            <w:vAlign w:val="center"/>
          </w:tcPr>
          <w:p w:rsidR="008D0E46" w:rsidRPr="008D0E46" w:rsidRDefault="008D0E46" w:rsidP="008D0E46">
            <w:pPr>
              <w:jc w:val="center"/>
              <w:rPr>
                <w:rFonts w:ascii="Arial Narrow" w:eastAsia="Arial" w:hAnsi="Arial Narrow"/>
                <w:sz w:val="20"/>
                <w:szCs w:val="20"/>
              </w:rPr>
            </w:pPr>
            <w:r w:rsidRPr="00304276">
              <w:rPr>
                <w:rFonts w:ascii="Arial Narrow" w:eastAsia="Arial" w:hAnsi="Arial Narrow"/>
                <w:sz w:val="20"/>
                <w:szCs w:val="20"/>
              </w:rPr>
              <w:t>-0.120</w:t>
            </w:r>
          </w:p>
        </w:tc>
        <w:tc>
          <w:tcPr>
            <w:tcW w:w="2835" w:type="dxa"/>
            <w:vMerge w:val="restart"/>
            <w:vAlign w:val="center"/>
          </w:tcPr>
          <w:p w:rsidR="008D0E46" w:rsidRPr="00E3331A" w:rsidRDefault="008D0E46" w:rsidP="008D0E46">
            <w:pPr>
              <w:rPr>
                <w:rFonts w:ascii="Arial Narrow" w:eastAsia="Arial" w:hAnsi="Arial Narrow"/>
                <w:sz w:val="20"/>
                <w:szCs w:val="20"/>
              </w:rPr>
            </w:pPr>
            <w:r w:rsidRPr="00E3331A">
              <w:rPr>
                <w:rFonts w:ascii="Arial Narrow" w:eastAsia="Arial" w:hAnsi="Arial Narrow"/>
                <w:sz w:val="20"/>
                <w:szCs w:val="20"/>
              </w:rPr>
              <w:t xml:space="preserve">McCrone </w:t>
            </w:r>
            <w:r w:rsidR="00983BA7">
              <w:rPr>
                <w:rFonts w:ascii="Arial Narrow" w:eastAsia="Arial" w:hAnsi="Arial Narrow"/>
                <w:sz w:val="20"/>
                <w:szCs w:val="20"/>
              </w:rPr>
              <w:t xml:space="preserve">et al. </w:t>
            </w:r>
            <w:r w:rsidRPr="00E3331A">
              <w:rPr>
                <w:rFonts w:ascii="Arial Narrow" w:eastAsia="Arial" w:hAnsi="Arial Narrow"/>
                <w:sz w:val="20"/>
                <w:szCs w:val="20"/>
              </w:rPr>
              <w:t>(2004) reported these changes using changes in quality of life using the EuroQol EQ-5D instrument from the 6-week Hughes trial</w:t>
            </w:r>
          </w:p>
        </w:tc>
        <w:tc>
          <w:tcPr>
            <w:tcW w:w="1843" w:type="dxa"/>
            <w:vAlign w:val="center"/>
          </w:tcPr>
          <w:p w:rsidR="008D0E46" w:rsidRPr="00E3331A" w:rsidRDefault="008D0E46" w:rsidP="008D0E46">
            <w:pPr>
              <w:rPr>
                <w:rFonts w:ascii="Arial Narrow" w:eastAsia="Arial" w:hAnsi="Arial Narrow"/>
                <w:sz w:val="20"/>
                <w:szCs w:val="20"/>
              </w:rPr>
            </w:pPr>
            <w:r w:rsidRPr="00E3331A">
              <w:rPr>
                <w:rFonts w:ascii="Arial Narrow" w:eastAsia="Arial" w:hAnsi="Arial Narrow"/>
                <w:sz w:val="20"/>
                <w:szCs w:val="20"/>
              </w:rPr>
              <w:t xml:space="preserve">McCrone </w:t>
            </w:r>
            <w:r w:rsidR="00983BA7">
              <w:rPr>
                <w:rFonts w:ascii="Arial Narrow" w:eastAsia="Arial" w:hAnsi="Arial Narrow"/>
                <w:sz w:val="20"/>
                <w:szCs w:val="20"/>
              </w:rPr>
              <w:t xml:space="preserve">et al. </w:t>
            </w:r>
            <w:r w:rsidRPr="00E3331A">
              <w:rPr>
                <w:rFonts w:ascii="Arial Narrow" w:eastAsia="Arial" w:hAnsi="Arial Narrow"/>
                <w:sz w:val="20"/>
                <w:szCs w:val="20"/>
              </w:rPr>
              <w:t>(2003)</w:t>
            </w:r>
          </w:p>
        </w:tc>
        <w:tc>
          <w:tcPr>
            <w:tcW w:w="1508" w:type="dxa"/>
            <w:vAlign w:val="center"/>
          </w:tcPr>
          <w:p w:rsidR="008D0E46" w:rsidRPr="00E3331A" w:rsidRDefault="008D0E46" w:rsidP="008D0E46">
            <w:pPr>
              <w:jc w:val="center"/>
              <w:rPr>
                <w:rFonts w:ascii="Arial Narrow" w:eastAsia="Arial" w:hAnsi="Arial Narrow"/>
                <w:sz w:val="20"/>
                <w:szCs w:val="20"/>
              </w:rPr>
            </w:pPr>
            <w:r w:rsidRPr="00E3331A">
              <w:rPr>
                <w:rFonts w:ascii="Arial Narrow" w:hAnsi="Arial Narrow"/>
                <w:sz w:val="20"/>
                <w:szCs w:val="20"/>
              </w:rPr>
              <w:t>0/+10%</w:t>
            </w:r>
          </w:p>
        </w:tc>
      </w:tr>
      <w:tr w:rsidR="008D0E46" w:rsidRPr="00E3331A" w:rsidTr="00464E0A">
        <w:trPr>
          <w:trHeight w:hRule="exact" w:val="728"/>
        </w:trPr>
        <w:tc>
          <w:tcPr>
            <w:tcW w:w="1696" w:type="dxa"/>
            <w:vAlign w:val="center"/>
          </w:tcPr>
          <w:p w:rsidR="008D0E46" w:rsidRPr="00E3331A" w:rsidRDefault="008D0E46" w:rsidP="008D0E46">
            <w:pPr>
              <w:rPr>
                <w:rFonts w:ascii="Arial Narrow" w:eastAsia="Arial" w:hAnsi="Arial Narrow"/>
                <w:sz w:val="20"/>
                <w:szCs w:val="20"/>
              </w:rPr>
            </w:pPr>
            <w:r w:rsidRPr="00E3331A">
              <w:rPr>
                <w:rFonts w:ascii="Arial Narrow" w:hAnsi="Arial Narrow"/>
                <w:sz w:val="20"/>
                <w:szCs w:val="20"/>
                <w:lang w:val="en-US"/>
              </w:rPr>
              <w:t>Ig Responder</w:t>
            </w:r>
          </w:p>
        </w:tc>
        <w:tc>
          <w:tcPr>
            <w:tcW w:w="1134" w:type="dxa"/>
            <w:vAlign w:val="center"/>
          </w:tcPr>
          <w:p w:rsidR="008D0E46" w:rsidRPr="008D0E46" w:rsidRDefault="008D0E46" w:rsidP="008D0E46">
            <w:pPr>
              <w:jc w:val="center"/>
              <w:rPr>
                <w:rFonts w:ascii="Arial Narrow" w:eastAsia="Arial" w:hAnsi="Arial Narrow"/>
                <w:sz w:val="20"/>
                <w:szCs w:val="20"/>
              </w:rPr>
            </w:pPr>
            <w:r w:rsidRPr="00304276">
              <w:rPr>
                <w:rFonts w:ascii="Arial Narrow" w:eastAsia="Arial" w:hAnsi="Arial Narrow"/>
                <w:sz w:val="20"/>
                <w:szCs w:val="20"/>
              </w:rPr>
              <w:t>-0.120</w:t>
            </w:r>
          </w:p>
        </w:tc>
        <w:tc>
          <w:tcPr>
            <w:tcW w:w="2835" w:type="dxa"/>
            <w:vMerge/>
            <w:vAlign w:val="center"/>
          </w:tcPr>
          <w:p w:rsidR="008D0E46" w:rsidRPr="00E3331A" w:rsidRDefault="008D0E46" w:rsidP="008D0E46">
            <w:pPr>
              <w:rPr>
                <w:rFonts w:ascii="Arial Narrow" w:eastAsia="Arial" w:hAnsi="Arial Narrow"/>
                <w:sz w:val="20"/>
                <w:szCs w:val="20"/>
              </w:rPr>
            </w:pPr>
          </w:p>
        </w:tc>
        <w:tc>
          <w:tcPr>
            <w:tcW w:w="1843" w:type="dxa"/>
            <w:vAlign w:val="center"/>
          </w:tcPr>
          <w:p w:rsidR="008D0E46" w:rsidRPr="00E3331A" w:rsidRDefault="008D0E46" w:rsidP="008D0E46">
            <w:pPr>
              <w:rPr>
                <w:rFonts w:ascii="Arial Narrow" w:eastAsia="Arial" w:hAnsi="Arial Narrow"/>
                <w:sz w:val="20"/>
                <w:szCs w:val="20"/>
              </w:rPr>
            </w:pPr>
            <w:r w:rsidRPr="00E3331A">
              <w:rPr>
                <w:rFonts w:ascii="Arial Narrow" w:eastAsia="Arial" w:hAnsi="Arial Narrow"/>
                <w:sz w:val="20"/>
                <w:szCs w:val="20"/>
              </w:rPr>
              <w:t xml:space="preserve">McCrone </w:t>
            </w:r>
            <w:r w:rsidR="00983BA7">
              <w:rPr>
                <w:rFonts w:ascii="Arial Narrow" w:eastAsia="Arial" w:hAnsi="Arial Narrow"/>
                <w:sz w:val="20"/>
                <w:szCs w:val="20"/>
              </w:rPr>
              <w:t xml:space="preserve">et al. </w:t>
            </w:r>
            <w:r w:rsidRPr="00E3331A">
              <w:rPr>
                <w:rFonts w:ascii="Arial Narrow" w:eastAsia="Arial" w:hAnsi="Arial Narrow"/>
                <w:sz w:val="20"/>
                <w:szCs w:val="20"/>
              </w:rPr>
              <w:t>(2003)</w:t>
            </w:r>
          </w:p>
        </w:tc>
        <w:tc>
          <w:tcPr>
            <w:tcW w:w="1508" w:type="dxa"/>
            <w:vAlign w:val="center"/>
          </w:tcPr>
          <w:p w:rsidR="008D0E46" w:rsidRPr="00E3331A" w:rsidRDefault="008D0E46" w:rsidP="008D0E46">
            <w:pPr>
              <w:jc w:val="center"/>
              <w:rPr>
                <w:rFonts w:ascii="Arial Narrow" w:eastAsia="Arial" w:hAnsi="Arial Narrow"/>
                <w:sz w:val="20"/>
                <w:szCs w:val="20"/>
              </w:rPr>
            </w:pPr>
            <w:r w:rsidRPr="00E3331A">
              <w:rPr>
                <w:rFonts w:ascii="Arial Narrow" w:hAnsi="Arial Narrow"/>
                <w:sz w:val="20"/>
                <w:szCs w:val="20"/>
              </w:rPr>
              <w:t>0/+10%</w:t>
            </w:r>
          </w:p>
        </w:tc>
      </w:tr>
      <w:tr w:rsidR="008D0E46" w:rsidRPr="00E3331A" w:rsidTr="00464E0A">
        <w:trPr>
          <w:trHeight w:hRule="exact" w:val="993"/>
        </w:trPr>
        <w:tc>
          <w:tcPr>
            <w:tcW w:w="1696" w:type="dxa"/>
            <w:vAlign w:val="center"/>
          </w:tcPr>
          <w:p w:rsidR="008D0E46" w:rsidRPr="00E3331A" w:rsidRDefault="008D0E46" w:rsidP="008D0E46">
            <w:pPr>
              <w:rPr>
                <w:rFonts w:ascii="Arial Narrow" w:hAnsi="Arial Narrow"/>
                <w:sz w:val="20"/>
                <w:szCs w:val="20"/>
                <w:lang w:val="en-US"/>
              </w:rPr>
            </w:pPr>
            <w:r w:rsidRPr="00E3331A">
              <w:rPr>
                <w:rFonts w:ascii="Arial Narrow" w:hAnsi="Arial Narrow"/>
                <w:sz w:val="20"/>
                <w:szCs w:val="20"/>
                <w:lang w:val="en-US"/>
              </w:rPr>
              <w:t xml:space="preserve">Corticosteroids </w:t>
            </w:r>
          </w:p>
          <w:p w:rsidR="008D0E46" w:rsidRPr="00E3331A" w:rsidRDefault="008D0E46" w:rsidP="008D0E46">
            <w:pPr>
              <w:rPr>
                <w:rFonts w:ascii="Arial Narrow" w:eastAsia="Arial" w:hAnsi="Arial Narrow"/>
                <w:sz w:val="20"/>
                <w:szCs w:val="20"/>
              </w:rPr>
            </w:pPr>
            <w:r w:rsidRPr="00E3331A">
              <w:rPr>
                <w:rFonts w:ascii="Arial Narrow" w:hAnsi="Arial Narrow"/>
                <w:sz w:val="20"/>
                <w:szCs w:val="20"/>
                <w:lang w:val="en-US"/>
              </w:rPr>
              <w:t>(no adverse events)</w:t>
            </w:r>
          </w:p>
        </w:tc>
        <w:tc>
          <w:tcPr>
            <w:tcW w:w="1134" w:type="dxa"/>
            <w:vAlign w:val="center"/>
          </w:tcPr>
          <w:p w:rsidR="008D0E46" w:rsidRPr="008D0E46" w:rsidRDefault="008D0E46" w:rsidP="008D0E46">
            <w:pPr>
              <w:jc w:val="center"/>
              <w:rPr>
                <w:rFonts w:ascii="Arial Narrow" w:eastAsia="Arial" w:hAnsi="Arial Narrow"/>
                <w:sz w:val="20"/>
                <w:szCs w:val="20"/>
              </w:rPr>
            </w:pPr>
            <w:r w:rsidRPr="00304276">
              <w:rPr>
                <w:rFonts w:ascii="Arial Narrow" w:eastAsia="Arial" w:hAnsi="Arial Narrow"/>
                <w:sz w:val="20"/>
                <w:szCs w:val="20"/>
              </w:rPr>
              <w:t>-0.240</w:t>
            </w:r>
          </w:p>
        </w:tc>
        <w:tc>
          <w:tcPr>
            <w:tcW w:w="2835" w:type="dxa"/>
            <w:vAlign w:val="center"/>
          </w:tcPr>
          <w:p w:rsidR="008D0E46" w:rsidRPr="00E3331A" w:rsidRDefault="008D0E46" w:rsidP="008D0E46">
            <w:pPr>
              <w:rPr>
                <w:rFonts w:ascii="Arial Narrow" w:eastAsia="Arial" w:hAnsi="Arial Narrow"/>
                <w:sz w:val="20"/>
                <w:szCs w:val="20"/>
              </w:rPr>
            </w:pPr>
            <w:r w:rsidRPr="00E3331A">
              <w:rPr>
                <w:rFonts w:ascii="Arial Narrow" w:eastAsia="Arial" w:hAnsi="Arial Narrow"/>
                <w:sz w:val="20"/>
                <w:szCs w:val="20"/>
              </w:rPr>
              <w:t>Cross-sectional analysis from the south-east of England</w:t>
            </w:r>
          </w:p>
        </w:tc>
        <w:tc>
          <w:tcPr>
            <w:tcW w:w="1843" w:type="dxa"/>
            <w:vAlign w:val="center"/>
          </w:tcPr>
          <w:p w:rsidR="008D0E46" w:rsidRPr="00E3331A" w:rsidRDefault="008D0E46" w:rsidP="008D0E46">
            <w:pPr>
              <w:rPr>
                <w:rFonts w:ascii="Arial Narrow" w:eastAsia="Arial" w:hAnsi="Arial Narrow"/>
                <w:sz w:val="20"/>
                <w:szCs w:val="20"/>
              </w:rPr>
            </w:pPr>
            <w:r w:rsidRPr="00E3331A">
              <w:rPr>
                <w:rFonts w:ascii="Arial Narrow" w:eastAsia="Arial" w:hAnsi="Arial Narrow"/>
                <w:sz w:val="20"/>
                <w:szCs w:val="20"/>
              </w:rPr>
              <w:t xml:space="preserve">Mahdi-Rogers </w:t>
            </w:r>
            <w:r w:rsidR="00983BA7">
              <w:rPr>
                <w:rFonts w:ascii="Arial Narrow" w:eastAsia="Arial" w:hAnsi="Arial Narrow"/>
                <w:sz w:val="20"/>
                <w:szCs w:val="20"/>
              </w:rPr>
              <w:t xml:space="preserve">et al. </w:t>
            </w:r>
            <w:r w:rsidRPr="00E3331A">
              <w:rPr>
                <w:rFonts w:ascii="Arial Narrow" w:eastAsia="Arial" w:hAnsi="Arial Narrow"/>
                <w:sz w:val="20"/>
                <w:szCs w:val="20"/>
              </w:rPr>
              <w:t xml:space="preserve">(2014) </w:t>
            </w:r>
          </w:p>
        </w:tc>
        <w:tc>
          <w:tcPr>
            <w:tcW w:w="1508" w:type="dxa"/>
            <w:vAlign w:val="center"/>
          </w:tcPr>
          <w:p w:rsidR="008D0E46" w:rsidRPr="00E3331A" w:rsidRDefault="008D0E46" w:rsidP="008D0E46">
            <w:pPr>
              <w:jc w:val="center"/>
              <w:rPr>
                <w:rFonts w:ascii="Arial Narrow" w:eastAsia="Arial" w:hAnsi="Arial Narrow"/>
                <w:sz w:val="20"/>
                <w:szCs w:val="20"/>
              </w:rPr>
            </w:pPr>
            <w:r w:rsidRPr="00E3331A">
              <w:rPr>
                <w:rFonts w:ascii="Arial Narrow" w:hAnsi="Arial Narrow"/>
                <w:sz w:val="20"/>
                <w:szCs w:val="20"/>
              </w:rPr>
              <w:t>0/+10%</w:t>
            </w:r>
          </w:p>
        </w:tc>
      </w:tr>
      <w:tr w:rsidR="008D0E46" w:rsidRPr="00E3331A" w:rsidTr="00464E0A">
        <w:trPr>
          <w:trHeight w:hRule="exact" w:val="838"/>
        </w:trPr>
        <w:tc>
          <w:tcPr>
            <w:tcW w:w="1696" w:type="dxa"/>
            <w:vAlign w:val="center"/>
          </w:tcPr>
          <w:p w:rsidR="008D0E46" w:rsidRPr="00E3331A" w:rsidRDefault="008D0E46" w:rsidP="008D0E46">
            <w:pPr>
              <w:rPr>
                <w:rFonts w:ascii="Arial Narrow" w:hAnsi="Arial Narrow"/>
                <w:sz w:val="20"/>
                <w:szCs w:val="20"/>
                <w:lang w:val="en-US"/>
              </w:rPr>
            </w:pPr>
            <w:r w:rsidRPr="008448F4">
              <w:rPr>
                <w:rFonts w:ascii="Arial Narrow" w:hAnsi="Arial Narrow"/>
                <w:sz w:val="20"/>
                <w:szCs w:val="20"/>
                <w:lang w:val="en-US"/>
              </w:rPr>
              <w:t xml:space="preserve">Corticosteroids </w:t>
            </w:r>
            <w:r>
              <w:rPr>
                <w:rFonts w:ascii="Arial Narrow" w:hAnsi="Arial Narrow"/>
                <w:sz w:val="20"/>
                <w:szCs w:val="20"/>
                <w:lang w:val="en-US"/>
              </w:rPr>
              <w:t>Non-Response + A</w:t>
            </w:r>
            <w:r w:rsidRPr="008448F4">
              <w:rPr>
                <w:rFonts w:ascii="Arial Narrow" w:hAnsi="Arial Narrow"/>
                <w:sz w:val="20"/>
                <w:szCs w:val="20"/>
                <w:lang w:val="en-US"/>
              </w:rPr>
              <w:t>zathioprine</w:t>
            </w:r>
          </w:p>
        </w:tc>
        <w:tc>
          <w:tcPr>
            <w:tcW w:w="1134" w:type="dxa"/>
            <w:vAlign w:val="center"/>
          </w:tcPr>
          <w:p w:rsidR="008D0E46" w:rsidRPr="008D0E46" w:rsidRDefault="008D0E46" w:rsidP="008D0E46">
            <w:pPr>
              <w:jc w:val="center"/>
              <w:rPr>
                <w:rFonts w:ascii="Arial Narrow" w:eastAsia="Arial" w:hAnsi="Arial Narrow"/>
                <w:sz w:val="20"/>
                <w:szCs w:val="20"/>
              </w:rPr>
            </w:pPr>
            <w:r w:rsidRPr="00304276">
              <w:rPr>
                <w:rFonts w:ascii="Arial Narrow" w:eastAsia="Arial" w:hAnsi="Arial Narrow"/>
                <w:sz w:val="20"/>
                <w:szCs w:val="20"/>
              </w:rPr>
              <w:t>-0.240</w:t>
            </w:r>
          </w:p>
        </w:tc>
        <w:tc>
          <w:tcPr>
            <w:tcW w:w="2835" w:type="dxa"/>
            <w:vAlign w:val="center"/>
          </w:tcPr>
          <w:p w:rsidR="008D0E46" w:rsidRPr="00E3331A" w:rsidRDefault="008D0E46" w:rsidP="008D0E46">
            <w:pPr>
              <w:rPr>
                <w:rFonts w:ascii="Arial Narrow" w:eastAsia="Arial" w:hAnsi="Arial Narrow"/>
                <w:sz w:val="20"/>
                <w:szCs w:val="20"/>
              </w:rPr>
            </w:pPr>
            <w:r w:rsidRPr="00E3331A">
              <w:rPr>
                <w:rFonts w:ascii="Arial Narrow" w:eastAsia="Arial" w:hAnsi="Arial Narrow"/>
                <w:sz w:val="20"/>
                <w:szCs w:val="20"/>
              </w:rPr>
              <w:t xml:space="preserve">Assumed to be the same as steroid responder </w:t>
            </w:r>
          </w:p>
        </w:tc>
        <w:tc>
          <w:tcPr>
            <w:tcW w:w="1843" w:type="dxa"/>
            <w:vAlign w:val="center"/>
          </w:tcPr>
          <w:p w:rsidR="008D0E46" w:rsidRPr="00E3331A" w:rsidRDefault="008D0E46" w:rsidP="008D0E46">
            <w:pPr>
              <w:rPr>
                <w:rFonts w:ascii="Arial Narrow" w:eastAsia="Arial" w:hAnsi="Arial Narrow"/>
                <w:sz w:val="20"/>
                <w:szCs w:val="20"/>
              </w:rPr>
            </w:pPr>
            <w:r w:rsidRPr="00E3331A">
              <w:rPr>
                <w:rFonts w:ascii="Arial Narrow" w:eastAsia="Arial" w:hAnsi="Arial Narrow"/>
                <w:sz w:val="20"/>
                <w:szCs w:val="20"/>
              </w:rPr>
              <w:t>Study Assumption</w:t>
            </w:r>
          </w:p>
        </w:tc>
        <w:tc>
          <w:tcPr>
            <w:tcW w:w="1508" w:type="dxa"/>
            <w:vAlign w:val="center"/>
          </w:tcPr>
          <w:p w:rsidR="008D0E46" w:rsidRPr="00E3331A" w:rsidRDefault="008D0E46" w:rsidP="008D0E46">
            <w:pPr>
              <w:jc w:val="center"/>
              <w:rPr>
                <w:rFonts w:ascii="Arial Narrow" w:hAnsi="Arial Narrow"/>
                <w:sz w:val="20"/>
                <w:szCs w:val="20"/>
              </w:rPr>
            </w:pPr>
            <w:r w:rsidRPr="00E3331A">
              <w:rPr>
                <w:rFonts w:ascii="Arial Narrow" w:hAnsi="Arial Narrow"/>
                <w:sz w:val="20"/>
              </w:rPr>
              <w:t xml:space="preserve">0/+10%. </w:t>
            </w:r>
          </w:p>
        </w:tc>
      </w:tr>
      <w:tr w:rsidR="008D0E46" w:rsidRPr="00E3331A" w:rsidTr="00464E0A">
        <w:trPr>
          <w:trHeight w:hRule="exact" w:val="1494"/>
        </w:trPr>
        <w:tc>
          <w:tcPr>
            <w:tcW w:w="1696" w:type="dxa"/>
            <w:vAlign w:val="center"/>
          </w:tcPr>
          <w:p w:rsidR="008D0E46" w:rsidRPr="00E3331A" w:rsidRDefault="008D0E46" w:rsidP="008D0E46">
            <w:pPr>
              <w:spacing w:after="0" w:line="240" w:lineRule="auto"/>
              <w:rPr>
                <w:rFonts w:ascii="Arial Narrow" w:eastAsia="Arial" w:hAnsi="Arial Narrow"/>
                <w:sz w:val="20"/>
                <w:szCs w:val="20"/>
              </w:rPr>
            </w:pPr>
            <w:r w:rsidRPr="00E3331A">
              <w:rPr>
                <w:rFonts w:ascii="Arial Narrow" w:hAnsi="Arial Narrow"/>
                <w:sz w:val="20"/>
                <w:szCs w:val="20"/>
                <w:lang w:val="en-US"/>
              </w:rPr>
              <w:t>Fracture</w:t>
            </w:r>
          </w:p>
        </w:tc>
        <w:tc>
          <w:tcPr>
            <w:tcW w:w="1134" w:type="dxa"/>
            <w:vAlign w:val="center"/>
          </w:tcPr>
          <w:p w:rsidR="008D0E46" w:rsidRPr="008D0E46" w:rsidRDefault="008D0E46" w:rsidP="008D0E46">
            <w:pPr>
              <w:spacing w:after="0" w:line="240" w:lineRule="auto"/>
              <w:jc w:val="center"/>
              <w:rPr>
                <w:rFonts w:ascii="Arial Narrow" w:eastAsia="Arial" w:hAnsi="Arial Narrow"/>
                <w:sz w:val="20"/>
                <w:szCs w:val="20"/>
              </w:rPr>
            </w:pPr>
            <w:r w:rsidRPr="00304276">
              <w:rPr>
                <w:rFonts w:ascii="Arial Narrow" w:eastAsia="Arial" w:hAnsi="Arial Narrow"/>
                <w:sz w:val="20"/>
                <w:szCs w:val="20"/>
              </w:rPr>
              <w:t>-0.377</w:t>
            </w:r>
          </w:p>
        </w:tc>
        <w:tc>
          <w:tcPr>
            <w:tcW w:w="2835" w:type="dxa"/>
            <w:vAlign w:val="center"/>
          </w:tcPr>
          <w:p w:rsidR="008D0E46" w:rsidRPr="00E3331A" w:rsidRDefault="008D0E46" w:rsidP="008D0E46">
            <w:pPr>
              <w:spacing w:after="0" w:line="240" w:lineRule="auto"/>
              <w:rPr>
                <w:rFonts w:ascii="Arial Narrow" w:eastAsia="Arial" w:hAnsi="Arial Narrow"/>
                <w:sz w:val="20"/>
                <w:szCs w:val="20"/>
              </w:rPr>
            </w:pPr>
            <w:r w:rsidRPr="00E3331A">
              <w:rPr>
                <w:rFonts w:ascii="Arial Narrow" w:eastAsia="Arial" w:hAnsi="Arial Narrow"/>
                <w:sz w:val="20"/>
                <w:szCs w:val="20"/>
              </w:rPr>
              <w:t>The non-hip fracture multiplier of 0.84 was applied to a general population utility of 0.85 and added to steroid disutility.</w:t>
            </w:r>
          </w:p>
        </w:tc>
        <w:tc>
          <w:tcPr>
            <w:tcW w:w="1843" w:type="dxa"/>
            <w:vAlign w:val="center"/>
          </w:tcPr>
          <w:p w:rsidR="008D0E46" w:rsidRPr="00E3331A" w:rsidRDefault="008D0E46" w:rsidP="008D0E46">
            <w:pPr>
              <w:rPr>
                <w:rFonts w:ascii="Arial Narrow" w:eastAsia="Arial" w:hAnsi="Arial Narrow"/>
                <w:sz w:val="20"/>
                <w:szCs w:val="20"/>
              </w:rPr>
            </w:pPr>
            <w:r w:rsidRPr="00E3331A">
              <w:rPr>
                <w:rFonts w:ascii="Arial Narrow" w:eastAsia="Arial" w:hAnsi="Arial Narrow"/>
                <w:sz w:val="20"/>
                <w:szCs w:val="20"/>
              </w:rPr>
              <w:t xml:space="preserve">Karnon </w:t>
            </w:r>
            <w:r w:rsidR="00983BA7">
              <w:rPr>
                <w:rFonts w:ascii="Arial Narrow" w:eastAsia="Arial" w:hAnsi="Arial Narrow"/>
                <w:sz w:val="20"/>
                <w:szCs w:val="20"/>
              </w:rPr>
              <w:t xml:space="preserve">et al. </w:t>
            </w:r>
            <w:r w:rsidRPr="00E3331A">
              <w:rPr>
                <w:rFonts w:ascii="Arial Narrow" w:eastAsia="Arial" w:hAnsi="Arial Narrow"/>
                <w:sz w:val="20"/>
                <w:szCs w:val="20"/>
              </w:rPr>
              <w:t>(2016)</w:t>
            </w:r>
          </w:p>
        </w:tc>
        <w:tc>
          <w:tcPr>
            <w:tcW w:w="1508" w:type="dxa"/>
            <w:vAlign w:val="center"/>
          </w:tcPr>
          <w:p w:rsidR="008D0E46" w:rsidRPr="00E3331A" w:rsidRDefault="008D0E46" w:rsidP="008D0E46">
            <w:pPr>
              <w:jc w:val="center"/>
              <w:rPr>
                <w:rFonts w:ascii="Arial Narrow" w:eastAsia="Arial" w:hAnsi="Arial Narrow"/>
                <w:sz w:val="20"/>
                <w:szCs w:val="20"/>
              </w:rPr>
            </w:pPr>
            <w:r w:rsidRPr="00E3331A">
              <w:rPr>
                <w:rFonts w:ascii="Arial Narrow" w:hAnsi="Arial Narrow"/>
                <w:sz w:val="20"/>
              </w:rPr>
              <w:t xml:space="preserve">0/+10%. </w:t>
            </w:r>
          </w:p>
        </w:tc>
      </w:tr>
      <w:tr w:rsidR="008D0E46" w:rsidRPr="00E3331A" w:rsidTr="00464E0A">
        <w:trPr>
          <w:trHeight w:hRule="exact" w:val="1754"/>
        </w:trPr>
        <w:tc>
          <w:tcPr>
            <w:tcW w:w="1696" w:type="dxa"/>
            <w:vAlign w:val="center"/>
          </w:tcPr>
          <w:p w:rsidR="008D0E46" w:rsidRPr="00E3331A" w:rsidRDefault="008D0E46" w:rsidP="008D0E46">
            <w:pPr>
              <w:spacing w:after="0" w:line="240" w:lineRule="auto"/>
              <w:rPr>
                <w:rFonts w:ascii="Arial Narrow" w:hAnsi="Arial Narrow"/>
                <w:sz w:val="20"/>
                <w:szCs w:val="20"/>
                <w:lang w:val="en-US"/>
              </w:rPr>
            </w:pPr>
            <w:r w:rsidRPr="00E3331A">
              <w:rPr>
                <w:rFonts w:ascii="Arial Narrow" w:hAnsi="Arial Narrow"/>
                <w:sz w:val="20"/>
                <w:szCs w:val="20"/>
                <w:lang w:val="en-US"/>
              </w:rPr>
              <w:t>Diabetes</w:t>
            </w:r>
          </w:p>
        </w:tc>
        <w:tc>
          <w:tcPr>
            <w:tcW w:w="1134" w:type="dxa"/>
            <w:vAlign w:val="center"/>
          </w:tcPr>
          <w:p w:rsidR="008D0E46" w:rsidRPr="008D0E46" w:rsidRDefault="008D0E46" w:rsidP="008D0E46">
            <w:pPr>
              <w:spacing w:after="0" w:line="240" w:lineRule="auto"/>
              <w:jc w:val="center"/>
              <w:rPr>
                <w:rFonts w:ascii="Arial Narrow" w:eastAsia="Arial" w:hAnsi="Arial Narrow"/>
                <w:sz w:val="20"/>
                <w:szCs w:val="20"/>
              </w:rPr>
            </w:pPr>
            <w:r w:rsidRPr="00304276">
              <w:rPr>
                <w:rFonts w:ascii="Arial Narrow" w:eastAsia="Arial" w:hAnsi="Arial Narrow"/>
                <w:sz w:val="20"/>
                <w:szCs w:val="20"/>
              </w:rPr>
              <w:t>-0.240</w:t>
            </w:r>
          </w:p>
        </w:tc>
        <w:tc>
          <w:tcPr>
            <w:tcW w:w="2835" w:type="dxa"/>
            <w:vAlign w:val="center"/>
          </w:tcPr>
          <w:p w:rsidR="008D0E46" w:rsidRPr="00E3331A" w:rsidRDefault="008D0E46" w:rsidP="008D0E46">
            <w:pPr>
              <w:spacing w:after="0" w:line="240" w:lineRule="auto"/>
              <w:rPr>
                <w:rFonts w:ascii="Arial Narrow" w:eastAsia="Arial" w:hAnsi="Arial Narrow"/>
                <w:sz w:val="20"/>
                <w:szCs w:val="20"/>
              </w:rPr>
            </w:pPr>
            <w:r w:rsidRPr="00E3331A">
              <w:rPr>
                <w:rFonts w:ascii="Arial Narrow" w:eastAsia="Arial" w:hAnsi="Arial Narrow"/>
                <w:sz w:val="20"/>
                <w:szCs w:val="20"/>
              </w:rPr>
              <w:t xml:space="preserve">The disutility in the Canadian model is added too steroid CIDP patient disutility. The lower value -0.000160 from the Canadian study is combined with steroid disutility to generate a disutility of -0.240160 </w:t>
            </w:r>
          </w:p>
        </w:tc>
        <w:tc>
          <w:tcPr>
            <w:tcW w:w="1843" w:type="dxa"/>
            <w:vAlign w:val="center"/>
          </w:tcPr>
          <w:p w:rsidR="008D0E46" w:rsidRPr="00E3331A" w:rsidRDefault="008D0E46" w:rsidP="008D0E46">
            <w:pPr>
              <w:rPr>
                <w:rFonts w:ascii="Arial Narrow" w:eastAsia="Arial" w:hAnsi="Arial Narrow"/>
                <w:sz w:val="20"/>
                <w:szCs w:val="20"/>
              </w:rPr>
            </w:pPr>
            <w:r w:rsidRPr="00E3331A">
              <w:rPr>
                <w:rFonts w:ascii="Arial Narrow" w:eastAsia="Arial" w:hAnsi="Arial Narrow"/>
                <w:sz w:val="20"/>
                <w:szCs w:val="20"/>
              </w:rPr>
              <w:t xml:space="preserve">Blackhouse </w:t>
            </w:r>
            <w:r w:rsidR="00983BA7">
              <w:rPr>
                <w:rFonts w:ascii="Arial Narrow" w:eastAsia="Arial" w:hAnsi="Arial Narrow"/>
                <w:sz w:val="20"/>
                <w:szCs w:val="20"/>
              </w:rPr>
              <w:t xml:space="preserve">et al. </w:t>
            </w:r>
            <w:r w:rsidRPr="00E3331A">
              <w:rPr>
                <w:rFonts w:ascii="Arial Narrow" w:eastAsia="Arial" w:hAnsi="Arial Narrow"/>
                <w:sz w:val="20"/>
                <w:szCs w:val="20"/>
              </w:rPr>
              <w:t>(2010) disutilities for steroid AEs</w:t>
            </w:r>
          </w:p>
        </w:tc>
        <w:tc>
          <w:tcPr>
            <w:tcW w:w="1508" w:type="dxa"/>
            <w:vAlign w:val="center"/>
          </w:tcPr>
          <w:p w:rsidR="008D0E46" w:rsidRPr="00E3331A" w:rsidRDefault="008D0E46" w:rsidP="008D0E46">
            <w:pPr>
              <w:jc w:val="center"/>
              <w:rPr>
                <w:rFonts w:ascii="Arial Narrow" w:hAnsi="Arial Narrow"/>
                <w:sz w:val="20"/>
                <w:szCs w:val="20"/>
              </w:rPr>
            </w:pPr>
            <w:r w:rsidRPr="00E3331A">
              <w:rPr>
                <w:rFonts w:ascii="Arial Narrow" w:hAnsi="Arial Narrow"/>
                <w:sz w:val="20"/>
              </w:rPr>
              <w:t xml:space="preserve">0/+10%. </w:t>
            </w:r>
          </w:p>
        </w:tc>
      </w:tr>
      <w:tr w:rsidR="008D0E46" w:rsidRPr="00E3331A" w:rsidTr="00716127">
        <w:trPr>
          <w:trHeight w:hRule="exact" w:val="1281"/>
        </w:trPr>
        <w:tc>
          <w:tcPr>
            <w:tcW w:w="1696" w:type="dxa"/>
            <w:vAlign w:val="center"/>
          </w:tcPr>
          <w:p w:rsidR="008D0E46" w:rsidRPr="00E3331A" w:rsidRDefault="008D0E46" w:rsidP="008D0E46">
            <w:pPr>
              <w:spacing w:after="0" w:line="240" w:lineRule="auto"/>
              <w:rPr>
                <w:rFonts w:ascii="Arial Narrow" w:hAnsi="Arial Narrow"/>
                <w:sz w:val="20"/>
                <w:szCs w:val="20"/>
                <w:lang w:val="en-US"/>
              </w:rPr>
            </w:pPr>
            <w:r w:rsidRPr="00E3331A">
              <w:rPr>
                <w:rFonts w:ascii="Arial Narrow" w:hAnsi="Arial Narrow"/>
                <w:sz w:val="20"/>
                <w:szCs w:val="20"/>
                <w:lang w:val="en-US"/>
              </w:rPr>
              <w:t>Glaucoma</w:t>
            </w:r>
          </w:p>
        </w:tc>
        <w:tc>
          <w:tcPr>
            <w:tcW w:w="1134" w:type="dxa"/>
            <w:vAlign w:val="center"/>
          </w:tcPr>
          <w:p w:rsidR="008D0E46" w:rsidRPr="008D0E46" w:rsidRDefault="008D0E46" w:rsidP="008D0E46">
            <w:pPr>
              <w:spacing w:after="0" w:line="240" w:lineRule="auto"/>
              <w:jc w:val="center"/>
              <w:rPr>
                <w:rFonts w:ascii="Arial Narrow" w:eastAsia="Arial" w:hAnsi="Arial Narrow"/>
                <w:sz w:val="20"/>
                <w:szCs w:val="20"/>
              </w:rPr>
            </w:pPr>
            <w:r w:rsidRPr="00304276">
              <w:rPr>
                <w:rFonts w:ascii="Arial Narrow" w:eastAsia="Arial" w:hAnsi="Arial Narrow"/>
                <w:sz w:val="20"/>
                <w:szCs w:val="20"/>
              </w:rPr>
              <w:t>-0.301</w:t>
            </w:r>
          </w:p>
        </w:tc>
        <w:tc>
          <w:tcPr>
            <w:tcW w:w="2835" w:type="dxa"/>
            <w:vAlign w:val="center"/>
          </w:tcPr>
          <w:p w:rsidR="008D0E46" w:rsidRPr="00E3331A" w:rsidRDefault="008D0E46" w:rsidP="008D0E46">
            <w:pPr>
              <w:spacing w:after="0" w:line="240" w:lineRule="auto"/>
              <w:rPr>
                <w:rFonts w:ascii="Arial Narrow" w:eastAsia="Arial" w:hAnsi="Arial Narrow"/>
                <w:sz w:val="20"/>
                <w:szCs w:val="20"/>
              </w:rPr>
            </w:pPr>
            <w:r w:rsidRPr="00E3331A">
              <w:rPr>
                <w:rFonts w:ascii="Arial Narrow" w:eastAsia="Arial" w:hAnsi="Arial Narrow"/>
                <w:sz w:val="20"/>
                <w:szCs w:val="20"/>
              </w:rPr>
              <w:t xml:space="preserve">Blackhouse </w:t>
            </w:r>
            <w:r w:rsidR="00983BA7">
              <w:rPr>
                <w:rFonts w:ascii="Arial Narrow" w:eastAsia="Arial" w:hAnsi="Arial Narrow"/>
                <w:sz w:val="20"/>
                <w:szCs w:val="20"/>
              </w:rPr>
              <w:t xml:space="preserve">et al. </w:t>
            </w:r>
            <w:r w:rsidRPr="00E3331A">
              <w:rPr>
                <w:rFonts w:ascii="Arial Narrow" w:eastAsia="Arial" w:hAnsi="Arial Narrow"/>
                <w:sz w:val="20"/>
                <w:szCs w:val="20"/>
              </w:rPr>
              <w:t xml:space="preserve">(2010) disutilities for steroid AEs of 0.061. It is added to steroid disutility </w:t>
            </w:r>
          </w:p>
        </w:tc>
        <w:tc>
          <w:tcPr>
            <w:tcW w:w="1843" w:type="dxa"/>
            <w:vAlign w:val="center"/>
          </w:tcPr>
          <w:p w:rsidR="008D0E46" w:rsidRPr="00E3331A" w:rsidRDefault="008D0E46" w:rsidP="008D0E46">
            <w:pPr>
              <w:rPr>
                <w:rFonts w:ascii="Arial Narrow" w:eastAsia="Arial" w:hAnsi="Arial Narrow"/>
                <w:sz w:val="20"/>
                <w:szCs w:val="20"/>
              </w:rPr>
            </w:pPr>
            <w:r w:rsidRPr="00E3331A">
              <w:rPr>
                <w:rFonts w:ascii="Arial Narrow" w:eastAsia="Arial" w:hAnsi="Arial Narrow"/>
                <w:sz w:val="20"/>
                <w:szCs w:val="20"/>
              </w:rPr>
              <w:t xml:space="preserve">Blackhouse </w:t>
            </w:r>
            <w:r w:rsidR="00983BA7">
              <w:rPr>
                <w:rFonts w:ascii="Arial Narrow" w:eastAsia="Arial" w:hAnsi="Arial Narrow"/>
                <w:sz w:val="20"/>
                <w:szCs w:val="20"/>
              </w:rPr>
              <w:t xml:space="preserve">et al. </w:t>
            </w:r>
            <w:r w:rsidRPr="00E3331A">
              <w:rPr>
                <w:rFonts w:ascii="Arial Narrow" w:eastAsia="Arial" w:hAnsi="Arial Narrow"/>
                <w:sz w:val="20"/>
                <w:szCs w:val="20"/>
              </w:rPr>
              <w:t xml:space="preserve">(2010) </w:t>
            </w:r>
          </w:p>
        </w:tc>
        <w:tc>
          <w:tcPr>
            <w:tcW w:w="1508" w:type="dxa"/>
            <w:vAlign w:val="center"/>
          </w:tcPr>
          <w:p w:rsidR="008D0E46" w:rsidRPr="00E3331A" w:rsidRDefault="008D0E46" w:rsidP="008D0E46">
            <w:pPr>
              <w:jc w:val="center"/>
              <w:rPr>
                <w:rFonts w:ascii="Arial Narrow" w:hAnsi="Arial Narrow"/>
                <w:sz w:val="20"/>
                <w:szCs w:val="20"/>
              </w:rPr>
            </w:pPr>
            <w:r w:rsidRPr="00E3331A">
              <w:rPr>
                <w:rFonts w:ascii="Arial Narrow" w:hAnsi="Arial Narrow"/>
                <w:sz w:val="20"/>
              </w:rPr>
              <w:t xml:space="preserve">0/+10%. </w:t>
            </w:r>
          </w:p>
        </w:tc>
      </w:tr>
      <w:tr w:rsidR="008D0E46" w:rsidRPr="00E3331A" w:rsidTr="00716127">
        <w:trPr>
          <w:trHeight w:hRule="exact" w:val="1002"/>
        </w:trPr>
        <w:tc>
          <w:tcPr>
            <w:tcW w:w="1696" w:type="dxa"/>
            <w:vAlign w:val="center"/>
          </w:tcPr>
          <w:p w:rsidR="008D0E46" w:rsidRPr="00E3331A" w:rsidRDefault="008D0E46" w:rsidP="008D0E46">
            <w:pPr>
              <w:spacing w:after="0" w:line="240" w:lineRule="auto"/>
              <w:rPr>
                <w:rFonts w:ascii="Arial Narrow" w:hAnsi="Arial Narrow"/>
                <w:sz w:val="20"/>
                <w:szCs w:val="20"/>
                <w:lang w:val="en-US"/>
              </w:rPr>
            </w:pPr>
            <w:r w:rsidRPr="00E3331A">
              <w:rPr>
                <w:rFonts w:ascii="Arial Narrow" w:hAnsi="Arial Narrow"/>
                <w:sz w:val="20"/>
                <w:szCs w:val="20"/>
                <w:lang w:val="en-US"/>
              </w:rPr>
              <w:t>Cataract</w:t>
            </w:r>
          </w:p>
        </w:tc>
        <w:tc>
          <w:tcPr>
            <w:tcW w:w="1134" w:type="dxa"/>
            <w:vAlign w:val="center"/>
          </w:tcPr>
          <w:p w:rsidR="008D0E46" w:rsidRPr="008D0E46" w:rsidRDefault="008D0E46" w:rsidP="008D0E46">
            <w:pPr>
              <w:spacing w:after="0" w:line="240" w:lineRule="auto"/>
              <w:jc w:val="center"/>
              <w:rPr>
                <w:rFonts w:ascii="Arial Narrow" w:eastAsia="Arial" w:hAnsi="Arial Narrow"/>
                <w:sz w:val="20"/>
                <w:szCs w:val="20"/>
              </w:rPr>
            </w:pPr>
            <w:r w:rsidRPr="00304276">
              <w:rPr>
                <w:rFonts w:ascii="Arial Narrow" w:eastAsia="Arial" w:hAnsi="Arial Narrow"/>
                <w:sz w:val="20"/>
                <w:szCs w:val="20"/>
              </w:rPr>
              <w:t>-0.330</w:t>
            </w:r>
          </w:p>
        </w:tc>
        <w:tc>
          <w:tcPr>
            <w:tcW w:w="2835" w:type="dxa"/>
            <w:vAlign w:val="center"/>
          </w:tcPr>
          <w:p w:rsidR="008D0E46" w:rsidRPr="00E3331A" w:rsidRDefault="008D0E46" w:rsidP="008D0E46">
            <w:pPr>
              <w:spacing w:after="0" w:line="240" w:lineRule="auto"/>
              <w:rPr>
                <w:rFonts w:ascii="Arial Narrow" w:eastAsia="Arial" w:hAnsi="Arial Narrow"/>
                <w:sz w:val="20"/>
                <w:szCs w:val="20"/>
              </w:rPr>
            </w:pPr>
            <w:r w:rsidRPr="00E3331A">
              <w:rPr>
                <w:rFonts w:ascii="Arial Narrow" w:eastAsia="Arial" w:hAnsi="Arial Narrow"/>
                <w:sz w:val="20"/>
                <w:szCs w:val="20"/>
              </w:rPr>
              <w:t xml:space="preserve">The disutility in Abell and Vote 2014 is added to steroid disutility </w:t>
            </w:r>
          </w:p>
        </w:tc>
        <w:tc>
          <w:tcPr>
            <w:tcW w:w="1843" w:type="dxa"/>
            <w:vAlign w:val="center"/>
          </w:tcPr>
          <w:p w:rsidR="008D0E46" w:rsidRPr="00E3331A" w:rsidRDefault="008D0E46" w:rsidP="008D0E46">
            <w:pPr>
              <w:rPr>
                <w:rFonts w:ascii="Arial Narrow" w:eastAsia="Arial" w:hAnsi="Arial Narrow"/>
                <w:sz w:val="20"/>
                <w:szCs w:val="20"/>
              </w:rPr>
            </w:pPr>
            <w:r w:rsidRPr="00E3331A">
              <w:rPr>
                <w:rFonts w:ascii="Arial Narrow" w:eastAsia="Arial" w:hAnsi="Arial Narrow"/>
                <w:sz w:val="20"/>
                <w:szCs w:val="20"/>
              </w:rPr>
              <w:t>Abell and Vote (2014)</w:t>
            </w:r>
          </w:p>
        </w:tc>
        <w:tc>
          <w:tcPr>
            <w:tcW w:w="1508" w:type="dxa"/>
            <w:vAlign w:val="center"/>
          </w:tcPr>
          <w:p w:rsidR="008D0E46" w:rsidRPr="00E3331A" w:rsidRDefault="008D0E46" w:rsidP="008D0E46">
            <w:pPr>
              <w:jc w:val="center"/>
              <w:rPr>
                <w:rFonts w:ascii="Arial Narrow" w:hAnsi="Arial Narrow"/>
                <w:sz w:val="20"/>
                <w:szCs w:val="20"/>
              </w:rPr>
            </w:pPr>
            <w:r w:rsidRPr="00E3331A">
              <w:rPr>
                <w:rFonts w:ascii="Arial Narrow" w:hAnsi="Arial Narrow"/>
                <w:sz w:val="20"/>
              </w:rPr>
              <w:t xml:space="preserve">0/+10%. </w:t>
            </w:r>
          </w:p>
        </w:tc>
      </w:tr>
      <w:tr w:rsidR="008D0E46" w:rsidRPr="00E3331A" w:rsidTr="00716127">
        <w:trPr>
          <w:trHeight w:hRule="exact" w:val="1130"/>
        </w:trPr>
        <w:tc>
          <w:tcPr>
            <w:tcW w:w="1696" w:type="dxa"/>
            <w:vAlign w:val="center"/>
          </w:tcPr>
          <w:p w:rsidR="008D0E46" w:rsidRPr="00E3331A" w:rsidRDefault="008D0E46" w:rsidP="008D0E46">
            <w:pPr>
              <w:spacing w:after="0" w:line="240" w:lineRule="auto"/>
              <w:rPr>
                <w:rFonts w:ascii="Arial Narrow" w:hAnsi="Arial Narrow"/>
                <w:sz w:val="20"/>
                <w:szCs w:val="20"/>
                <w:lang w:val="en-US"/>
              </w:rPr>
            </w:pPr>
            <w:r w:rsidRPr="00E3331A">
              <w:rPr>
                <w:rFonts w:ascii="Arial Narrow" w:hAnsi="Arial Narrow"/>
                <w:sz w:val="20"/>
                <w:szCs w:val="20"/>
                <w:lang w:val="en-US"/>
              </w:rPr>
              <w:t>Infection</w:t>
            </w:r>
          </w:p>
        </w:tc>
        <w:tc>
          <w:tcPr>
            <w:tcW w:w="1134" w:type="dxa"/>
            <w:vAlign w:val="center"/>
          </w:tcPr>
          <w:p w:rsidR="008D0E46" w:rsidRPr="008D0E46" w:rsidRDefault="008D0E46" w:rsidP="008D0E46">
            <w:pPr>
              <w:spacing w:after="0" w:line="240" w:lineRule="auto"/>
              <w:jc w:val="center"/>
              <w:rPr>
                <w:rFonts w:ascii="Arial Narrow" w:eastAsia="Arial" w:hAnsi="Arial Narrow"/>
                <w:sz w:val="20"/>
                <w:szCs w:val="20"/>
              </w:rPr>
            </w:pPr>
            <w:r w:rsidRPr="00304276">
              <w:rPr>
                <w:rFonts w:ascii="Arial Narrow" w:eastAsia="Arial" w:hAnsi="Arial Narrow"/>
                <w:sz w:val="20"/>
                <w:szCs w:val="20"/>
              </w:rPr>
              <w:t>-0.279</w:t>
            </w:r>
          </w:p>
        </w:tc>
        <w:tc>
          <w:tcPr>
            <w:tcW w:w="2835" w:type="dxa"/>
            <w:vAlign w:val="center"/>
          </w:tcPr>
          <w:p w:rsidR="008D0E46" w:rsidRPr="00E3331A" w:rsidRDefault="008D0E46" w:rsidP="008D0E46">
            <w:pPr>
              <w:spacing w:after="0" w:line="240" w:lineRule="auto"/>
              <w:rPr>
                <w:rFonts w:ascii="Arial Narrow" w:eastAsia="Arial" w:hAnsi="Arial Narrow"/>
                <w:sz w:val="20"/>
                <w:szCs w:val="20"/>
              </w:rPr>
            </w:pPr>
            <w:r w:rsidRPr="00E3331A">
              <w:rPr>
                <w:rFonts w:ascii="Arial Narrow" w:eastAsia="Arial" w:hAnsi="Arial Narrow"/>
                <w:sz w:val="20"/>
                <w:szCs w:val="20"/>
              </w:rPr>
              <w:t xml:space="preserve">A disutility of -0.04 is added to steroid patient disutility </w:t>
            </w:r>
          </w:p>
        </w:tc>
        <w:tc>
          <w:tcPr>
            <w:tcW w:w="1843" w:type="dxa"/>
            <w:vAlign w:val="center"/>
          </w:tcPr>
          <w:p w:rsidR="008D0E46" w:rsidRPr="00E3331A" w:rsidRDefault="008D0E46" w:rsidP="008D0E46">
            <w:pPr>
              <w:spacing w:after="0" w:line="240" w:lineRule="auto"/>
              <w:rPr>
                <w:rFonts w:ascii="Arial Narrow" w:eastAsia="Arial" w:hAnsi="Arial Narrow"/>
                <w:sz w:val="20"/>
                <w:szCs w:val="20"/>
              </w:rPr>
            </w:pPr>
            <w:r w:rsidRPr="00E3331A">
              <w:rPr>
                <w:rFonts w:ascii="Arial Narrow" w:eastAsia="Arial" w:hAnsi="Arial Narrow"/>
                <w:sz w:val="20"/>
                <w:szCs w:val="20"/>
              </w:rPr>
              <w:t xml:space="preserve">Blackhouse </w:t>
            </w:r>
            <w:r w:rsidR="00983BA7">
              <w:rPr>
                <w:rFonts w:ascii="Arial Narrow" w:eastAsia="Arial" w:hAnsi="Arial Narrow"/>
                <w:sz w:val="20"/>
                <w:szCs w:val="20"/>
              </w:rPr>
              <w:t xml:space="preserve">et al. </w:t>
            </w:r>
            <w:r w:rsidRPr="00E3331A">
              <w:rPr>
                <w:rFonts w:ascii="Arial Narrow" w:eastAsia="Arial" w:hAnsi="Arial Narrow"/>
                <w:sz w:val="20"/>
                <w:szCs w:val="20"/>
              </w:rPr>
              <w:t xml:space="preserve">(2010) </w:t>
            </w:r>
          </w:p>
        </w:tc>
        <w:tc>
          <w:tcPr>
            <w:tcW w:w="1508" w:type="dxa"/>
            <w:vAlign w:val="center"/>
          </w:tcPr>
          <w:p w:rsidR="008D0E46" w:rsidRPr="00E3331A" w:rsidRDefault="008D0E46" w:rsidP="008D0E46">
            <w:pPr>
              <w:spacing w:after="0" w:line="240" w:lineRule="auto"/>
              <w:jc w:val="center"/>
              <w:rPr>
                <w:rFonts w:ascii="Arial Narrow" w:hAnsi="Arial Narrow"/>
                <w:sz w:val="20"/>
                <w:szCs w:val="20"/>
              </w:rPr>
            </w:pPr>
            <w:r w:rsidRPr="00E3331A">
              <w:rPr>
                <w:rFonts w:ascii="Arial Narrow" w:hAnsi="Arial Narrow"/>
                <w:sz w:val="20"/>
              </w:rPr>
              <w:t xml:space="preserve">0/+10%. </w:t>
            </w:r>
          </w:p>
        </w:tc>
      </w:tr>
      <w:tr w:rsidR="008D0E46" w:rsidRPr="00E3331A" w:rsidTr="00716127">
        <w:trPr>
          <w:trHeight w:hRule="exact" w:val="990"/>
        </w:trPr>
        <w:tc>
          <w:tcPr>
            <w:tcW w:w="1696" w:type="dxa"/>
            <w:vAlign w:val="center"/>
          </w:tcPr>
          <w:p w:rsidR="008D0E46" w:rsidRPr="00E3331A" w:rsidRDefault="008D0E46" w:rsidP="008D0E46">
            <w:pPr>
              <w:spacing w:after="0" w:line="240" w:lineRule="auto"/>
              <w:rPr>
                <w:rFonts w:ascii="Arial Narrow" w:hAnsi="Arial Narrow"/>
                <w:sz w:val="20"/>
                <w:szCs w:val="20"/>
                <w:lang w:val="en-US"/>
              </w:rPr>
            </w:pPr>
            <w:r>
              <w:rPr>
                <w:rFonts w:ascii="Arial Narrow" w:hAnsi="Arial Narrow"/>
                <w:sz w:val="20"/>
                <w:szCs w:val="20"/>
                <w:lang w:val="en-US"/>
              </w:rPr>
              <w:lastRenderedPageBreak/>
              <w:t>A</w:t>
            </w:r>
            <w:r w:rsidRPr="008448F4">
              <w:rPr>
                <w:rFonts w:ascii="Arial Narrow" w:hAnsi="Arial Narrow"/>
                <w:sz w:val="20"/>
                <w:szCs w:val="20"/>
                <w:lang w:val="en-US"/>
              </w:rPr>
              <w:t>zathioprine</w:t>
            </w:r>
            <w:r w:rsidRPr="008448F4" w:rsidDel="008448F4">
              <w:rPr>
                <w:rFonts w:ascii="Arial Narrow" w:hAnsi="Arial Narrow"/>
                <w:sz w:val="20"/>
                <w:szCs w:val="20"/>
                <w:lang w:val="en-US"/>
              </w:rPr>
              <w:t xml:space="preserve"> </w:t>
            </w:r>
            <w:r w:rsidRPr="00E3331A">
              <w:rPr>
                <w:rFonts w:ascii="Arial Narrow" w:hAnsi="Arial Narrow"/>
                <w:sz w:val="20"/>
                <w:szCs w:val="20"/>
                <w:lang w:val="en-US"/>
              </w:rPr>
              <w:t>non-responder (pre-disabled)</w:t>
            </w:r>
          </w:p>
        </w:tc>
        <w:tc>
          <w:tcPr>
            <w:tcW w:w="1134" w:type="dxa"/>
            <w:vAlign w:val="center"/>
          </w:tcPr>
          <w:p w:rsidR="008D0E46" w:rsidRPr="008D0E46" w:rsidRDefault="008D0E46" w:rsidP="008D0E46">
            <w:pPr>
              <w:spacing w:after="0" w:line="240" w:lineRule="auto"/>
              <w:jc w:val="center"/>
              <w:rPr>
                <w:rFonts w:ascii="Arial Narrow" w:eastAsia="Arial" w:hAnsi="Arial Narrow"/>
                <w:sz w:val="20"/>
                <w:szCs w:val="20"/>
              </w:rPr>
            </w:pPr>
            <w:r w:rsidRPr="00304276">
              <w:rPr>
                <w:rFonts w:ascii="Arial Narrow" w:eastAsia="Arial" w:hAnsi="Arial Narrow"/>
                <w:sz w:val="20"/>
                <w:szCs w:val="20"/>
              </w:rPr>
              <w:t>-0.240</w:t>
            </w:r>
          </w:p>
        </w:tc>
        <w:tc>
          <w:tcPr>
            <w:tcW w:w="2835" w:type="dxa"/>
            <w:vAlign w:val="center"/>
          </w:tcPr>
          <w:p w:rsidR="008D0E46" w:rsidRPr="00E3331A" w:rsidRDefault="008D0E46" w:rsidP="008D0E46">
            <w:pPr>
              <w:spacing w:after="0" w:line="240" w:lineRule="auto"/>
              <w:rPr>
                <w:rFonts w:ascii="Arial Narrow" w:eastAsia="Arial" w:hAnsi="Arial Narrow"/>
                <w:sz w:val="20"/>
                <w:szCs w:val="20"/>
              </w:rPr>
            </w:pPr>
            <w:r w:rsidRPr="00E3331A">
              <w:rPr>
                <w:rFonts w:ascii="Arial Narrow" w:eastAsia="Arial" w:hAnsi="Arial Narrow"/>
                <w:sz w:val="20"/>
                <w:szCs w:val="20"/>
              </w:rPr>
              <w:t xml:space="preserve">In the absence of utility data for this state, assumed to be the same as </w:t>
            </w:r>
            <w:r w:rsidRPr="008448F4">
              <w:rPr>
                <w:rFonts w:ascii="Arial Narrow" w:eastAsia="Arial" w:hAnsi="Arial Narrow"/>
                <w:sz w:val="20"/>
                <w:szCs w:val="20"/>
              </w:rPr>
              <w:t>Corticosteroids Non-Response + Azathioprine</w:t>
            </w:r>
            <w:r w:rsidRPr="00E3331A">
              <w:rPr>
                <w:rFonts w:ascii="Arial Narrow" w:eastAsia="Arial" w:hAnsi="Arial Narrow"/>
                <w:sz w:val="20"/>
                <w:szCs w:val="20"/>
              </w:rPr>
              <w:t>.</w:t>
            </w:r>
            <w:r w:rsidRPr="00E3331A">
              <w:rPr>
                <w:rFonts w:ascii="Arial Narrow" w:hAnsi="Arial Narrow"/>
                <w:sz w:val="20"/>
                <w:szCs w:val="20"/>
              </w:rPr>
              <w:t xml:space="preserve"> </w:t>
            </w:r>
          </w:p>
        </w:tc>
        <w:tc>
          <w:tcPr>
            <w:tcW w:w="1843" w:type="dxa"/>
            <w:vAlign w:val="center"/>
          </w:tcPr>
          <w:p w:rsidR="008D0E46" w:rsidRPr="00E3331A" w:rsidRDefault="008D0E46" w:rsidP="008D0E46">
            <w:pPr>
              <w:spacing w:after="0" w:line="240" w:lineRule="auto"/>
              <w:rPr>
                <w:rFonts w:ascii="Arial Narrow" w:eastAsia="Arial" w:hAnsi="Arial Narrow"/>
                <w:sz w:val="20"/>
                <w:szCs w:val="20"/>
              </w:rPr>
            </w:pPr>
            <w:r w:rsidRPr="00E3331A">
              <w:rPr>
                <w:rFonts w:ascii="Arial Narrow" w:eastAsia="Arial" w:hAnsi="Arial Narrow"/>
                <w:sz w:val="20"/>
                <w:szCs w:val="20"/>
              </w:rPr>
              <w:t>Study Assumption</w:t>
            </w:r>
          </w:p>
        </w:tc>
        <w:tc>
          <w:tcPr>
            <w:tcW w:w="1508" w:type="dxa"/>
            <w:vAlign w:val="center"/>
          </w:tcPr>
          <w:p w:rsidR="008D0E46" w:rsidRPr="00E3331A" w:rsidRDefault="008D0E46" w:rsidP="008D0E46">
            <w:pPr>
              <w:spacing w:after="0" w:line="240" w:lineRule="auto"/>
              <w:jc w:val="center"/>
              <w:rPr>
                <w:rFonts w:ascii="Arial Narrow" w:hAnsi="Arial Narrow"/>
                <w:sz w:val="20"/>
                <w:szCs w:val="20"/>
              </w:rPr>
            </w:pPr>
            <w:r w:rsidRPr="00E3331A">
              <w:rPr>
                <w:rFonts w:ascii="Arial Narrow" w:hAnsi="Arial Narrow"/>
                <w:sz w:val="20"/>
                <w:szCs w:val="20"/>
              </w:rPr>
              <w:t>0/+10%</w:t>
            </w:r>
          </w:p>
        </w:tc>
      </w:tr>
      <w:tr w:rsidR="008D0E46" w:rsidRPr="00E3331A" w:rsidTr="00464E0A">
        <w:trPr>
          <w:trHeight w:hRule="exact" w:val="1273"/>
        </w:trPr>
        <w:tc>
          <w:tcPr>
            <w:tcW w:w="1696" w:type="dxa"/>
            <w:vAlign w:val="center"/>
          </w:tcPr>
          <w:p w:rsidR="008D0E46" w:rsidRPr="00E3331A" w:rsidRDefault="008D0E46" w:rsidP="008D0E46">
            <w:pPr>
              <w:spacing w:after="0" w:line="240" w:lineRule="auto"/>
              <w:rPr>
                <w:rFonts w:ascii="Arial Narrow" w:hAnsi="Arial Narrow"/>
                <w:sz w:val="20"/>
                <w:szCs w:val="20"/>
                <w:lang w:val="en-US"/>
              </w:rPr>
            </w:pPr>
            <w:r w:rsidRPr="00E3331A">
              <w:rPr>
                <w:rFonts w:ascii="Arial Narrow" w:hAnsi="Arial Narrow"/>
                <w:sz w:val="20"/>
                <w:szCs w:val="20"/>
                <w:lang w:val="en-US"/>
              </w:rPr>
              <w:t>Disabled</w:t>
            </w:r>
          </w:p>
        </w:tc>
        <w:tc>
          <w:tcPr>
            <w:tcW w:w="1134" w:type="dxa"/>
            <w:vAlign w:val="center"/>
          </w:tcPr>
          <w:p w:rsidR="008D0E46" w:rsidRPr="008D0E46" w:rsidRDefault="008D0E46" w:rsidP="008D0E46">
            <w:pPr>
              <w:spacing w:after="0" w:line="240" w:lineRule="auto"/>
              <w:jc w:val="center"/>
              <w:rPr>
                <w:rFonts w:ascii="Arial Narrow" w:eastAsia="Arial" w:hAnsi="Arial Narrow"/>
                <w:sz w:val="20"/>
                <w:szCs w:val="20"/>
              </w:rPr>
            </w:pPr>
            <w:r w:rsidRPr="00304276">
              <w:rPr>
                <w:rFonts w:ascii="Arial Narrow" w:eastAsia="Arial" w:hAnsi="Arial Narrow"/>
                <w:sz w:val="20"/>
                <w:szCs w:val="20"/>
              </w:rPr>
              <w:t>-0.360</w:t>
            </w:r>
          </w:p>
        </w:tc>
        <w:tc>
          <w:tcPr>
            <w:tcW w:w="2835" w:type="dxa"/>
            <w:vAlign w:val="center"/>
          </w:tcPr>
          <w:p w:rsidR="008D0E46" w:rsidRPr="00E3331A" w:rsidRDefault="008D0E46" w:rsidP="008D0E46">
            <w:pPr>
              <w:spacing w:after="0" w:line="240" w:lineRule="auto"/>
              <w:rPr>
                <w:rFonts w:ascii="Arial Narrow" w:eastAsia="Arial" w:hAnsi="Arial Narrow"/>
                <w:sz w:val="20"/>
                <w:szCs w:val="20"/>
              </w:rPr>
            </w:pPr>
            <w:r w:rsidRPr="00E3331A">
              <w:rPr>
                <w:rFonts w:ascii="Arial Narrow" w:eastAsia="Arial" w:hAnsi="Arial Narrow"/>
                <w:sz w:val="20"/>
                <w:szCs w:val="20"/>
              </w:rPr>
              <w:t>CIDP disabled utility is estimated to be 0.49, or a disutility of -0.36 for a general population 50-year-old utility of 0.85</w:t>
            </w:r>
          </w:p>
        </w:tc>
        <w:tc>
          <w:tcPr>
            <w:tcW w:w="1843" w:type="dxa"/>
            <w:vAlign w:val="center"/>
          </w:tcPr>
          <w:p w:rsidR="008D0E46" w:rsidRPr="00E3331A" w:rsidRDefault="008D0E46" w:rsidP="008D0E46">
            <w:pPr>
              <w:spacing w:after="0" w:line="240" w:lineRule="auto"/>
              <w:rPr>
                <w:rFonts w:ascii="Arial Narrow" w:eastAsia="Arial" w:hAnsi="Arial Narrow"/>
                <w:sz w:val="20"/>
                <w:szCs w:val="20"/>
              </w:rPr>
            </w:pPr>
            <w:r w:rsidRPr="00E3331A">
              <w:rPr>
                <w:rFonts w:ascii="Arial Narrow" w:eastAsia="Arial" w:hAnsi="Arial Narrow"/>
                <w:sz w:val="20"/>
                <w:szCs w:val="20"/>
              </w:rPr>
              <w:t xml:space="preserve">Assumption based on Ahmad </w:t>
            </w:r>
            <w:r w:rsidR="00983BA7">
              <w:rPr>
                <w:rFonts w:ascii="Arial Narrow" w:eastAsia="Arial" w:hAnsi="Arial Narrow"/>
                <w:sz w:val="20"/>
                <w:szCs w:val="20"/>
              </w:rPr>
              <w:t xml:space="preserve">et al. </w:t>
            </w:r>
            <w:r w:rsidRPr="00E3331A">
              <w:rPr>
                <w:rFonts w:ascii="Arial Narrow" w:eastAsia="Arial" w:hAnsi="Arial Narrow"/>
                <w:sz w:val="20"/>
                <w:szCs w:val="20"/>
              </w:rPr>
              <w:t>(2017). utility weights for Australian Multiple Sclerosis patients.</w:t>
            </w:r>
          </w:p>
        </w:tc>
        <w:tc>
          <w:tcPr>
            <w:tcW w:w="1508" w:type="dxa"/>
            <w:vAlign w:val="center"/>
          </w:tcPr>
          <w:p w:rsidR="008D0E46" w:rsidRPr="00E3331A" w:rsidRDefault="008D0E46" w:rsidP="008D0E46">
            <w:pPr>
              <w:spacing w:after="0" w:line="240" w:lineRule="auto"/>
              <w:jc w:val="center"/>
              <w:rPr>
                <w:rFonts w:ascii="Arial Narrow" w:hAnsi="Arial Narrow"/>
                <w:sz w:val="20"/>
                <w:szCs w:val="20"/>
              </w:rPr>
            </w:pPr>
            <w:r w:rsidRPr="00E3331A">
              <w:rPr>
                <w:rFonts w:ascii="Arial Narrow" w:hAnsi="Arial Narrow"/>
                <w:sz w:val="20"/>
                <w:szCs w:val="20"/>
              </w:rPr>
              <w:t>0/+10%</w:t>
            </w:r>
          </w:p>
        </w:tc>
      </w:tr>
    </w:tbl>
    <w:p w:rsidR="001F5B33" w:rsidRPr="00E3331A" w:rsidRDefault="001F5B33" w:rsidP="001F5B33">
      <w:pPr>
        <w:rPr>
          <w:rFonts w:ascii="Arial Narrow" w:hAnsi="Arial Narrow"/>
          <w:sz w:val="18"/>
        </w:rPr>
      </w:pPr>
      <w:r w:rsidRPr="00E3331A">
        <w:rPr>
          <w:rFonts w:ascii="Arial Narrow" w:hAnsi="Arial Narrow"/>
          <w:sz w:val="18"/>
        </w:rPr>
        <w:t>Abbreviations: AE</w:t>
      </w:r>
      <w:r w:rsidR="00D55273" w:rsidRPr="00E3331A">
        <w:rPr>
          <w:rFonts w:ascii="Arial Narrow" w:hAnsi="Arial Narrow"/>
          <w:sz w:val="18"/>
        </w:rPr>
        <w:t xml:space="preserve"> </w:t>
      </w:r>
      <w:r w:rsidRPr="00E3331A">
        <w:rPr>
          <w:rFonts w:ascii="Arial Narrow" w:hAnsi="Arial Narrow"/>
          <w:sz w:val="18"/>
        </w:rPr>
        <w:t>= adverse event</w:t>
      </w:r>
      <w:r w:rsidR="00D55273" w:rsidRPr="00E3331A">
        <w:rPr>
          <w:rFonts w:ascii="Arial Narrow" w:hAnsi="Arial Narrow"/>
          <w:sz w:val="18"/>
        </w:rPr>
        <w:t>,</w:t>
      </w:r>
      <w:r w:rsidRPr="00E3331A">
        <w:rPr>
          <w:rFonts w:ascii="Arial Narrow" w:hAnsi="Arial Narrow"/>
          <w:sz w:val="18"/>
        </w:rPr>
        <w:t xml:space="preserve"> CIDP = Chronic Inflammatory Demyelinating Polyneuropathy</w:t>
      </w:r>
    </w:p>
    <w:p w:rsidR="001F5B33" w:rsidRPr="00E3331A" w:rsidRDefault="001F5B33" w:rsidP="003E4E1F">
      <w:pPr>
        <w:pStyle w:val="Heading2"/>
        <w:numPr>
          <w:ilvl w:val="3"/>
          <w:numId w:val="10"/>
        </w:numPr>
      </w:pPr>
      <w:bookmarkStart w:id="463" w:name="_Toc24103514"/>
      <w:r w:rsidRPr="00E3331A">
        <w:t>Results of the Economic Evaluation</w:t>
      </w:r>
      <w:bookmarkEnd w:id="463"/>
    </w:p>
    <w:p w:rsidR="001F5B33" w:rsidRPr="00E3331A" w:rsidRDefault="001F5B33" w:rsidP="001F5B33">
      <w:pPr>
        <w:pStyle w:val="Heading3"/>
      </w:pPr>
      <w:bookmarkStart w:id="464" w:name="_Toc24103515"/>
      <w:r w:rsidRPr="00E3331A">
        <w:t>D.5.1. Health Care Costs by Resource Type</w:t>
      </w:r>
      <w:bookmarkEnd w:id="464"/>
    </w:p>
    <w:p w:rsidR="001F5B33" w:rsidRPr="00E3331A" w:rsidRDefault="001F5B33" w:rsidP="00BB6E4C">
      <w:pPr>
        <w:pStyle w:val="BodyTextSTD"/>
      </w:pPr>
      <w:r w:rsidRPr="00E3331A">
        <w:t xml:space="preserve">The costs per patient for Ig and corticosteroids are presented for the trial period analysis in </w:t>
      </w:r>
      <w:r w:rsidR="006F35B9" w:rsidRPr="00E3331A">
        <w:t xml:space="preserve">Table </w:t>
      </w:r>
      <w:r w:rsidR="006F35B9">
        <w:rPr>
          <w:noProof/>
        </w:rPr>
        <w:t>77</w:t>
      </w:r>
      <w:r w:rsidRPr="00E3331A">
        <w:t xml:space="preserve"> and </w:t>
      </w:r>
      <w:r w:rsidR="006F35B9" w:rsidRPr="00E3331A">
        <w:t xml:space="preserve">Table </w:t>
      </w:r>
      <w:r w:rsidR="006F35B9">
        <w:rPr>
          <w:noProof/>
        </w:rPr>
        <w:t>78</w:t>
      </w:r>
      <w:r w:rsidR="00AE5BCE" w:rsidRPr="00E3331A">
        <w:t xml:space="preserve"> for the extrapolated 10-year horizon</w:t>
      </w:r>
      <w:r w:rsidRPr="00E3331A">
        <w:t>.</w:t>
      </w:r>
      <w:r w:rsidR="00906C5E" w:rsidRPr="00E3331A">
        <w:t xml:space="preserve"> </w:t>
      </w:r>
      <w:r w:rsidRPr="00E3331A">
        <w:t xml:space="preserve">Costs are averages generated for </w:t>
      </w:r>
      <w:r w:rsidR="00591599" w:rsidRPr="00E3331A">
        <w:t>one</w:t>
      </w:r>
      <w:r w:rsidRPr="00E3331A">
        <w:t xml:space="preserve"> patient in the model. It is evident </w:t>
      </w:r>
      <w:r w:rsidR="00D55273" w:rsidRPr="00E3331A">
        <w:t xml:space="preserve">that </w:t>
      </w:r>
      <w:r w:rsidRPr="00E3331A">
        <w:t xml:space="preserve">the cost of Ig product and its delivery are the dominant costs for Ig, and resources associated with corticosteroids AEs are minor. </w:t>
      </w:r>
    </w:p>
    <w:p w:rsidR="001F5B33" w:rsidRPr="00E3331A" w:rsidRDefault="001F5B33" w:rsidP="001F5B33">
      <w:pPr>
        <w:pStyle w:val="Caption"/>
        <w:rPr>
          <w:szCs w:val="20"/>
          <w:lang w:eastAsia="en-GB"/>
        </w:rPr>
      </w:pPr>
      <w:bookmarkStart w:id="465" w:name="_Ref492924906"/>
      <w:bookmarkStart w:id="466" w:name="_Toc390153147"/>
      <w:bookmarkStart w:id="467" w:name="_Toc442872187"/>
      <w:bookmarkStart w:id="468" w:name="_Toc493000478"/>
      <w:bookmarkStart w:id="469" w:name="_Toc24103383"/>
      <w:r w:rsidRPr="00E3331A">
        <w:t xml:space="preserve">Table </w:t>
      </w:r>
      <w:r w:rsidR="006F35B9">
        <w:rPr>
          <w:noProof/>
        </w:rPr>
        <w:t>77</w:t>
      </w:r>
      <w:bookmarkEnd w:id="465"/>
      <w:r w:rsidR="00D55273" w:rsidRPr="00E3331A">
        <w:tab/>
      </w:r>
      <w:r w:rsidRPr="00E3331A">
        <w:rPr>
          <w:szCs w:val="20"/>
          <w:lang w:eastAsia="en-GB"/>
        </w:rPr>
        <w:t xml:space="preserve">Health care costs by resource type for IVIg </w:t>
      </w:r>
      <w:r w:rsidR="002C719E" w:rsidRPr="00E3331A">
        <w:rPr>
          <w:szCs w:val="20"/>
          <w:lang w:eastAsia="en-GB"/>
        </w:rPr>
        <w:t>trial</w:t>
      </w:r>
      <w:r w:rsidRPr="00E3331A">
        <w:rPr>
          <w:szCs w:val="20"/>
          <w:lang w:eastAsia="en-GB"/>
        </w:rPr>
        <w:t xml:space="preserve"> analysis</w:t>
      </w:r>
      <w:bookmarkEnd w:id="466"/>
      <w:bookmarkEnd w:id="467"/>
      <w:bookmarkEnd w:id="468"/>
      <w:r w:rsidRPr="00E3331A">
        <w:rPr>
          <w:szCs w:val="20"/>
          <w:lang w:eastAsia="en-GB"/>
        </w:rPr>
        <w:t xml:space="preserve"> (average per patient)</w:t>
      </w:r>
      <w:bookmarkEnd w:id="469"/>
      <w:r w:rsidRPr="00E3331A">
        <w:rPr>
          <w:szCs w:val="20"/>
          <w:lang w:eastAsia="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5"/>
        <w:gridCol w:w="1881"/>
        <w:gridCol w:w="1881"/>
        <w:gridCol w:w="1879"/>
      </w:tblGrid>
      <w:tr w:rsidR="001F5B33" w:rsidRPr="00E3331A" w:rsidTr="0007007F">
        <w:trPr>
          <w:trHeight w:val="510"/>
        </w:trPr>
        <w:tc>
          <w:tcPr>
            <w:tcW w:w="1546" w:type="pct"/>
            <w:shd w:val="clear" w:color="auto" w:fill="D9D9D9"/>
            <w:noWrap/>
            <w:vAlign w:val="center"/>
            <w:hideMark/>
          </w:tcPr>
          <w:p w:rsidR="001F5B33" w:rsidRPr="00E3331A" w:rsidRDefault="001F5B33" w:rsidP="00493DDF">
            <w:pPr>
              <w:rPr>
                <w:rFonts w:ascii="Arial Narrow" w:hAnsi="Arial Narrow" w:cs="Calibri"/>
                <w:b/>
                <w:bCs/>
                <w:sz w:val="20"/>
                <w:szCs w:val="20"/>
              </w:rPr>
            </w:pPr>
            <w:r w:rsidRPr="00E3331A">
              <w:rPr>
                <w:rFonts w:ascii="Arial Narrow" w:hAnsi="Arial Narrow" w:cs="Calibri"/>
                <w:b/>
                <w:bCs/>
                <w:sz w:val="20"/>
                <w:szCs w:val="20"/>
              </w:rPr>
              <w:t> </w:t>
            </w:r>
          </w:p>
        </w:tc>
        <w:tc>
          <w:tcPr>
            <w:tcW w:w="1152" w:type="pct"/>
            <w:shd w:val="clear" w:color="auto" w:fill="D9D9D9"/>
            <w:vAlign w:val="center"/>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IVIg</w:t>
            </w:r>
          </w:p>
        </w:tc>
        <w:tc>
          <w:tcPr>
            <w:tcW w:w="1152" w:type="pct"/>
            <w:shd w:val="clear" w:color="auto" w:fill="D9D9D9"/>
            <w:vAlign w:val="center"/>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Corticosteroids</w:t>
            </w:r>
          </w:p>
        </w:tc>
        <w:tc>
          <w:tcPr>
            <w:tcW w:w="1150" w:type="pct"/>
            <w:shd w:val="clear" w:color="auto" w:fill="D9D9D9"/>
            <w:vAlign w:val="center"/>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Incremental Cost</w:t>
            </w:r>
          </w:p>
        </w:tc>
      </w:tr>
      <w:tr w:rsidR="001F5B33" w:rsidRPr="00E3331A" w:rsidTr="0007007F">
        <w:trPr>
          <w:trHeight w:val="255"/>
        </w:trPr>
        <w:tc>
          <w:tcPr>
            <w:tcW w:w="1546" w:type="pct"/>
            <w:shd w:val="clear" w:color="auto" w:fill="D9D9D9"/>
            <w:noWrap/>
            <w:vAlign w:val="bottom"/>
            <w:hideMark/>
          </w:tcPr>
          <w:p w:rsidR="001F5B33" w:rsidRPr="00E3331A" w:rsidRDefault="001F5B33" w:rsidP="00493DDF">
            <w:pPr>
              <w:rPr>
                <w:rFonts w:ascii="Arial Narrow" w:hAnsi="Arial Narrow" w:cs="Calibri"/>
                <w:b/>
                <w:bCs/>
                <w:sz w:val="20"/>
                <w:szCs w:val="20"/>
              </w:rPr>
            </w:pPr>
            <w:r w:rsidRPr="00E3331A">
              <w:rPr>
                <w:rFonts w:ascii="Arial Narrow" w:hAnsi="Arial Narrow" w:cs="Calibri"/>
                <w:b/>
                <w:bCs/>
                <w:sz w:val="20"/>
                <w:szCs w:val="20"/>
              </w:rPr>
              <w:t>Trial period (6 months)</w:t>
            </w:r>
          </w:p>
        </w:tc>
        <w:tc>
          <w:tcPr>
            <w:tcW w:w="1152" w:type="pct"/>
            <w:shd w:val="clear" w:color="auto" w:fill="D9D9D9"/>
            <w:noWrap/>
            <w:vAlign w:val="bottom"/>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Undiscounted</w:t>
            </w:r>
          </w:p>
        </w:tc>
        <w:tc>
          <w:tcPr>
            <w:tcW w:w="1152" w:type="pct"/>
            <w:shd w:val="clear" w:color="auto" w:fill="D9D9D9"/>
            <w:noWrap/>
            <w:vAlign w:val="bottom"/>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Undiscounted</w:t>
            </w:r>
          </w:p>
        </w:tc>
        <w:tc>
          <w:tcPr>
            <w:tcW w:w="1150" w:type="pct"/>
            <w:shd w:val="clear" w:color="auto" w:fill="D9D9D9"/>
            <w:noWrap/>
            <w:vAlign w:val="bottom"/>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Undiscounted</w:t>
            </w:r>
          </w:p>
        </w:tc>
      </w:tr>
      <w:tr w:rsidR="001E4486" w:rsidRPr="00E3331A" w:rsidTr="00493DDF">
        <w:trPr>
          <w:trHeight w:val="255"/>
        </w:trPr>
        <w:tc>
          <w:tcPr>
            <w:tcW w:w="1546" w:type="pct"/>
            <w:shd w:val="clear" w:color="auto" w:fill="auto"/>
            <w:noWrap/>
            <w:vAlign w:val="center"/>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 xml:space="preserve">Ig </w:t>
            </w:r>
          </w:p>
        </w:tc>
        <w:tc>
          <w:tcPr>
            <w:tcW w:w="115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$16,624</w:t>
            </w:r>
          </w:p>
        </w:tc>
        <w:tc>
          <w:tcPr>
            <w:tcW w:w="115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w:t>
            </w:r>
          </w:p>
        </w:tc>
        <w:tc>
          <w:tcPr>
            <w:tcW w:w="1150"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$16,624</w:t>
            </w:r>
          </w:p>
        </w:tc>
      </w:tr>
      <w:tr w:rsidR="001E4486" w:rsidRPr="00E3331A" w:rsidTr="00493DDF">
        <w:trPr>
          <w:trHeight w:val="255"/>
        </w:trPr>
        <w:tc>
          <w:tcPr>
            <w:tcW w:w="1546" w:type="pct"/>
            <w:shd w:val="clear" w:color="auto" w:fill="auto"/>
            <w:noWrap/>
            <w:vAlign w:val="center"/>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Corticosteroids no AE</w:t>
            </w:r>
          </w:p>
        </w:tc>
        <w:tc>
          <w:tcPr>
            <w:tcW w:w="115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$356</w:t>
            </w:r>
          </w:p>
        </w:tc>
        <w:tc>
          <w:tcPr>
            <w:tcW w:w="115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$2,150</w:t>
            </w:r>
          </w:p>
        </w:tc>
        <w:tc>
          <w:tcPr>
            <w:tcW w:w="1150"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-$1,794</w:t>
            </w:r>
          </w:p>
        </w:tc>
      </w:tr>
      <w:tr w:rsidR="001E4486" w:rsidRPr="00E3331A" w:rsidTr="00493DDF">
        <w:trPr>
          <w:trHeight w:val="255"/>
        </w:trPr>
        <w:tc>
          <w:tcPr>
            <w:tcW w:w="1546" w:type="pct"/>
            <w:shd w:val="clear" w:color="auto" w:fill="auto"/>
            <w:noWrap/>
            <w:vAlign w:val="center"/>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 xml:space="preserve">Fracture </w:t>
            </w:r>
          </w:p>
        </w:tc>
        <w:tc>
          <w:tcPr>
            <w:tcW w:w="115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$6</w:t>
            </w:r>
          </w:p>
        </w:tc>
        <w:tc>
          <w:tcPr>
            <w:tcW w:w="115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$74</w:t>
            </w:r>
          </w:p>
        </w:tc>
        <w:tc>
          <w:tcPr>
            <w:tcW w:w="1150"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-$68</w:t>
            </w:r>
          </w:p>
        </w:tc>
      </w:tr>
      <w:tr w:rsidR="001E4486" w:rsidRPr="00E3331A" w:rsidTr="00493DDF">
        <w:trPr>
          <w:trHeight w:val="255"/>
        </w:trPr>
        <w:tc>
          <w:tcPr>
            <w:tcW w:w="1546" w:type="pct"/>
            <w:shd w:val="clear" w:color="auto" w:fill="auto"/>
            <w:noWrap/>
            <w:vAlign w:val="center"/>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 xml:space="preserve">Diabetes mellitus </w:t>
            </w:r>
          </w:p>
        </w:tc>
        <w:tc>
          <w:tcPr>
            <w:tcW w:w="115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$2</w:t>
            </w:r>
          </w:p>
        </w:tc>
        <w:tc>
          <w:tcPr>
            <w:tcW w:w="115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$28</w:t>
            </w:r>
          </w:p>
        </w:tc>
        <w:tc>
          <w:tcPr>
            <w:tcW w:w="1150"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-$26</w:t>
            </w:r>
          </w:p>
        </w:tc>
      </w:tr>
      <w:tr w:rsidR="001E4486" w:rsidRPr="00E3331A" w:rsidTr="00493DDF">
        <w:trPr>
          <w:trHeight w:val="255"/>
        </w:trPr>
        <w:tc>
          <w:tcPr>
            <w:tcW w:w="1546" w:type="pct"/>
            <w:shd w:val="clear" w:color="auto" w:fill="auto"/>
            <w:noWrap/>
            <w:vAlign w:val="center"/>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 xml:space="preserve">Cataract </w:t>
            </w:r>
          </w:p>
        </w:tc>
        <w:tc>
          <w:tcPr>
            <w:tcW w:w="1152"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$3</w:t>
            </w:r>
          </w:p>
        </w:tc>
        <w:tc>
          <w:tcPr>
            <w:tcW w:w="1152"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$40</w:t>
            </w:r>
          </w:p>
        </w:tc>
        <w:tc>
          <w:tcPr>
            <w:tcW w:w="1150"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-$37</w:t>
            </w:r>
          </w:p>
        </w:tc>
      </w:tr>
      <w:tr w:rsidR="001E4486" w:rsidRPr="00E3331A" w:rsidTr="00493DDF">
        <w:trPr>
          <w:trHeight w:val="255"/>
        </w:trPr>
        <w:tc>
          <w:tcPr>
            <w:tcW w:w="1546" w:type="pct"/>
            <w:shd w:val="clear" w:color="auto" w:fill="auto"/>
            <w:noWrap/>
            <w:vAlign w:val="center"/>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 xml:space="preserve">Glaucoma </w:t>
            </w:r>
          </w:p>
        </w:tc>
        <w:tc>
          <w:tcPr>
            <w:tcW w:w="1152"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$0</w:t>
            </w:r>
          </w:p>
        </w:tc>
        <w:tc>
          <w:tcPr>
            <w:tcW w:w="1152"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1150"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r>
      <w:tr w:rsidR="001E4486" w:rsidRPr="00E3331A" w:rsidTr="00493DDF">
        <w:trPr>
          <w:trHeight w:val="255"/>
        </w:trPr>
        <w:tc>
          <w:tcPr>
            <w:tcW w:w="1546" w:type="pct"/>
            <w:shd w:val="clear" w:color="auto" w:fill="auto"/>
            <w:noWrap/>
            <w:vAlign w:val="center"/>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 xml:space="preserve">Infection </w:t>
            </w:r>
          </w:p>
        </w:tc>
        <w:tc>
          <w:tcPr>
            <w:tcW w:w="1152"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1152"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$12</w:t>
            </w:r>
          </w:p>
        </w:tc>
        <w:tc>
          <w:tcPr>
            <w:tcW w:w="1150"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-$11</w:t>
            </w:r>
          </w:p>
        </w:tc>
      </w:tr>
      <w:tr w:rsidR="001E4486" w:rsidRPr="00E3331A" w:rsidTr="00464E0A">
        <w:trPr>
          <w:trHeight w:val="255"/>
        </w:trPr>
        <w:tc>
          <w:tcPr>
            <w:tcW w:w="1546" w:type="pct"/>
            <w:shd w:val="clear" w:color="auto" w:fill="auto"/>
            <w:noWrap/>
            <w:vAlign w:val="bottom"/>
          </w:tcPr>
          <w:p w:rsidR="001E4486" w:rsidRPr="00E3331A" w:rsidRDefault="008448F4" w:rsidP="001E4486">
            <w:pPr>
              <w:rPr>
                <w:rFonts w:ascii="Arial Narrow" w:hAnsi="Arial Narrow" w:cs="Calibri"/>
                <w:color w:val="000000"/>
                <w:sz w:val="20"/>
                <w:szCs w:val="20"/>
              </w:rPr>
            </w:pPr>
            <w:r w:rsidRPr="008448F4">
              <w:rPr>
                <w:rFonts w:ascii="Arial Narrow" w:hAnsi="Arial Narrow" w:cs="Calibri"/>
                <w:bCs/>
                <w:color w:val="000000"/>
                <w:sz w:val="20"/>
                <w:szCs w:val="20"/>
              </w:rPr>
              <w:t>Corticosteroid</w:t>
            </w:r>
            <w:r>
              <w:rPr>
                <w:rFonts w:ascii="Arial Narrow" w:hAnsi="Arial Narrow" w:cs="Calibri"/>
                <w:bCs/>
                <w:color w:val="000000"/>
                <w:sz w:val="20"/>
                <w:szCs w:val="20"/>
              </w:rPr>
              <w:t xml:space="preserve"> non-responder +</w:t>
            </w:r>
            <w:r w:rsidRPr="008448F4">
              <w:rPr>
                <w:rFonts w:ascii="Arial Narrow" w:hAnsi="Arial Narrow" w:cs="Calibri"/>
                <w:bCs/>
                <w:color w:val="000000"/>
                <w:sz w:val="20"/>
                <w:szCs w:val="20"/>
              </w:rPr>
              <w:t>azathioprine</w:t>
            </w:r>
          </w:p>
        </w:tc>
        <w:tc>
          <w:tcPr>
            <w:tcW w:w="1152"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$0</w:t>
            </w:r>
          </w:p>
        </w:tc>
        <w:tc>
          <w:tcPr>
            <w:tcW w:w="1152"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$4</w:t>
            </w:r>
          </w:p>
        </w:tc>
        <w:tc>
          <w:tcPr>
            <w:tcW w:w="1150"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-$4</w:t>
            </w:r>
          </w:p>
        </w:tc>
      </w:tr>
      <w:tr w:rsidR="001E4486" w:rsidRPr="00E3331A" w:rsidTr="00493DDF">
        <w:trPr>
          <w:trHeight w:val="255"/>
        </w:trPr>
        <w:tc>
          <w:tcPr>
            <w:tcW w:w="1546" w:type="pct"/>
            <w:shd w:val="clear" w:color="auto" w:fill="auto"/>
            <w:noWrap/>
            <w:vAlign w:val="center"/>
          </w:tcPr>
          <w:p w:rsidR="001E4486" w:rsidRPr="00E3331A" w:rsidRDefault="008448F4" w:rsidP="001E4486">
            <w:pPr>
              <w:rPr>
                <w:rFonts w:ascii="Arial Narrow" w:hAnsi="Arial Narrow" w:cs="Calibri"/>
                <w:color w:val="000000"/>
                <w:sz w:val="20"/>
                <w:szCs w:val="20"/>
              </w:rPr>
            </w:pPr>
            <w:r>
              <w:rPr>
                <w:rFonts w:ascii="Arial Narrow" w:hAnsi="Arial Narrow" w:cs="Calibri"/>
                <w:color w:val="000000"/>
                <w:sz w:val="20"/>
                <w:szCs w:val="20"/>
              </w:rPr>
              <w:t>A</w:t>
            </w:r>
            <w:r w:rsidRPr="008448F4">
              <w:rPr>
                <w:rFonts w:ascii="Arial Narrow" w:hAnsi="Arial Narrow" w:cs="Calibri"/>
                <w:color w:val="000000"/>
                <w:sz w:val="20"/>
                <w:szCs w:val="20"/>
              </w:rPr>
              <w:t>zathioprine</w:t>
            </w:r>
            <w:r w:rsidR="001E4486" w:rsidRPr="00E3331A">
              <w:rPr>
                <w:rFonts w:ascii="Arial Narrow" w:hAnsi="Arial Narrow" w:cs="Calibri"/>
                <w:color w:val="000000"/>
                <w:sz w:val="20"/>
                <w:szCs w:val="20"/>
              </w:rPr>
              <w:t xml:space="preserve"> non-responder</w:t>
            </w:r>
          </w:p>
        </w:tc>
        <w:tc>
          <w:tcPr>
            <w:tcW w:w="1152"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1152"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$49</w:t>
            </w:r>
          </w:p>
        </w:tc>
        <w:tc>
          <w:tcPr>
            <w:tcW w:w="1150"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-$48</w:t>
            </w:r>
          </w:p>
        </w:tc>
      </w:tr>
      <w:tr w:rsidR="001E4486" w:rsidRPr="00E3331A" w:rsidTr="00493DDF">
        <w:trPr>
          <w:trHeight w:val="255"/>
        </w:trPr>
        <w:tc>
          <w:tcPr>
            <w:tcW w:w="1546" w:type="pct"/>
            <w:shd w:val="clear" w:color="auto" w:fill="auto"/>
            <w:noWrap/>
            <w:vAlign w:val="center"/>
          </w:tcPr>
          <w:p w:rsidR="001E4486" w:rsidRPr="00E3331A" w:rsidRDefault="001E4486" w:rsidP="001E4486">
            <w:pPr>
              <w:rPr>
                <w:rFonts w:ascii="Arial Narrow" w:hAnsi="Arial Narrow" w:cs="Calibri"/>
                <w:color w:val="000000"/>
                <w:sz w:val="20"/>
                <w:szCs w:val="20"/>
              </w:rPr>
            </w:pPr>
            <w:r w:rsidRPr="00E3331A">
              <w:rPr>
                <w:rFonts w:ascii="Arial Narrow" w:hAnsi="Arial Narrow" w:cs="Calibri"/>
                <w:color w:val="000000"/>
                <w:sz w:val="20"/>
                <w:szCs w:val="20"/>
              </w:rPr>
              <w:t>Disabled</w:t>
            </w:r>
          </w:p>
        </w:tc>
        <w:tc>
          <w:tcPr>
            <w:tcW w:w="1152"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$0</w:t>
            </w:r>
          </w:p>
        </w:tc>
        <w:tc>
          <w:tcPr>
            <w:tcW w:w="1152"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$13</w:t>
            </w:r>
          </w:p>
        </w:tc>
        <w:tc>
          <w:tcPr>
            <w:tcW w:w="1150"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-$13</w:t>
            </w:r>
          </w:p>
        </w:tc>
      </w:tr>
      <w:tr w:rsidR="001E4486" w:rsidRPr="00E3331A" w:rsidTr="00493DDF">
        <w:trPr>
          <w:trHeight w:val="255"/>
        </w:trPr>
        <w:tc>
          <w:tcPr>
            <w:tcW w:w="1546" w:type="pct"/>
            <w:shd w:val="clear" w:color="auto" w:fill="auto"/>
            <w:noWrap/>
            <w:vAlign w:val="bottom"/>
          </w:tcPr>
          <w:p w:rsidR="001E4486" w:rsidRPr="00E3331A" w:rsidRDefault="001E4486" w:rsidP="001E4486">
            <w:pPr>
              <w:rPr>
                <w:rFonts w:ascii="Arial Narrow" w:hAnsi="Arial Narrow" w:cs="Calibri"/>
                <w:sz w:val="20"/>
                <w:szCs w:val="20"/>
              </w:rPr>
            </w:pPr>
            <w:r w:rsidRPr="00E3331A">
              <w:rPr>
                <w:rFonts w:ascii="Arial Narrow" w:hAnsi="Arial Narrow" w:cs="Calibri"/>
                <w:b/>
                <w:bCs/>
                <w:color w:val="000000"/>
                <w:sz w:val="20"/>
                <w:szCs w:val="20"/>
              </w:rPr>
              <w:lastRenderedPageBreak/>
              <w:t>Total</w:t>
            </w:r>
          </w:p>
        </w:tc>
        <w:tc>
          <w:tcPr>
            <w:tcW w:w="1152"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b/>
                <w:bCs/>
                <w:color w:val="000000"/>
                <w:sz w:val="20"/>
                <w:szCs w:val="20"/>
              </w:rPr>
              <w:t>$16,992</w:t>
            </w:r>
          </w:p>
        </w:tc>
        <w:tc>
          <w:tcPr>
            <w:tcW w:w="1152"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b/>
                <w:bCs/>
                <w:color w:val="000000"/>
                <w:sz w:val="20"/>
                <w:szCs w:val="20"/>
              </w:rPr>
              <w:t>$2,371</w:t>
            </w:r>
          </w:p>
        </w:tc>
        <w:tc>
          <w:tcPr>
            <w:tcW w:w="1150"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b/>
                <w:bCs/>
                <w:color w:val="000000"/>
                <w:sz w:val="20"/>
                <w:szCs w:val="20"/>
              </w:rPr>
              <w:t>$14,622</w:t>
            </w:r>
          </w:p>
        </w:tc>
      </w:tr>
    </w:tbl>
    <w:p w:rsidR="002C719E" w:rsidRPr="00E3331A" w:rsidRDefault="002C719E"/>
    <w:p w:rsidR="002C719E" w:rsidRPr="00E3331A" w:rsidRDefault="002C719E">
      <w:pPr>
        <w:pStyle w:val="Caption"/>
        <w:rPr>
          <w:szCs w:val="20"/>
          <w:lang w:eastAsia="en-GB"/>
        </w:rPr>
      </w:pPr>
      <w:bookmarkStart w:id="470" w:name="_Ref19451727"/>
      <w:bookmarkStart w:id="471" w:name="_Toc24103384"/>
      <w:r w:rsidRPr="00E3331A">
        <w:t xml:space="preserve">Table </w:t>
      </w:r>
      <w:r w:rsidR="006F35B9">
        <w:rPr>
          <w:noProof/>
        </w:rPr>
        <w:t>78</w:t>
      </w:r>
      <w:bookmarkEnd w:id="470"/>
      <w:r w:rsidRPr="00E3331A">
        <w:tab/>
      </w:r>
      <w:r w:rsidRPr="00E3331A">
        <w:rPr>
          <w:szCs w:val="20"/>
          <w:lang w:eastAsia="en-GB"/>
        </w:rPr>
        <w:t xml:space="preserve">Health care costs by resource type for IVIg </w:t>
      </w:r>
      <w:r w:rsidR="00961D15" w:rsidRPr="00E3331A">
        <w:rPr>
          <w:szCs w:val="20"/>
          <w:lang w:eastAsia="en-GB"/>
        </w:rPr>
        <w:t xml:space="preserve">10-year </w:t>
      </w:r>
      <w:r w:rsidRPr="00E3331A">
        <w:rPr>
          <w:szCs w:val="20"/>
          <w:lang w:eastAsia="en-GB"/>
        </w:rPr>
        <w:t>extrapolated analysis (average per patient)</w:t>
      </w:r>
      <w:bookmarkEnd w:id="471"/>
      <w:r w:rsidRPr="00E3331A">
        <w:rPr>
          <w:szCs w:val="20"/>
          <w:lang w:eastAsia="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5"/>
        <w:gridCol w:w="1879"/>
        <w:gridCol w:w="1883"/>
        <w:gridCol w:w="1879"/>
      </w:tblGrid>
      <w:tr w:rsidR="002C719E" w:rsidRPr="00E3331A" w:rsidTr="002C719E">
        <w:trPr>
          <w:trHeight w:val="255"/>
        </w:trPr>
        <w:tc>
          <w:tcPr>
            <w:tcW w:w="1662" w:type="pct"/>
            <w:shd w:val="clear" w:color="auto" w:fill="D9D9D9"/>
            <w:noWrap/>
            <w:vAlign w:val="bottom"/>
            <w:hideMark/>
          </w:tcPr>
          <w:p w:rsidR="001F5B33" w:rsidRPr="00E3331A" w:rsidRDefault="00164043" w:rsidP="00493DDF">
            <w:pPr>
              <w:rPr>
                <w:rFonts w:ascii="Arial Narrow" w:hAnsi="Arial Narrow" w:cs="Calibri"/>
                <w:b/>
                <w:bCs/>
                <w:sz w:val="20"/>
                <w:szCs w:val="20"/>
              </w:rPr>
            </w:pPr>
            <w:r w:rsidRPr="00E3331A">
              <w:rPr>
                <w:rFonts w:ascii="Arial Narrow" w:hAnsi="Arial Narrow" w:cs="Calibri"/>
                <w:b/>
                <w:color w:val="000000"/>
                <w:sz w:val="20"/>
                <w:szCs w:val="20"/>
              </w:rPr>
              <w:t>10-years</w:t>
            </w:r>
          </w:p>
        </w:tc>
        <w:tc>
          <w:tcPr>
            <w:tcW w:w="1112" w:type="pct"/>
            <w:shd w:val="clear" w:color="auto" w:fill="D9D9D9"/>
            <w:noWrap/>
            <w:vAlign w:val="bottom"/>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Undiscounted</w:t>
            </w:r>
          </w:p>
        </w:tc>
        <w:tc>
          <w:tcPr>
            <w:tcW w:w="1114" w:type="pct"/>
            <w:shd w:val="clear" w:color="auto" w:fill="D9D9D9"/>
            <w:noWrap/>
            <w:vAlign w:val="bottom"/>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Undiscounted</w:t>
            </w:r>
          </w:p>
        </w:tc>
        <w:tc>
          <w:tcPr>
            <w:tcW w:w="1112" w:type="pct"/>
            <w:shd w:val="clear" w:color="auto" w:fill="D9D9D9"/>
            <w:noWrap/>
            <w:vAlign w:val="bottom"/>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Undiscounted</w:t>
            </w:r>
          </w:p>
        </w:tc>
      </w:tr>
      <w:tr w:rsidR="001E4486" w:rsidRPr="00E3331A" w:rsidTr="002C719E">
        <w:trPr>
          <w:trHeight w:val="255"/>
        </w:trPr>
        <w:tc>
          <w:tcPr>
            <w:tcW w:w="1662" w:type="pct"/>
            <w:shd w:val="clear" w:color="auto" w:fill="auto"/>
            <w:noWrap/>
            <w:vAlign w:val="center"/>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 xml:space="preserve">Ig </w:t>
            </w:r>
          </w:p>
        </w:tc>
        <w:tc>
          <w:tcPr>
            <w:tcW w:w="111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$193,328</w:t>
            </w:r>
          </w:p>
        </w:tc>
        <w:tc>
          <w:tcPr>
            <w:tcW w:w="1114"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w:t>
            </w:r>
          </w:p>
        </w:tc>
        <w:tc>
          <w:tcPr>
            <w:tcW w:w="111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$193,328</w:t>
            </w:r>
          </w:p>
        </w:tc>
      </w:tr>
      <w:tr w:rsidR="001E4486" w:rsidRPr="00E3331A" w:rsidTr="002C719E">
        <w:trPr>
          <w:trHeight w:val="255"/>
        </w:trPr>
        <w:tc>
          <w:tcPr>
            <w:tcW w:w="1662" w:type="pct"/>
            <w:shd w:val="clear" w:color="auto" w:fill="auto"/>
            <w:noWrap/>
            <w:vAlign w:val="center"/>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Corticosteroids no AE</w:t>
            </w:r>
          </w:p>
        </w:tc>
        <w:tc>
          <w:tcPr>
            <w:tcW w:w="111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$3,873</w:t>
            </w:r>
          </w:p>
        </w:tc>
        <w:tc>
          <w:tcPr>
            <w:tcW w:w="1114"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$7,827</w:t>
            </w:r>
          </w:p>
        </w:tc>
        <w:tc>
          <w:tcPr>
            <w:tcW w:w="111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-$3,954</w:t>
            </w:r>
          </w:p>
        </w:tc>
      </w:tr>
      <w:tr w:rsidR="001E4486" w:rsidRPr="00E3331A" w:rsidTr="002C719E">
        <w:trPr>
          <w:trHeight w:val="255"/>
        </w:trPr>
        <w:tc>
          <w:tcPr>
            <w:tcW w:w="1662" w:type="pct"/>
            <w:shd w:val="clear" w:color="auto" w:fill="auto"/>
            <w:noWrap/>
            <w:vAlign w:val="center"/>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 xml:space="preserve">Fracture </w:t>
            </w:r>
          </w:p>
        </w:tc>
        <w:tc>
          <w:tcPr>
            <w:tcW w:w="111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$430</w:t>
            </w:r>
          </w:p>
        </w:tc>
        <w:tc>
          <w:tcPr>
            <w:tcW w:w="1114"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$886</w:t>
            </w:r>
          </w:p>
        </w:tc>
        <w:tc>
          <w:tcPr>
            <w:tcW w:w="111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-$456</w:t>
            </w:r>
          </w:p>
        </w:tc>
      </w:tr>
      <w:tr w:rsidR="001E4486" w:rsidRPr="00E3331A" w:rsidTr="002C719E">
        <w:trPr>
          <w:trHeight w:val="255"/>
        </w:trPr>
        <w:tc>
          <w:tcPr>
            <w:tcW w:w="1662" w:type="pct"/>
            <w:shd w:val="clear" w:color="auto" w:fill="auto"/>
            <w:noWrap/>
            <w:vAlign w:val="center"/>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 xml:space="preserve">Diabetes mellitus </w:t>
            </w:r>
          </w:p>
        </w:tc>
        <w:tc>
          <w:tcPr>
            <w:tcW w:w="111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$219</w:t>
            </w:r>
          </w:p>
        </w:tc>
        <w:tc>
          <w:tcPr>
            <w:tcW w:w="1114"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$452</w:t>
            </w:r>
          </w:p>
        </w:tc>
        <w:tc>
          <w:tcPr>
            <w:tcW w:w="111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-$233</w:t>
            </w:r>
          </w:p>
        </w:tc>
      </w:tr>
      <w:tr w:rsidR="001E4486" w:rsidRPr="00E3331A" w:rsidTr="002C719E">
        <w:trPr>
          <w:trHeight w:val="255"/>
        </w:trPr>
        <w:tc>
          <w:tcPr>
            <w:tcW w:w="1662" w:type="pct"/>
            <w:shd w:val="clear" w:color="auto" w:fill="auto"/>
            <w:noWrap/>
            <w:vAlign w:val="center"/>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 xml:space="preserve">Cataract </w:t>
            </w:r>
          </w:p>
        </w:tc>
        <w:tc>
          <w:tcPr>
            <w:tcW w:w="111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$245</w:t>
            </w:r>
          </w:p>
        </w:tc>
        <w:tc>
          <w:tcPr>
            <w:tcW w:w="1114"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$506</w:t>
            </w:r>
          </w:p>
        </w:tc>
        <w:tc>
          <w:tcPr>
            <w:tcW w:w="111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-$261</w:t>
            </w:r>
          </w:p>
        </w:tc>
      </w:tr>
      <w:tr w:rsidR="001E4486" w:rsidRPr="00E3331A" w:rsidTr="002C719E">
        <w:trPr>
          <w:trHeight w:val="255"/>
        </w:trPr>
        <w:tc>
          <w:tcPr>
            <w:tcW w:w="1662" w:type="pct"/>
            <w:shd w:val="clear" w:color="auto" w:fill="auto"/>
            <w:noWrap/>
            <w:vAlign w:val="center"/>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 xml:space="preserve">Glaucoma </w:t>
            </w:r>
          </w:p>
        </w:tc>
        <w:tc>
          <w:tcPr>
            <w:tcW w:w="111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$6</w:t>
            </w:r>
          </w:p>
        </w:tc>
        <w:tc>
          <w:tcPr>
            <w:tcW w:w="1114"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$12</w:t>
            </w:r>
          </w:p>
        </w:tc>
        <w:tc>
          <w:tcPr>
            <w:tcW w:w="111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-$6</w:t>
            </w:r>
          </w:p>
        </w:tc>
      </w:tr>
      <w:tr w:rsidR="001E4486" w:rsidRPr="00E3331A" w:rsidTr="002C719E">
        <w:trPr>
          <w:trHeight w:val="255"/>
        </w:trPr>
        <w:tc>
          <w:tcPr>
            <w:tcW w:w="1662" w:type="pct"/>
            <w:shd w:val="clear" w:color="auto" w:fill="auto"/>
            <w:noWrap/>
            <w:vAlign w:val="center"/>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 xml:space="preserve">Infection </w:t>
            </w:r>
          </w:p>
        </w:tc>
        <w:tc>
          <w:tcPr>
            <w:tcW w:w="111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$76</w:t>
            </w:r>
          </w:p>
        </w:tc>
        <w:tc>
          <w:tcPr>
            <w:tcW w:w="1114"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$158</w:t>
            </w:r>
          </w:p>
        </w:tc>
        <w:tc>
          <w:tcPr>
            <w:tcW w:w="111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-$81</w:t>
            </w:r>
          </w:p>
        </w:tc>
      </w:tr>
      <w:tr w:rsidR="008448F4" w:rsidRPr="00E3331A" w:rsidTr="00464E0A">
        <w:trPr>
          <w:trHeight w:val="255"/>
        </w:trPr>
        <w:tc>
          <w:tcPr>
            <w:tcW w:w="1662" w:type="pct"/>
            <w:shd w:val="clear" w:color="auto" w:fill="auto"/>
            <w:noWrap/>
            <w:vAlign w:val="bottom"/>
          </w:tcPr>
          <w:p w:rsidR="008448F4" w:rsidRPr="00E3331A" w:rsidRDefault="008448F4" w:rsidP="008448F4">
            <w:pPr>
              <w:rPr>
                <w:rFonts w:ascii="Arial Narrow" w:hAnsi="Arial Narrow" w:cs="Calibri"/>
                <w:color w:val="000000"/>
                <w:sz w:val="20"/>
                <w:szCs w:val="20"/>
              </w:rPr>
            </w:pPr>
            <w:r w:rsidRPr="008448F4">
              <w:rPr>
                <w:rFonts w:ascii="Arial Narrow" w:hAnsi="Arial Narrow" w:cs="Calibri"/>
                <w:bCs/>
                <w:color w:val="000000"/>
                <w:sz w:val="20"/>
                <w:szCs w:val="20"/>
              </w:rPr>
              <w:t>Corticosteroid</w:t>
            </w:r>
            <w:r>
              <w:rPr>
                <w:rFonts w:ascii="Arial Narrow" w:hAnsi="Arial Narrow" w:cs="Calibri"/>
                <w:bCs/>
                <w:color w:val="000000"/>
                <w:sz w:val="20"/>
                <w:szCs w:val="20"/>
              </w:rPr>
              <w:t xml:space="preserve"> non-responder +</w:t>
            </w:r>
            <w:r w:rsidRPr="008448F4">
              <w:rPr>
                <w:rFonts w:ascii="Arial Narrow" w:hAnsi="Arial Narrow" w:cs="Calibri"/>
                <w:bCs/>
                <w:color w:val="000000"/>
                <w:sz w:val="20"/>
                <w:szCs w:val="20"/>
              </w:rPr>
              <w:t>azathioprine</w:t>
            </w:r>
          </w:p>
        </w:tc>
        <w:tc>
          <w:tcPr>
            <w:tcW w:w="1112" w:type="pct"/>
            <w:shd w:val="clear" w:color="auto" w:fill="auto"/>
            <w:noWrap/>
            <w:vAlign w:val="bottom"/>
          </w:tcPr>
          <w:p w:rsidR="008448F4" w:rsidRPr="00E3331A"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$15</w:t>
            </w:r>
          </w:p>
        </w:tc>
        <w:tc>
          <w:tcPr>
            <w:tcW w:w="1114" w:type="pct"/>
            <w:shd w:val="clear" w:color="auto" w:fill="auto"/>
            <w:noWrap/>
            <w:vAlign w:val="bottom"/>
          </w:tcPr>
          <w:p w:rsidR="008448F4" w:rsidRPr="00E3331A"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$32</w:t>
            </w:r>
          </w:p>
        </w:tc>
        <w:tc>
          <w:tcPr>
            <w:tcW w:w="1112" w:type="pct"/>
            <w:shd w:val="clear" w:color="auto" w:fill="auto"/>
            <w:noWrap/>
            <w:vAlign w:val="bottom"/>
          </w:tcPr>
          <w:p w:rsidR="008448F4" w:rsidRPr="00E3331A"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-$17</w:t>
            </w:r>
          </w:p>
        </w:tc>
      </w:tr>
      <w:tr w:rsidR="008448F4" w:rsidRPr="00E3331A" w:rsidTr="002C719E">
        <w:trPr>
          <w:trHeight w:val="255"/>
        </w:trPr>
        <w:tc>
          <w:tcPr>
            <w:tcW w:w="1662" w:type="pct"/>
            <w:shd w:val="clear" w:color="auto" w:fill="auto"/>
            <w:noWrap/>
            <w:vAlign w:val="center"/>
          </w:tcPr>
          <w:p w:rsidR="008448F4" w:rsidRPr="00E3331A" w:rsidRDefault="008448F4" w:rsidP="008448F4">
            <w:pPr>
              <w:rPr>
                <w:rFonts w:ascii="Arial Narrow" w:hAnsi="Arial Narrow" w:cs="Calibri"/>
                <w:color w:val="000000"/>
                <w:sz w:val="20"/>
                <w:szCs w:val="20"/>
              </w:rPr>
            </w:pPr>
            <w:r>
              <w:rPr>
                <w:rFonts w:ascii="Arial Narrow" w:hAnsi="Arial Narrow" w:cs="Calibri"/>
                <w:color w:val="000000"/>
                <w:sz w:val="20"/>
                <w:szCs w:val="20"/>
              </w:rPr>
              <w:t>A</w:t>
            </w:r>
            <w:r w:rsidRPr="008448F4">
              <w:rPr>
                <w:rFonts w:ascii="Arial Narrow" w:hAnsi="Arial Narrow" w:cs="Calibri"/>
                <w:color w:val="000000"/>
                <w:sz w:val="20"/>
                <w:szCs w:val="20"/>
              </w:rPr>
              <w:t>zathioprine</w:t>
            </w:r>
            <w:r w:rsidRPr="00E3331A">
              <w:rPr>
                <w:rFonts w:ascii="Arial Narrow" w:hAnsi="Arial Narrow" w:cs="Calibri"/>
                <w:color w:val="000000"/>
                <w:sz w:val="20"/>
                <w:szCs w:val="20"/>
              </w:rPr>
              <w:t xml:space="preserve"> non-responder</w:t>
            </w:r>
          </w:p>
        </w:tc>
        <w:tc>
          <w:tcPr>
            <w:tcW w:w="1112" w:type="pct"/>
            <w:shd w:val="clear" w:color="auto" w:fill="auto"/>
            <w:noWrap/>
            <w:vAlign w:val="bottom"/>
          </w:tcPr>
          <w:p w:rsidR="008448F4" w:rsidRPr="00E3331A"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$2,154</w:t>
            </w:r>
          </w:p>
        </w:tc>
        <w:tc>
          <w:tcPr>
            <w:tcW w:w="1114" w:type="pct"/>
            <w:shd w:val="clear" w:color="auto" w:fill="auto"/>
            <w:noWrap/>
            <w:vAlign w:val="bottom"/>
          </w:tcPr>
          <w:p w:rsidR="008448F4" w:rsidRPr="00E3331A"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$4,640</w:t>
            </w:r>
          </w:p>
        </w:tc>
        <w:tc>
          <w:tcPr>
            <w:tcW w:w="1112" w:type="pct"/>
            <w:shd w:val="clear" w:color="auto" w:fill="auto"/>
            <w:noWrap/>
            <w:vAlign w:val="bottom"/>
          </w:tcPr>
          <w:p w:rsidR="008448F4" w:rsidRPr="00E3331A"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-$2,486</w:t>
            </w:r>
          </w:p>
        </w:tc>
      </w:tr>
      <w:tr w:rsidR="001E4486" w:rsidRPr="00E3331A" w:rsidTr="002C719E">
        <w:trPr>
          <w:trHeight w:val="255"/>
        </w:trPr>
        <w:tc>
          <w:tcPr>
            <w:tcW w:w="1662" w:type="pct"/>
            <w:shd w:val="clear" w:color="auto" w:fill="auto"/>
            <w:noWrap/>
            <w:vAlign w:val="center"/>
          </w:tcPr>
          <w:p w:rsidR="001E4486" w:rsidRPr="00E3331A" w:rsidRDefault="001E4486" w:rsidP="001E4486">
            <w:pPr>
              <w:rPr>
                <w:rFonts w:ascii="Arial Narrow" w:hAnsi="Arial Narrow" w:cs="Calibri"/>
                <w:color w:val="000000"/>
                <w:sz w:val="20"/>
                <w:szCs w:val="20"/>
              </w:rPr>
            </w:pPr>
            <w:r w:rsidRPr="00E3331A">
              <w:rPr>
                <w:rFonts w:ascii="Arial Narrow" w:hAnsi="Arial Narrow" w:cs="Calibri"/>
                <w:color w:val="000000"/>
                <w:sz w:val="20"/>
                <w:szCs w:val="20"/>
              </w:rPr>
              <w:t>Disabled</w:t>
            </w:r>
          </w:p>
        </w:tc>
        <w:tc>
          <w:tcPr>
            <w:tcW w:w="1112"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$19,153</w:t>
            </w:r>
          </w:p>
        </w:tc>
        <w:tc>
          <w:tcPr>
            <w:tcW w:w="1114"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$43,507</w:t>
            </w:r>
          </w:p>
        </w:tc>
        <w:tc>
          <w:tcPr>
            <w:tcW w:w="1112" w:type="pct"/>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-$24,354</w:t>
            </w:r>
          </w:p>
        </w:tc>
      </w:tr>
      <w:tr w:rsidR="001E4486" w:rsidRPr="00E3331A" w:rsidTr="002C719E">
        <w:trPr>
          <w:trHeight w:val="255"/>
        </w:trPr>
        <w:tc>
          <w:tcPr>
            <w:tcW w:w="1662" w:type="pct"/>
            <w:shd w:val="clear" w:color="auto" w:fill="auto"/>
            <w:noWrap/>
            <w:vAlign w:val="bottom"/>
          </w:tcPr>
          <w:p w:rsidR="001E4486" w:rsidRPr="00E3331A" w:rsidRDefault="001E4486" w:rsidP="001E4486">
            <w:pPr>
              <w:rPr>
                <w:rFonts w:ascii="Arial Narrow" w:hAnsi="Arial Narrow" w:cs="Calibri"/>
                <w:sz w:val="20"/>
                <w:szCs w:val="20"/>
              </w:rPr>
            </w:pPr>
            <w:r w:rsidRPr="00E3331A">
              <w:rPr>
                <w:rFonts w:ascii="Arial Narrow" w:hAnsi="Arial Narrow" w:cs="Calibri"/>
                <w:b/>
                <w:bCs/>
                <w:color w:val="000000"/>
                <w:sz w:val="20"/>
                <w:szCs w:val="20"/>
              </w:rPr>
              <w:t>Total</w:t>
            </w:r>
          </w:p>
        </w:tc>
        <w:tc>
          <w:tcPr>
            <w:tcW w:w="111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b/>
                <w:bCs/>
                <w:color w:val="000000"/>
                <w:sz w:val="20"/>
                <w:szCs w:val="20"/>
              </w:rPr>
              <w:t>$219,499</w:t>
            </w:r>
          </w:p>
        </w:tc>
        <w:tc>
          <w:tcPr>
            <w:tcW w:w="1114"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b/>
                <w:bCs/>
                <w:color w:val="000000"/>
                <w:sz w:val="20"/>
                <w:szCs w:val="20"/>
              </w:rPr>
              <w:t>$58,020</w:t>
            </w:r>
          </w:p>
        </w:tc>
        <w:tc>
          <w:tcPr>
            <w:tcW w:w="1112" w:type="pct"/>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b/>
                <w:bCs/>
                <w:color w:val="000000"/>
                <w:sz w:val="20"/>
                <w:szCs w:val="20"/>
              </w:rPr>
              <w:t>$161,480</w:t>
            </w:r>
          </w:p>
        </w:tc>
      </w:tr>
    </w:tbl>
    <w:p w:rsidR="001F5B33" w:rsidRPr="00E3331A" w:rsidRDefault="001F5B33" w:rsidP="0037150F">
      <w:pPr>
        <w:pStyle w:val="Tablenotes1"/>
      </w:pPr>
      <w:r w:rsidRPr="00E3331A">
        <w:t xml:space="preserve">Abbreviations: IVIg = Intravenous Ig, </w:t>
      </w:r>
      <w:r w:rsidR="00D55273" w:rsidRPr="00E3331A">
        <w:t>AE = adverse event</w:t>
      </w:r>
    </w:p>
    <w:p w:rsidR="001F5B33" w:rsidRPr="00E3331A" w:rsidRDefault="001F5B33" w:rsidP="001F5B33">
      <w:pPr>
        <w:pStyle w:val="Heading3"/>
      </w:pPr>
      <w:bookmarkStart w:id="472" w:name="_Toc24103516"/>
      <w:r w:rsidRPr="00E3331A">
        <w:t>D.5.2. Health Outcomes per Patient by Step and by Health State</w:t>
      </w:r>
      <w:bookmarkEnd w:id="472"/>
    </w:p>
    <w:p w:rsidR="001F5B33" w:rsidRPr="00E3331A" w:rsidRDefault="001F5B33" w:rsidP="00906C5E">
      <w:pPr>
        <w:pStyle w:val="BodyTextSTD"/>
        <w:rPr>
          <w:lang w:eastAsia="en-GB"/>
        </w:rPr>
      </w:pPr>
      <w:r w:rsidRPr="00E3331A">
        <w:rPr>
          <w:lang w:eastAsia="en-GB"/>
        </w:rPr>
        <w:t xml:space="preserve">Average outcomes (per patient) generated by the economic model </w:t>
      </w:r>
      <w:r w:rsidR="00502A9B" w:rsidRPr="00E3331A">
        <w:rPr>
          <w:lang w:eastAsia="en-GB"/>
        </w:rPr>
        <w:t xml:space="preserve">are estimated </w:t>
      </w:r>
      <w:r w:rsidRPr="00E3331A">
        <w:rPr>
          <w:lang w:eastAsia="en-GB"/>
        </w:rPr>
        <w:t>for life</w:t>
      </w:r>
      <w:r w:rsidR="00502A9B" w:rsidRPr="00E3331A">
        <w:rPr>
          <w:lang w:eastAsia="en-GB"/>
        </w:rPr>
        <w:t xml:space="preserve"> </w:t>
      </w:r>
      <w:r w:rsidRPr="00E3331A">
        <w:rPr>
          <w:lang w:eastAsia="en-GB"/>
        </w:rPr>
        <w:t>years (LY) and Quality</w:t>
      </w:r>
      <w:r w:rsidR="00D45BCF" w:rsidRPr="00E3331A">
        <w:rPr>
          <w:lang w:eastAsia="en-GB"/>
        </w:rPr>
        <w:t>-</w:t>
      </w:r>
      <w:r w:rsidRPr="00E3331A">
        <w:rPr>
          <w:lang w:eastAsia="en-GB"/>
        </w:rPr>
        <w:t>Adjusted Life</w:t>
      </w:r>
      <w:r w:rsidR="00502A9B" w:rsidRPr="00E3331A">
        <w:rPr>
          <w:lang w:eastAsia="en-GB"/>
        </w:rPr>
        <w:t xml:space="preserve"> </w:t>
      </w:r>
      <w:r w:rsidRPr="00E3331A">
        <w:rPr>
          <w:lang w:eastAsia="en-GB"/>
        </w:rPr>
        <w:t>Years (QALY).</w:t>
      </w:r>
      <w:r w:rsidR="00345C95" w:rsidRPr="00E3331A">
        <w:rPr>
          <w:lang w:eastAsia="en-GB"/>
        </w:rPr>
        <w:t xml:space="preserve"> </w:t>
      </w:r>
      <w:r w:rsidR="006F35B9" w:rsidRPr="00E3331A">
        <w:t xml:space="preserve">Table </w:t>
      </w:r>
      <w:r w:rsidR="006F35B9">
        <w:rPr>
          <w:noProof/>
        </w:rPr>
        <w:t>79</w:t>
      </w:r>
      <w:r w:rsidRPr="00E3331A">
        <w:rPr>
          <w:lang w:eastAsia="en-GB"/>
        </w:rPr>
        <w:t xml:space="preserve"> presents the analysis for the 6-month trial period </w:t>
      </w:r>
      <w:r w:rsidR="00502A9B" w:rsidRPr="00E3331A">
        <w:rPr>
          <w:lang w:eastAsia="en-GB"/>
        </w:rPr>
        <w:t xml:space="preserve">and </w:t>
      </w:r>
      <w:r w:rsidR="006F35B9" w:rsidRPr="00E3331A">
        <w:t xml:space="preserve">Table </w:t>
      </w:r>
      <w:r w:rsidR="006F35B9">
        <w:rPr>
          <w:noProof/>
        </w:rPr>
        <w:t>80</w:t>
      </w:r>
      <w:r w:rsidRPr="00E3331A">
        <w:rPr>
          <w:lang w:eastAsia="en-GB"/>
        </w:rPr>
        <w:t xml:space="preserve"> </w:t>
      </w:r>
      <w:r w:rsidR="00502A9B" w:rsidRPr="00E3331A">
        <w:rPr>
          <w:lang w:eastAsia="en-GB"/>
        </w:rPr>
        <w:t xml:space="preserve">shows </w:t>
      </w:r>
      <w:r w:rsidRPr="00E3331A">
        <w:rPr>
          <w:lang w:eastAsia="en-GB"/>
        </w:rPr>
        <w:t xml:space="preserve">the </w:t>
      </w:r>
      <w:r w:rsidR="00E5452C" w:rsidRPr="00E3331A">
        <w:rPr>
          <w:lang w:eastAsia="en-GB"/>
        </w:rPr>
        <w:t>10</w:t>
      </w:r>
      <w:r w:rsidRPr="00E3331A">
        <w:rPr>
          <w:lang w:eastAsia="en-GB"/>
        </w:rPr>
        <w:t>-year extrapolated analysis.</w:t>
      </w:r>
      <w:r w:rsidR="00B878C3" w:rsidRPr="00E3331A">
        <w:rPr>
          <w:lang w:eastAsia="en-GB"/>
        </w:rPr>
        <w:t xml:space="preserve"> </w:t>
      </w:r>
      <w:r w:rsidRPr="00E3331A">
        <w:rPr>
          <w:lang w:eastAsia="en-GB"/>
        </w:rPr>
        <w:t>It is evident that most QALYs are generated in the Ig</w:t>
      </w:r>
      <w:r w:rsidR="00502A9B" w:rsidRPr="00E3331A">
        <w:rPr>
          <w:lang w:eastAsia="en-GB"/>
        </w:rPr>
        <w:t>-</w:t>
      </w:r>
      <w:r w:rsidRPr="00E3331A">
        <w:rPr>
          <w:lang w:eastAsia="en-GB"/>
        </w:rPr>
        <w:t xml:space="preserve">responder state for the Ig arm, while most in the corticosteroid arm are associated with the </w:t>
      </w:r>
      <w:r w:rsidR="005541CA" w:rsidRPr="00E3331A">
        <w:rPr>
          <w:lang w:eastAsia="en-GB"/>
        </w:rPr>
        <w:t>c</w:t>
      </w:r>
      <w:r w:rsidRPr="00E3331A">
        <w:rPr>
          <w:lang w:eastAsia="en-GB"/>
        </w:rPr>
        <w:t xml:space="preserve">orticosteroids no AE state. As in the resource use analysis, corticosteroids no AE states have limited impact on model results. The difference between the utilities assumed for the Ig responder and corticosteroid no-AE states is </w:t>
      </w:r>
      <w:r w:rsidR="00B878C3" w:rsidRPr="00E3331A">
        <w:rPr>
          <w:lang w:eastAsia="en-GB"/>
        </w:rPr>
        <w:t xml:space="preserve">a </w:t>
      </w:r>
      <w:r w:rsidRPr="00E3331A">
        <w:rPr>
          <w:lang w:eastAsia="en-GB"/>
        </w:rPr>
        <w:t xml:space="preserve">key driver of estimated health benefit. This was estimated to be 0.12 in favour of Ig for the base analysis. It is included in </w:t>
      </w:r>
      <w:r w:rsidR="00502A9B" w:rsidRPr="00E3331A">
        <w:rPr>
          <w:lang w:eastAsia="en-GB"/>
        </w:rPr>
        <w:t xml:space="preserve">the </w:t>
      </w:r>
      <w:r w:rsidRPr="00E3331A">
        <w:rPr>
          <w:lang w:eastAsia="en-GB"/>
        </w:rPr>
        <w:t xml:space="preserve">sensitivity analysis and shown to </w:t>
      </w:r>
      <w:r w:rsidR="001E4486" w:rsidRPr="00E3331A">
        <w:rPr>
          <w:lang w:eastAsia="en-GB"/>
        </w:rPr>
        <w:t>ha</w:t>
      </w:r>
      <w:r w:rsidR="00B878C3" w:rsidRPr="00E3331A">
        <w:rPr>
          <w:lang w:eastAsia="en-GB"/>
        </w:rPr>
        <w:t>ve</w:t>
      </w:r>
      <w:r w:rsidR="001E4486" w:rsidRPr="00E3331A">
        <w:rPr>
          <w:lang w:eastAsia="en-GB"/>
        </w:rPr>
        <w:t xml:space="preserve"> a significant impact on</w:t>
      </w:r>
      <w:r w:rsidRPr="00E3331A">
        <w:rPr>
          <w:lang w:eastAsia="en-GB"/>
        </w:rPr>
        <w:t xml:space="preserve"> model results.</w:t>
      </w:r>
    </w:p>
    <w:p w:rsidR="001F5B33" w:rsidRPr="00E3331A" w:rsidRDefault="001F5B33" w:rsidP="001F5B33">
      <w:pPr>
        <w:pStyle w:val="Caption"/>
        <w:rPr>
          <w:szCs w:val="20"/>
          <w:lang w:eastAsia="en-GB"/>
        </w:rPr>
      </w:pPr>
      <w:bookmarkStart w:id="473" w:name="_Ref519363086"/>
      <w:bookmarkStart w:id="474" w:name="_Toc24103385"/>
      <w:r w:rsidRPr="00E3331A">
        <w:lastRenderedPageBreak/>
        <w:t xml:space="preserve">Table </w:t>
      </w:r>
      <w:r w:rsidR="006F35B9">
        <w:rPr>
          <w:noProof/>
        </w:rPr>
        <w:t>79</w:t>
      </w:r>
      <w:bookmarkEnd w:id="473"/>
      <w:r w:rsidR="0012715D" w:rsidRPr="00E3331A">
        <w:tab/>
      </w:r>
      <w:r w:rsidRPr="00E3331A">
        <w:t>Average patient h</w:t>
      </w:r>
      <w:r w:rsidRPr="00E3331A">
        <w:rPr>
          <w:szCs w:val="20"/>
          <w:lang w:eastAsia="en-GB"/>
        </w:rPr>
        <w:t>ealth outcomes by health state and by outcome measure for trial analysis</w:t>
      </w:r>
      <w:bookmarkEnd w:id="474"/>
    </w:p>
    <w:tbl>
      <w:tblPr>
        <w:tblW w:w="5000" w:type="pct"/>
        <w:tblLook w:val="04A0" w:firstRow="1" w:lastRow="0" w:firstColumn="1" w:lastColumn="0" w:noHBand="0" w:noVBand="1"/>
      </w:tblPr>
      <w:tblGrid>
        <w:gridCol w:w="4241"/>
        <w:gridCol w:w="1774"/>
        <w:gridCol w:w="1495"/>
        <w:gridCol w:w="1506"/>
      </w:tblGrid>
      <w:tr w:rsidR="001F5B33" w:rsidRPr="00E3331A" w:rsidTr="004635C7">
        <w:trPr>
          <w:trHeight w:val="255"/>
          <w:tblHeader/>
        </w:trPr>
        <w:tc>
          <w:tcPr>
            <w:tcW w:w="235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F5B33" w:rsidRPr="00E3331A" w:rsidRDefault="001F5B33" w:rsidP="00DA591D">
            <w:pPr>
              <w:keepNext/>
              <w:rPr>
                <w:rFonts w:ascii="Arial Narrow" w:hAnsi="Arial Narrow" w:cs="Calibri"/>
                <w:b/>
                <w:bCs/>
                <w:sz w:val="20"/>
                <w:szCs w:val="20"/>
              </w:rPr>
            </w:pPr>
            <w:r w:rsidRPr="00E3331A">
              <w:rPr>
                <w:rFonts w:ascii="Arial Narrow" w:hAnsi="Arial Narrow" w:cs="Calibri"/>
                <w:b/>
                <w:bCs/>
                <w:sz w:val="20"/>
                <w:szCs w:val="20"/>
              </w:rPr>
              <w:t> </w:t>
            </w:r>
            <w:r w:rsidR="004635C7" w:rsidRPr="00E3331A">
              <w:rPr>
                <w:rFonts w:ascii="Arial Narrow" w:hAnsi="Arial Narrow" w:cs="Calibri"/>
                <w:b/>
                <w:bCs/>
                <w:sz w:val="20"/>
                <w:szCs w:val="20"/>
              </w:rPr>
              <w:t>Trial period (6 months)</w:t>
            </w:r>
          </w:p>
        </w:tc>
        <w:tc>
          <w:tcPr>
            <w:tcW w:w="984" w:type="pct"/>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DA591D">
            <w:pPr>
              <w:keepNext/>
              <w:jc w:val="center"/>
              <w:rPr>
                <w:rFonts w:ascii="Arial Narrow" w:hAnsi="Arial Narrow" w:cs="Calibri"/>
                <w:b/>
                <w:bCs/>
                <w:sz w:val="20"/>
                <w:szCs w:val="20"/>
              </w:rPr>
            </w:pPr>
            <w:r w:rsidRPr="00E3331A">
              <w:rPr>
                <w:rFonts w:ascii="Arial Narrow" w:hAnsi="Arial Narrow" w:cs="Calibri"/>
                <w:b/>
                <w:bCs/>
                <w:sz w:val="20"/>
                <w:szCs w:val="20"/>
              </w:rPr>
              <w:t>Ig</w:t>
            </w:r>
          </w:p>
        </w:tc>
        <w:tc>
          <w:tcPr>
            <w:tcW w:w="829" w:type="pct"/>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DA591D">
            <w:pPr>
              <w:keepNext/>
              <w:jc w:val="center"/>
              <w:rPr>
                <w:rFonts w:ascii="Arial Narrow" w:hAnsi="Arial Narrow" w:cs="Calibri"/>
                <w:b/>
                <w:bCs/>
                <w:sz w:val="20"/>
                <w:szCs w:val="20"/>
              </w:rPr>
            </w:pPr>
            <w:r w:rsidRPr="00E3331A">
              <w:rPr>
                <w:rFonts w:ascii="Arial Narrow" w:hAnsi="Arial Narrow" w:cs="Calibri"/>
                <w:b/>
                <w:bCs/>
                <w:sz w:val="20"/>
                <w:szCs w:val="20"/>
              </w:rPr>
              <w:t>Corticosteroids</w:t>
            </w:r>
          </w:p>
        </w:tc>
        <w:tc>
          <w:tcPr>
            <w:tcW w:w="835" w:type="pct"/>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DA591D">
            <w:pPr>
              <w:keepNext/>
              <w:jc w:val="center"/>
              <w:rPr>
                <w:rFonts w:ascii="Arial Narrow" w:hAnsi="Arial Narrow" w:cs="Calibri"/>
                <w:b/>
                <w:bCs/>
                <w:sz w:val="20"/>
                <w:szCs w:val="20"/>
              </w:rPr>
            </w:pPr>
            <w:r w:rsidRPr="00E3331A">
              <w:rPr>
                <w:rFonts w:ascii="Arial Narrow" w:hAnsi="Arial Narrow" w:cs="Calibri"/>
                <w:b/>
                <w:bCs/>
                <w:sz w:val="20"/>
                <w:szCs w:val="20"/>
              </w:rPr>
              <w:t>Incremental</w:t>
            </w:r>
          </w:p>
        </w:tc>
      </w:tr>
      <w:tr w:rsidR="001F5B33" w:rsidRPr="00E3331A" w:rsidTr="004635C7">
        <w:trPr>
          <w:trHeight w:val="255"/>
          <w:tblHeader/>
        </w:trPr>
        <w:tc>
          <w:tcPr>
            <w:tcW w:w="2352" w:type="pct"/>
            <w:tcBorders>
              <w:top w:val="nil"/>
              <w:left w:val="single" w:sz="4" w:space="0" w:color="auto"/>
              <w:bottom w:val="single" w:sz="4" w:space="0" w:color="auto"/>
              <w:right w:val="single" w:sz="4" w:space="0" w:color="auto"/>
            </w:tcBorders>
            <w:shd w:val="clear" w:color="auto" w:fill="D9D9D9"/>
            <w:noWrap/>
            <w:vAlign w:val="bottom"/>
            <w:hideMark/>
          </w:tcPr>
          <w:p w:rsidR="001F5B33" w:rsidRPr="00E3331A" w:rsidRDefault="001F5B33" w:rsidP="00493DDF">
            <w:pPr>
              <w:rPr>
                <w:rFonts w:ascii="Arial Narrow" w:hAnsi="Arial Narrow" w:cs="Calibri"/>
                <w:b/>
                <w:bCs/>
                <w:sz w:val="20"/>
                <w:szCs w:val="20"/>
              </w:rPr>
            </w:pPr>
            <w:r w:rsidRPr="00E3331A">
              <w:rPr>
                <w:rFonts w:ascii="Arial Narrow" w:hAnsi="Arial Narrow" w:cs="Calibri"/>
                <w:b/>
                <w:bCs/>
                <w:sz w:val="20"/>
                <w:szCs w:val="20"/>
              </w:rPr>
              <w:t xml:space="preserve"># </w:t>
            </w:r>
            <w:r w:rsidR="00961D15" w:rsidRPr="00E3331A">
              <w:rPr>
                <w:rFonts w:ascii="Arial Narrow" w:hAnsi="Arial Narrow" w:cs="Calibri"/>
                <w:b/>
                <w:bCs/>
                <w:sz w:val="20"/>
                <w:szCs w:val="20"/>
              </w:rPr>
              <w:t>Life Years (LYs)</w:t>
            </w:r>
          </w:p>
        </w:tc>
        <w:tc>
          <w:tcPr>
            <w:tcW w:w="984" w:type="pct"/>
            <w:tcBorders>
              <w:top w:val="nil"/>
              <w:left w:val="nil"/>
              <w:bottom w:val="single" w:sz="4" w:space="0" w:color="auto"/>
              <w:right w:val="single" w:sz="4" w:space="0" w:color="auto"/>
            </w:tcBorders>
            <w:shd w:val="clear" w:color="auto" w:fill="D9D9D9"/>
            <w:noWrap/>
            <w:vAlign w:val="bottom"/>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Undiscounted</w:t>
            </w:r>
          </w:p>
        </w:tc>
        <w:tc>
          <w:tcPr>
            <w:tcW w:w="829" w:type="pct"/>
            <w:tcBorders>
              <w:top w:val="nil"/>
              <w:left w:val="nil"/>
              <w:bottom w:val="single" w:sz="4" w:space="0" w:color="auto"/>
              <w:right w:val="single" w:sz="4" w:space="0" w:color="auto"/>
            </w:tcBorders>
            <w:shd w:val="clear" w:color="auto" w:fill="D9D9D9"/>
            <w:noWrap/>
            <w:vAlign w:val="bottom"/>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Undiscounted</w:t>
            </w:r>
          </w:p>
        </w:tc>
        <w:tc>
          <w:tcPr>
            <w:tcW w:w="835" w:type="pct"/>
            <w:tcBorders>
              <w:top w:val="nil"/>
              <w:left w:val="nil"/>
              <w:bottom w:val="single" w:sz="4" w:space="0" w:color="auto"/>
              <w:right w:val="single" w:sz="4" w:space="0" w:color="auto"/>
            </w:tcBorders>
            <w:shd w:val="clear" w:color="auto" w:fill="D9D9D9"/>
            <w:noWrap/>
            <w:vAlign w:val="bottom"/>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Undiscounted</w:t>
            </w:r>
          </w:p>
        </w:tc>
      </w:tr>
      <w:tr w:rsidR="00961D15" w:rsidRPr="00E3331A" w:rsidTr="004635C7">
        <w:trPr>
          <w:trHeight w:val="255"/>
        </w:trPr>
        <w:tc>
          <w:tcPr>
            <w:tcW w:w="2352" w:type="pct"/>
            <w:tcBorders>
              <w:top w:val="nil"/>
              <w:left w:val="single" w:sz="4" w:space="0" w:color="auto"/>
              <w:bottom w:val="single" w:sz="4" w:space="0" w:color="auto"/>
              <w:right w:val="single" w:sz="4" w:space="0" w:color="auto"/>
            </w:tcBorders>
            <w:shd w:val="clear" w:color="auto" w:fill="auto"/>
            <w:noWrap/>
            <w:vAlign w:val="center"/>
          </w:tcPr>
          <w:p w:rsidR="00961D15" w:rsidRPr="00E3331A" w:rsidRDefault="00961D15" w:rsidP="00961D15">
            <w:pPr>
              <w:rPr>
                <w:rFonts w:ascii="Arial Narrow" w:hAnsi="Arial Narrow" w:cs="Calibri"/>
                <w:sz w:val="20"/>
                <w:szCs w:val="20"/>
              </w:rPr>
            </w:pPr>
            <w:r w:rsidRPr="00E3331A">
              <w:rPr>
                <w:rFonts w:ascii="Arial Narrow" w:hAnsi="Arial Narrow" w:cs="Calibri"/>
                <w:color w:val="000000"/>
                <w:sz w:val="20"/>
                <w:szCs w:val="20"/>
              </w:rPr>
              <w:t xml:space="preserve">Ig </w:t>
            </w:r>
          </w:p>
        </w:tc>
        <w:tc>
          <w:tcPr>
            <w:tcW w:w="984"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0.45</w:t>
            </w:r>
          </w:p>
        </w:tc>
        <w:tc>
          <w:tcPr>
            <w:tcW w:w="829"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0.00</w:t>
            </w:r>
          </w:p>
        </w:tc>
        <w:tc>
          <w:tcPr>
            <w:tcW w:w="835"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0.45</w:t>
            </w:r>
          </w:p>
        </w:tc>
      </w:tr>
      <w:tr w:rsidR="00961D15" w:rsidRPr="00E3331A" w:rsidTr="004635C7">
        <w:trPr>
          <w:trHeight w:val="255"/>
        </w:trPr>
        <w:tc>
          <w:tcPr>
            <w:tcW w:w="2352" w:type="pct"/>
            <w:tcBorders>
              <w:top w:val="nil"/>
              <w:left w:val="single" w:sz="4" w:space="0" w:color="auto"/>
              <w:bottom w:val="single" w:sz="4" w:space="0" w:color="auto"/>
              <w:right w:val="single" w:sz="4" w:space="0" w:color="auto"/>
            </w:tcBorders>
            <w:shd w:val="clear" w:color="auto" w:fill="auto"/>
            <w:noWrap/>
            <w:vAlign w:val="center"/>
          </w:tcPr>
          <w:p w:rsidR="00961D15" w:rsidRPr="00E3331A" w:rsidRDefault="00961D15" w:rsidP="00961D15">
            <w:pPr>
              <w:rPr>
                <w:rFonts w:ascii="Arial Narrow" w:hAnsi="Arial Narrow" w:cs="Calibri"/>
                <w:sz w:val="20"/>
                <w:szCs w:val="20"/>
              </w:rPr>
            </w:pPr>
            <w:r w:rsidRPr="00E3331A">
              <w:rPr>
                <w:rFonts w:ascii="Arial Narrow" w:hAnsi="Arial Narrow" w:cs="Calibri"/>
                <w:color w:val="000000"/>
                <w:sz w:val="20"/>
                <w:szCs w:val="20"/>
              </w:rPr>
              <w:t>Corticosteroids no AE</w:t>
            </w:r>
          </w:p>
        </w:tc>
        <w:tc>
          <w:tcPr>
            <w:tcW w:w="984"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0.05</w:t>
            </w:r>
          </w:p>
        </w:tc>
        <w:tc>
          <w:tcPr>
            <w:tcW w:w="829"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0.48</w:t>
            </w:r>
          </w:p>
        </w:tc>
        <w:tc>
          <w:tcPr>
            <w:tcW w:w="835"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-0.43</w:t>
            </w:r>
          </w:p>
        </w:tc>
      </w:tr>
      <w:tr w:rsidR="00961D15" w:rsidRPr="00E3331A" w:rsidTr="004635C7">
        <w:trPr>
          <w:trHeight w:val="255"/>
        </w:trPr>
        <w:tc>
          <w:tcPr>
            <w:tcW w:w="2352" w:type="pct"/>
            <w:tcBorders>
              <w:top w:val="nil"/>
              <w:left w:val="single" w:sz="4" w:space="0" w:color="auto"/>
              <w:bottom w:val="single" w:sz="4" w:space="0" w:color="auto"/>
              <w:right w:val="single" w:sz="4" w:space="0" w:color="auto"/>
            </w:tcBorders>
            <w:shd w:val="clear" w:color="auto" w:fill="auto"/>
            <w:noWrap/>
            <w:vAlign w:val="center"/>
          </w:tcPr>
          <w:p w:rsidR="00961D15" w:rsidRPr="00E3331A" w:rsidRDefault="00961D15" w:rsidP="00961D15">
            <w:pPr>
              <w:rPr>
                <w:rFonts w:ascii="Arial Narrow" w:hAnsi="Arial Narrow" w:cs="Calibri"/>
                <w:sz w:val="20"/>
                <w:szCs w:val="20"/>
              </w:rPr>
            </w:pPr>
            <w:r w:rsidRPr="00E3331A">
              <w:rPr>
                <w:rFonts w:ascii="Arial Narrow" w:hAnsi="Arial Narrow" w:cs="Calibri"/>
                <w:color w:val="000000"/>
                <w:sz w:val="20"/>
                <w:szCs w:val="20"/>
              </w:rPr>
              <w:t xml:space="preserve">Fracture </w:t>
            </w:r>
          </w:p>
        </w:tc>
        <w:tc>
          <w:tcPr>
            <w:tcW w:w="984"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0.00</w:t>
            </w:r>
          </w:p>
        </w:tc>
        <w:tc>
          <w:tcPr>
            <w:tcW w:w="829"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0.00</w:t>
            </w:r>
          </w:p>
        </w:tc>
        <w:tc>
          <w:tcPr>
            <w:tcW w:w="835"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0.00</w:t>
            </w:r>
          </w:p>
        </w:tc>
      </w:tr>
      <w:tr w:rsidR="00961D15" w:rsidRPr="00E3331A" w:rsidTr="004635C7">
        <w:trPr>
          <w:trHeight w:val="255"/>
        </w:trPr>
        <w:tc>
          <w:tcPr>
            <w:tcW w:w="2352" w:type="pct"/>
            <w:tcBorders>
              <w:top w:val="nil"/>
              <w:left w:val="single" w:sz="4" w:space="0" w:color="auto"/>
              <w:bottom w:val="single" w:sz="4" w:space="0" w:color="auto"/>
              <w:right w:val="single" w:sz="4" w:space="0" w:color="auto"/>
            </w:tcBorders>
            <w:shd w:val="clear" w:color="auto" w:fill="auto"/>
            <w:noWrap/>
            <w:vAlign w:val="center"/>
          </w:tcPr>
          <w:p w:rsidR="00961D15" w:rsidRPr="00E3331A" w:rsidRDefault="00961D15" w:rsidP="00961D15">
            <w:pPr>
              <w:rPr>
                <w:rFonts w:ascii="Arial Narrow" w:hAnsi="Arial Narrow" w:cs="Calibri"/>
                <w:sz w:val="20"/>
                <w:szCs w:val="20"/>
              </w:rPr>
            </w:pPr>
            <w:r w:rsidRPr="00E3331A">
              <w:rPr>
                <w:rFonts w:ascii="Arial Narrow" w:hAnsi="Arial Narrow" w:cs="Calibri"/>
                <w:color w:val="000000"/>
                <w:sz w:val="20"/>
                <w:szCs w:val="20"/>
              </w:rPr>
              <w:t xml:space="preserve">Diabetes mellitus </w:t>
            </w:r>
          </w:p>
        </w:tc>
        <w:tc>
          <w:tcPr>
            <w:tcW w:w="984"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0.00</w:t>
            </w:r>
          </w:p>
        </w:tc>
        <w:tc>
          <w:tcPr>
            <w:tcW w:w="829"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0.00</w:t>
            </w:r>
          </w:p>
        </w:tc>
        <w:tc>
          <w:tcPr>
            <w:tcW w:w="835"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0.00</w:t>
            </w:r>
          </w:p>
        </w:tc>
      </w:tr>
      <w:tr w:rsidR="00961D15" w:rsidRPr="00E3331A" w:rsidTr="004635C7">
        <w:trPr>
          <w:trHeight w:val="255"/>
        </w:trPr>
        <w:tc>
          <w:tcPr>
            <w:tcW w:w="2352" w:type="pct"/>
            <w:tcBorders>
              <w:top w:val="nil"/>
              <w:left w:val="single" w:sz="4" w:space="0" w:color="auto"/>
              <w:bottom w:val="single" w:sz="4" w:space="0" w:color="auto"/>
              <w:right w:val="single" w:sz="4" w:space="0" w:color="auto"/>
            </w:tcBorders>
            <w:shd w:val="clear" w:color="auto" w:fill="auto"/>
            <w:noWrap/>
            <w:vAlign w:val="center"/>
          </w:tcPr>
          <w:p w:rsidR="00961D15" w:rsidRPr="00E3331A" w:rsidRDefault="00961D15" w:rsidP="00961D15">
            <w:pPr>
              <w:rPr>
                <w:rFonts w:ascii="Arial Narrow" w:hAnsi="Arial Narrow" w:cs="Calibri"/>
                <w:sz w:val="20"/>
                <w:szCs w:val="20"/>
              </w:rPr>
            </w:pPr>
            <w:r w:rsidRPr="00E3331A">
              <w:rPr>
                <w:rFonts w:ascii="Arial Narrow" w:hAnsi="Arial Narrow" w:cs="Calibri"/>
                <w:color w:val="000000"/>
                <w:sz w:val="20"/>
                <w:szCs w:val="20"/>
              </w:rPr>
              <w:t xml:space="preserve">Cataract </w:t>
            </w:r>
          </w:p>
        </w:tc>
        <w:tc>
          <w:tcPr>
            <w:tcW w:w="984"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0.00</w:t>
            </w:r>
          </w:p>
        </w:tc>
        <w:tc>
          <w:tcPr>
            <w:tcW w:w="829"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0.00</w:t>
            </w:r>
          </w:p>
        </w:tc>
        <w:tc>
          <w:tcPr>
            <w:tcW w:w="835"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0.00</w:t>
            </w:r>
          </w:p>
        </w:tc>
      </w:tr>
      <w:tr w:rsidR="00961D15" w:rsidRPr="00E3331A" w:rsidTr="004635C7">
        <w:trPr>
          <w:trHeight w:val="255"/>
        </w:trPr>
        <w:tc>
          <w:tcPr>
            <w:tcW w:w="2352" w:type="pct"/>
            <w:tcBorders>
              <w:top w:val="nil"/>
              <w:left w:val="single" w:sz="4" w:space="0" w:color="auto"/>
              <w:bottom w:val="single" w:sz="4" w:space="0" w:color="auto"/>
              <w:right w:val="single" w:sz="4" w:space="0" w:color="auto"/>
            </w:tcBorders>
            <w:shd w:val="clear" w:color="auto" w:fill="auto"/>
            <w:noWrap/>
            <w:vAlign w:val="center"/>
          </w:tcPr>
          <w:p w:rsidR="00961D15" w:rsidRPr="00E3331A" w:rsidRDefault="00961D15" w:rsidP="00961D15">
            <w:pPr>
              <w:rPr>
                <w:rFonts w:ascii="Arial Narrow" w:hAnsi="Arial Narrow" w:cs="Calibri"/>
                <w:sz w:val="20"/>
                <w:szCs w:val="20"/>
              </w:rPr>
            </w:pPr>
            <w:r w:rsidRPr="00E3331A">
              <w:rPr>
                <w:rFonts w:ascii="Arial Narrow" w:hAnsi="Arial Narrow" w:cs="Calibri"/>
                <w:color w:val="000000"/>
                <w:sz w:val="20"/>
                <w:szCs w:val="20"/>
              </w:rPr>
              <w:t xml:space="preserve">Glaucoma </w:t>
            </w:r>
          </w:p>
        </w:tc>
        <w:tc>
          <w:tcPr>
            <w:tcW w:w="984"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0.00</w:t>
            </w:r>
          </w:p>
        </w:tc>
        <w:tc>
          <w:tcPr>
            <w:tcW w:w="829"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0.00</w:t>
            </w:r>
          </w:p>
        </w:tc>
        <w:tc>
          <w:tcPr>
            <w:tcW w:w="835"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0.00</w:t>
            </w:r>
          </w:p>
        </w:tc>
      </w:tr>
      <w:tr w:rsidR="00961D15" w:rsidRPr="00E3331A" w:rsidTr="004635C7">
        <w:trPr>
          <w:trHeight w:val="255"/>
        </w:trPr>
        <w:tc>
          <w:tcPr>
            <w:tcW w:w="2352" w:type="pct"/>
            <w:tcBorders>
              <w:top w:val="nil"/>
              <w:left w:val="single" w:sz="4" w:space="0" w:color="auto"/>
              <w:bottom w:val="single" w:sz="4" w:space="0" w:color="auto"/>
              <w:right w:val="single" w:sz="4" w:space="0" w:color="auto"/>
            </w:tcBorders>
            <w:shd w:val="clear" w:color="auto" w:fill="auto"/>
            <w:noWrap/>
            <w:vAlign w:val="center"/>
          </w:tcPr>
          <w:p w:rsidR="00961D15" w:rsidRPr="00E3331A" w:rsidRDefault="00961D15" w:rsidP="00961D15">
            <w:pPr>
              <w:rPr>
                <w:rFonts w:ascii="Arial Narrow" w:hAnsi="Arial Narrow" w:cs="Calibri"/>
                <w:sz w:val="20"/>
                <w:szCs w:val="20"/>
              </w:rPr>
            </w:pPr>
            <w:r w:rsidRPr="00E3331A">
              <w:rPr>
                <w:rFonts w:ascii="Arial Narrow" w:hAnsi="Arial Narrow" w:cs="Calibri"/>
                <w:color w:val="000000"/>
                <w:sz w:val="20"/>
                <w:szCs w:val="20"/>
              </w:rPr>
              <w:t xml:space="preserve">Infection </w:t>
            </w:r>
          </w:p>
        </w:tc>
        <w:tc>
          <w:tcPr>
            <w:tcW w:w="984"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0.00</w:t>
            </w:r>
          </w:p>
        </w:tc>
        <w:tc>
          <w:tcPr>
            <w:tcW w:w="829"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0.00</w:t>
            </w:r>
          </w:p>
        </w:tc>
        <w:tc>
          <w:tcPr>
            <w:tcW w:w="835"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0.00</w:t>
            </w:r>
          </w:p>
        </w:tc>
      </w:tr>
      <w:tr w:rsidR="008448F4" w:rsidRPr="00E3331A" w:rsidTr="004635C7">
        <w:trPr>
          <w:trHeight w:val="255"/>
        </w:trPr>
        <w:tc>
          <w:tcPr>
            <w:tcW w:w="2352" w:type="pct"/>
            <w:tcBorders>
              <w:top w:val="nil"/>
              <w:left w:val="single" w:sz="4" w:space="0" w:color="auto"/>
              <w:bottom w:val="single" w:sz="4" w:space="0" w:color="auto"/>
              <w:right w:val="single" w:sz="4" w:space="0" w:color="auto"/>
            </w:tcBorders>
            <w:shd w:val="clear" w:color="auto" w:fill="auto"/>
            <w:noWrap/>
            <w:vAlign w:val="bottom"/>
          </w:tcPr>
          <w:p w:rsidR="008448F4" w:rsidRPr="00E3331A" w:rsidRDefault="008448F4" w:rsidP="008448F4">
            <w:pPr>
              <w:rPr>
                <w:rFonts w:ascii="Arial Narrow" w:hAnsi="Arial Narrow" w:cs="Calibri"/>
                <w:color w:val="000000"/>
                <w:sz w:val="20"/>
                <w:szCs w:val="20"/>
              </w:rPr>
            </w:pPr>
            <w:r w:rsidRPr="008448F4">
              <w:rPr>
                <w:rFonts w:ascii="Arial Narrow" w:hAnsi="Arial Narrow" w:cs="Calibri"/>
                <w:bCs/>
                <w:color w:val="000000"/>
                <w:sz w:val="20"/>
                <w:szCs w:val="20"/>
              </w:rPr>
              <w:t>Corticosteroid</w:t>
            </w:r>
            <w:r>
              <w:rPr>
                <w:rFonts w:ascii="Arial Narrow" w:hAnsi="Arial Narrow" w:cs="Calibri"/>
                <w:bCs/>
                <w:color w:val="000000"/>
                <w:sz w:val="20"/>
                <w:szCs w:val="20"/>
              </w:rPr>
              <w:t xml:space="preserve"> non-responder +</w:t>
            </w:r>
            <w:r w:rsidRPr="008448F4">
              <w:rPr>
                <w:rFonts w:ascii="Arial Narrow" w:hAnsi="Arial Narrow" w:cs="Calibri"/>
                <w:bCs/>
                <w:color w:val="000000"/>
                <w:sz w:val="20"/>
                <w:szCs w:val="20"/>
              </w:rPr>
              <w:t>azathioprine</w:t>
            </w:r>
          </w:p>
        </w:tc>
        <w:tc>
          <w:tcPr>
            <w:tcW w:w="984" w:type="pct"/>
            <w:tcBorders>
              <w:top w:val="nil"/>
              <w:left w:val="nil"/>
              <w:bottom w:val="single" w:sz="4" w:space="0" w:color="auto"/>
              <w:right w:val="single" w:sz="4" w:space="0" w:color="auto"/>
            </w:tcBorders>
            <w:shd w:val="clear" w:color="auto" w:fill="auto"/>
            <w:noWrap/>
            <w:vAlign w:val="bottom"/>
          </w:tcPr>
          <w:p w:rsidR="008448F4" w:rsidRPr="00E3331A"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0.00</w:t>
            </w:r>
          </w:p>
        </w:tc>
        <w:tc>
          <w:tcPr>
            <w:tcW w:w="829" w:type="pct"/>
            <w:tcBorders>
              <w:top w:val="nil"/>
              <w:left w:val="nil"/>
              <w:bottom w:val="single" w:sz="4" w:space="0" w:color="auto"/>
              <w:right w:val="single" w:sz="4" w:space="0" w:color="auto"/>
            </w:tcBorders>
            <w:shd w:val="clear" w:color="auto" w:fill="auto"/>
            <w:noWrap/>
            <w:vAlign w:val="bottom"/>
          </w:tcPr>
          <w:p w:rsidR="008448F4" w:rsidRPr="00E3331A"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0.00</w:t>
            </w:r>
          </w:p>
        </w:tc>
        <w:tc>
          <w:tcPr>
            <w:tcW w:w="835" w:type="pct"/>
            <w:tcBorders>
              <w:top w:val="nil"/>
              <w:left w:val="nil"/>
              <w:bottom w:val="single" w:sz="4" w:space="0" w:color="auto"/>
              <w:right w:val="single" w:sz="4" w:space="0" w:color="auto"/>
            </w:tcBorders>
            <w:shd w:val="clear" w:color="auto" w:fill="auto"/>
            <w:noWrap/>
            <w:vAlign w:val="bottom"/>
          </w:tcPr>
          <w:p w:rsidR="008448F4" w:rsidRPr="00E3331A"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0.00</w:t>
            </w:r>
          </w:p>
        </w:tc>
      </w:tr>
      <w:tr w:rsidR="008448F4" w:rsidRPr="00E3331A" w:rsidTr="004635C7">
        <w:trPr>
          <w:trHeight w:val="255"/>
        </w:trPr>
        <w:tc>
          <w:tcPr>
            <w:tcW w:w="2352" w:type="pct"/>
            <w:tcBorders>
              <w:top w:val="nil"/>
              <w:left w:val="single" w:sz="4" w:space="0" w:color="auto"/>
              <w:bottom w:val="single" w:sz="4" w:space="0" w:color="auto"/>
              <w:right w:val="single" w:sz="4" w:space="0" w:color="auto"/>
            </w:tcBorders>
            <w:shd w:val="clear" w:color="auto" w:fill="auto"/>
            <w:noWrap/>
            <w:vAlign w:val="center"/>
          </w:tcPr>
          <w:p w:rsidR="008448F4" w:rsidRPr="00E3331A" w:rsidRDefault="008448F4" w:rsidP="008448F4">
            <w:pPr>
              <w:rPr>
                <w:rFonts w:ascii="Arial Narrow" w:hAnsi="Arial Narrow" w:cs="Calibri"/>
                <w:color w:val="000000"/>
                <w:sz w:val="20"/>
                <w:szCs w:val="20"/>
              </w:rPr>
            </w:pPr>
            <w:r>
              <w:rPr>
                <w:rFonts w:ascii="Arial Narrow" w:hAnsi="Arial Narrow" w:cs="Calibri"/>
                <w:color w:val="000000"/>
                <w:sz w:val="20"/>
                <w:szCs w:val="20"/>
              </w:rPr>
              <w:t>A</w:t>
            </w:r>
            <w:r w:rsidRPr="008448F4">
              <w:rPr>
                <w:rFonts w:ascii="Arial Narrow" w:hAnsi="Arial Narrow" w:cs="Calibri"/>
                <w:color w:val="000000"/>
                <w:sz w:val="20"/>
                <w:szCs w:val="20"/>
              </w:rPr>
              <w:t>zathioprine</w:t>
            </w:r>
            <w:r w:rsidRPr="00E3331A">
              <w:rPr>
                <w:rFonts w:ascii="Arial Narrow" w:hAnsi="Arial Narrow" w:cs="Calibri"/>
                <w:color w:val="000000"/>
                <w:sz w:val="20"/>
                <w:szCs w:val="20"/>
              </w:rPr>
              <w:t xml:space="preserve"> non-responder</w:t>
            </w:r>
          </w:p>
        </w:tc>
        <w:tc>
          <w:tcPr>
            <w:tcW w:w="984" w:type="pct"/>
            <w:tcBorders>
              <w:top w:val="nil"/>
              <w:left w:val="nil"/>
              <w:bottom w:val="single" w:sz="4" w:space="0" w:color="auto"/>
              <w:right w:val="single" w:sz="4" w:space="0" w:color="auto"/>
            </w:tcBorders>
            <w:shd w:val="clear" w:color="auto" w:fill="auto"/>
            <w:noWrap/>
            <w:vAlign w:val="bottom"/>
          </w:tcPr>
          <w:p w:rsidR="008448F4" w:rsidRPr="00E3331A"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0.00</w:t>
            </w:r>
          </w:p>
        </w:tc>
        <w:tc>
          <w:tcPr>
            <w:tcW w:w="829" w:type="pct"/>
            <w:tcBorders>
              <w:top w:val="nil"/>
              <w:left w:val="nil"/>
              <w:bottom w:val="single" w:sz="4" w:space="0" w:color="auto"/>
              <w:right w:val="single" w:sz="4" w:space="0" w:color="auto"/>
            </w:tcBorders>
            <w:shd w:val="clear" w:color="auto" w:fill="auto"/>
            <w:noWrap/>
            <w:vAlign w:val="bottom"/>
          </w:tcPr>
          <w:p w:rsidR="008448F4" w:rsidRPr="00E3331A"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0.02</w:t>
            </w:r>
          </w:p>
        </w:tc>
        <w:tc>
          <w:tcPr>
            <w:tcW w:w="835" w:type="pct"/>
            <w:tcBorders>
              <w:top w:val="nil"/>
              <w:left w:val="nil"/>
              <w:bottom w:val="single" w:sz="4" w:space="0" w:color="auto"/>
              <w:right w:val="single" w:sz="4" w:space="0" w:color="auto"/>
            </w:tcBorders>
            <w:shd w:val="clear" w:color="auto" w:fill="auto"/>
            <w:noWrap/>
            <w:vAlign w:val="bottom"/>
          </w:tcPr>
          <w:p w:rsidR="008448F4" w:rsidRPr="00E3331A"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-0.02</w:t>
            </w:r>
          </w:p>
        </w:tc>
      </w:tr>
      <w:tr w:rsidR="00961D15" w:rsidRPr="00E3331A" w:rsidTr="004635C7">
        <w:trPr>
          <w:trHeight w:val="255"/>
        </w:trPr>
        <w:tc>
          <w:tcPr>
            <w:tcW w:w="2352" w:type="pct"/>
            <w:tcBorders>
              <w:top w:val="nil"/>
              <w:left w:val="single" w:sz="4" w:space="0" w:color="auto"/>
              <w:bottom w:val="single" w:sz="4" w:space="0" w:color="auto"/>
              <w:right w:val="single" w:sz="4" w:space="0" w:color="auto"/>
            </w:tcBorders>
            <w:shd w:val="clear" w:color="auto" w:fill="auto"/>
            <w:noWrap/>
            <w:vAlign w:val="center"/>
          </w:tcPr>
          <w:p w:rsidR="00961D15" w:rsidRPr="00E3331A" w:rsidRDefault="00961D15" w:rsidP="00961D15">
            <w:pPr>
              <w:rPr>
                <w:rFonts w:ascii="Arial Narrow" w:hAnsi="Arial Narrow" w:cs="Calibri"/>
                <w:color w:val="000000"/>
                <w:sz w:val="20"/>
                <w:szCs w:val="20"/>
              </w:rPr>
            </w:pPr>
            <w:r w:rsidRPr="00E3331A">
              <w:rPr>
                <w:rFonts w:ascii="Arial Narrow" w:hAnsi="Arial Narrow" w:cs="Calibri"/>
                <w:color w:val="000000"/>
                <w:sz w:val="20"/>
                <w:szCs w:val="20"/>
              </w:rPr>
              <w:t>Disabled</w:t>
            </w:r>
          </w:p>
        </w:tc>
        <w:tc>
          <w:tcPr>
            <w:tcW w:w="984"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color w:val="000000"/>
                <w:sz w:val="20"/>
                <w:szCs w:val="20"/>
              </w:rPr>
            </w:pPr>
            <w:r w:rsidRPr="00E3331A">
              <w:rPr>
                <w:rFonts w:ascii="Arial Narrow" w:hAnsi="Arial Narrow" w:cs="Calibri"/>
                <w:color w:val="000000"/>
                <w:sz w:val="20"/>
                <w:szCs w:val="20"/>
              </w:rPr>
              <w:t>0.00</w:t>
            </w:r>
          </w:p>
        </w:tc>
        <w:tc>
          <w:tcPr>
            <w:tcW w:w="829"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color w:val="000000"/>
                <w:sz w:val="20"/>
                <w:szCs w:val="20"/>
              </w:rPr>
            </w:pPr>
            <w:r w:rsidRPr="00E3331A">
              <w:rPr>
                <w:rFonts w:ascii="Arial Narrow" w:hAnsi="Arial Narrow" w:cs="Calibri"/>
                <w:color w:val="000000"/>
                <w:sz w:val="20"/>
                <w:szCs w:val="20"/>
              </w:rPr>
              <w:t>0.00</w:t>
            </w:r>
          </w:p>
        </w:tc>
        <w:tc>
          <w:tcPr>
            <w:tcW w:w="835"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color w:val="000000"/>
                <w:sz w:val="20"/>
                <w:szCs w:val="20"/>
              </w:rPr>
            </w:pPr>
            <w:r w:rsidRPr="00E3331A">
              <w:rPr>
                <w:rFonts w:ascii="Arial Narrow" w:hAnsi="Arial Narrow" w:cs="Calibri"/>
                <w:color w:val="000000"/>
                <w:sz w:val="20"/>
                <w:szCs w:val="20"/>
              </w:rPr>
              <w:t>0.00</w:t>
            </w:r>
          </w:p>
        </w:tc>
      </w:tr>
      <w:tr w:rsidR="00961D15" w:rsidRPr="00E3331A" w:rsidTr="004635C7">
        <w:trPr>
          <w:trHeight w:val="255"/>
        </w:trPr>
        <w:tc>
          <w:tcPr>
            <w:tcW w:w="2352" w:type="pct"/>
            <w:tcBorders>
              <w:top w:val="nil"/>
              <w:left w:val="single" w:sz="4" w:space="0" w:color="auto"/>
              <w:bottom w:val="single" w:sz="4" w:space="0" w:color="auto"/>
              <w:right w:val="single" w:sz="4" w:space="0" w:color="auto"/>
            </w:tcBorders>
            <w:shd w:val="clear" w:color="auto" w:fill="auto"/>
            <w:noWrap/>
            <w:vAlign w:val="bottom"/>
          </w:tcPr>
          <w:p w:rsidR="00961D15" w:rsidRPr="00E3331A" w:rsidRDefault="00961D15" w:rsidP="00961D15">
            <w:pPr>
              <w:rPr>
                <w:rFonts w:ascii="Arial Narrow" w:hAnsi="Arial Narrow" w:cs="Calibri"/>
                <w:sz w:val="20"/>
                <w:szCs w:val="20"/>
              </w:rPr>
            </w:pPr>
            <w:r w:rsidRPr="00E3331A">
              <w:rPr>
                <w:rFonts w:ascii="Arial Narrow" w:hAnsi="Arial Narrow" w:cs="Calibri"/>
                <w:b/>
                <w:bCs/>
                <w:color w:val="000000"/>
                <w:sz w:val="20"/>
                <w:szCs w:val="20"/>
              </w:rPr>
              <w:t>Total</w:t>
            </w:r>
          </w:p>
        </w:tc>
        <w:tc>
          <w:tcPr>
            <w:tcW w:w="984"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b/>
                <w:bCs/>
                <w:color w:val="000000"/>
                <w:sz w:val="20"/>
                <w:szCs w:val="20"/>
              </w:rPr>
              <w:t>0.50</w:t>
            </w:r>
          </w:p>
        </w:tc>
        <w:tc>
          <w:tcPr>
            <w:tcW w:w="829"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b/>
                <w:bCs/>
                <w:color w:val="000000"/>
                <w:sz w:val="20"/>
                <w:szCs w:val="20"/>
              </w:rPr>
              <w:t>0.50</w:t>
            </w:r>
          </w:p>
        </w:tc>
        <w:tc>
          <w:tcPr>
            <w:tcW w:w="835"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b/>
                <w:bCs/>
                <w:color w:val="000000"/>
                <w:sz w:val="20"/>
                <w:szCs w:val="20"/>
              </w:rPr>
              <w:t>0.00</w:t>
            </w:r>
          </w:p>
        </w:tc>
      </w:tr>
      <w:tr w:rsidR="004635C7" w:rsidRPr="00E3331A" w:rsidTr="004635C7">
        <w:trPr>
          <w:trHeight w:val="255"/>
        </w:trPr>
        <w:tc>
          <w:tcPr>
            <w:tcW w:w="2352" w:type="pct"/>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4635C7" w:rsidRPr="00E3331A" w:rsidRDefault="004635C7" w:rsidP="004635C7">
            <w:pPr>
              <w:rPr>
                <w:rFonts w:ascii="Arial Narrow" w:hAnsi="Arial Narrow" w:cs="Calibri"/>
                <w:b/>
                <w:bCs/>
                <w:color w:val="000000"/>
                <w:sz w:val="20"/>
                <w:szCs w:val="20"/>
              </w:rPr>
            </w:pPr>
            <w:r w:rsidRPr="00E3331A">
              <w:rPr>
                <w:rFonts w:ascii="Arial Narrow" w:hAnsi="Arial Narrow" w:cs="Calibri"/>
                <w:b/>
                <w:bCs/>
                <w:sz w:val="20"/>
                <w:szCs w:val="20"/>
              </w:rPr>
              <w:t># QALYs</w:t>
            </w:r>
          </w:p>
        </w:tc>
        <w:tc>
          <w:tcPr>
            <w:tcW w:w="984" w:type="pct"/>
            <w:tcBorders>
              <w:top w:val="nil"/>
              <w:left w:val="nil"/>
              <w:bottom w:val="single" w:sz="4" w:space="0" w:color="auto"/>
              <w:right w:val="single" w:sz="4" w:space="0" w:color="auto"/>
            </w:tcBorders>
            <w:shd w:val="clear" w:color="auto" w:fill="D9D9D9" w:themeFill="background1" w:themeFillShade="D9"/>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b/>
                <w:bCs/>
                <w:sz w:val="20"/>
                <w:szCs w:val="20"/>
              </w:rPr>
              <w:t>Undiscounted</w:t>
            </w:r>
          </w:p>
        </w:tc>
        <w:tc>
          <w:tcPr>
            <w:tcW w:w="829" w:type="pct"/>
            <w:tcBorders>
              <w:top w:val="nil"/>
              <w:left w:val="nil"/>
              <w:bottom w:val="single" w:sz="4" w:space="0" w:color="auto"/>
              <w:right w:val="single" w:sz="4" w:space="0" w:color="auto"/>
            </w:tcBorders>
            <w:shd w:val="clear" w:color="auto" w:fill="D9D9D9" w:themeFill="background1" w:themeFillShade="D9"/>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b/>
                <w:bCs/>
                <w:sz w:val="20"/>
                <w:szCs w:val="20"/>
              </w:rPr>
              <w:t>Undiscounted</w:t>
            </w:r>
          </w:p>
        </w:tc>
        <w:tc>
          <w:tcPr>
            <w:tcW w:w="835" w:type="pct"/>
            <w:tcBorders>
              <w:top w:val="nil"/>
              <w:left w:val="nil"/>
              <w:bottom w:val="single" w:sz="4" w:space="0" w:color="auto"/>
              <w:right w:val="single" w:sz="4" w:space="0" w:color="auto"/>
            </w:tcBorders>
            <w:shd w:val="clear" w:color="auto" w:fill="D9D9D9" w:themeFill="background1" w:themeFillShade="D9"/>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b/>
                <w:bCs/>
                <w:sz w:val="20"/>
                <w:szCs w:val="20"/>
              </w:rPr>
              <w:t>Undiscounted</w:t>
            </w:r>
          </w:p>
        </w:tc>
      </w:tr>
      <w:tr w:rsidR="004635C7" w:rsidRPr="00E3331A" w:rsidTr="00F0719B">
        <w:trPr>
          <w:trHeight w:val="255"/>
        </w:trPr>
        <w:tc>
          <w:tcPr>
            <w:tcW w:w="2352" w:type="pct"/>
            <w:tcBorders>
              <w:top w:val="nil"/>
              <w:left w:val="single" w:sz="4" w:space="0" w:color="auto"/>
              <w:bottom w:val="single" w:sz="4" w:space="0" w:color="auto"/>
              <w:right w:val="single" w:sz="4" w:space="0" w:color="auto"/>
            </w:tcBorders>
            <w:shd w:val="clear" w:color="auto" w:fill="auto"/>
            <w:noWrap/>
            <w:vAlign w:val="center"/>
          </w:tcPr>
          <w:p w:rsidR="004635C7" w:rsidRPr="00E3331A" w:rsidRDefault="004635C7" w:rsidP="004635C7">
            <w:pPr>
              <w:rPr>
                <w:rFonts w:ascii="Arial Narrow" w:hAnsi="Arial Narrow" w:cs="Calibri"/>
                <w:b/>
                <w:bCs/>
                <w:color w:val="000000"/>
                <w:sz w:val="20"/>
                <w:szCs w:val="20"/>
              </w:rPr>
            </w:pPr>
            <w:r w:rsidRPr="00E3331A">
              <w:rPr>
                <w:rFonts w:ascii="Arial Narrow" w:hAnsi="Arial Narrow" w:cs="Calibri"/>
                <w:color w:val="000000"/>
                <w:sz w:val="20"/>
                <w:szCs w:val="20"/>
              </w:rPr>
              <w:t xml:space="preserve">Ig </w:t>
            </w:r>
          </w:p>
        </w:tc>
        <w:tc>
          <w:tcPr>
            <w:tcW w:w="984"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0.33</w:t>
            </w:r>
          </w:p>
        </w:tc>
        <w:tc>
          <w:tcPr>
            <w:tcW w:w="829"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c>
          <w:tcPr>
            <w:tcW w:w="835"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0.33</w:t>
            </w:r>
          </w:p>
        </w:tc>
      </w:tr>
      <w:tr w:rsidR="004635C7" w:rsidRPr="00E3331A" w:rsidTr="00F0719B">
        <w:trPr>
          <w:trHeight w:val="255"/>
        </w:trPr>
        <w:tc>
          <w:tcPr>
            <w:tcW w:w="2352" w:type="pct"/>
            <w:tcBorders>
              <w:top w:val="nil"/>
              <w:left w:val="single" w:sz="4" w:space="0" w:color="auto"/>
              <w:bottom w:val="single" w:sz="4" w:space="0" w:color="auto"/>
              <w:right w:val="single" w:sz="4" w:space="0" w:color="auto"/>
            </w:tcBorders>
            <w:shd w:val="clear" w:color="auto" w:fill="auto"/>
            <w:noWrap/>
            <w:vAlign w:val="center"/>
          </w:tcPr>
          <w:p w:rsidR="004635C7" w:rsidRPr="00E3331A" w:rsidRDefault="004635C7" w:rsidP="004635C7">
            <w:pPr>
              <w:rPr>
                <w:rFonts w:ascii="Arial Narrow" w:hAnsi="Arial Narrow" w:cs="Calibri"/>
                <w:b/>
                <w:bCs/>
                <w:color w:val="000000"/>
                <w:sz w:val="20"/>
                <w:szCs w:val="20"/>
              </w:rPr>
            </w:pPr>
            <w:r w:rsidRPr="00E3331A">
              <w:rPr>
                <w:rFonts w:ascii="Arial Narrow" w:hAnsi="Arial Narrow" w:cs="Calibri"/>
                <w:color w:val="000000"/>
                <w:sz w:val="20"/>
                <w:szCs w:val="20"/>
              </w:rPr>
              <w:t>Corticosteroids no AE</w:t>
            </w:r>
          </w:p>
        </w:tc>
        <w:tc>
          <w:tcPr>
            <w:tcW w:w="984"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0.03</w:t>
            </w:r>
          </w:p>
        </w:tc>
        <w:tc>
          <w:tcPr>
            <w:tcW w:w="829"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0.29</w:t>
            </w:r>
          </w:p>
        </w:tc>
        <w:tc>
          <w:tcPr>
            <w:tcW w:w="835"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-0.26</w:t>
            </w:r>
          </w:p>
        </w:tc>
      </w:tr>
      <w:tr w:rsidR="004635C7" w:rsidRPr="00E3331A" w:rsidTr="00F0719B">
        <w:trPr>
          <w:trHeight w:val="255"/>
        </w:trPr>
        <w:tc>
          <w:tcPr>
            <w:tcW w:w="2352" w:type="pct"/>
            <w:tcBorders>
              <w:top w:val="nil"/>
              <w:left w:val="single" w:sz="4" w:space="0" w:color="auto"/>
              <w:bottom w:val="single" w:sz="4" w:space="0" w:color="auto"/>
              <w:right w:val="single" w:sz="4" w:space="0" w:color="auto"/>
            </w:tcBorders>
            <w:shd w:val="clear" w:color="auto" w:fill="auto"/>
            <w:noWrap/>
            <w:vAlign w:val="center"/>
          </w:tcPr>
          <w:p w:rsidR="004635C7" w:rsidRPr="00E3331A" w:rsidRDefault="004635C7" w:rsidP="004635C7">
            <w:pPr>
              <w:rPr>
                <w:rFonts w:ascii="Arial Narrow" w:hAnsi="Arial Narrow" w:cs="Calibri"/>
                <w:b/>
                <w:bCs/>
                <w:color w:val="000000"/>
                <w:sz w:val="20"/>
                <w:szCs w:val="20"/>
              </w:rPr>
            </w:pPr>
            <w:r w:rsidRPr="00E3331A">
              <w:rPr>
                <w:rFonts w:ascii="Arial Narrow" w:hAnsi="Arial Narrow" w:cs="Calibri"/>
                <w:color w:val="000000"/>
                <w:sz w:val="20"/>
                <w:szCs w:val="20"/>
              </w:rPr>
              <w:t xml:space="preserve">Fracture </w:t>
            </w:r>
          </w:p>
        </w:tc>
        <w:tc>
          <w:tcPr>
            <w:tcW w:w="984"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c>
          <w:tcPr>
            <w:tcW w:w="829"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c>
          <w:tcPr>
            <w:tcW w:w="835"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r>
      <w:tr w:rsidR="004635C7" w:rsidRPr="00E3331A" w:rsidTr="00F0719B">
        <w:trPr>
          <w:trHeight w:val="255"/>
        </w:trPr>
        <w:tc>
          <w:tcPr>
            <w:tcW w:w="2352" w:type="pct"/>
            <w:tcBorders>
              <w:top w:val="nil"/>
              <w:left w:val="single" w:sz="4" w:space="0" w:color="auto"/>
              <w:bottom w:val="single" w:sz="4" w:space="0" w:color="auto"/>
              <w:right w:val="single" w:sz="4" w:space="0" w:color="auto"/>
            </w:tcBorders>
            <w:shd w:val="clear" w:color="auto" w:fill="auto"/>
            <w:noWrap/>
            <w:vAlign w:val="center"/>
          </w:tcPr>
          <w:p w:rsidR="004635C7" w:rsidRPr="00E3331A" w:rsidRDefault="004635C7" w:rsidP="004635C7">
            <w:pPr>
              <w:rPr>
                <w:rFonts w:ascii="Arial Narrow" w:hAnsi="Arial Narrow" w:cs="Calibri"/>
                <w:b/>
                <w:bCs/>
                <w:color w:val="000000"/>
                <w:sz w:val="20"/>
                <w:szCs w:val="20"/>
              </w:rPr>
            </w:pPr>
            <w:r w:rsidRPr="00E3331A">
              <w:rPr>
                <w:rFonts w:ascii="Arial Narrow" w:hAnsi="Arial Narrow" w:cs="Calibri"/>
                <w:color w:val="000000"/>
                <w:sz w:val="20"/>
                <w:szCs w:val="20"/>
              </w:rPr>
              <w:t xml:space="preserve">Diabetes mellitus </w:t>
            </w:r>
          </w:p>
        </w:tc>
        <w:tc>
          <w:tcPr>
            <w:tcW w:w="984"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c>
          <w:tcPr>
            <w:tcW w:w="829"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c>
          <w:tcPr>
            <w:tcW w:w="835"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r>
      <w:tr w:rsidR="004635C7" w:rsidRPr="00E3331A" w:rsidTr="00F0719B">
        <w:trPr>
          <w:trHeight w:val="255"/>
        </w:trPr>
        <w:tc>
          <w:tcPr>
            <w:tcW w:w="2352" w:type="pct"/>
            <w:tcBorders>
              <w:top w:val="nil"/>
              <w:left w:val="single" w:sz="4" w:space="0" w:color="auto"/>
              <w:bottom w:val="single" w:sz="4" w:space="0" w:color="auto"/>
              <w:right w:val="single" w:sz="4" w:space="0" w:color="auto"/>
            </w:tcBorders>
            <w:shd w:val="clear" w:color="auto" w:fill="auto"/>
            <w:noWrap/>
            <w:vAlign w:val="center"/>
          </w:tcPr>
          <w:p w:rsidR="004635C7" w:rsidRPr="00E3331A" w:rsidRDefault="004635C7" w:rsidP="004635C7">
            <w:pPr>
              <w:rPr>
                <w:rFonts w:ascii="Arial Narrow" w:hAnsi="Arial Narrow" w:cs="Calibri"/>
                <w:b/>
                <w:bCs/>
                <w:color w:val="000000"/>
                <w:sz w:val="20"/>
                <w:szCs w:val="20"/>
              </w:rPr>
            </w:pPr>
            <w:r w:rsidRPr="00E3331A">
              <w:rPr>
                <w:rFonts w:ascii="Arial Narrow" w:hAnsi="Arial Narrow" w:cs="Calibri"/>
                <w:color w:val="000000"/>
                <w:sz w:val="20"/>
                <w:szCs w:val="20"/>
              </w:rPr>
              <w:t xml:space="preserve">Cataract </w:t>
            </w:r>
          </w:p>
        </w:tc>
        <w:tc>
          <w:tcPr>
            <w:tcW w:w="984"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c>
          <w:tcPr>
            <w:tcW w:w="829"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c>
          <w:tcPr>
            <w:tcW w:w="835"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r>
      <w:tr w:rsidR="004635C7" w:rsidRPr="00E3331A" w:rsidTr="00F0719B">
        <w:trPr>
          <w:trHeight w:val="255"/>
        </w:trPr>
        <w:tc>
          <w:tcPr>
            <w:tcW w:w="2352" w:type="pct"/>
            <w:tcBorders>
              <w:top w:val="nil"/>
              <w:left w:val="single" w:sz="4" w:space="0" w:color="auto"/>
              <w:bottom w:val="single" w:sz="4" w:space="0" w:color="auto"/>
              <w:right w:val="single" w:sz="4" w:space="0" w:color="auto"/>
            </w:tcBorders>
            <w:shd w:val="clear" w:color="auto" w:fill="auto"/>
            <w:noWrap/>
            <w:vAlign w:val="center"/>
          </w:tcPr>
          <w:p w:rsidR="004635C7" w:rsidRPr="00E3331A" w:rsidRDefault="004635C7" w:rsidP="004635C7">
            <w:pPr>
              <w:rPr>
                <w:rFonts w:ascii="Arial Narrow" w:hAnsi="Arial Narrow" w:cs="Calibri"/>
                <w:b/>
                <w:bCs/>
                <w:color w:val="000000"/>
                <w:sz w:val="20"/>
                <w:szCs w:val="20"/>
              </w:rPr>
            </w:pPr>
            <w:r w:rsidRPr="00E3331A">
              <w:rPr>
                <w:rFonts w:ascii="Arial Narrow" w:hAnsi="Arial Narrow" w:cs="Calibri"/>
                <w:color w:val="000000"/>
                <w:sz w:val="20"/>
                <w:szCs w:val="20"/>
              </w:rPr>
              <w:t xml:space="preserve">Glaucoma </w:t>
            </w:r>
          </w:p>
        </w:tc>
        <w:tc>
          <w:tcPr>
            <w:tcW w:w="984"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c>
          <w:tcPr>
            <w:tcW w:w="829"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c>
          <w:tcPr>
            <w:tcW w:w="835"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r>
      <w:tr w:rsidR="004635C7" w:rsidRPr="00E3331A" w:rsidTr="00F0719B">
        <w:trPr>
          <w:trHeight w:val="255"/>
        </w:trPr>
        <w:tc>
          <w:tcPr>
            <w:tcW w:w="2352" w:type="pct"/>
            <w:tcBorders>
              <w:top w:val="nil"/>
              <w:left w:val="single" w:sz="4" w:space="0" w:color="auto"/>
              <w:bottom w:val="single" w:sz="4" w:space="0" w:color="auto"/>
              <w:right w:val="single" w:sz="4" w:space="0" w:color="auto"/>
            </w:tcBorders>
            <w:shd w:val="clear" w:color="auto" w:fill="auto"/>
            <w:noWrap/>
            <w:vAlign w:val="center"/>
          </w:tcPr>
          <w:p w:rsidR="004635C7" w:rsidRPr="00E3331A" w:rsidRDefault="004635C7" w:rsidP="004635C7">
            <w:pPr>
              <w:rPr>
                <w:rFonts w:ascii="Arial Narrow" w:hAnsi="Arial Narrow" w:cs="Calibri"/>
                <w:b/>
                <w:bCs/>
                <w:color w:val="000000"/>
                <w:sz w:val="20"/>
                <w:szCs w:val="20"/>
              </w:rPr>
            </w:pPr>
            <w:r w:rsidRPr="00E3331A">
              <w:rPr>
                <w:rFonts w:ascii="Arial Narrow" w:hAnsi="Arial Narrow" w:cs="Calibri"/>
                <w:color w:val="000000"/>
                <w:sz w:val="20"/>
                <w:szCs w:val="20"/>
              </w:rPr>
              <w:t xml:space="preserve">Infection </w:t>
            </w:r>
          </w:p>
        </w:tc>
        <w:tc>
          <w:tcPr>
            <w:tcW w:w="984"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c>
          <w:tcPr>
            <w:tcW w:w="829"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c>
          <w:tcPr>
            <w:tcW w:w="835"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r>
      <w:tr w:rsidR="004635C7" w:rsidRPr="00E3331A" w:rsidTr="004635C7">
        <w:trPr>
          <w:trHeight w:val="255"/>
        </w:trPr>
        <w:tc>
          <w:tcPr>
            <w:tcW w:w="2352" w:type="pct"/>
            <w:tcBorders>
              <w:top w:val="nil"/>
              <w:left w:val="single" w:sz="4" w:space="0" w:color="auto"/>
              <w:bottom w:val="single" w:sz="4" w:space="0" w:color="auto"/>
              <w:right w:val="single" w:sz="4" w:space="0" w:color="auto"/>
            </w:tcBorders>
            <w:shd w:val="clear" w:color="auto" w:fill="auto"/>
            <w:noWrap/>
            <w:vAlign w:val="bottom"/>
          </w:tcPr>
          <w:p w:rsidR="004635C7" w:rsidRPr="00E3331A" w:rsidRDefault="004635C7" w:rsidP="004635C7">
            <w:pPr>
              <w:rPr>
                <w:rFonts w:ascii="Arial Narrow" w:hAnsi="Arial Narrow" w:cs="Calibri"/>
                <w:b/>
                <w:bCs/>
                <w:color w:val="000000"/>
                <w:sz w:val="20"/>
                <w:szCs w:val="20"/>
              </w:rPr>
            </w:pPr>
            <w:r w:rsidRPr="008448F4">
              <w:rPr>
                <w:rFonts w:ascii="Arial Narrow" w:hAnsi="Arial Narrow" w:cs="Calibri"/>
                <w:bCs/>
                <w:color w:val="000000"/>
                <w:sz w:val="20"/>
                <w:szCs w:val="20"/>
              </w:rPr>
              <w:t>Corticosteroid</w:t>
            </w:r>
            <w:r>
              <w:rPr>
                <w:rFonts w:ascii="Arial Narrow" w:hAnsi="Arial Narrow" w:cs="Calibri"/>
                <w:bCs/>
                <w:color w:val="000000"/>
                <w:sz w:val="20"/>
                <w:szCs w:val="20"/>
              </w:rPr>
              <w:t xml:space="preserve"> non-responder +</w:t>
            </w:r>
            <w:r w:rsidRPr="008448F4">
              <w:rPr>
                <w:rFonts w:ascii="Arial Narrow" w:hAnsi="Arial Narrow" w:cs="Calibri"/>
                <w:bCs/>
                <w:color w:val="000000"/>
                <w:sz w:val="20"/>
                <w:szCs w:val="20"/>
              </w:rPr>
              <w:t>azathioprine</w:t>
            </w:r>
          </w:p>
        </w:tc>
        <w:tc>
          <w:tcPr>
            <w:tcW w:w="984"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c>
          <w:tcPr>
            <w:tcW w:w="829"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c>
          <w:tcPr>
            <w:tcW w:w="835"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r>
      <w:tr w:rsidR="004635C7" w:rsidRPr="00E3331A" w:rsidTr="00F0719B">
        <w:trPr>
          <w:trHeight w:val="255"/>
        </w:trPr>
        <w:tc>
          <w:tcPr>
            <w:tcW w:w="2352" w:type="pct"/>
            <w:tcBorders>
              <w:top w:val="nil"/>
              <w:left w:val="single" w:sz="4" w:space="0" w:color="auto"/>
              <w:bottom w:val="single" w:sz="4" w:space="0" w:color="auto"/>
              <w:right w:val="single" w:sz="4" w:space="0" w:color="auto"/>
            </w:tcBorders>
            <w:shd w:val="clear" w:color="auto" w:fill="auto"/>
            <w:noWrap/>
            <w:vAlign w:val="center"/>
          </w:tcPr>
          <w:p w:rsidR="004635C7" w:rsidRPr="00E3331A" w:rsidRDefault="004635C7" w:rsidP="004635C7">
            <w:pPr>
              <w:rPr>
                <w:rFonts w:ascii="Arial Narrow" w:hAnsi="Arial Narrow" w:cs="Calibri"/>
                <w:b/>
                <w:bCs/>
                <w:color w:val="000000"/>
                <w:sz w:val="20"/>
                <w:szCs w:val="20"/>
              </w:rPr>
            </w:pPr>
            <w:r>
              <w:rPr>
                <w:rFonts w:ascii="Arial Narrow" w:hAnsi="Arial Narrow" w:cs="Calibri"/>
                <w:color w:val="000000"/>
                <w:sz w:val="20"/>
                <w:szCs w:val="20"/>
              </w:rPr>
              <w:t>A</w:t>
            </w:r>
            <w:r w:rsidRPr="008448F4">
              <w:rPr>
                <w:rFonts w:ascii="Arial Narrow" w:hAnsi="Arial Narrow" w:cs="Calibri"/>
                <w:color w:val="000000"/>
                <w:sz w:val="20"/>
                <w:szCs w:val="20"/>
              </w:rPr>
              <w:t>zathioprine</w:t>
            </w:r>
            <w:r w:rsidRPr="00E3331A">
              <w:rPr>
                <w:rFonts w:ascii="Arial Narrow" w:hAnsi="Arial Narrow" w:cs="Calibri"/>
                <w:color w:val="000000"/>
                <w:sz w:val="20"/>
                <w:szCs w:val="20"/>
              </w:rPr>
              <w:t xml:space="preserve"> non-responder</w:t>
            </w:r>
          </w:p>
        </w:tc>
        <w:tc>
          <w:tcPr>
            <w:tcW w:w="984"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c>
          <w:tcPr>
            <w:tcW w:w="829"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0.01</w:t>
            </w:r>
          </w:p>
        </w:tc>
        <w:tc>
          <w:tcPr>
            <w:tcW w:w="835"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-0.01</w:t>
            </w:r>
          </w:p>
        </w:tc>
      </w:tr>
      <w:tr w:rsidR="004635C7" w:rsidRPr="00E3331A" w:rsidTr="00F0719B">
        <w:trPr>
          <w:trHeight w:val="255"/>
        </w:trPr>
        <w:tc>
          <w:tcPr>
            <w:tcW w:w="2352" w:type="pct"/>
            <w:tcBorders>
              <w:top w:val="nil"/>
              <w:left w:val="single" w:sz="4" w:space="0" w:color="auto"/>
              <w:bottom w:val="single" w:sz="4" w:space="0" w:color="auto"/>
              <w:right w:val="single" w:sz="4" w:space="0" w:color="auto"/>
            </w:tcBorders>
            <w:shd w:val="clear" w:color="auto" w:fill="auto"/>
            <w:noWrap/>
            <w:vAlign w:val="center"/>
          </w:tcPr>
          <w:p w:rsidR="004635C7" w:rsidRPr="00E3331A" w:rsidRDefault="004635C7" w:rsidP="004635C7">
            <w:pPr>
              <w:rPr>
                <w:rFonts w:ascii="Arial Narrow" w:hAnsi="Arial Narrow" w:cs="Calibri"/>
                <w:b/>
                <w:bCs/>
                <w:color w:val="000000"/>
                <w:sz w:val="20"/>
                <w:szCs w:val="20"/>
              </w:rPr>
            </w:pPr>
            <w:r w:rsidRPr="00E3331A">
              <w:rPr>
                <w:rFonts w:ascii="Arial Narrow" w:hAnsi="Arial Narrow" w:cs="Calibri"/>
                <w:color w:val="000000"/>
                <w:sz w:val="20"/>
                <w:szCs w:val="20"/>
              </w:rPr>
              <w:t>Disabled</w:t>
            </w:r>
          </w:p>
        </w:tc>
        <w:tc>
          <w:tcPr>
            <w:tcW w:w="984"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c>
          <w:tcPr>
            <w:tcW w:w="829"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c>
          <w:tcPr>
            <w:tcW w:w="835"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color w:val="000000"/>
                <w:sz w:val="20"/>
                <w:szCs w:val="20"/>
              </w:rPr>
              <w:t>0.00</w:t>
            </w:r>
          </w:p>
        </w:tc>
      </w:tr>
      <w:tr w:rsidR="004635C7" w:rsidRPr="00E3331A" w:rsidTr="004635C7">
        <w:trPr>
          <w:trHeight w:val="255"/>
        </w:trPr>
        <w:tc>
          <w:tcPr>
            <w:tcW w:w="2352" w:type="pct"/>
            <w:tcBorders>
              <w:top w:val="nil"/>
              <w:left w:val="single" w:sz="4" w:space="0" w:color="auto"/>
              <w:bottom w:val="single" w:sz="4" w:space="0" w:color="auto"/>
              <w:right w:val="single" w:sz="4" w:space="0" w:color="auto"/>
            </w:tcBorders>
            <w:shd w:val="clear" w:color="auto" w:fill="auto"/>
            <w:noWrap/>
            <w:vAlign w:val="bottom"/>
          </w:tcPr>
          <w:p w:rsidR="004635C7" w:rsidRPr="00E3331A" w:rsidRDefault="004635C7" w:rsidP="004635C7">
            <w:pPr>
              <w:rPr>
                <w:rFonts w:ascii="Arial Narrow" w:hAnsi="Arial Narrow" w:cs="Calibri"/>
                <w:b/>
                <w:bCs/>
                <w:color w:val="000000"/>
                <w:sz w:val="20"/>
                <w:szCs w:val="20"/>
              </w:rPr>
            </w:pPr>
            <w:r w:rsidRPr="00E3331A">
              <w:rPr>
                <w:rFonts w:ascii="Arial Narrow" w:hAnsi="Arial Narrow" w:cs="Calibri"/>
                <w:b/>
                <w:bCs/>
                <w:color w:val="000000"/>
                <w:sz w:val="20"/>
                <w:szCs w:val="20"/>
              </w:rPr>
              <w:lastRenderedPageBreak/>
              <w:t>Total</w:t>
            </w:r>
          </w:p>
        </w:tc>
        <w:tc>
          <w:tcPr>
            <w:tcW w:w="984"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0.36</w:t>
            </w:r>
          </w:p>
        </w:tc>
        <w:tc>
          <w:tcPr>
            <w:tcW w:w="829"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0.30</w:t>
            </w:r>
          </w:p>
        </w:tc>
        <w:tc>
          <w:tcPr>
            <w:tcW w:w="835" w:type="pct"/>
            <w:tcBorders>
              <w:top w:val="nil"/>
              <w:left w:val="nil"/>
              <w:bottom w:val="single" w:sz="4" w:space="0" w:color="auto"/>
              <w:right w:val="single" w:sz="4" w:space="0" w:color="auto"/>
            </w:tcBorders>
            <w:shd w:val="clear" w:color="auto" w:fill="auto"/>
            <w:noWrap/>
            <w:vAlign w:val="bottom"/>
          </w:tcPr>
          <w:p w:rsidR="004635C7" w:rsidRPr="00E3331A" w:rsidRDefault="004635C7" w:rsidP="004635C7">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0.05</w:t>
            </w:r>
          </w:p>
        </w:tc>
      </w:tr>
    </w:tbl>
    <w:p w:rsidR="001F5B33" w:rsidRPr="00E3331A" w:rsidRDefault="001F5B33" w:rsidP="0037150F">
      <w:pPr>
        <w:pStyle w:val="Tablenotes1"/>
      </w:pPr>
      <w:r w:rsidRPr="00E3331A">
        <w:t xml:space="preserve">Abbreviations: </w:t>
      </w:r>
      <w:r w:rsidR="00F10BDD" w:rsidRPr="00E3331A">
        <w:t xml:space="preserve">LY = </w:t>
      </w:r>
      <w:r w:rsidRPr="00E3331A">
        <w:t>life year; QALY</w:t>
      </w:r>
      <w:r w:rsidR="0012715D" w:rsidRPr="00E3331A">
        <w:t xml:space="preserve"> =</w:t>
      </w:r>
      <w:r w:rsidRPr="00E3331A">
        <w:t xml:space="preserve"> quality-adjusted life year</w:t>
      </w:r>
    </w:p>
    <w:p w:rsidR="00D32C69" w:rsidRPr="00E3331A" w:rsidRDefault="00D32C69" w:rsidP="0037150F">
      <w:pPr>
        <w:pStyle w:val="Tablenotes1"/>
      </w:pPr>
    </w:p>
    <w:p w:rsidR="001F5B33" w:rsidRPr="00E3331A" w:rsidRDefault="006F35B9" w:rsidP="00906C5E">
      <w:pPr>
        <w:pStyle w:val="BodyTextSTD"/>
        <w:rPr>
          <w:lang w:eastAsia="en-GB"/>
        </w:rPr>
      </w:pPr>
      <w:r w:rsidRPr="00E3331A">
        <w:t xml:space="preserve">Table </w:t>
      </w:r>
      <w:r>
        <w:rPr>
          <w:noProof/>
        </w:rPr>
        <w:t>80</w:t>
      </w:r>
      <w:r w:rsidR="001F5B33" w:rsidRPr="00E3331A">
        <w:rPr>
          <w:lang w:eastAsia="en-GB"/>
        </w:rPr>
        <w:t xml:space="preserve"> presents the average outcomes (per patient) generated by the economic model for LY</w:t>
      </w:r>
      <w:r w:rsidR="00090F80" w:rsidRPr="00E3331A">
        <w:rPr>
          <w:lang w:eastAsia="en-GB"/>
        </w:rPr>
        <w:t>G</w:t>
      </w:r>
      <w:r w:rsidR="001F5B33" w:rsidRPr="00E3331A">
        <w:rPr>
          <w:lang w:eastAsia="en-GB"/>
        </w:rPr>
        <w:t xml:space="preserve"> or QALY over the </w:t>
      </w:r>
      <w:r w:rsidR="00D32C69" w:rsidRPr="00E3331A">
        <w:rPr>
          <w:lang w:eastAsia="en-GB"/>
        </w:rPr>
        <w:t>10</w:t>
      </w:r>
      <w:r w:rsidR="001F5B33" w:rsidRPr="00E3331A">
        <w:rPr>
          <w:lang w:eastAsia="en-GB"/>
        </w:rPr>
        <w:t>-year period.</w:t>
      </w:r>
      <w:r w:rsidR="00345C95" w:rsidRPr="00E3331A">
        <w:rPr>
          <w:lang w:eastAsia="en-GB"/>
        </w:rPr>
        <w:t xml:space="preserve"> </w:t>
      </w:r>
      <w:r w:rsidR="001F5B33" w:rsidRPr="00E3331A">
        <w:rPr>
          <w:lang w:eastAsia="en-GB"/>
        </w:rPr>
        <w:t>A greater number of QALY</w:t>
      </w:r>
      <w:r w:rsidR="007B44B2" w:rsidRPr="00E3331A">
        <w:rPr>
          <w:lang w:eastAsia="en-GB"/>
        </w:rPr>
        <w:t>s</w:t>
      </w:r>
      <w:r w:rsidR="001F5B33" w:rsidRPr="00E3331A">
        <w:rPr>
          <w:lang w:eastAsia="en-GB"/>
        </w:rPr>
        <w:t xml:space="preserve"> are generated in the corticosteroid AE states for the steroid arm, however, they are a relatively small proportion (</w:t>
      </w:r>
      <w:r w:rsidR="007B44B2" w:rsidRPr="00E3331A">
        <w:rPr>
          <w:lang w:eastAsia="en-GB"/>
        </w:rPr>
        <w:t>&lt;</w:t>
      </w:r>
      <w:r w:rsidR="00781304" w:rsidRPr="00E3331A">
        <w:rPr>
          <w:lang w:eastAsia="en-GB"/>
        </w:rPr>
        <w:t>10</w:t>
      </w:r>
      <w:r w:rsidR="001F5B33" w:rsidRPr="00E3331A">
        <w:rPr>
          <w:lang w:eastAsia="en-GB"/>
        </w:rPr>
        <w:t>%) of all QALYs.</w:t>
      </w:r>
    </w:p>
    <w:p w:rsidR="001F5B33" w:rsidRPr="00E3331A" w:rsidRDefault="001F5B33" w:rsidP="001F5B33">
      <w:pPr>
        <w:pStyle w:val="Caption"/>
        <w:rPr>
          <w:szCs w:val="20"/>
          <w:lang w:eastAsia="en-GB"/>
        </w:rPr>
      </w:pPr>
      <w:bookmarkStart w:id="475" w:name="_Ref519363185"/>
      <w:bookmarkStart w:id="476" w:name="_Toc24103386"/>
      <w:r w:rsidRPr="00E3331A">
        <w:t xml:space="preserve">Table </w:t>
      </w:r>
      <w:r w:rsidR="006F35B9">
        <w:rPr>
          <w:noProof/>
        </w:rPr>
        <w:t>80</w:t>
      </w:r>
      <w:bookmarkEnd w:id="475"/>
      <w:r w:rsidR="00C90F6D" w:rsidRPr="00E3331A">
        <w:rPr>
          <w:noProof/>
        </w:rPr>
        <w:tab/>
      </w:r>
      <w:r w:rsidRPr="00E3331A">
        <w:rPr>
          <w:szCs w:val="20"/>
          <w:lang w:eastAsia="en-GB"/>
        </w:rPr>
        <w:t xml:space="preserve">Health outcomes for </w:t>
      </w:r>
      <w:r w:rsidR="00553E4B" w:rsidRPr="00E3331A">
        <w:rPr>
          <w:szCs w:val="20"/>
          <w:lang w:eastAsia="en-GB"/>
        </w:rPr>
        <w:t>10</w:t>
      </w:r>
      <w:r w:rsidRPr="00E3331A">
        <w:rPr>
          <w:szCs w:val="20"/>
          <w:lang w:eastAsia="en-GB"/>
        </w:rPr>
        <w:t>-year analysis (</w:t>
      </w:r>
      <w:r w:rsidR="007B44B2" w:rsidRPr="00E3331A">
        <w:rPr>
          <w:szCs w:val="20"/>
          <w:lang w:eastAsia="en-GB"/>
        </w:rPr>
        <w:t>p</w:t>
      </w:r>
      <w:r w:rsidRPr="00E3331A">
        <w:rPr>
          <w:szCs w:val="20"/>
          <w:lang w:eastAsia="en-GB"/>
        </w:rPr>
        <w:t>er patient)</w:t>
      </w:r>
      <w:bookmarkEnd w:id="476"/>
    </w:p>
    <w:tbl>
      <w:tblPr>
        <w:tblW w:w="5000" w:type="pct"/>
        <w:tblLook w:val="04A0" w:firstRow="1" w:lastRow="0" w:firstColumn="1" w:lastColumn="0" w:noHBand="0" w:noVBand="1"/>
      </w:tblPr>
      <w:tblGrid>
        <w:gridCol w:w="4515"/>
        <w:gridCol w:w="1477"/>
        <w:gridCol w:w="1547"/>
        <w:gridCol w:w="1477"/>
      </w:tblGrid>
      <w:tr w:rsidR="001F5B33" w:rsidRPr="00E3331A" w:rsidTr="008448F4">
        <w:trPr>
          <w:trHeight w:val="255"/>
          <w:tblHeader/>
        </w:trPr>
        <w:tc>
          <w:tcPr>
            <w:tcW w:w="2504"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1F5B33" w:rsidRPr="00E3331A" w:rsidRDefault="00E5452C" w:rsidP="00493DDF">
            <w:pPr>
              <w:rPr>
                <w:rFonts w:ascii="Arial Narrow" w:hAnsi="Arial Narrow" w:cs="Calibri"/>
                <w:b/>
                <w:bCs/>
                <w:sz w:val="20"/>
                <w:szCs w:val="20"/>
              </w:rPr>
            </w:pPr>
            <w:r w:rsidRPr="00E3331A">
              <w:rPr>
                <w:rFonts w:ascii="Arial Narrow" w:hAnsi="Arial Narrow" w:cs="Calibri"/>
                <w:b/>
                <w:bCs/>
                <w:sz w:val="20"/>
                <w:szCs w:val="20"/>
              </w:rPr>
              <w:t>10</w:t>
            </w:r>
            <w:r w:rsidR="00781304" w:rsidRPr="00E3331A">
              <w:rPr>
                <w:rFonts w:ascii="Arial Narrow" w:hAnsi="Arial Narrow" w:cs="Calibri"/>
                <w:b/>
                <w:bCs/>
                <w:sz w:val="20"/>
                <w:szCs w:val="20"/>
              </w:rPr>
              <w:t>-year</w:t>
            </w:r>
          </w:p>
        </w:tc>
        <w:tc>
          <w:tcPr>
            <w:tcW w:w="819" w:type="pct"/>
            <w:tcBorders>
              <w:top w:val="single" w:sz="4" w:space="0" w:color="auto"/>
              <w:left w:val="nil"/>
              <w:bottom w:val="single" w:sz="4" w:space="0" w:color="auto"/>
              <w:right w:val="single" w:sz="4" w:space="0" w:color="auto"/>
            </w:tcBorders>
            <w:shd w:val="clear" w:color="auto" w:fill="D9D9D9"/>
            <w:noWrap/>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Ig</w:t>
            </w:r>
          </w:p>
        </w:tc>
        <w:tc>
          <w:tcPr>
            <w:tcW w:w="858" w:type="pct"/>
            <w:tcBorders>
              <w:top w:val="single" w:sz="4" w:space="0" w:color="auto"/>
              <w:left w:val="nil"/>
              <w:bottom w:val="single" w:sz="4" w:space="0" w:color="auto"/>
              <w:right w:val="single" w:sz="4" w:space="0" w:color="auto"/>
            </w:tcBorders>
            <w:shd w:val="clear" w:color="auto" w:fill="D9D9D9"/>
            <w:noWrap/>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Corticosteroids</w:t>
            </w:r>
          </w:p>
        </w:tc>
        <w:tc>
          <w:tcPr>
            <w:tcW w:w="820" w:type="pct"/>
            <w:tcBorders>
              <w:top w:val="single" w:sz="4" w:space="0" w:color="auto"/>
              <w:left w:val="nil"/>
              <w:bottom w:val="single" w:sz="4" w:space="0" w:color="auto"/>
              <w:right w:val="single" w:sz="4" w:space="0" w:color="auto"/>
            </w:tcBorders>
            <w:shd w:val="clear" w:color="auto" w:fill="D9D9D9"/>
            <w:noWrap/>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Incremental</w:t>
            </w:r>
          </w:p>
        </w:tc>
      </w:tr>
      <w:tr w:rsidR="001F5B33"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D9D9D9"/>
            <w:noWrap/>
            <w:vAlign w:val="bottom"/>
            <w:hideMark/>
          </w:tcPr>
          <w:p w:rsidR="001F5B33" w:rsidRPr="00E3331A" w:rsidRDefault="001F5B33" w:rsidP="00493DDF">
            <w:pPr>
              <w:rPr>
                <w:rFonts w:ascii="Arial Narrow" w:hAnsi="Arial Narrow" w:cs="Calibri"/>
                <w:b/>
                <w:bCs/>
                <w:sz w:val="20"/>
                <w:szCs w:val="20"/>
              </w:rPr>
            </w:pPr>
            <w:r w:rsidRPr="00E3331A">
              <w:rPr>
                <w:rFonts w:ascii="Arial Narrow" w:hAnsi="Arial Narrow" w:cs="Calibri"/>
                <w:b/>
                <w:bCs/>
                <w:sz w:val="20"/>
                <w:szCs w:val="20"/>
              </w:rPr>
              <w:t># L</w:t>
            </w:r>
            <w:r w:rsidR="00961D15" w:rsidRPr="00E3331A">
              <w:rPr>
                <w:rFonts w:ascii="Arial Narrow" w:hAnsi="Arial Narrow" w:cs="Calibri"/>
                <w:b/>
                <w:bCs/>
                <w:sz w:val="20"/>
                <w:szCs w:val="20"/>
              </w:rPr>
              <w:t>ife Years (LYs)</w:t>
            </w:r>
          </w:p>
        </w:tc>
        <w:tc>
          <w:tcPr>
            <w:tcW w:w="819" w:type="pct"/>
            <w:tcBorders>
              <w:top w:val="nil"/>
              <w:left w:val="nil"/>
              <w:bottom w:val="single" w:sz="4" w:space="0" w:color="auto"/>
              <w:right w:val="single" w:sz="4" w:space="0" w:color="auto"/>
            </w:tcBorders>
            <w:shd w:val="clear" w:color="auto" w:fill="D9D9D9"/>
            <w:noWrap/>
            <w:vAlign w:val="bottom"/>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Undiscounted</w:t>
            </w:r>
          </w:p>
        </w:tc>
        <w:tc>
          <w:tcPr>
            <w:tcW w:w="858" w:type="pct"/>
            <w:tcBorders>
              <w:top w:val="nil"/>
              <w:left w:val="nil"/>
              <w:bottom w:val="single" w:sz="4" w:space="0" w:color="auto"/>
              <w:right w:val="single" w:sz="4" w:space="0" w:color="auto"/>
            </w:tcBorders>
            <w:shd w:val="clear" w:color="auto" w:fill="D9D9D9"/>
            <w:noWrap/>
            <w:vAlign w:val="bottom"/>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Undiscounted</w:t>
            </w:r>
          </w:p>
        </w:tc>
        <w:tc>
          <w:tcPr>
            <w:tcW w:w="820" w:type="pct"/>
            <w:tcBorders>
              <w:top w:val="nil"/>
              <w:left w:val="nil"/>
              <w:bottom w:val="single" w:sz="4" w:space="0" w:color="auto"/>
              <w:right w:val="single" w:sz="4" w:space="0" w:color="auto"/>
            </w:tcBorders>
            <w:shd w:val="clear" w:color="auto" w:fill="D9D9D9"/>
            <w:noWrap/>
            <w:vAlign w:val="bottom"/>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Undiscounted</w:t>
            </w:r>
          </w:p>
        </w:tc>
      </w:tr>
      <w:tr w:rsidR="00961D15"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auto"/>
            <w:noWrap/>
            <w:vAlign w:val="center"/>
          </w:tcPr>
          <w:p w:rsidR="00961D15" w:rsidRPr="00E3331A" w:rsidRDefault="00961D15" w:rsidP="00961D15">
            <w:pPr>
              <w:rPr>
                <w:rFonts w:ascii="Arial Narrow" w:hAnsi="Arial Narrow" w:cs="Calibri"/>
                <w:sz w:val="20"/>
                <w:szCs w:val="20"/>
              </w:rPr>
            </w:pPr>
            <w:r w:rsidRPr="00E3331A">
              <w:rPr>
                <w:rFonts w:ascii="Arial Narrow" w:hAnsi="Arial Narrow" w:cs="Calibri"/>
                <w:color w:val="000000"/>
                <w:sz w:val="20"/>
                <w:szCs w:val="20"/>
              </w:rPr>
              <w:t xml:space="preserve">Ig </w:t>
            </w:r>
          </w:p>
        </w:tc>
        <w:tc>
          <w:tcPr>
            <w:tcW w:w="819"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5.20</w:t>
            </w:r>
          </w:p>
        </w:tc>
        <w:tc>
          <w:tcPr>
            <w:tcW w:w="858"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0.00</w:t>
            </w:r>
          </w:p>
        </w:tc>
        <w:tc>
          <w:tcPr>
            <w:tcW w:w="820"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5.20</w:t>
            </w:r>
          </w:p>
        </w:tc>
      </w:tr>
      <w:tr w:rsidR="00961D15"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auto"/>
            <w:noWrap/>
            <w:vAlign w:val="center"/>
          </w:tcPr>
          <w:p w:rsidR="00961D15" w:rsidRPr="00E3331A" w:rsidRDefault="00961D15" w:rsidP="00961D15">
            <w:pPr>
              <w:rPr>
                <w:rFonts w:ascii="Arial Narrow" w:hAnsi="Arial Narrow" w:cs="Calibri"/>
                <w:sz w:val="20"/>
                <w:szCs w:val="20"/>
              </w:rPr>
            </w:pPr>
            <w:r w:rsidRPr="00E3331A">
              <w:rPr>
                <w:rFonts w:ascii="Arial Narrow" w:hAnsi="Arial Narrow" w:cs="Calibri"/>
                <w:color w:val="000000"/>
                <w:sz w:val="20"/>
                <w:szCs w:val="20"/>
              </w:rPr>
              <w:t>Corticosteroids no AE</w:t>
            </w:r>
          </w:p>
        </w:tc>
        <w:tc>
          <w:tcPr>
            <w:tcW w:w="819"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2.44</w:t>
            </w:r>
          </w:p>
        </w:tc>
        <w:tc>
          <w:tcPr>
            <w:tcW w:w="858"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5.02</w:t>
            </w:r>
          </w:p>
        </w:tc>
        <w:tc>
          <w:tcPr>
            <w:tcW w:w="820"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-2.58</w:t>
            </w:r>
          </w:p>
        </w:tc>
      </w:tr>
      <w:tr w:rsidR="001E4486"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auto"/>
            <w:noWrap/>
            <w:vAlign w:val="center"/>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 xml:space="preserve">Fracture </w:t>
            </w:r>
          </w:p>
        </w:tc>
        <w:tc>
          <w:tcPr>
            <w:tcW w:w="819"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0.02</w:t>
            </w:r>
          </w:p>
        </w:tc>
        <w:tc>
          <w:tcPr>
            <w:tcW w:w="858"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0.04</w:t>
            </w:r>
          </w:p>
        </w:tc>
        <w:tc>
          <w:tcPr>
            <w:tcW w:w="820"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-0.02</w:t>
            </w:r>
          </w:p>
        </w:tc>
      </w:tr>
      <w:tr w:rsidR="001E4486"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auto"/>
            <w:noWrap/>
            <w:vAlign w:val="center"/>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 xml:space="preserve">Diabetes mellitus </w:t>
            </w:r>
          </w:p>
        </w:tc>
        <w:tc>
          <w:tcPr>
            <w:tcW w:w="819"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0.04</w:t>
            </w:r>
          </w:p>
        </w:tc>
        <w:tc>
          <w:tcPr>
            <w:tcW w:w="858"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0.08</w:t>
            </w:r>
          </w:p>
        </w:tc>
        <w:tc>
          <w:tcPr>
            <w:tcW w:w="820"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-0.04</w:t>
            </w:r>
          </w:p>
        </w:tc>
      </w:tr>
      <w:tr w:rsidR="001E4486"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auto"/>
            <w:noWrap/>
            <w:vAlign w:val="center"/>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 xml:space="preserve">Cataract </w:t>
            </w:r>
          </w:p>
        </w:tc>
        <w:tc>
          <w:tcPr>
            <w:tcW w:w="819"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0.02</w:t>
            </w:r>
          </w:p>
        </w:tc>
        <w:tc>
          <w:tcPr>
            <w:tcW w:w="858"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0.04</w:t>
            </w:r>
          </w:p>
        </w:tc>
        <w:tc>
          <w:tcPr>
            <w:tcW w:w="820"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-0.02</w:t>
            </w:r>
          </w:p>
        </w:tc>
      </w:tr>
      <w:tr w:rsidR="001E4486"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auto"/>
            <w:noWrap/>
            <w:vAlign w:val="center"/>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 xml:space="preserve">Glaucoma </w:t>
            </w:r>
          </w:p>
        </w:tc>
        <w:tc>
          <w:tcPr>
            <w:tcW w:w="819"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0.00</w:t>
            </w:r>
          </w:p>
        </w:tc>
        <w:tc>
          <w:tcPr>
            <w:tcW w:w="858"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0.00</w:t>
            </w:r>
          </w:p>
        </w:tc>
        <w:tc>
          <w:tcPr>
            <w:tcW w:w="820"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0.00</w:t>
            </w:r>
          </w:p>
        </w:tc>
      </w:tr>
      <w:tr w:rsidR="001E4486"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auto"/>
            <w:noWrap/>
            <w:vAlign w:val="center"/>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 xml:space="preserve">Infection </w:t>
            </w:r>
          </w:p>
        </w:tc>
        <w:tc>
          <w:tcPr>
            <w:tcW w:w="819"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0.01</w:t>
            </w:r>
          </w:p>
        </w:tc>
        <w:tc>
          <w:tcPr>
            <w:tcW w:w="858"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0.01</w:t>
            </w:r>
          </w:p>
        </w:tc>
        <w:tc>
          <w:tcPr>
            <w:tcW w:w="820"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-0.01</w:t>
            </w:r>
          </w:p>
        </w:tc>
      </w:tr>
      <w:tr w:rsidR="008448F4"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auto"/>
            <w:noWrap/>
            <w:vAlign w:val="bottom"/>
          </w:tcPr>
          <w:p w:rsidR="008448F4" w:rsidRPr="00E3331A" w:rsidRDefault="008448F4" w:rsidP="008448F4">
            <w:pPr>
              <w:rPr>
                <w:rFonts w:ascii="Arial Narrow" w:hAnsi="Arial Narrow" w:cs="Calibri"/>
                <w:color w:val="000000"/>
                <w:sz w:val="20"/>
                <w:szCs w:val="20"/>
              </w:rPr>
            </w:pPr>
            <w:r w:rsidRPr="008448F4">
              <w:rPr>
                <w:rFonts w:ascii="Arial Narrow" w:hAnsi="Arial Narrow" w:cs="Calibri"/>
                <w:bCs/>
                <w:color w:val="000000"/>
                <w:sz w:val="20"/>
                <w:szCs w:val="20"/>
              </w:rPr>
              <w:t>Corticosteroid</w:t>
            </w:r>
            <w:r>
              <w:rPr>
                <w:rFonts w:ascii="Arial Narrow" w:hAnsi="Arial Narrow" w:cs="Calibri"/>
                <w:bCs/>
                <w:color w:val="000000"/>
                <w:sz w:val="20"/>
                <w:szCs w:val="20"/>
              </w:rPr>
              <w:t xml:space="preserve"> non-responder +</w:t>
            </w:r>
            <w:r w:rsidRPr="008448F4">
              <w:rPr>
                <w:rFonts w:ascii="Arial Narrow" w:hAnsi="Arial Narrow" w:cs="Calibri"/>
                <w:bCs/>
                <w:color w:val="000000"/>
                <w:sz w:val="20"/>
                <w:szCs w:val="20"/>
              </w:rPr>
              <w:t>azathioprine</w:t>
            </w:r>
          </w:p>
        </w:tc>
        <w:tc>
          <w:tcPr>
            <w:tcW w:w="819" w:type="pct"/>
            <w:tcBorders>
              <w:top w:val="nil"/>
              <w:left w:val="nil"/>
              <w:bottom w:val="single" w:sz="4" w:space="0" w:color="auto"/>
              <w:right w:val="single" w:sz="4" w:space="0" w:color="auto"/>
            </w:tcBorders>
            <w:shd w:val="clear" w:color="auto" w:fill="auto"/>
            <w:noWrap/>
            <w:vAlign w:val="bottom"/>
          </w:tcPr>
          <w:p w:rsidR="008448F4" w:rsidRPr="00E3331A" w:rsidDel="00896AC9"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0.01</w:t>
            </w:r>
          </w:p>
        </w:tc>
        <w:tc>
          <w:tcPr>
            <w:tcW w:w="858" w:type="pct"/>
            <w:tcBorders>
              <w:top w:val="nil"/>
              <w:left w:val="nil"/>
              <w:bottom w:val="single" w:sz="4" w:space="0" w:color="auto"/>
              <w:right w:val="single" w:sz="4" w:space="0" w:color="auto"/>
            </w:tcBorders>
            <w:shd w:val="clear" w:color="auto" w:fill="auto"/>
            <w:noWrap/>
            <w:vAlign w:val="bottom"/>
          </w:tcPr>
          <w:p w:rsidR="008448F4" w:rsidRPr="00E3331A" w:rsidDel="00896AC9"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0.01</w:t>
            </w:r>
          </w:p>
        </w:tc>
        <w:tc>
          <w:tcPr>
            <w:tcW w:w="820" w:type="pct"/>
            <w:tcBorders>
              <w:top w:val="nil"/>
              <w:left w:val="nil"/>
              <w:bottom w:val="single" w:sz="4" w:space="0" w:color="auto"/>
              <w:right w:val="single" w:sz="4" w:space="0" w:color="auto"/>
            </w:tcBorders>
            <w:shd w:val="clear" w:color="auto" w:fill="auto"/>
            <w:noWrap/>
            <w:vAlign w:val="bottom"/>
          </w:tcPr>
          <w:p w:rsidR="008448F4" w:rsidRPr="00E3331A" w:rsidDel="00896AC9"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-0.01</w:t>
            </w:r>
          </w:p>
        </w:tc>
      </w:tr>
      <w:tr w:rsidR="008448F4"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auto"/>
            <w:noWrap/>
            <w:vAlign w:val="center"/>
          </w:tcPr>
          <w:p w:rsidR="008448F4" w:rsidRPr="00E3331A" w:rsidRDefault="008448F4" w:rsidP="008448F4">
            <w:pPr>
              <w:rPr>
                <w:rFonts w:ascii="Arial Narrow" w:hAnsi="Arial Narrow" w:cs="Calibri"/>
                <w:color w:val="000000"/>
                <w:sz w:val="20"/>
                <w:szCs w:val="20"/>
              </w:rPr>
            </w:pPr>
            <w:r>
              <w:rPr>
                <w:rFonts w:ascii="Arial Narrow" w:hAnsi="Arial Narrow" w:cs="Calibri"/>
                <w:color w:val="000000"/>
                <w:sz w:val="20"/>
                <w:szCs w:val="20"/>
              </w:rPr>
              <w:t>A</w:t>
            </w:r>
            <w:r w:rsidRPr="008448F4">
              <w:rPr>
                <w:rFonts w:ascii="Arial Narrow" w:hAnsi="Arial Narrow" w:cs="Calibri"/>
                <w:color w:val="000000"/>
                <w:sz w:val="20"/>
                <w:szCs w:val="20"/>
              </w:rPr>
              <w:t>zathioprine</w:t>
            </w:r>
            <w:r w:rsidRPr="00E3331A">
              <w:rPr>
                <w:rFonts w:ascii="Arial Narrow" w:hAnsi="Arial Narrow" w:cs="Calibri"/>
                <w:color w:val="000000"/>
                <w:sz w:val="20"/>
                <w:szCs w:val="20"/>
              </w:rPr>
              <w:t xml:space="preserve"> non-responder</w:t>
            </w:r>
          </w:p>
        </w:tc>
        <w:tc>
          <w:tcPr>
            <w:tcW w:w="819" w:type="pct"/>
            <w:tcBorders>
              <w:top w:val="nil"/>
              <w:left w:val="nil"/>
              <w:bottom w:val="single" w:sz="4" w:space="0" w:color="auto"/>
              <w:right w:val="single" w:sz="4" w:space="0" w:color="auto"/>
            </w:tcBorders>
            <w:shd w:val="clear" w:color="auto" w:fill="auto"/>
            <w:noWrap/>
            <w:vAlign w:val="bottom"/>
          </w:tcPr>
          <w:p w:rsidR="008448F4" w:rsidRPr="00E3331A" w:rsidDel="00896AC9"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0.62</w:t>
            </w:r>
          </w:p>
        </w:tc>
        <w:tc>
          <w:tcPr>
            <w:tcW w:w="858" w:type="pct"/>
            <w:tcBorders>
              <w:top w:val="nil"/>
              <w:left w:val="nil"/>
              <w:bottom w:val="single" w:sz="4" w:space="0" w:color="auto"/>
              <w:right w:val="single" w:sz="4" w:space="0" w:color="auto"/>
            </w:tcBorders>
            <w:shd w:val="clear" w:color="auto" w:fill="auto"/>
            <w:noWrap/>
            <w:vAlign w:val="bottom"/>
          </w:tcPr>
          <w:p w:rsidR="008448F4" w:rsidRPr="00E3331A" w:rsidDel="00896AC9"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1.34</w:t>
            </w:r>
          </w:p>
        </w:tc>
        <w:tc>
          <w:tcPr>
            <w:tcW w:w="820" w:type="pct"/>
            <w:tcBorders>
              <w:top w:val="nil"/>
              <w:left w:val="nil"/>
              <w:bottom w:val="single" w:sz="4" w:space="0" w:color="auto"/>
              <w:right w:val="single" w:sz="4" w:space="0" w:color="auto"/>
            </w:tcBorders>
            <w:shd w:val="clear" w:color="auto" w:fill="auto"/>
            <w:noWrap/>
            <w:vAlign w:val="bottom"/>
          </w:tcPr>
          <w:p w:rsidR="008448F4" w:rsidRPr="00E3331A" w:rsidDel="00896AC9"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-0.72</w:t>
            </w:r>
          </w:p>
        </w:tc>
      </w:tr>
      <w:tr w:rsidR="001E4486"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auto"/>
            <w:noWrap/>
            <w:vAlign w:val="center"/>
          </w:tcPr>
          <w:p w:rsidR="001E4486" w:rsidRPr="00E3331A" w:rsidRDefault="001E4486" w:rsidP="001E4486">
            <w:pPr>
              <w:rPr>
                <w:rFonts w:ascii="Arial Narrow" w:hAnsi="Arial Narrow" w:cs="Calibri"/>
                <w:color w:val="000000"/>
                <w:sz w:val="20"/>
                <w:szCs w:val="20"/>
              </w:rPr>
            </w:pPr>
            <w:r w:rsidRPr="00E3331A">
              <w:rPr>
                <w:rFonts w:ascii="Arial Narrow" w:hAnsi="Arial Narrow" w:cs="Calibri"/>
                <w:color w:val="000000"/>
                <w:sz w:val="20"/>
                <w:szCs w:val="20"/>
              </w:rPr>
              <w:t>Disabled</w:t>
            </w:r>
          </w:p>
        </w:tc>
        <w:tc>
          <w:tcPr>
            <w:tcW w:w="819" w:type="pct"/>
            <w:tcBorders>
              <w:top w:val="nil"/>
              <w:left w:val="nil"/>
              <w:bottom w:val="single" w:sz="4" w:space="0" w:color="auto"/>
              <w:right w:val="single" w:sz="4" w:space="0" w:color="auto"/>
            </w:tcBorders>
            <w:shd w:val="clear" w:color="auto" w:fill="auto"/>
            <w:noWrap/>
            <w:vAlign w:val="bottom"/>
          </w:tcPr>
          <w:p w:rsidR="001E4486" w:rsidRPr="00E3331A" w:rsidDel="00896AC9"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1.42</w:t>
            </w:r>
          </w:p>
        </w:tc>
        <w:tc>
          <w:tcPr>
            <w:tcW w:w="858" w:type="pct"/>
            <w:tcBorders>
              <w:top w:val="nil"/>
              <w:left w:val="nil"/>
              <w:bottom w:val="single" w:sz="4" w:space="0" w:color="auto"/>
              <w:right w:val="single" w:sz="4" w:space="0" w:color="auto"/>
            </w:tcBorders>
            <w:shd w:val="clear" w:color="auto" w:fill="auto"/>
            <w:noWrap/>
            <w:vAlign w:val="bottom"/>
          </w:tcPr>
          <w:p w:rsidR="001E4486" w:rsidRPr="00E3331A" w:rsidDel="00896AC9"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3.23</w:t>
            </w:r>
          </w:p>
        </w:tc>
        <w:tc>
          <w:tcPr>
            <w:tcW w:w="820" w:type="pct"/>
            <w:tcBorders>
              <w:top w:val="nil"/>
              <w:left w:val="nil"/>
              <w:bottom w:val="single" w:sz="4" w:space="0" w:color="auto"/>
              <w:right w:val="single" w:sz="4" w:space="0" w:color="auto"/>
            </w:tcBorders>
            <w:shd w:val="clear" w:color="auto" w:fill="auto"/>
            <w:noWrap/>
            <w:vAlign w:val="bottom"/>
          </w:tcPr>
          <w:p w:rsidR="001E4486" w:rsidRPr="00E3331A" w:rsidDel="00896AC9"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-1.81</w:t>
            </w:r>
          </w:p>
        </w:tc>
      </w:tr>
      <w:tr w:rsidR="001E4486"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auto"/>
            <w:noWrap/>
            <w:vAlign w:val="bottom"/>
          </w:tcPr>
          <w:p w:rsidR="001E4486" w:rsidRPr="00E3331A" w:rsidRDefault="001E4486" w:rsidP="001E4486">
            <w:pPr>
              <w:rPr>
                <w:rFonts w:ascii="Arial Narrow" w:hAnsi="Arial Narrow" w:cs="Calibri"/>
                <w:sz w:val="20"/>
                <w:szCs w:val="20"/>
              </w:rPr>
            </w:pPr>
            <w:r w:rsidRPr="00E3331A">
              <w:rPr>
                <w:rFonts w:ascii="Arial Narrow" w:hAnsi="Arial Narrow" w:cs="Calibri"/>
                <w:b/>
                <w:bCs/>
                <w:color w:val="000000"/>
                <w:sz w:val="20"/>
                <w:szCs w:val="20"/>
              </w:rPr>
              <w:t>Total</w:t>
            </w:r>
          </w:p>
        </w:tc>
        <w:tc>
          <w:tcPr>
            <w:tcW w:w="819"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b/>
                <w:bCs/>
                <w:color w:val="000000"/>
                <w:sz w:val="20"/>
                <w:szCs w:val="20"/>
              </w:rPr>
              <w:t>9.77</w:t>
            </w:r>
          </w:p>
        </w:tc>
        <w:tc>
          <w:tcPr>
            <w:tcW w:w="858"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b/>
                <w:bCs/>
                <w:color w:val="000000"/>
                <w:sz w:val="20"/>
                <w:szCs w:val="20"/>
              </w:rPr>
              <w:t>9.77</w:t>
            </w:r>
          </w:p>
        </w:tc>
        <w:tc>
          <w:tcPr>
            <w:tcW w:w="820"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b/>
                <w:bCs/>
                <w:color w:val="000000"/>
                <w:sz w:val="20"/>
                <w:szCs w:val="20"/>
              </w:rPr>
              <w:t>0.00</w:t>
            </w:r>
          </w:p>
        </w:tc>
      </w:tr>
      <w:tr w:rsidR="00090F80"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D9D9D9"/>
            <w:noWrap/>
            <w:vAlign w:val="bottom"/>
            <w:hideMark/>
          </w:tcPr>
          <w:p w:rsidR="00090F80" w:rsidRPr="00E3331A" w:rsidRDefault="00090F80" w:rsidP="00090F80">
            <w:pPr>
              <w:rPr>
                <w:rFonts w:ascii="Arial Narrow" w:hAnsi="Arial Narrow" w:cs="Calibri"/>
                <w:b/>
                <w:bCs/>
                <w:sz w:val="20"/>
                <w:szCs w:val="20"/>
              </w:rPr>
            </w:pPr>
            <w:r w:rsidRPr="00E3331A">
              <w:rPr>
                <w:rFonts w:ascii="Arial Narrow" w:hAnsi="Arial Narrow" w:cs="Calibri"/>
                <w:b/>
                <w:bCs/>
                <w:sz w:val="20"/>
                <w:szCs w:val="20"/>
              </w:rPr>
              <w:t># QALYs</w:t>
            </w:r>
          </w:p>
        </w:tc>
        <w:tc>
          <w:tcPr>
            <w:tcW w:w="819" w:type="pct"/>
            <w:tcBorders>
              <w:top w:val="nil"/>
              <w:left w:val="nil"/>
              <w:bottom w:val="single" w:sz="4" w:space="0" w:color="auto"/>
              <w:right w:val="single" w:sz="4" w:space="0" w:color="auto"/>
            </w:tcBorders>
            <w:shd w:val="clear" w:color="auto" w:fill="D9D9D9"/>
            <w:noWrap/>
            <w:vAlign w:val="bottom"/>
            <w:hideMark/>
          </w:tcPr>
          <w:p w:rsidR="00090F80" w:rsidRPr="00E3331A" w:rsidRDefault="00090F80" w:rsidP="00090F80">
            <w:pPr>
              <w:jc w:val="center"/>
              <w:rPr>
                <w:rFonts w:ascii="Arial Narrow" w:hAnsi="Arial Narrow" w:cs="Calibri"/>
                <w:b/>
                <w:bCs/>
                <w:sz w:val="20"/>
                <w:szCs w:val="20"/>
              </w:rPr>
            </w:pPr>
            <w:r w:rsidRPr="00E3331A">
              <w:rPr>
                <w:rFonts w:ascii="Arial Narrow" w:hAnsi="Arial Narrow" w:cs="Calibri"/>
                <w:b/>
                <w:bCs/>
                <w:sz w:val="20"/>
                <w:szCs w:val="20"/>
              </w:rPr>
              <w:t>Undiscounted</w:t>
            </w:r>
          </w:p>
        </w:tc>
        <w:tc>
          <w:tcPr>
            <w:tcW w:w="858" w:type="pct"/>
            <w:tcBorders>
              <w:top w:val="nil"/>
              <w:left w:val="nil"/>
              <w:bottom w:val="single" w:sz="4" w:space="0" w:color="auto"/>
              <w:right w:val="single" w:sz="4" w:space="0" w:color="auto"/>
            </w:tcBorders>
            <w:shd w:val="clear" w:color="auto" w:fill="D9D9D9"/>
            <w:noWrap/>
            <w:vAlign w:val="bottom"/>
            <w:hideMark/>
          </w:tcPr>
          <w:p w:rsidR="00090F80" w:rsidRPr="00E3331A" w:rsidRDefault="00090F80" w:rsidP="00090F80">
            <w:pPr>
              <w:jc w:val="center"/>
              <w:rPr>
                <w:rFonts w:ascii="Arial Narrow" w:hAnsi="Arial Narrow" w:cs="Calibri"/>
                <w:b/>
                <w:bCs/>
                <w:sz w:val="20"/>
                <w:szCs w:val="20"/>
              </w:rPr>
            </w:pPr>
            <w:r w:rsidRPr="00E3331A">
              <w:rPr>
                <w:rFonts w:ascii="Arial Narrow" w:hAnsi="Arial Narrow" w:cs="Calibri"/>
                <w:b/>
                <w:bCs/>
                <w:sz w:val="20"/>
                <w:szCs w:val="20"/>
              </w:rPr>
              <w:t>Undiscounted</w:t>
            </w:r>
          </w:p>
        </w:tc>
        <w:tc>
          <w:tcPr>
            <w:tcW w:w="820" w:type="pct"/>
            <w:tcBorders>
              <w:top w:val="nil"/>
              <w:left w:val="nil"/>
              <w:bottom w:val="single" w:sz="4" w:space="0" w:color="auto"/>
              <w:right w:val="single" w:sz="4" w:space="0" w:color="auto"/>
            </w:tcBorders>
            <w:shd w:val="clear" w:color="auto" w:fill="D9D9D9"/>
            <w:noWrap/>
            <w:vAlign w:val="bottom"/>
            <w:hideMark/>
          </w:tcPr>
          <w:p w:rsidR="00090F80" w:rsidRPr="00E3331A" w:rsidRDefault="00090F80" w:rsidP="00090F80">
            <w:pPr>
              <w:jc w:val="center"/>
              <w:rPr>
                <w:rFonts w:ascii="Arial Narrow" w:hAnsi="Arial Narrow" w:cs="Calibri"/>
                <w:b/>
                <w:bCs/>
                <w:sz w:val="20"/>
                <w:szCs w:val="20"/>
              </w:rPr>
            </w:pPr>
            <w:r w:rsidRPr="00E3331A">
              <w:rPr>
                <w:rFonts w:ascii="Arial Narrow" w:hAnsi="Arial Narrow" w:cs="Calibri"/>
                <w:b/>
                <w:bCs/>
                <w:sz w:val="20"/>
                <w:szCs w:val="20"/>
              </w:rPr>
              <w:t>Undiscounted</w:t>
            </w:r>
          </w:p>
        </w:tc>
      </w:tr>
      <w:tr w:rsidR="001E4486"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auto"/>
            <w:noWrap/>
            <w:vAlign w:val="center"/>
            <w:hideMark/>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 xml:space="preserve">Ig </w:t>
            </w:r>
          </w:p>
        </w:tc>
        <w:tc>
          <w:tcPr>
            <w:tcW w:w="819"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3.80</w:t>
            </w:r>
          </w:p>
        </w:tc>
        <w:tc>
          <w:tcPr>
            <w:tcW w:w="858"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0.00</w:t>
            </w:r>
          </w:p>
        </w:tc>
        <w:tc>
          <w:tcPr>
            <w:tcW w:w="820"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3.80</w:t>
            </w:r>
          </w:p>
        </w:tc>
      </w:tr>
      <w:tr w:rsidR="00961D15"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auto"/>
            <w:noWrap/>
            <w:vAlign w:val="center"/>
            <w:hideMark/>
          </w:tcPr>
          <w:p w:rsidR="00961D15" w:rsidRPr="00E3331A" w:rsidRDefault="00961D15" w:rsidP="00961D15">
            <w:pPr>
              <w:rPr>
                <w:rFonts w:ascii="Arial Narrow" w:hAnsi="Arial Narrow" w:cs="Calibri"/>
                <w:sz w:val="20"/>
                <w:szCs w:val="20"/>
              </w:rPr>
            </w:pPr>
            <w:r w:rsidRPr="00E3331A">
              <w:rPr>
                <w:rFonts w:ascii="Arial Narrow" w:hAnsi="Arial Narrow" w:cs="Calibri"/>
                <w:color w:val="000000"/>
                <w:sz w:val="20"/>
                <w:szCs w:val="20"/>
              </w:rPr>
              <w:t>Corticosteroids no AE</w:t>
            </w:r>
          </w:p>
        </w:tc>
        <w:tc>
          <w:tcPr>
            <w:tcW w:w="819"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1.49</w:t>
            </w:r>
          </w:p>
        </w:tc>
        <w:tc>
          <w:tcPr>
            <w:tcW w:w="858"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3.06</w:t>
            </w:r>
          </w:p>
        </w:tc>
        <w:tc>
          <w:tcPr>
            <w:tcW w:w="820" w:type="pct"/>
            <w:tcBorders>
              <w:top w:val="nil"/>
              <w:left w:val="nil"/>
              <w:bottom w:val="single" w:sz="4" w:space="0" w:color="auto"/>
              <w:right w:val="single" w:sz="4" w:space="0" w:color="auto"/>
            </w:tcBorders>
            <w:shd w:val="clear" w:color="auto" w:fill="auto"/>
            <w:noWrap/>
            <w:vAlign w:val="bottom"/>
          </w:tcPr>
          <w:p w:rsidR="00961D15" w:rsidRPr="00E3331A" w:rsidRDefault="00961D15" w:rsidP="00961D15">
            <w:pPr>
              <w:jc w:val="center"/>
              <w:rPr>
                <w:rFonts w:ascii="Arial Narrow" w:hAnsi="Arial Narrow" w:cs="Calibri"/>
                <w:sz w:val="20"/>
                <w:szCs w:val="20"/>
              </w:rPr>
            </w:pPr>
            <w:r w:rsidRPr="00E3331A">
              <w:rPr>
                <w:rFonts w:ascii="Arial Narrow" w:hAnsi="Arial Narrow" w:cs="Calibri"/>
                <w:color w:val="000000"/>
                <w:sz w:val="20"/>
                <w:szCs w:val="20"/>
              </w:rPr>
              <w:t>-1.57</w:t>
            </w:r>
          </w:p>
        </w:tc>
      </w:tr>
      <w:tr w:rsidR="001E4486"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auto"/>
            <w:noWrap/>
            <w:vAlign w:val="center"/>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 xml:space="preserve">Fracture </w:t>
            </w:r>
          </w:p>
        </w:tc>
        <w:tc>
          <w:tcPr>
            <w:tcW w:w="819"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0.01</w:t>
            </w:r>
          </w:p>
        </w:tc>
        <w:tc>
          <w:tcPr>
            <w:tcW w:w="858"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0.02</w:t>
            </w:r>
          </w:p>
        </w:tc>
        <w:tc>
          <w:tcPr>
            <w:tcW w:w="820"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-0.01</w:t>
            </w:r>
          </w:p>
        </w:tc>
      </w:tr>
      <w:tr w:rsidR="001E4486"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auto"/>
            <w:noWrap/>
            <w:vAlign w:val="center"/>
            <w:hideMark/>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 xml:space="preserve">Diabetes mellitus </w:t>
            </w:r>
          </w:p>
        </w:tc>
        <w:tc>
          <w:tcPr>
            <w:tcW w:w="819"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0.02</w:t>
            </w:r>
          </w:p>
        </w:tc>
        <w:tc>
          <w:tcPr>
            <w:tcW w:w="858"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0.05</w:t>
            </w:r>
          </w:p>
        </w:tc>
        <w:tc>
          <w:tcPr>
            <w:tcW w:w="820"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-0.03</w:t>
            </w:r>
          </w:p>
        </w:tc>
      </w:tr>
      <w:tr w:rsidR="001E4486"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auto"/>
            <w:noWrap/>
            <w:vAlign w:val="center"/>
            <w:hideMark/>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lastRenderedPageBreak/>
              <w:t xml:space="preserve">Cataract </w:t>
            </w:r>
          </w:p>
        </w:tc>
        <w:tc>
          <w:tcPr>
            <w:tcW w:w="819"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0.01</w:t>
            </w:r>
          </w:p>
        </w:tc>
        <w:tc>
          <w:tcPr>
            <w:tcW w:w="858"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0.02</w:t>
            </w:r>
          </w:p>
        </w:tc>
        <w:tc>
          <w:tcPr>
            <w:tcW w:w="820"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-0.01</w:t>
            </w:r>
          </w:p>
        </w:tc>
      </w:tr>
      <w:tr w:rsidR="001E4486"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auto"/>
            <w:noWrap/>
            <w:vAlign w:val="center"/>
            <w:hideMark/>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 xml:space="preserve">Glaucoma </w:t>
            </w:r>
          </w:p>
        </w:tc>
        <w:tc>
          <w:tcPr>
            <w:tcW w:w="819"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0.00</w:t>
            </w:r>
          </w:p>
        </w:tc>
        <w:tc>
          <w:tcPr>
            <w:tcW w:w="858"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0.00</w:t>
            </w:r>
          </w:p>
        </w:tc>
        <w:tc>
          <w:tcPr>
            <w:tcW w:w="820"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0.00</w:t>
            </w:r>
          </w:p>
        </w:tc>
      </w:tr>
      <w:tr w:rsidR="001E4486"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auto"/>
            <w:noWrap/>
            <w:vAlign w:val="center"/>
            <w:hideMark/>
          </w:tcPr>
          <w:p w:rsidR="001E4486" w:rsidRPr="00E3331A" w:rsidRDefault="001E4486" w:rsidP="001E4486">
            <w:pPr>
              <w:rPr>
                <w:rFonts w:ascii="Arial Narrow" w:hAnsi="Arial Narrow" w:cs="Calibri"/>
                <w:sz w:val="20"/>
                <w:szCs w:val="20"/>
              </w:rPr>
            </w:pPr>
            <w:r w:rsidRPr="00E3331A">
              <w:rPr>
                <w:rFonts w:ascii="Arial Narrow" w:hAnsi="Arial Narrow" w:cs="Calibri"/>
                <w:color w:val="000000"/>
                <w:sz w:val="20"/>
                <w:szCs w:val="20"/>
              </w:rPr>
              <w:t xml:space="preserve">Infection </w:t>
            </w:r>
          </w:p>
        </w:tc>
        <w:tc>
          <w:tcPr>
            <w:tcW w:w="819"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0.00</w:t>
            </w:r>
          </w:p>
        </w:tc>
        <w:tc>
          <w:tcPr>
            <w:tcW w:w="858"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0.01</w:t>
            </w:r>
          </w:p>
        </w:tc>
        <w:tc>
          <w:tcPr>
            <w:tcW w:w="820"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0.00</w:t>
            </w:r>
          </w:p>
        </w:tc>
      </w:tr>
      <w:tr w:rsidR="008448F4"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auto"/>
            <w:noWrap/>
            <w:vAlign w:val="bottom"/>
          </w:tcPr>
          <w:p w:rsidR="008448F4" w:rsidRPr="00E3331A" w:rsidRDefault="008448F4" w:rsidP="008448F4">
            <w:pPr>
              <w:rPr>
                <w:rFonts w:ascii="Arial Narrow" w:hAnsi="Arial Narrow" w:cs="Calibri"/>
                <w:color w:val="000000"/>
                <w:sz w:val="20"/>
                <w:szCs w:val="20"/>
              </w:rPr>
            </w:pPr>
            <w:r w:rsidRPr="008448F4">
              <w:rPr>
                <w:rFonts w:ascii="Arial Narrow" w:hAnsi="Arial Narrow" w:cs="Calibri"/>
                <w:bCs/>
                <w:color w:val="000000"/>
                <w:sz w:val="20"/>
                <w:szCs w:val="20"/>
              </w:rPr>
              <w:t>Corticosteroid</w:t>
            </w:r>
            <w:r>
              <w:rPr>
                <w:rFonts w:ascii="Arial Narrow" w:hAnsi="Arial Narrow" w:cs="Calibri"/>
                <w:bCs/>
                <w:color w:val="000000"/>
                <w:sz w:val="20"/>
                <w:szCs w:val="20"/>
              </w:rPr>
              <w:t xml:space="preserve"> non-responder +</w:t>
            </w:r>
            <w:r w:rsidRPr="008448F4">
              <w:rPr>
                <w:rFonts w:ascii="Arial Narrow" w:hAnsi="Arial Narrow" w:cs="Calibri"/>
                <w:bCs/>
                <w:color w:val="000000"/>
                <w:sz w:val="20"/>
                <w:szCs w:val="20"/>
              </w:rPr>
              <w:t>azathioprine</w:t>
            </w:r>
          </w:p>
        </w:tc>
        <w:tc>
          <w:tcPr>
            <w:tcW w:w="819" w:type="pct"/>
            <w:tcBorders>
              <w:top w:val="nil"/>
              <w:left w:val="nil"/>
              <w:bottom w:val="single" w:sz="4" w:space="0" w:color="auto"/>
              <w:right w:val="single" w:sz="4" w:space="0" w:color="auto"/>
            </w:tcBorders>
            <w:shd w:val="clear" w:color="auto" w:fill="auto"/>
            <w:noWrap/>
            <w:vAlign w:val="bottom"/>
          </w:tcPr>
          <w:p w:rsidR="008448F4" w:rsidRPr="00E3331A"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0.00</w:t>
            </w:r>
          </w:p>
        </w:tc>
        <w:tc>
          <w:tcPr>
            <w:tcW w:w="858" w:type="pct"/>
            <w:tcBorders>
              <w:top w:val="nil"/>
              <w:left w:val="nil"/>
              <w:bottom w:val="single" w:sz="4" w:space="0" w:color="auto"/>
              <w:right w:val="single" w:sz="4" w:space="0" w:color="auto"/>
            </w:tcBorders>
            <w:shd w:val="clear" w:color="auto" w:fill="auto"/>
            <w:noWrap/>
            <w:vAlign w:val="bottom"/>
          </w:tcPr>
          <w:p w:rsidR="008448F4" w:rsidRPr="00E3331A"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0.01</w:t>
            </w:r>
          </w:p>
        </w:tc>
        <w:tc>
          <w:tcPr>
            <w:tcW w:w="820" w:type="pct"/>
            <w:tcBorders>
              <w:top w:val="nil"/>
              <w:left w:val="nil"/>
              <w:bottom w:val="single" w:sz="4" w:space="0" w:color="auto"/>
              <w:right w:val="single" w:sz="4" w:space="0" w:color="auto"/>
            </w:tcBorders>
            <w:shd w:val="clear" w:color="auto" w:fill="auto"/>
            <w:noWrap/>
            <w:vAlign w:val="bottom"/>
          </w:tcPr>
          <w:p w:rsidR="008448F4" w:rsidRPr="00E3331A"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0.00</w:t>
            </w:r>
          </w:p>
        </w:tc>
      </w:tr>
      <w:tr w:rsidR="008448F4"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auto"/>
            <w:noWrap/>
            <w:vAlign w:val="center"/>
          </w:tcPr>
          <w:p w:rsidR="008448F4" w:rsidRPr="00E3331A" w:rsidRDefault="008448F4" w:rsidP="008448F4">
            <w:pPr>
              <w:rPr>
                <w:rFonts w:ascii="Arial Narrow" w:hAnsi="Arial Narrow" w:cs="Calibri"/>
                <w:color w:val="000000"/>
                <w:sz w:val="20"/>
                <w:szCs w:val="20"/>
              </w:rPr>
            </w:pPr>
            <w:r>
              <w:rPr>
                <w:rFonts w:ascii="Arial Narrow" w:hAnsi="Arial Narrow" w:cs="Calibri"/>
                <w:color w:val="000000"/>
                <w:sz w:val="20"/>
                <w:szCs w:val="20"/>
              </w:rPr>
              <w:t>A</w:t>
            </w:r>
            <w:r w:rsidRPr="008448F4">
              <w:rPr>
                <w:rFonts w:ascii="Arial Narrow" w:hAnsi="Arial Narrow" w:cs="Calibri"/>
                <w:color w:val="000000"/>
                <w:sz w:val="20"/>
                <w:szCs w:val="20"/>
              </w:rPr>
              <w:t>zathioprine</w:t>
            </w:r>
            <w:r w:rsidRPr="00E3331A">
              <w:rPr>
                <w:rFonts w:ascii="Arial Narrow" w:hAnsi="Arial Narrow" w:cs="Calibri"/>
                <w:color w:val="000000"/>
                <w:sz w:val="20"/>
                <w:szCs w:val="20"/>
              </w:rPr>
              <w:t xml:space="preserve"> non-responder</w:t>
            </w:r>
          </w:p>
        </w:tc>
        <w:tc>
          <w:tcPr>
            <w:tcW w:w="819" w:type="pct"/>
            <w:tcBorders>
              <w:top w:val="nil"/>
              <w:left w:val="nil"/>
              <w:bottom w:val="single" w:sz="4" w:space="0" w:color="auto"/>
              <w:right w:val="single" w:sz="4" w:space="0" w:color="auto"/>
            </w:tcBorders>
            <w:shd w:val="clear" w:color="auto" w:fill="auto"/>
            <w:noWrap/>
            <w:vAlign w:val="bottom"/>
          </w:tcPr>
          <w:p w:rsidR="008448F4" w:rsidRPr="00E3331A"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0.38</w:t>
            </w:r>
          </w:p>
        </w:tc>
        <w:tc>
          <w:tcPr>
            <w:tcW w:w="858" w:type="pct"/>
            <w:tcBorders>
              <w:top w:val="nil"/>
              <w:left w:val="nil"/>
              <w:bottom w:val="single" w:sz="4" w:space="0" w:color="auto"/>
              <w:right w:val="single" w:sz="4" w:space="0" w:color="auto"/>
            </w:tcBorders>
            <w:shd w:val="clear" w:color="auto" w:fill="auto"/>
            <w:noWrap/>
            <w:vAlign w:val="bottom"/>
          </w:tcPr>
          <w:p w:rsidR="008448F4" w:rsidRPr="00E3331A"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0.82</w:t>
            </w:r>
          </w:p>
        </w:tc>
        <w:tc>
          <w:tcPr>
            <w:tcW w:w="820" w:type="pct"/>
            <w:tcBorders>
              <w:top w:val="nil"/>
              <w:left w:val="nil"/>
              <w:bottom w:val="single" w:sz="4" w:space="0" w:color="auto"/>
              <w:right w:val="single" w:sz="4" w:space="0" w:color="auto"/>
            </w:tcBorders>
            <w:shd w:val="clear" w:color="auto" w:fill="auto"/>
            <w:noWrap/>
            <w:vAlign w:val="bottom"/>
          </w:tcPr>
          <w:p w:rsidR="008448F4" w:rsidRPr="00E3331A" w:rsidRDefault="008448F4" w:rsidP="008448F4">
            <w:pPr>
              <w:jc w:val="center"/>
              <w:rPr>
                <w:rFonts w:ascii="Arial Narrow" w:hAnsi="Arial Narrow" w:cs="Calibri"/>
                <w:color w:val="000000"/>
                <w:sz w:val="20"/>
                <w:szCs w:val="20"/>
              </w:rPr>
            </w:pPr>
            <w:r w:rsidRPr="00E3331A">
              <w:rPr>
                <w:rFonts w:ascii="Arial Narrow" w:hAnsi="Arial Narrow" w:cs="Calibri"/>
                <w:color w:val="000000"/>
                <w:sz w:val="20"/>
                <w:szCs w:val="20"/>
              </w:rPr>
              <w:t>-0.44</w:t>
            </w:r>
          </w:p>
        </w:tc>
      </w:tr>
      <w:tr w:rsidR="001E4486"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auto"/>
            <w:noWrap/>
            <w:vAlign w:val="center"/>
          </w:tcPr>
          <w:p w:rsidR="001E4486" w:rsidRPr="00E3331A" w:rsidRDefault="001E4486" w:rsidP="001E4486">
            <w:pPr>
              <w:rPr>
                <w:rFonts w:ascii="Arial Narrow" w:hAnsi="Arial Narrow" w:cs="Calibri"/>
                <w:color w:val="000000"/>
                <w:sz w:val="20"/>
                <w:szCs w:val="20"/>
              </w:rPr>
            </w:pPr>
            <w:r w:rsidRPr="00E3331A">
              <w:rPr>
                <w:rFonts w:ascii="Arial Narrow" w:hAnsi="Arial Narrow" w:cs="Calibri"/>
                <w:color w:val="000000"/>
                <w:sz w:val="20"/>
                <w:szCs w:val="20"/>
              </w:rPr>
              <w:t>Disabled</w:t>
            </w:r>
          </w:p>
        </w:tc>
        <w:tc>
          <w:tcPr>
            <w:tcW w:w="819"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0.70</w:t>
            </w:r>
          </w:p>
        </w:tc>
        <w:tc>
          <w:tcPr>
            <w:tcW w:w="858"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1.58</w:t>
            </w:r>
          </w:p>
        </w:tc>
        <w:tc>
          <w:tcPr>
            <w:tcW w:w="820"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-0.89</w:t>
            </w:r>
          </w:p>
        </w:tc>
      </w:tr>
      <w:tr w:rsidR="001E4486" w:rsidRPr="00E3331A" w:rsidTr="008448F4">
        <w:trPr>
          <w:trHeight w:val="255"/>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rsidR="001E4486" w:rsidRPr="00E3331A" w:rsidRDefault="001E4486" w:rsidP="001E4486">
            <w:pPr>
              <w:rPr>
                <w:rFonts w:ascii="Arial Narrow" w:hAnsi="Arial Narrow" w:cs="Calibri"/>
                <w:sz w:val="20"/>
                <w:szCs w:val="20"/>
              </w:rPr>
            </w:pPr>
            <w:r w:rsidRPr="00E3331A">
              <w:rPr>
                <w:rFonts w:ascii="Arial Narrow" w:hAnsi="Arial Narrow" w:cs="Calibri"/>
                <w:b/>
                <w:bCs/>
                <w:color w:val="000000"/>
                <w:sz w:val="20"/>
                <w:szCs w:val="20"/>
              </w:rPr>
              <w:t>Total</w:t>
            </w:r>
          </w:p>
        </w:tc>
        <w:tc>
          <w:tcPr>
            <w:tcW w:w="819"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b/>
                <w:bCs/>
                <w:color w:val="000000"/>
                <w:sz w:val="20"/>
                <w:szCs w:val="20"/>
              </w:rPr>
              <w:t>6.41</w:t>
            </w:r>
          </w:p>
        </w:tc>
        <w:tc>
          <w:tcPr>
            <w:tcW w:w="858"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b/>
                <w:bCs/>
                <w:color w:val="000000"/>
                <w:sz w:val="20"/>
                <w:szCs w:val="20"/>
              </w:rPr>
              <w:t>5.57</w:t>
            </w:r>
          </w:p>
        </w:tc>
        <w:tc>
          <w:tcPr>
            <w:tcW w:w="820" w:type="pct"/>
            <w:tcBorders>
              <w:top w:val="nil"/>
              <w:left w:val="nil"/>
              <w:bottom w:val="single" w:sz="4" w:space="0" w:color="auto"/>
              <w:right w:val="single" w:sz="4" w:space="0" w:color="auto"/>
            </w:tcBorders>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b/>
                <w:bCs/>
                <w:color w:val="000000"/>
                <w:sz w:val="20"/>
                <w:szCs w:val="20"/>
              </w:rPr>
              <w:t>0.85</w:t>
            </w:r>
          </w:p>
        </w:tc>
      </w:tr>
    </w:tbl>
    <w:p w:rsidR="001F5B33" w:rsidRPr="00E3331A" w:rsidRDefault="001F5B33" w:rsidP="0037150F">
      <w:pPr>
        <w:pStyle w:val="Tablenotes1"/>
      </w:pPr>
      <w:r w:rsidRPr="00E3331A">
        <w:t>Abbreviations: LY</w:t>
      </w:r>
      <w:r w:rsidR="00F60A4C" w:rsidRPr="00E3331A">
        <w:t xml:space="preserve"> =</w:t>
      </w:r>
      <w:r w:rsidRPr="00E3331A">
        <w:t xml:space="preserve"> life year; QALY</w:t>
      </w:r>
      <w:r w:rsidR="00F60A4C" w:rsidRPr="00E3331A">
        <w:t xml:space="preserve"> =</w:t>
      </w:r>
      <w:r w:rsidRPr="00E3331A">
        <w:t xml:space="preserve"> quality-adjusted life year</w:t>
      </w:r>
    </w:p>
    <w:p w:rsidR="00553E4B" w:rsidRPr="00E3331A" w:rsidRDefault="00553E4B" w:rsidP="0037150F">
      <w:pPr>
        <w:pStyle w:val="Tablenotes1"/>
      </w:pPr>
    </w:p>
    <w:p w:rsidR="001F5B33" w:rsidRPr="00E3331A" w:rsidRDefault="001F5B33" w:rsidP="001F5B33">
      <w:pPr>
        <w:pStyle w:val="Heading3"/>
      </w:pPr>
      <w:bookmarkStart w:id="477" w:name="_Toc24103517"/>
      <w:r w:rsidRPr="00E3331A">
        <w:t>D.5.3. Incremental Costs and Effectiveness</w:t>
      </w:r>
      <w:bookmarkEnd w:id="477"/>
    </w:p>
    <w:p w:rsidR="001F5B33" w:rsidRPr="00E3331A" w:rsidRDefault="001F5B33" w:rsidP="00BB6E4C">
      <w:pPr>
        <w:pStyle w:val="BodyTextSTD"/>
      </w:pPr>
      <w:r w:rsidRPr="00E3331A">
        <w:t>The incremental cost and the incremental effectiveness of IVIg ve</w:t>
      </w:r>
      <w:r w:rsidR="00DA591D" w:rsidRPr="00E3331A">
        <w:t>rsus c</w:t>
      </w:r>
      <w:r w:rsidRPr="00E3331A">
        <w:t>orticosteroids</w:t>
      </w:r>
      <w:r w:rsidR="007B44B2" w:rsidRPr="00E3331A">
        <w:t xml:space="preserve"> for an average patient</w:t>
      </w:r>
      <w:r w:rsidRPr="00E3331A">
        <w:t xml:space="preserve"> </w:t>
      </w:r>
      <w:r w:rsidR="007B44B2" w:rsidRPr="00E3331A">
        <w:t xml:space="preserve">is </w:t>
      </w:r>
      <w:r w:rsidRPr="00E3331A">
        <w:t xml:space="preserve">presented in </w:t>
      </w:r>
      <w:r w:rsidR="006F35B9" w:rsidRPr="00E3331A">
        <w:t xml:space="preserve">Table </w:t>
      </w:r>
      <w:r w:rsidR="006F35B9">
        <w:rPr>
          <w:noProof/>
        </w:rPr>
        <w:t>81</w:t>
      </w:r>
      <w:r w:rsidRPr="00E3331A">
        <w:t xml:space="preserve">. The </w:t>
      </w:r>
      <w:r w:rsidR="007B44B2" w:rsidRPr="00E3331A">
        <w:t>ICER</w:t>
      </w:r>
      <w:r w:rsidRPr="00E3331A">
        <w:t xml:space="preserve"> is presented as the incremental cost of achieving an additional QALY. </w:t>
      </w:r>
      <w:r w:rsidR="00896AC9" w:rsidRPr="00E3331A">
        <w:t>T</w:t>
      </w:r>
      <w:r w:rsidR="007B44B2" w:rsidRPr="00E3331A">
        <w:t xml:space="preserve">he </w:t>
      </w:r>
      <w:r w:rsidRPr="00E3331A">
        <w:t>trial period</w:t>
      </w:r>
      <w:r w:rsidR="007B44B2" w:rsidRPr="00E3331A">
        <w:t xml:space="preserve"> ICER is</w:t>
      </w:r>
      <w:r w:rsidRPr="00E3331A">
        <w:t xml:space="preserve"> </w:t>
      </w:r>
      <w:r w:rsidR="00AE5BCE" w:rsidRPr="00E3331A">
        <w:t>$269,</w:t>
      </w:r>
      <w:r w:rsidR="00095947" w:rsidRPr="00E3331A">
        <w:t>038</w:t>
      </w:r>
      <w:r w:rsidR="00AE5BCE" w:rsidRPr="00E3331A">
        <w:t xml:space="preserve"> </w:t>
      </w:r>
      <w:r w:rsidR="007B44B2" w:rsidRPr="00E3331A">
        <w:t xml:space="preserve">per QALY </w:t>
      </w:r>
      <w:r w:rsidR="0062132D" w:rsidRPr="00E3331A">
        <w:t>at average Australia Ig use (497g)</w:t>
      </w:r>
      <w:r w:rsidR="00896AC9" w:rsidRPr="00E3331A">
        <w:t xml:space="preserve"> and </w:t>
      </w:r>
      <w:r w:rsidR="00AE5BCE" w:rsidRPr="00E3331A">
        <w:t>$74</w:t>
      </w:r>
      <w:r w:rsidR="00095947" w:rsidRPr="00E3331A">
        <w:t>2</w:t>
      </w:r>
      <w:r w:rsidR="00AE5BCE" w:rsidRPr="00E3331A">
        <w:t>,</w:t>
      </w:r>
      <w:r w:rsidR="00095947" w:rsidRPr="00E3331A">
        <w:t>576</w:t>
      </w:r>
      <w:r w:rsidR="00896AC9" w:rsidRPr="00E3331A">
        <w:t xml:space="preserve"> per QALY at Ig use of 1,430g per patient per year. </w:t>
      </w:r>
      <w:r w:rsidR="007B44B2" w:rsidRPr="00E3331A">
        <w:t>T</w:t>
      </w:r>
      <w:r w:rsidR="0062132D" w:rsidRPr="00E3331A">
        <w:t xml:space="preserve">he </w:t>
      </w:r>
      <w:r w:rsidR="00F10BDD" w:rsidRPr="00E3331A">
        <w:t>10</w:t>
      </w:r>
      <w:r w:rsidR="0062132D" w:rsidRPr="00E3331A">
        <w:t xml:space="preserve">-year ICER is </w:t>
      </w:r>
      <w:r w:rsidR="00AE5BCE" w:rsidRPr="00E3331A">
        <w:t>$</w:t>
      </w:r>
      <w:r w:rsidR="00095947" w:rsidRPr="00E3331A">
        <w:t xml:space="preserve">197,472 </w:t>
      </w:r>
      <w:r w:rsidR="0062132D" w:rsidRPr="00E3331A">
        <w:t xml:space="preserve">per QALY </w:t>
      </w:r>
      <w:r w:rsidR="00F10BDD" w:rsidRPr="00E3331A">
        <w:t>at average Australia Ig use (497g)</w:t>
      </w:r>
      <w:r w:rsidR="00961D15" w:rsidRPr="00E3331A">
        <w:t xml:space="preserve"> and </w:t>
      </w:r>
      <w:r w:rsidR="00095947" w:rsidRPr="00E3331A">
        <w:t xml:space="preserve">$549,897 </w:t>
      </w:r>
      <w:r w:rsidR="00961D15" w:rsidRPr="00E3331A">
        <w:t>per QALY at Ig use of 1,430g per patient per year</w:t>
      </w:r>
    </w:p>
    <w:p w:rsidR="001F5B33" w:rsidRPr="00E3331A" w:rsidRDefault="001F5B33" w:rsidP="001F5B33">
      <w:pPr>
        <w:pStyle w:val="Caption"/>
      </w:pPr>
      <w:bookmarkStart w:id="478" w:name="_Ref519363458"/>
      <w:bookmarkStart w:id="479" w:name="_Ref8383747"/>
      <w:bookmarkStart w:id="480" w:name="_Toc24103387"/>
      <w:r w:rsidRPr="00E3331A">
        <w:t xml:space="preserve">Table </w:t>
      </w:r>
      <w:r w:rsidR="006F35B9">
        <w:rPr>
          <w:noProof/>
        </w:rPr>
        <w:t>81</w:t>
      </w:r>
      <w:bookmarkEnd w:id="478"/>
      <w:bookmarkEnd w:id="479"/>
      <w:r w:rsidR="00F60A4C" w:rsidRPr="00E3331A">
        <w:tab/>
      </w:r>
      <w:r w:rsidRPr="00E3331A">
        <w:t xml:space="preserve">Incremental </w:t>
      </w:r>
      <w:r w:rsidR="00F60A4C" w:rsidRPr="00E3331A">
        <w:t>c</w:t>
      </w:r>
      <w:r w:rsidRPr="00E3331A">
        <w:t>ost</w:t>
      </w:r>
      <w:r w:rsidR="00D45BCF" w:rsidRPr="00E3331A">
        <w:t>-</w:t>
      </w:r>
      <w:r w:rsidR="00F60A4C" w:rsidRPr="00E3331A">
        <w:t>e</w:t>
      </w:r>
      <w:r w:rsidRPr="00E3331A">
        <w:t xml:space="preserve">ffectiveness </w:t>
      </w:r>
      <w:r w:rsidR="00F60A4C" w:rsidRPr="00E3331A">
        <w:t>r</w:t>
      </w:r>
      <w:r w:rsidRPr="00E3331A">
        <w:t>atio of IVIg vers</w:t>
      </w:r>
      <w:r w:rsidR="00F60A4C" w:rsidRPr="00E3331A">
        <w:t>us</w:t>
      </w:r>
      <w:r w:rsidRPr="00E3331A">
        <w:t xml:space="preserve"> </w:t>
      </w:r>
      <w:r w:rsidR="00F60A4C" w:rsidRPr="00E3331A">
        <w:t>c</w:t>
      </w:r>
      <w:r w:rsidRPr="00E3331A">
        <w:t>orticosteroids (average</w:t>
      </w:r>
      <w:r w:rsidR="00F60A4C" w:rsidRPr="00E3331A">
        <w:t xml:space="preserve"> </w:t>
      </w:r>
      <w:r w:rsidRPr="00E3331A">
        <w:t>patient)</w:t>
      </w:r>
      <w:bookmarkEnd w:id="4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293"/>
        <w:gridCol w:w="1294"/>
        <w:gridCol w:w="1294"/>
        <w:gridCol w:w="1294"/>
        <w:gridCol w:w="1294"/>
      </w:tblGrid>
      <w:tr w:rsidR="00C24981" w:rsidRPr="00E3331A" w:rsidTr="003840DD">
        <w:trPr>
          <w:trHeight w:val="600"/>
        </w:trPr>
        <w:tc>
          <w:tcPr>
            <w:tcW w:w="2547" w:type="dxa"/>
            <w:shd w:val="clear" w:color="auto" w:fill="auto"/>
            <w:vAlign w:val="center"/>
            <w:hideMark/>
          </w:tcPr>
          <w:p w:rsidR="001F5B33" w:rsidRPr="00E3331A" w:rsidRDefault="001F5B33" w:rsidP="00493DDF">
            <w:pPr>
              <w:jc w:val="center"/>
              <w:rPr>
                <w:rFonts w:ascii="Arial Narrow" w:hAnsi="Arial Narrow" w:cs="Calibri"/>
                <w:b/>
                <w:sz w:val="20"/>
                <w:szCs w:val="20"/>
              </w:rPr>
            </w:pPr>
            <w:r w:rsidRPr="00E3331A">
              <w:rPr>
                <w:rFonts w:ascii="Arial Narrow" w:hAnsi="Arial Narrow" w:cs="Calibri"/>
                <w:b/>
                <w:sz w:val="20"/>
                <w:szCs w:val="20"/>
              </w:rPr>
              <w:t> </w:t>
            </w:r>
          </w:p>
        </w:tc>
        <w:tc>
          <w:tcPr>
            <w:tcW w:w="1293" w:type="dxa"/>
            <w:shd w:val="clear" w:color="auto" w:fill="auto"/>
            <w:vAlign w:val="center"/>
            <w:hideMark/>
          </w:tcPr>
          <w:p w:rsidR="001F5B33" w:rsidRPr="00E3331A" w:rsidRDefault="001F5B33" w:rsidP="00493DDF">
            <w:pPr>
              <w:jc w:val="center"/>
              <w:rPr>
                <w:rFonts w:ascii="Arial Narrow" w:hAnsi="Arial Narrow" w:cs="Calibri"/>
                <w:b/>
                <w:sz w:val="20"/>
                <w:szCs w:val="20"/>
              </w:rPr>
            </w:pPr>
            <w:r w:rsidRPr="00E3331A">
              <w:rPr>
                <w:rFonts w:ascii="Arial Narrow" w:hAnsi="Arial Narrow" w:cs="Calibri"/>
                <w:b/>
                <w:sz w:val="20"/>
                <w:szCs w:val="20"/>
              </w:rPr>
              <w:t>Cost</w:t>
            </w:r>
          </w:p>
        </w:tc>
        <w:tc>
          <w:tcPr>
            <w:tcW w:w="1294" w:type="dxa"/>
            <w:shd w:val="clear" w:color="auto" w:fill="auto"/>
            <w:vAlign w:val="center"/>
            <w:hideMark/>
          </w:tcPr>
          <w:p w:rsidR="001F5B33" w:rsidRPr="00E3331A" w:rsidRDefault="001F5B33" w:rsidP="00493DDF">
            <w:pPr>
              <w:jc w:val="center"/>
              <w:rPr>
                <w:rFonts w:ascii="Arial Narrow" w:hAnsi="Arial Narrow" w:cs="Calibri"/>
                <w:b/>
                <w:sz w:val="20"/>
                <w:szCs w:val="20"/>
              </w:rPr>
            </w:pPr>
            <w:r w:rsidRPr="00E3331A">
              <w:rPr>
                <w:rFonts w:ascii="Arial Narrow" w:hAnsi="Arial Narrow" w:cs="Calibri"/>
                <w:b/>
                <w:sz w:val="20"/>
                <w:szCs w:val="20"/>
              </w:rPr>
              <w:t>Incremental cost</w:t>
            </w:r>
          </w:p>
        </w:tc>
        <w:tc>
          <w:tcPr>
            <w:tcW w:w="1294" w:type="dxa"/>
            <w:shd w:val="clear" w:color="auto" w:fill="auto"/>
            <w:vAlign w:val="center"/>
            <w:hideMark/>
          </w:tcPr>
          <w:p w:rsidR="001F5B33" w:rsidRPr="00E3331A" w:rsidRDefault="001F5B33" w:rsidP="00493DDF">
            <w:pPr>
              <w:jc w:val="center"/>
              <w:rPr>
                <w:rFonts w:ascii="Arial Narrow" w:hAnsi="Arial Narrow" w:cs="Calibri"/>
                <w:b/>
                <w:sz w:val="20"/>
                <w:szCs w:val="20"/>
              </w:rPr>
            </w:pPr>
            <w:r w:rsidRPr="00E3331A">
              <w:rPr>
                <w:rFonts w:ascii="Arial Narrow" w:hAnsi="Arial Narrow" w:cs="Calibri"/>
                <w:b/>
                <w:sz w:val="20"/>
                <w:szCs w:val="20"/>
              </w:rPr>
              <w:t>Effectiveness (QALYs)</w:t>
            </w:r>
          </w:p>
        </w:tc>
        <w:tc>
          <w:tcPr>
            <w:tcW w:w="1294" w:type="dxa"/>
            <w:shd w:val="clear" w:color="auto" w:fill="auto"/>
            <w:vAlign w:val="center"/>
            <w:hideMark/>
          </w:tcPr>
          <w:p w:rsidR="001F5B33" w:rsidRPr="00E3331A" w:rsidRDefault="001F5B33" w:rsidP="00493DDF">
            <w:pPr>
              <w:jc w:val="center"/>
              <w:rPr>
                <w:rFonts w:ascii="Arial Narrow" w:hAnsi="Arial Narrow" w:cs="Calibri"/>
                <w:b/>
                <w:sz w:val="20"/>
                <w:szCs w:val="20"/>
              </w:rPr>
            </w:pPr>
            <w:r w:rsidRPr="00E3331A">
              <w:rPr>
                <w:rFonts w:ascii="Arial Narrow" w:hAnsi="Arial Narrow" w:cs="Calibri"/>
                <w:b/>
                <w:sz w:val="20"/>
                <w:szCs w:val="20"/>
              </w:rPr>
              <w:t>Incremental effectiveness</w:t>
            </w:r>
          </w:p>
        </w:tc>
        <w:tc>
          <w:tcPr>
            <w:tcW w:w="1294" w:type="dxa"/>
            <w:shd w:val="clear" w:color="auto" w:fill="auto"/>
            <w:vAlign w:val="center"/>
            <w:hideMark/>
          </w:tcPr>
          <w:p w:rsidR="001F5B33" w:rsidRPr="00E3331A" w:rsidRDefault="001F5B33" w:rsidP="00493DDF">
            <w:pPr>
              <w:jc w:val="center"/>
              <w:rPr>
                <w:rFonts w:ascii="Arial Narrow" w:hAnsi="Arial Narrow" w:cs="Calibri"/>
                <w:b/>
                <w:sz w:val="20"/>
                <w:szCs w:val="20"/>
              </w:rPr>
            </w:pPr>
            <w:r w:rsidRPr="00E3331A">
              <w:rPr>
                <w:rFonts w:ascii="Arial Narrow" w:hAnsi="Arial Narrow" w:cs="Calibri"/>
                <w:b/>
                <w:sz w:val="20"/>
                <w:szCs w:val="20"/>
              </w:rPr>
              <w:t>ICER</w:t>
            </w:r>
          </w:p>
        </w:tc>
      </w:tr>
      <w:tr w:rsidR="00C24981" w:rsidRPr="00E3331A" w:rsidTr="0007007F">
        <w:trPr>
          <w:trHeight w:val="300"/>
        </w:trPr>
        <w:tc>
          <w:tcPr>
            <w:tcW w:w="2547" w:type="dxa"/>
            <w:shd w:val="clear" w:color="auto" w:fill="D9D9D9"/>
            <w:noWrap/>
            <w:vAlign w:val="bottom"/>
            <w:hideMark/>
          </w:tcPr>
          <w:p w:rsidR="001F5B33" w:rsidRPr="00E3331A" w:rsidRDefault="001F5B33" w:rsidP="00493DDF">
            <w:pPr>
              <w:rPr>
                <w:rFonts w:ascii="Arial Narrow" w:hAnsi="Arial Narrow" w:cs="Calibri"/>
                <w:b/>
                <w:sz w:val="20"/>
                <w:szCs w:val="20"/>
              </w:rPr>
            </w:pPr>
            <w:r w:rsidRPr="00E3331A">
              <w:rPr>
                <w:rFonts w:ascii="Arial Narrow" w:hAnsi="Arial Narrow" w:cs="Calibri"/>
                <w:b/>
                <w:sz w:val="20"/>
                <w:szCs w:val="20"/>
              </w:rPr>
              <w:t>Trial period</w:t>
            </w:r>
          </w:p>
        </w:tc>
        <w:tc>
          <w:tcPr>
            <w:tcW w:w="1293" w:type="dxa"/>
            <w:shd w:val="clear" w:color="auto" w:fill="D9D9D9"/>
            <w:noWrap/>
            <w:vAlign w:val="bottom"/>
            <w:hideMark/>
          </w:tcPr>
          <w:p w:rsidR="001F5B33" w:rsidRPr="00E3331A" w:rsidRDefault="001F5B33" w:rsidP="00493DDF">
            <w:pPr>
              <w:jc w:val="center"/>
              <w:rPr>
                <w:rFonts w:ascii="Arial Narrow" w:hAnsi="Arial Narrow" w:cs="Calibri"/>
                <w:b/>
                <w:sz w:val="20"/>
                <w:szCs w:val="20"/>
              </w:rPr>
            </w:pPr>
            <w:r w:rsidRPr="00E3331A">
              <w:rPr>
                <w:rFonts w:ascii="Arial Narrow" w:hAnsi="Arial Narrow" w:cs="Calibri"/>
                <w:sz w:val="20"/>
                <w:szCs w:val="20"/>
              </w:rPr>
              <w:t> </w:t>
            </w:r>
          </w:p>
        </w:tc>
        <w:tc>
          <w:tcPr>
            <w:tcW w:w="1294" w:type="dxa"/>
            <w:shd w:val="clear" w:color="auto" w:fill="D9D9D9"/>
            <w:noWrap/>
            <w:vAlign w:val="bottom"/>
            <w:hideMark/>
          </w:tcPr>
          <w:p w:rsidR="001F5B33" w:rsidRPr="00E3331A" w:rsidRDefault="001F5B33" w:rsidP="00493DDF">
            <w:pPr>
              <w:jc w:val="center"/>
              <w:rPr>
                <w:rFonts w:ascii="Arial Narrow" w:hAnsi="Arial Narrow" w:cs="Calibri"/>
                <w:b/>
                <w:sz w:val="20"/>
                <w:szCs w:val="20"/>
              </w:rPr>
            </w:pPr>
            <w:r w:rsidRPr="00E3331A">
              <w:rPr>
                <w:rFonts w:ascii="Arial Narrow" w:hAnsi="Arial Narrow" w:cs="Calibri"/>
                <w:sz w:val="20"/>
                <w:szCs w:val="20"/>
              </w:rPr>
              <w:t> </w:t>
            </w:r>
          </w:p>
        </w:tc>
        <w:tc>
          <w:tcPr>
            <w:tcW w:w="1294" w:type="dxa"/>
            <w:shd w:val="clear" w:color="auto" w:fill="D9D9D9"/>
            <w:noWrap/>
            <w:vAlign w:val="bottom"/>
            <w:hideMark/>
          </w:tcPr>
          <w:p w:rsidR="001F5B33" w:rsidRPr="00E3331A" w:rsidRDefault="001F5B33" w:rsidP="00493DDF">
            <w:pPr>
              <w:jc w:val="center"/>
              <w:rPr>
                <w:rFonts w:ascii="Arial Narrow" w:hAnsi="Arial Narrow" w:cs="Calibri"/>
                <w:b/>
                <w:sz w:val="20"/>
                <w:szCs w:val="20"/>
              </w:rPr>
            </w:pPr>
            <w:r w:rsidRPr="00E3331A">
              <w:rPr>
                <w:rFonts w:ascii="Arial Narrow" w:hAnsi="Arial Narrow" w:cs="Calibri"/>
                <w:sz w:val="20"/>
                <w:szCs w:val="20"/>
              </w:rPr>
              <w:t> </w:t>
            </w:r>
          </w:p>
        </w:tc>
        <w:tc>
          <w:tcPr>
            <w:tcW w:w="1294" w:type="dxa"/>
            <w:shd w:val="clear" w:color="auto" w:fill="D9D9D9"/>
            <w:noWrap/>
            <w:vAlign w:val="center"/>
            <w:hideMark/>
          </w:tcPr>
          <w:p w:rsidR="001F5B33" w:rsidRPr="00E3331A" w:rsidRDefault="001F5B33" w:rsidP="00493DDF">
            <w:pPr>
              <w:jc w:val="center"/>
              <w:rPr>
                <w:rFonts w:ascii="Arial Narrow" w:hAnsi="Arial Narrow" w:cs="Calibri"/>
                <w:b/>
                <w:sz w:val="20"/>
                <w:szCs w:val="20"/>
              </w:rPr>
            </w:pPr>
            <w:r w:rsidRPr="00E3331A">
              <w:rPr>
                <w:rFonts w:ascii="Arial Narrow" w:hAnsi="Arial Narrow" w:cs="Calibri"/>
                <w:sz w:val="20"/>
                <w:szCs w:val="20"/>
              </w:rPr>
              <w:t> </w:t>
            </w:r>
          </w:p>
        </w:tc>
        <w:tc>
          <w:tcPr>
            <w:tcW w:w="1294" w:type="dxa"/>
            <w:shd w:val="clear" w:color="auto" w:fill="D9D9D9"/>
            <w:noWrap/>
            <w:vAlign w:val="bottom"/>
            <w:hideMark/>
          </w:tcPr>
          <w:p w:rsidR="001F5B33" w:rsidRPr="00E3331A" w:rsidRDefault="001F5B33" w:rsidP="00493DDF">
            <w:pPr>
              <w:jc w:val="center"/>
              <w:rPr>
                <w:rFonts w:ascii="Arial Narrow" w:hAnsi="Arial Narrow" w:cs="Calibri"/>
                <w:b/>
                <w:sz w:val="20"/>
                <w:szCs w:val="20"/>
              </w:rPr>
            </w:pPr>
            <w:r w:rsidRPr="00E3331A">
              <w:rPr>
                <w:rFonts w:ascii="Arial Narrow" w:hAnsi="Arial Narrow" w:cs="Calibri"/>
                <w:sz w:val="20"/>
                <w:szCs w:val="20"/>
              </w:rPr>
              <w:t> </w:t>
            </w:r>
          </w:p>
        </w:tc>
      </w:tr>
      <w:tr w:rsidR="001E4486" w:rsidRPr="00E3331A" w:rsidTr="003840DD">
        <w:trPr>
          <w:trHeight w:val="300"/>
        </w:trPr>
        <w:tc>
          <w:tcPr>
            <w:tcW w:w="2547" w:type="dxa"/>
            <w:shd w:val="clear" w:color="auto" w:fill="auto"/>
            <w:noWrap/>
            <w:vAlign w:val="bottom"/>
            <w:hideMark/>
          </w:tcPr>
          <w:p w:rsidR="001E4486" w:rsidRPr="00E3331A" w:rsidRDefault="001E4486" w:rsidP="001E4486">
            <w:pPr>
              <w:rPr>
                <w:rFonts w:ascii="Arial Narrow" w:hAnsi="Arial Narrow" w:cs="Calibri"/>
                <w:sz w:val="20"/>
                <w:szCs w:val="20"/>
              </w:rPr>
            </w:pPr>
            <w:r w:rsidRPr="00E3331A">
              <w:rPr>
                <w:rFonts w:ascii="Arial Narrow" w:hAnsi="Arial Narrow" w:cs="Calibri"/>
                <w:sz w:val="20"/>
                <w:szCs w:val="20"/>
              </w:rPr>
              <w:t>Ig, 497g per patient per year</w:t>
            </w:r>
          </w:p>
        </w:tc>
        <w:tc>
          <w:tcPr>
            <w:tcW w:w="1293" w:type="dxa"/>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$16,808</w:t>
            </w:r>
          </w:p>
        </w:tc>
        <w:tc>
          <w:tcPr>
            <w:tcW w:w="1294" w:type="dxa"/>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$14,459</w:t>
            </w:r>
          </w:p>
        </w:tc>
        <w:tc>
          <w:tcPr>
            <w:tcW w:w="1294" w:type="dxa"/>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0.35</w:t>
            </w:r>
          </w:p>
        </w:tc>
        <w:tc>
          <w:tcPr>
            <w:tcW w:w="1294" w:type="dxa"/>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0.05</w:t>
            </w:r>
          </w:p>
        </w:tc>
        <w:tc>
          <w:tcPr>
            <w:tcW w:w="1294" w:type="dxa"/>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$269,038</w:t>
            </w:r>
          </w:p>
        </w:tc>
      </w:tr>
      <w:tr w:rsidR="001E4486" w:rsidRPr="00E3331A" w:rsidTr="003840DD">
        <w:trPr>
          <w:trHeight w:val="300"/>
        </w:trPr>
        <w:tc>
          <w:tcPr>
            <w:tcW w:w="2547" w:type="dxa"/>
            <w:shd w:val="clear" w:color="auto" w:fill="auto"/>
            <w:noWrap/>
            <w:vAlign w:val="bottom"/>
          </w:tcPr>
          <w:p w:rsidR="001E4486" w:rsidRPr="00E3331A" w:rsidRDefault="001E4486" w:rsidP="001E4486">
            <w:pPr>
              <w:rPr>
                <w:rFonts w:ascii="Arial Narrow" w:hAnsi="Arial Narrow" w:cs="Calibri"/>
                <w:sz w:val="20"/>
                <w:szCs w:val="20"/>
              </w:rPr>
            </w:pPr>
            <w:r w:rsidRPr="00E3331A">
              <w:rPr>
                <w:rFonts w:ascii="Arial Narrow" w:hAnsi="Arial Narrow" w:cs="Calibri"/>
                <w:sz w:val="20"/>
                <w:szCs w:val="20"/>
              </w:rPr>
              <w:t>Ig, 1,430 g per patient per year</w:t>
            </w:r>
          </w:p>
        </w:tc>
        <w:tc>
          <w:tcPr>
            <w:tcW w:w="1293" w:type="dxa"/>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$42,257</w:t>
            </w:r>
          </w:p>
        </w:tc>
        <w:tc>
          <w:tcPr>
            <w:tcW w:w="1294" w:type="dxa"/>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$39,907</w:t>
            </w:r>
          </w:p>
        </w:tc>
        <w:tc>
          <w:tcPr>
            <w:tcW w:w="1294" w:type="dxa"/>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0.35</w:t>
            </w:r>
          </w:p>
        </w:tc>
        <w:tc>
          <w:tcPr>
            <w:tcW w:w="1294" w:type="dxa"/>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0.05</w:t>
            </w:r>
          </w:p>
        </w:tc>
        <w:tc>
          <w:tcPr>
            <w:tcW w:w="1294" w:type="dxa"/>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$742,576</w:t>
            </w:r>
          </w:p>
        </w:tc>
      </w:tr>
      <w:tr w:rsidR="001E4486" w:rsidRPr="00E3331A" w:rsidTr="003840DD">
        <w:trPr>
          <w:trHeight w:val="300"/>
        </w:trPr>
        <w:tc>
          <w:tcPr>
            <w:tcW w:w="2547" w:type="dxa"/>
            <w:shd w:val="clear" w:color="auto" w:fill="auto"/>
            <w:noWrap/>
            <w:vAlign w:val="bottom"/>
            <w:hideMark/>
          </w:tcPr>
          <w:p w:rsidR="001E4486" w:rsidRPr="00E3331A" w:rsidRDefault="001E4486" w:rsidP="001E4486">
            <w:pPr>
              <w:rPr>
                <w:rFonts w:ascii="Arial Narrow" w:hAnsi="Arial Narrow" w:cs="Calibri"/>
                <w:sz w:val="20"/>
                <w:szCs w:val="20"/>
              </w:rPr>
            </w:pPr>
            <w:r w:rsidRPr="00E3331A">
              <w:rPr>
                <w:rFonts w:ascii="Arial Narrow" w:hAnsi="Arial Narrow" w:cs="Calibri"/>
                <w:sz w:val="20"/>
                <w:szCs w:val="20"/>
              </w:rPr>
              <w:t>Corticosteroids</w:t>
            </w:r>
          </w:p>
        </w:tc>
        <w:tc>
          <w:tcPr>
            <w:tcW w:w="1293" w:type="dxa"/>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$2,349</w:t>
            </w:r>
          </w:p>
        </w:tc>
        <w:tc>
          <w:tcPr>
            <w:tcW w:w="1294" w:type="dxa"/>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 </w:t>
            </w:r>
            <w:r w:rsidR="00573669">
              <w:rPr>
                <w:rFonts w:ascii="Arial Narrow" w:hAnsi="Arial Narrow" w:cs="Calibri"/>
                <w:color w:val="000000"/>
                <w:sz w:val="20"/>
                <w:szCs w:val="20"/>
              </w:rPr>
              <w:t>NA</w:t>
            </w:r>
          </w:p>
        </w:tc>
        <w:tc>
          <w:tcPr>
            <w:tcW w:w="1294" w:type="dxa"/>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0.30</w:t>
            </w:r>
          </w:p>
        </w:tc>
        <w:tc>
          <w:tcPr>
            <w:tcW w:w="1294" w:type="dxa"/>
            <w:shd w:val="clear" w:color="auto" w:fill="auto"/>
            <w:noWrap/>
            <w:vAlign w:val="bottom"/>
          </w:tcPr>
          <w:p w:rsidR="001E4486" w:rsidRPr="00E3331A" w:rsidRDefault="00573669" w:rsidP="001E4486">
            <w:pPr>
              <w:jc w:val="center"/>
              <w:rPr>
                <w:rFonts w:ascii="Arial Narrow" w:hAnsi="Arial Narrow" w:cs="Calibri"/>
                <w:sz w:val="20"/>
                <w:szCs w:val="20"/>
              </w:rPr>
            </w:pPr>
            <w:r>
              <w:rPr>
                <w:rFonts w:ascii="Arial Narrow" w:hAnsi="Arial Narrow" w:cs="Calibri"/>
                <w:sz w:val="20"/>
                <w:szCs w:val="20"/>
              </w:rPr>
              <w:t>NA</w:t>
            </w:r>
          </w:p>
        </w:tc>
        <w:tc>
          <w:tcPr>
            <w:tcW w:w="1294" w:type="dxa"/>
            <w:shd w:val="clear" w:color="auto" w:fill="auto"/>
            <w:noWrap/>
            <w:vAlign w:val="bottom"/>
          </w:tcPr>
          <w:p w:rsidR="001E4486" w:rsidRPr="00E3331A" w:rsidRDefault="00573669" w:rsidP="001E4486">
            <w:pPr>
              <w:jc w:val="center"/>
              <w:rPr>
                <w:rFonts w:ascii="Arial Narrow" w:hAnsi="Arial Narrow" w:cs="Calibri"/>
                <w:sz w:val="20"/>
                <w:szCs w:val="20"/>
              </w:rPr>
            </w:pPr>
            <w:r>
              <w:rPr>
                <w:rFonts w:ascii="Arial Narrow" w:hAnsi="Arial Narrow" w:cs="Calibri"/>
                <w:sz w:val="20"/>
                <w:szCs w:val="20"/>
              </w:rPr>
              <w:t>NA</w:t>
            </w:r>
          </w:p>
        </w:tc>
      </w:tr>
      <w:tr w:rsidR="00C24981" w:rsidRPr="00E3331A" w:rsidTr="0007007F">
        <w:trPr>
          <w:trHeight w:val="300"/>
        </w:trPr>
        <w:tc>
          <w:tcPr>
            <w:tcW w:w="2547" w:type="dxa"/>
            <w:shd w:val="clear" w:color="auto" w:fill="D9D9D9"/>
            <w:noWrap/>
            <w:vAlign w:val="bottom"/>
            <w:hideMark/>
          </w:tcPr>
          <w:p w:rsidR="00C24981" w:rsidRPr="00E3331A" w:rsidRDefault="00F10BDD" w:rsidP="00C24981">
            <w:pPr>
              <w:rPr>
                <w:rFonts w:ascii="Arial Narrow" w:hAnsi="Arial Narrow" w:cs="Calibri"/>
                <w:b/>
                <w:sz w:val="20"/>
                <w:szCs w:val="20"/>
              </w:rPr>
            </w:pPr>
            <w:r w:rsidRPr="00E3331A">
              <w:rPr>
                <w:rFonts w:ascii="Arial Narrow" w:hAnsi="Arial Narrow" w:cs="Calibri"/>
                <w:b/>
                <w:sz w:val="20"/>
                <w:szCs w:val="20"/>
              </w:rPr>
              <w:t xml:space="preserve">10-year </w:t>
            </w:r>
          </w:p>
        </w:tc>
        <w:tc>
          <w:tcPr>
            <w:tcW w:w="1293" w:type="dxa"/>
            <w:shd w:val="clear" w:color="auto" w:fill="D9D9D9"/>
            <w:noWrap/>
            <w:vAlign w:val="bottom"/>
          </w:tcPr>
          <w:p w:rsidR="00C24981" w:rsidRPr="00E3331A" w:rsidRDefault="00C24981" w:rsidP="00C24981">
            <w:pPr>
              <w:jc w:val="center"/>
              <w:rPr>
                <w:rFonts w:ascii="Arial Narrow" w:hAnsi="Arial Narrow" w:cs="Calibri"/>
                <w:b/>
                <w:sz w:val="20"/>
                <w:szCs w:val="20"/>
              </w:rPr>
            </w:pPr>
            <w:r w:rsidRPr="00E3331A">
              <w:rPr>
                <w:rFonts w:ascii="Arial Narrow" w:hAnsi="Arial Narrow" w:cs="Calibri"/>
                <w:color w:val="FFFFFF"/>
                <w:sz w:val="20"/>
                <w:szCs w:val="20"/>
              </w:rPr>
              <w:t> </w:t>
            </w:r>
          </w:p>
        </w:tc>
        <w:tc>
          <w:tcPr>
            <w:tcW w:w="1294" w:type="dxa"/>
            <w:shd w:val="clear" w:color="auto" w:fill="D9D9D9"/>
            <w:noWrap/>
            <w:vAlign w:val="bottom"/>
          </w:tcPr>
          <w:p w:rsidR="00C24981" w:rsidRPr="00E3331A" w:rsidRDefault="00C24981" w:rsidP="00C24981">
            <w:pPr>
              <w:jc w:val="center"/>
              <w:rPr>
                <w:rFonts w:ascii="Arial Narrow" w:hAnsi="Arial Narrow" w:cs="Calibri"/>
                <w:b/>
                <w:sz w:val="20"/>
                <w:szCs w:val="20"/>
              </w:rPr>
            </w:pPr>
            <w:r w:rsidRPr="00E3331A">
              <w:rPr>
                <w:rFonts w:ascii="Arial Narrow" w:hAnsi="Arial Narrow" w:cs="Calibri"/>
                <w:color w:val="FFFFFF"/>
                <w:sz w:val="20"/>
                <w:szCs w:val="20"/>
              </w:rPr>
              <w:t> </w:t>
            </w:r>
          </w:p>
        </w:tc>
        <w:tc>
          <w:tcPr>
            <w:tcW w:w="1294" w:type="dxa"/>
            <w:shd w:val="clear" w:color="auto" w:fill="D9D9D9"/>
            <w:noWrap/>
            <w:vAlign w:val="bottom"/>
          </w:tcPr>
          <w:p w:rsidR="00C24981" w:rsidRPr="00E3331A" w:rsidRDefault="00C24981" w:rsidP="00C24981">
            <w:pPr>
              <w:jc w:val="center"/>
              <w:rPr>
                <w:rFonts w:ascii="Arial Narrow" w:hAnsi="Arial Narrow" w:cs="Calibri"/>
                <w:b/>
                <w:sz w:val="20"/>
                <w:szCs w:val="20"/>
              </w:rPr>
            </w:pPr>
            <w:r w:rsidRPr="00E3331A">
              <w:rPr>
                <w:rFonts w:ascii="Arial Narrow" w:hAnsi="Arial Narrow" w:cs="Calibri"/>
                <w:color w:val="FFFFFF"/>
                <w:sz w:val="20"/>
                <w:szCs w:val="20"/>
              </w:rPr>
              <w:t> </w:t>
            </w:r>
          </w:p>
        </w:tc>
        <w:tc>
          <w:tcPr>
            <w:tcW w:w="1294" w:type="dxa"/>
            <w:shd w:val="clear" w:color="auto" w:fill="D9D9D9"/>
            <w:noWrap/>
            <w:vAlign w:val="bottom"/>
          </w:tcPr>
          <w:p w:rsidR="00C24981" w:rsidRPr="00E3331A" w:rsidRDefault="00C24981" w:rsidP="00C24981">
            <w:pPr>
              <w:jc w:val="center"/>
              <w:rPr>
                <w:rFonts w:ascii="Arial Narrow" w:hAnsi="Arial Narrow" w:cs="Calibri"/>
                <w:b/>
                <w:sz w:val="20"/>
                <w:szCs w:val="20"/>
              </w:rPr>
            </w:pPr>
            <w:r w:rsidRPr="00E3331A">
              <w:rPr>
                <w:rFonts w:ascii="Arial Narrow" w:hAnsi="Arial Narrow" w:cs="Calibri"/>
                <w:color w:val="FFFFFF"/>
                <w:sz w:val="20"/>
                <w:szCs w:val="20"/>
              </w:rPr>
              <w:t> </w:t>
            </w:r>
          </w:p>
        </w:tc>
        <w:tc>
          <w:tcPr>
            <w:tcW w:w="1294" w:type="dxa"/>
            <w:shd w:val="clear" w:color="auto" w:fill="D9D9D9"/>
            <w:noWrap/>
            <w:vAlign w:val="bottom"/>
          </w:tcPr>
          <w:p w:rsidR="00C24981" w:rsidRPr="00E3331A" w:rsidRDefault="00C24981" w:rsidP="00C24981">
            <w:pPr>
              <w:jc w:val="center"/>
              <w:rPr>
                <w:rFonts w:ascii="Arial Narrow" w:hAnsi="Arial Narrow" w:cs="Calibri"/>
                <w:b/>
                <w:sz w:val="20"/>
                <w:szCs w:val="20"/>
              </w:rPr>
            </w:pPr>
            <w:r w:rsidRPr="00E3331A">
              <w:rPr>
                <w:rFonts w:ascii="Arial Narrow" w:hAnsi="Arial Narrow" w:cs="Calibri"/>
                <w:color w:val="FFFFFF"/>
                <w:sz w:val="20"/>
                <w:szCs w:val="20"/>
              </w:rPr>
              <w:t> </w:t>
            </w:r>
          </w:p>
        </w:tc>
      </w:tr>
      <w:tr w:rsidR="001E4486" w:rsidRPr="00E3331A" w:rsidTr="003840DD">
        <w:trPr>
          <w:trHeight w:val="300"/>
        </w:trPr>
        <w:tc>
          <w:tcPr>
            <w:tcW w:w="2547" w:type="dxa"/>
            <w:shd w:val="clear" w:color="auto" w:fill="auto"/>
            <w:noWrap/>
            <w:vAlign w:val="bottom"/>
            <w:hideMark/>
          </w:tcPr>
          <w:p w:rsidR="001E4486" w:rsidRPr="00E3331A" w:rsidRDefault="001E4486" w:rsidP="001E4486">
            <w:pPr>
              <w:rPr>
                <w:rFonts w:ascii="Arial Narrow" w:hAnsi="Arial Narrow" w:cs="Calibri"/>
                <w:sz w:val="20"/>
                <w:szCs w:val="20"/>
              </w:rPr>
            </w:pPr>
            <w:r w:rsidRPr="00E3331A">
              <w:rPr>
                <w:rFonts w:ascii="Arial Narrow" w:hAnsi="Arial Narrow" w:cs="Calibri"/>
                <w:sz w:val="20"/>
                <w:szCs w:val="20"/>
              </w:rPr>
              <w:t>Ig, 497g per patient per year</w:t>
            </w:r>
          </w:p>
        </w:tc>
        <w:tc>
          <w:tcPr>
            <w:tcW w:w="1293" w:type="dxa"/>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$174,469</w:t>
            </w:r>
          </w:p>
        </w:tc>
        <w:tc>
          <w:tcPr>
            <w:tcW w:w="1294" w:type="dxa"/>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$130,714</w:t>
            </w:r>
          </w:p>
        </w:tc>
        <w:tc>
          <w:tcPr>
            <w:tcW w:w="1294" w:type="dxa"/>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5.10</w:t>
            </w:r>
          </w:p>
        </w:tc>
        <w:tc>
          <w:tcPr>
            <w:tcW w:w="1294" w:type="dxa"/>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0.66</w:t>
            </w:r>
          </w:p>
        </w:tc>
        <w:tc>
          <w:tcPr>
            <w:tcW w:w="1294" w:type="dxa"/>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$197,472</w:t>
            </w:r>
          </w:p>
        </w:tc>
      </w:tr>
      <w:tr w:rsidR="001E4486" w:rsidRPr="00E3331A" w:rsidTr="00C24981">
        <w:trPr>
          <w:trHeight w:val="300"/>
        </w:trPr>
        <w:tc>
          <w:tcPr>
            <w:tcW w:w="2547" w:type="dxa"/>
            <w:shd w:val="clear" w:color="auto" w:fill="auto"/>
            <w:noWrap/>
            <w:vAlign w:val="bottom"/>
          </w:tcPr>
          <w:p w:rsidR="001E4486" w:rsidRPr="00E3331A" w:rsidRDefault="001E4486" w:rsidP="001E4486">
            <w:pPr>
              <w:rPr>
                <w:rFonts w:ascii="Arial Narrow" w:hAnsi="Arial Narrow" w:cs="Calibri"/>
                <w:sz w:val="20"/>
                <w:szCs w:val="20"/>
              </w:rPr>
            </w:pPr>
            <w:r w:rsidRPr="00E3331A">
              <w:rPr>
                <w:rFonts w:ascii="Arial Narrow" w:hAnsi="Arial Narrow" w:cs="Calibri"/>
                <w:sz w:val="20"/>
                <w:szCs w:val="20"/>
              </w:rPr>
              <w:t>Ig, 1,430 g per patient per year</w:t>
            </w:r>
          </w:p>
        </w:tc>
        <w:tc>
          <w:tcPr>
            <w:tcW w:w="1293" w:type="dxa"/>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$407,752</w:t>
            </w:r>
          </w:p>
        </w:tc>
        <w:tc>
          <w:tcPr>
            <w:tcW w:w="1294" w:type="dxa"/>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$363,997</w:t>
            </w:r>
          </w:p>
        </w:tc>
        <w:tc>
          <w:tcPr>
            <w:tcW w:w="1294" w:type="dxa"/>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5.10</w:t>
            </w:r>
          </w:p>
        </w:tc>
        <w:tc>
          <w:tcPr>
            <w:tcW w:w="1294" w:type="dxa"/>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0.66</w:t>
            </w:r>
          </w:p>
        </w:tc>
        <w:tc>
          <w:tcPr>
            <w:tcW w:w="1294" w:type="dxa"/>
            <w:shd w:val="clear" w:color="auto" w:fill="auto"/>
            <w:noWrap/>
            <w:vAlign w:val="bottom"/>
          </w:tcPr>
          <w:p w:rsidR="001E4486" w:rsidRPr="00E3331A" w:rsidRDefault="001E4486" w:rsidP="001E4486">
            <w:pPr>
              <w:jc w:val="center"/>
              <w:rPr>
                <w:rFonts w:ascii="Arial Narrow" w:hAnsi="Arial Narrow" w:cs="Calibri"/>
                <w:color w:val="000000"/>
                <w:sz w:val="20"/>
                <w:szCs w:val="20"/>
              </w:rPr>
            </w:pPr>
            <w:r w:rsidRPr="00E3331A">
              <w:rPr>
                <w:rFonts w:ascii="Arial Narrow" w:hAnsi="Arial Narrow" w:cs="Calibri"/>
                <w:color w:val="000000"/>
                <w:sz w:val="20"/>
                <w:szCs w:val="20"/>
              </w:rPr>
              <w:t>$549,897</w:t>
            </w:r>
          </w:p>
        </w:tc>
      </w:tr>
      <w:tr w:rsidR="001E4486" w:rsidRPr="00E3331A" w:rsidTr="003840DD">
        <w:trPr>
          <w:trHeight w:val="300"/>
        </w:trPr>
        <w:tc>
          <w:tcPr>
            <w:tcW w:w="2547" w:type="dxa"/>
            <w:shd w:val="clear" w:color="auto" w:fill="auto"/>
            <w:noWrap/>
            <w:vAlign w:val="bottom"/>
            <w:hideMark/>
          </w:tcPr>
          <w:p w:rsidR="001E4486" w:rsidRPr="00E3331A" w:rsidRDefault="001E4486" w:rsidP="001E4486">
            <w:pPr>
              <w:rPr>
                <w:rFonts w:ascii="Arial Narrow" w:hAnsi="Arial Narrow" w:cs="Calibri"/>
                <w:sz w:val="20"/>
                <w:szCs w:val="20"/>
              </w:rPr>
            </w:pPr>
            <w:r w:rsidRPr="00E3331A">
              <w:rPr>
                <w:rFonts w:ascii="Arial Narrow" w:hAnsi="Arial Narrow" w:cs="Calibri"/>
                <w:sz w:val="20"/>
                <w:szCs w:val="20"/>
              </w:rPr>
              <w:t>Corticosteroids</w:t>
            </w:r>
          </w:p>
        </w:tc>
        <w:tc>
          <w:tcPr>
            <w:tcW w:w="1293" w:type="dxa"/>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$43,755</w:t>
            </w:r>
          </w:p>
        </w:tc>
        <w:tc>
          <w:tcPr>
            <w:tcW w:w="1294" w:type="dxa"/>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 </w:t>
            </w:r>
            <w:r w:rsidR="00573669">
              <w:rPr>
                <w:rFonts w:ascii="Arial Narrow" w:hAnsi="Arial Narrow" w:cs="Calibri"/>
                <w:color w:val="000000"/>
                <w:sz w:val="20"/>
                <w:szCs w:val="20"/>
              </w:rPr>
              <w:t>NA</w:t>
            </w:r>
          </w:p>
        </w:tc>
        <w:tc>
          <w:tcPr>
            <w:tcW w:w="1294" w:type="dxa"/>
            <w:shd w:val="clear" w:color="auto" w:fill="auto"/>
            <w:noWrap/>
            <w:vAlign w:val="bottom"/>
          </w:tcPr>
          <w:p w:rsidR="001E4486" w:rsidRPr="00E3331A" w:rsidRDefault="001E4486" w:rsidP="001E4486">
            <w:pPr>
              <w:jc w:val="center"/>
              <w:rPr>
                <w:rFonts w:ascii="Arial Narrow" w:hAnsi="Arial Narrow" w:cs="Calibri"/>
                <w:sz w:val="20"/>
                <w:szCs w:val="20"/>
              </w:rPr>
            </w:pPr>
            <w:r w:rsidRPr="00E3331A">
              <w:rPr>
                <w:rFonts w:ascii="Arial Narrow" w:hAnsi="Arial Narrow" w:cs="Calibri"/>
                <w:color w:val="000000"/>
                <w:sz w:val="20"/>
                <w:szCs w:val="20"/>
              </w:rPr>
              <w:t>4.44</w:t>
            </w:r>
          </w:p>
        </w:tc>
        <w:tc>
          <w:tcPr>
            <w:tcW w:w="1294" w:type="dxa"/>
            <w:shd w:val="clear" w:color="auto" w:fill="auto"/>
            <w:noWrap/>
            <w:vAlign w:val="bottom"/>
          </w:tcPr>
          <w:p w:rsidR="001E4486" w:rsidRPr="00E3331A" w:rsidRDefault="00573669" w:rsidP="001E4486">
            <w:pPr>
              <w:jc w:val="center"/>
              <w:rPr>
                <w:rFonts w:ascii="Arial Narrow" w:hAnsi="Arial Narrow" w:cs="Calibri"/>
                <w:sz w:val="20"/>
                <w:szCs w:val="20"/>
              </w:rPr>
            </w:pPr>
            <w:r>
              <w:rPr>
                <w:rFonts w:ascii="Arial Narrow" w:hAnsi="Arial Narrow" w:cs="Calibri"/>
                <w:sz w:val="20"/>
                <w:szCs w:val="20"/>
              </w:rPr>
              <w:t>NA</w:t>
            </w:r>
          </w:p>
        </w:tc>
        <w:tc>
          <w:tcPr>
            <w:tcW w:w="1294" w:type="dxa"/>
            <w:shd w:val="clear" w:color="auto" w:fill="auto"/>
            <w:noWrap/>
            <w:vAlign w:val="bottom"/>
          </w:tcPr>
          <w:p w:rsidR="001E4486" w:rsidRPr="00E3331A" w:rsidRDefault="00573669" w:rsidP="001E4486">
            <w:pPr>
              <w:jc w:val="center"/>
              <w:rPr>
                <w:rFonts w:ascii="Arial Narrow" w:hAnsi="Arial Narrow" w:cs="Calibri"/>
                <w:sz w:val="20"/>
                <w:szCs w:val="20"/>
              </w:rPr>
            </w:pPr>
            <w:r>
              <w:rPr>
                <w:rFonts w:ascii="Arial Narrow" w:hAnsi="Arial Narrow" w:cs="Calibri"/>
                <w:sz w:val="20"/>
                <w:szCs w:val="20"/>
              </w:rPr>
              <w:t>NA</w:t>
            </w:r>
          </w:p>
        </w:tc>
      </w:tr>
    </w:tbl>
    <w:p w:rsidR="001F5B33" w:rsidRPr="00E3331A" w:rsidRDefault="001F5B33" w:rsidP="00906C5E">
      <w:pPr>
        <w:contextualSpacing/>
        <w:rPr>
          <w:rFonts w:ascii="Arial Narrow" w:hAnsi="Arial Narrow"/>
          <w:sz w:val="18"/>
          <w:szCs w:val="18"/>
        </w:rPr>
      </w:pPr>
      <w:r w:rsidRPr="00E3331A">
        <w:rPr>
          <w:rFonts w:ascii="Arial Narrow" w:hAnsi="Arial Narrow"/>
          <w:sz w:val="18"/>
          <w:szCs w:val="18"/>
        </w:rPr>
        <w:t>ICER = Incremental Cost</w:t>
      </w:r>
      <w:r w:rsidR="00D45BCF" w:rsidRPr="00E3331A">
        <w:rPr>
          <w:rFonts w:ascii="Arial Narrow" w:hAnsi="Arial Narrow"/>
          <w:sz w:val="18"/>
          <w:szCs w:val="18"/>
        </w:rPr>
        <w:t>-</w:t>
      </w:r>
      <w:r w:rsidRPr="00E3331A">
        <w:rPr>
          <w:rFonts w:ascii="Arial Narrow" w:hAnsi="Arial Narrow"/>
          <w:sz w:val="18"/>
          <w:szCs w:val="18"/>
        </w:rPr>
        <w:t>Effectiveness Ratio</w:t>
      </w:r>
      <w:r w:rsidR="00F60A4C" w:rsidRPr="00E3331A">
        <w:rPr>
          <w:rFonts w:ascii="Arial Narrow" w:hAnsi="Arial Narrow"/>
          <w:sz w:val="18"/>
          <w:szCs w:val="18"/>
        </w:rPr>
        <w:t xml:space="preserve">, </w:t>
      </w:r>
      <w:r w:rsidR="00573669">
        <w:rPr>
          <w:rFonts w:ascii="Arial Narrow" w:hAnsi="Arial Narrow"/>
          <w:sz w:val="18"/>
          <w:szCs w:val="18"/>
        </w:rPr>
        <w:t xml:space="preserve">NA = Not applicable, </w:t>
      </w:r>
      <w:r w:rsidR="00F60A4C" w:rsidRPr="00E3331A">
        <w:rPr>
          <w:rFonts w:ascii="Arial Narrow" w:hAnsi="Arial Narrow"/>
          <w:sz w:val="18"/>
          <w:szCs w:val="18"/>
        </w:rPr>
        <w:t>QALY = quality-adjusted life year</w:t>
      </w:r>
    </w:p>
    <w:p w:rsidR="001F5B33" w:rsidRPr="00E3331A" w:rsidRDefault="001F5B33" w:rsidP="001F5B33">
      <w:pPr>
        <w:rPr>
          <w:rFonts w:ascii="Arial Narrow" w:hAnsi="Arial Narrow"/>
          <w:sz w:val="20"/>
        </w:rPr>
      </w:pPr>
    </w:p>
    <w:p w:rsidR="001F5B33" w:rsidRPr="00E3331A" w:rsidRDefault="001F5B33" w:rsidP="00BB6E4C">
      <w:pPr>
        <w:pStyle w:val="Heading2"/>
        <w:numPr>
          <w:ilvl w:val="3"/>
          <w:numId w:val="10"/>
        </w:numPr>
      </w:pPr>
      <w:bookmarkStart w:id="481" w:name="_Ref493441586"/>
      <w:bookmarkStart w:id="482" w:name="_Toc24103518"/>
      <w:r w:rsidRPr="00E3331A">
        <w:lastRenderedPageBreak/>
        <w:t>Sensitivity analyses</w:t>
      </w:r>
      <w:bookmarkEnd w:id="481"/>
      <w:bookmarkEnd w:id="482"/>
    </w:p>
    <w:p w:rsidR="001F5B33" w:rsidRPr="00E3331A" w:rsidRDefault="007039ED" w:rsidP="00BB6E4C">
      <w:pPr>
        <w:pStyle w:val="BodyTextSTD"/>
      </w:pPr>
      <w:r w:rsidRPr="00E3331A">
        <w:t xml:space="preserve">Sensitivity analyses for the </w:t>
      </w:r>
      <w:r w:rsidR="00432CE6" w:rsidRPr="00E3331A">
        <w:t>10</w:t>
      </w:r>
      <w:r w:rsidRPr="00E3331A">
        <w:t xml:space="preserve">-year </w:t>
      </w:r>
      <w:r w:rsidR="001F5B33" w:rsidRPr="00E3331A">
        <w:t xml:space="preserve">extrapolation analyses </w:t>
      </w:r>
      <w:r w:rsidR="008567D1" w:rsidRPr="00E3331A">
        <w:t xml:space="preserve">are </w:t>
      </w:r>
      <w:r w:rsidR="001F5B33" w:rsidRPr="00E3331A">
        <w:t xml:space="preserve">undertaken. Only limited incremental clinical benefits accrue during the trial period, as patients transition to non-responder and adverse event health states after the first </w:t>
      </w:r>
      <w:r w:rsidRPr="00E3331A">
        <w:t xml:space="preserve">six </w:t>
      </w:r>
      <w:r w:rsidR="001F5B33" w:rsidRPr="00E3331A">
        <w:t xml:space="preserve">months of Ig treatment. Sensitivity analyses are presented using the </w:t>
      </w:r>
      <w:r w:rsidR="00432CE6" w:rsidRPr="00E3331A">
        <w:t>10</w:t>
      </w:r>
      <w:r w:rsidR="001F5B33" w:rsidRPr="00E3331A">
        <w:t xml:space="preserve">-year </w:t>
      </w:r>
      <w:r w:rsidR="00896AC9" w:rsidRPr="00E3331A">
        <w:t>extrapolation</w:t>
      </w:r>
      <w:r w:rsidR="00D97440" w:rsidRPr="00E3331A">
        <w:t xml:space="preserve"> at average Australian Ig use of 497g per year</w:t>
      </w:r>
      <w:r w:rsidR="001F5B33" w:rsidRPr="00E3331A">
        <w:t xml:space="preserve">. Parameters included in sensitivity analyses include background assumptions (age gender, discount rate and weight), unit costs, transition probabilities, utilities and odds ratio for </w:t>
      </w:r>
      <w:r w:rsidR="008567D1" w:rsidRPr="00E3331A">
        <w:t xml:space="preserve">steroid adverse event </w:t>
      </w:r>
      <w:r w:rsidR="001F5B33" w:rsidRPr="00E3331A">
        <w:t xml:space="preserve">state mortalities. Results are presented in </w:t>
      </w:r>
      <w:r w:rsidR="006F35B9" w:rsidRPr="00E3331A">
        <w:t xml:space="preserve">Table </w:t>
      </w:r>
      <w:r w:rsidR="006F35B9">
        <w:rPr>
          <w:noProof/>
        </w:rPr>
        <w:t>82</w:t>
      </w:r>
      <w:r w:rsidR="00752189" w:rsidRPr="00E3331A">
        <w:t>,</w:t>
      </w:r>
      <w:r w:rsidR="001F5B33" w:rsidRPr="00E3331A">
        <w:t xml:space="preserve"> </w:t>
      </w:r>
      <w:r w:rsidR="00752189" w:rsidRPr="00E3331A">
        <w:t xml:space="preserve">followed by </w:t>
      </w:r>
      <w:r w:rsidR="001F5B33" w:rsidRPr="00E3331A">
        <w:t>discuss</w:t>
      </w:r>
      <w:r w:rsidR="00752189" w:rsidRPr="00E3331A">
        <w:t>ion.</w:t>
      </w:r>
      <w:r w:rsidR="001F5B33" w:rsidRPr="00E3331A">
        <w:t xml:space="preserve"> </w:t>
      </w:r>
    </w:p>
    <w:p w:rsidR="001F5B33" w:rsidRPr="00E3331A" w:rsidRDefault="001F5B33" w:rsidP="001F5B33">
      <w:pPr>
        <w:pStyle w:val="Caption"/>
      </w:pPr>
      <w:bookmarkStart w:id="483" w:name="_Ref8384189"/>
      <w:bookmarkStart w:id="484" w:name="_Toc24103388"/>
      <w:r w:rsidRPr="00E3331A">
        <w:t xml:space="preserve">Table </w:t>
      </w:r>
      <w:r w:rsidR="006F35B9">
        <w:rPr>
          <w:noProof/>
        </w:rPr>
        <w:t>82</w:t>
      </w:r>
      <w:bookmarkEnd w:id="483"/>
      <w:r w:rsidR="00752189" w:rsidRPr="00E3331A">
        <w:tab/>
      </w:r>
      <w:r w:rsidRPr="00E3331A">
        <w:t>Sensitivity analysis for IVIg vers</w:t>
      </w:r>
      <w:r w:rsidR="00752189" w:rsidRPr="00E3331A">
        <w:t>us</w:t>
      </w:r>
      <w:r w:rsidRPr="00E3331A">
        <w:t xml:space="preserve"> </w:t>
      </w:r>
      <w:r w:rsidR="00752189" w:rsidRPr="00E3331A">
        <w:t>c</w:t>
      </w:r>
      <w:r w:rsidRPr="00E3331A">
        <w:t xml:space="preserve">orticosteroids </w:t>
      </w:r>
      <w:r w:rsidR="00896AC9" w:rsidRPr="00E3331A">
        <w:t>10</w:t>
      </w:r>
      <w:r w:rsidRPr="00E3331A">
        <w:t>-year analysis</w:t>
      </w:r>
      <w:bookmarkEnd w:id="484"/>
    </w:p>
    <w:tbl>
      <w:tblPr>
        <w:tblW w:w="5000" w:type="pct"/>
        <w:tblLook w:val="04A0" w:firstRow="1" w:lastRow="0" w:firstColumn="1" w:lastColumn="0" w:noHBand="0" w:noVBand="1"/>
      </w:tblPr>
      <w:tblGrid>
        <w:gridCol w:w="2496"/>
        <w:gridCol w:w="1785"/>
        <w:gridCol w:w="1735"/>
        <w:gridCol w:w="1547"/>
        <w:gridCol w:w="1453"/>
      </w:tblGrid>
      <w:tr w:rsidR="001F5B33" w:rsidRPr="00E3331A" w:rsidTr="00573669">
        <w:trPr>
          <w:trHeight w:val="300"/>
          <w:tblHeader/>
        </w:trPr>
        <w:tc>
          <w:tcPr>
            <w:tcW w:w="13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Parameter</w:t>
            </w:r>
          </w:p>
        </w:tc>
        <w:tc>
          <w:tcPr>
            <w:tcW w:w="990" w:type="pct"/>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Analysis</w:t>
            </w:r>
          </w:p>
        </w:tc>
        <w:tc>
          <w:tcPr>
            <w:tcW w:w="962" w:type="pct"/>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Incremental cost</w:t>
            </w:r>
          </w:p>
        </w:tc>
        <w:tc>
          <w:tcPr>
            <w:tcW w:w="858" w:type="pct"/>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Incremental effect</w:t>
            </w:r>
          </w:p>
        </w:tc>
        <w:tc>
          <w:tcPr>
            <w:tcW w:w="806" w:type="pct"/>
            <w:tcBorders>
              <w:top w:val="single" w:sz="4" w:space="0" w:color="auto"/>
              <w:left w:val="nil"/>
              <w:bottom w:val="single" w:sz="4" w:space="0" w:color="auto"/>
              <w:right w:val="single" w:sz="4" w:space="0" w:color="auto"/>
            </w:tcBorders>
            <w:shd w:val="clear" w:color="auto" w:fill="D9D9D9"/>
            <w:vAlign w:val="center"/>
            <w:hideMark/>
          </w:tcPr>
          <w:p w:rsidR="001F5B33" w:rsidRPr="00E3331A" w:rsidRDefault="001F5B33" w:rsidP="00493DDF">
            <w:pPr>
              <w:jc w:val="center"/>
              <w:rPr>
                <w:rFonts w:ascii="Arial Narrow" w:hAnsi="Arial Narrow" w:cs="Calibri"/>
                <w:b/>
                <w:bCs/>
                <w:sz w:val="20"/>
                <w:szCs w:val="20"/>
              </w:rPr>
            </w:pPr>
            <w:r w:rsidRPr="00E3331A">
              <w:rPr>
                <w:rFonts w:ascii="Arial Narrow" w:hAnsi="Arial Narrow" w:cs="Calibri"/>
                <w:b/>
                <w:bCs/>
                <w:sz w:val="20"/>
                <w:szCs w:val="20"/>
              </w:rPr>
              <w:t>ICER</w:t>
            </w:r>
          </w:p>
        </w:tc>
      </w:tr>
      <w:tr w:rsidR="00095947" w:rsidRPr="00E3331A" w:rsidTr="00573669">
        <w:trPr>
          <w:trHeight w:val="300"/>
        </w:trPr>
        <w:tc>
          <w:tcPr>
            <w:tcW w:w="1384" w:type="pct"/>
            <w:tcBorders>
              <w:top w:val="nil"/>
              <w:left w:val="single" w:sz="4" w:space="0" w:color="auto"/>
              <w:bottom w:val="single" w:sz="4" w:space="0" w:color="auto"/>
              <w:right w:val="single" w:sz="4" w:space="0" w:color="auto"/>
            </w:tcBorders>
            <w:shd w:val="clear" w:color="auto" w:fill="auto"/>
            <w:vAlign w:val="center"/>
            <w:hideMark/>
          </w:tcPr>
          <w:p w:rsidR="00095947" w:rsidRPr="00E3331A" w:rsidRDefault="00095947" w:rsidP="00095947">
            <w:pPr>
              <w:rPr>
                <w:rFonts w:ascii="Arial Narrow" w:hAnsi="Arial Narrow" w:cs="Calibri"/>
                <w:b/>
                <w:bCs/>
                <w:i/>
                <w:iCs/>
                <w:sz w:val="20"/>
                <w:szCs w:val="20"/>
              </w:rPr>
            </w:pPr>
            <w:r w:rsidRPr="00E3331A">
              <w:rPr>
                <w:rFonts w:ascii="Arial Narrow" w:hAnsi="Arial Narrow" w:cs="Calibri"/>
                <w:b/>
                <w:bCs/>
                <w:i/>
                <w:iCs/>
                <w:sz w:val="20"/>
                <w:szCs w:val="20"/>
                <w:lang w:val="en-US"/>
              </w:rPr>
              <w:t>10-year extrapolation</w:t>
            </w:r>
          </w:p>
        </w:tc>
        <w:tc>
          <w:tcPr>
            <w:tcW w:w="990" w:type="pct"/>
            <w:tcBorders>
              <w:top w:val="nil"/>
              <w:left w:val="nil"/>
              <w:bottom w:val="single" w:sz="4" w:space="0" w:color="auto"/>
              <w:right w:val="single" w:sz="4" w:space="0" w:color="auto"/>
            </w:tcBorders>
            <w:shd w:val="clear" w:color="auto" w:fill="auto"/>
            <w:noWrap/>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Base</w:t>
            </w:r>
          </w:p>
        </w:tc>
        <w:tc>
          <w:tcPr>
            <w:tcW w:w="962" w:type="pct"/>
            <w:tcBorders>
              <w:top w:val="nil"/>
              <w:left w:val="nil"/>
              <w:bottom w:val="single" w:sz="4" w:space="0" w:color="auto"/>
              <w:right w:val="single" w:sz="4" w:space="0" w:color="auto"/>
            </w:tcBorders>
            <w:shd w:val="clear" w:color="auto" w:fill="auto"/>
            <w:noWrap/>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$130,714</w:t>
            </w:r>
          </w:p>
        </w:tc>
        <w:tc>
          <w:tcPr>
            <w:tcW w:w="858" w:type="pct"/>
            <w:tcBorders>
              <w:top w:val="nil"/>
              <w:left w:val="nil"/>
              <w:bottom w:val="single" w:sz="4" w:space="0" w:color="auto"/>
              <w:right w:val="single" w:sz="4" w:space="0" w:color="auto"/>
            </w:tcBorders>
            <w:shd w:val="clear" w:color="auto" w:fill="auto"/>
            <w:noWrap/>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0.66</w:t>
            </w:r>
          </w:p>
        </w:tc>
        <w:tc>
          <w:tcPr>
            <w:tcW w:w="806" w:type="pct"/>
            <w:tcBorders>
              <w:top w:val="nil"/>
              <w:left w:val="nil"/>
              <w:bottom w:val="single" w:sz="4" w:space="0" w:color="auto"/>
              <w:right w:val="single" w:sz="4" w:space="0" w:color="auto"/>
            </w:tcBorders>
            <w:shd w:val="clear" w:color="auto" w:fill="auto"/>
            <w:noWrap/>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$197,472</w:t>
            </w:r>
          </w:p>
        </w:tc>
      </w:tr>
      <w:tr w:rsidR="00573669" w:rsidRPr="00E3331A" w:rsidTr="00573669">
        <w:trPr>
          <w:trHeight w:val="300"/>
        </w:trPr>
        <w:tc>
          <w:tcPr>
            <w:tcW w:w="5000" w:type="pct"/>
            <w:gridSpan w:val="5"/>
            <w:tcBorders>
              <w:top w:val="nil"/>
              <w:left w:val="single" w:sz="4" w:space="0" w:color="auto"/>
              <w:bottom w:val="single" w:sz="4" w:space="0" w:color="auto"/>
              <w:right w:val="single" w:sz="4" w:space="0" w:color="auto"/>
            </w:tcBorders>
            <w:shd w:val="clear" w:color="auto" w:fill="D9D9D9"/>
            <w:vAlign w:val="center"/>
            <w:hideMark/>
          </w:tcPr>
          <w:p w:rsidR="00573669" w:rsidRPr="00E3331A" w:rsidRDefault="00573669" w:rsidP="00573669">
            <w:pPr>
              <w:rPr>
                <w:rFonts w:ascii="Arial Narrow" w:hAnsi="Arial Narrow" w:cs="Calibri"/>
                <w:sz w:val="20"/>
                <w:szCs w:val="20"/>
              </w:rPr>
            </w:pPr>
            <w:r w:rsidRPr="00E3331A">
              <w:rPr>
                <w:rFonts w:ascii="Arial Narrow" w:hAnsi="Arial Narrow" w:cs="Calibri"/>
                <w:b/>
                <w:bCs/>
                <w:i/>
                <w:iCs/>
                <w:sz w:val="20"/>
                <w:szCs w:val="20"/>
                <w:lang w:val="en-US"/>
              </w:rPr>
              <w:t>Background assumptions</w:t>
            </w:r>
          </w:p>
        </w:tc>
      </w:tr>
      <w:tr w:rsidR="00E936E1" w:rsidRPr="00E3331A" w:rsidTr="00573669">
        <w:trPr>
          <w:cantSplit/>
          <w:trHeight w:val="300"/>
        </w:trPr>
        <w:tc>
          <w:tcPr>
            <w:tcW w:w="1384" w:type="pct"/>
            <w:vMerge w:val="restart"/>
            <w:tcBorders>
              <w:top w:val="nil"/>
              <w:left w:val="single" w:sz="4" w:space="0" w:color="auto"/>
              <w:right w:val="single" w:sz="4" w:space="0" w:color="auto"/>
            </w:tcBorders>
            <w:shd w:val="clear" w:color="auto" w:fill="auto"/>
            <w:vAlign w:val="center"/>
          </w:tcPr>
          <w:p w:rsidR="00E936E1" w:rsidRPr="00E3331A" w:rsidRDefault="00E936E1" w:rsidP="00E936E1">
            <w:pPr>
              <w:rPr>
                <w:rFonts w:ascii="Arial Narrow" w:hAnsi="Arial Narrow" w:cs="Calibri"/>
                <w:sz w:val="20"/>
                <w:szCs w:val="20"/>
                <w:lang w:val="en-US"/>
              </w:rPr>
            </w:pPr>
            <w:r w:rsidRPr="00E3331A">
              <w:rPr>
                <w:rFonts w:ascii="Arial Narrow" w:hAnsi="Arial Narrow" w:cs="Calibri"/>
                <w:sz w:val="20"/>
                <w:szCs w:val="20"/>
                <w:lang w:val="en-US"/>
              </w:rPr>
              <w:t>Years of follow-up (</w:t>
            </w:r>
            <w:r w:rsidR="001419E2">
              <w:rPr>
                <w:rFonts w:ascii="Arial Narrow" w:hAnsi="Arial Narrow" w:cs="Calibri"/>
                <w:sz w:val="20"/>
                <w:szCs w:val="20"/>
                <w:lang w:val="en-US"/>
              </w:rPr>
              <w:t>10</w:t>
            </w:r>
            <w:r w:rsidRPr="00E3331A">
              <w:rPr>
                <w:rFonts w:ascii="Arial Narrow" w:hAnsi="Arial Narrow" w:cs="Calibri"/>
                <w:sz w:val="20"/>
                <w:szCs w:val="20"/>
                <w:lang w:val="en-US"/>
              </w:rPr>
              <w:t xml:space="preserve"> years)</w:t>
            </w:r>
          </w:p>
        </w:tc>
        <w:tc>
          <w:tcPr>
            <w:tcW w:w="990" w:type="pct"/>
            <w:tcBorders>
              <w:top w:val="nil"/>
              <w:left w:val="nil"/>
              <w:bottom w:val="single" w:sz="4" w:space="0" w:color="auto"/>
              <w:right w:val="single" w:sz="4" w:space="0" w:color="auto"/>
            </w:tcBorders>
            <w:shd w:val="clear" w:color="auto" w:fill="auto"/>
            <w:vAlign w:val="center"/>
          </w:tcPr>
          <w:p w:rsidR="00E936E1" w:rsidRPr="00E3331A" w:rsidRDefault="00E936E1" w:rsidP="00E936E1">
            <w:pPr>
              <w:jc w:val="center"/>
              <w:rPr>
                <w:rFonts w:ascii="Arial Narrow" w:hAnsi="Arial Narrow" w:cs="Calibri"/>
                <w:sz w:val="20"/>
                <w:szCs w:val="20"/>
                <w:lang w:val="en-US"/>
              </w:rPr>
            </w:pPr>
            <w:r w:rsidRPr="00E3331A">
              <w:rPr>
                <w:rFonts w:ascii="Arial Narrow" w:hAnsi="Arial Narrow" w:cs="Calibri"/>
                <w:sz w:val="20"/>
                <w:szCs w:val="20"/>
                <w:lang w:val="en-US"/>
              </w:rPr>
              <w:t>Trial</w:t>
            </w:r>
            <w:r w:rsidR="001419E2">
              <w:rPr>
                <w:rFonts w:ascii="Arial Narrow" w:hAnsi="Arial Narrow" w:cs="Calibri"/>
                <w:sz w:val="20"/>
                <w:szCs w:val="20"/>
                <w:lang w:val="en-US"/>
              </w:rPr>
              <w:t xml:space="preserve"> duration</w:t>
            </w:r>
          </w:p>
        </w:tc>
        <w:tc>
          <w:tcPr>
            <w:tcW w:w="962" w:type="pct"/>
            <w:tcBorders>
              <w:top w:val="nil"/>
              <w:left w:val="nil"/>
              <w:bottom w:val="single" w:sz="4" w:space="0" w:color="auto"/>
              <w:right w:val="single" w:sz="4" w:space="0" w:color="auto"/>
            </w:tcBorders>
            <w:shd w:val="clear" w:color="auto" w:fill="auto"/>
            <w:vAlign w:val="center"/>
          </w:tcPr>
          <w:p w:rsidR="00E936E1" w:rsidRPr="00E3331A" w:rsidRDefault="00095947">
            <w:pPr>
              <w:jc w:val="center"/>
              <w:rPr>
                <w:rFonts w:ascii="Arial Narrow" w:hAnsi="Arial Narrow" w:cs="Calibri"/>
                <w:sz w:val="20"/>
                <w:szCs w:val="20"/>
              </w:rPr>
            </w:pPr>
            <w:r w:rsidRPr="00E3331A">
              <w:rPr>
                <w:rFonts w:ascii="Arial Narrow" w:hAnsi="Arial Narrow" w:cs="Calibri"/>
                <w:color w:val="000000"/>
                <w:sz w:val="20"/>
                <w:szCs w:val="20"/>
              </w:rPr>
              <w:t>$14,459</w:t>
            </w:r>
          </w:p>
        </w:tc>
        <w:tc>
          <w:tcPr>
            <w:tcW w:w="858" w:type="pct"/>
            <w:tcBorders>
              <w:top w:val="nil"/>
              <w:left w:val="nil"/>
              <w:bottom w:val="single" w:sz="4" w:space="0" w:color="auto"/>
              <w:right w:val="single" w:sz="4" w:space="0" w:color="auto"/>
            </w:tcBorders>
            <w:shd w:val="clear" w:color="auto" w:fill="auto"/>
            <w:vAlign w:val="bottom"/>
          </w:tcPr>
          <w:p w:rsidR="00E936E1" w:rsidRPr="00E3331A" w:rsidRDefault="00095947" w:rsidP="00E936E1">
            <w:pPr>
              <w:jc w:val="center"/>
              <w:rPr>
                <w:rFonts w:ascii="Arial Narrow" w:hAnsi="Arial Narrow" w:cs="Calibri"/>
                <w:sz w:val="20"/>
                <w:szCs w:val="20"/>
              </w:rPr>
            </w:pPr>
            <w:r w:rsidRPr="00E3331A">
              <w:rPr>
                <w:rFonts w:ascii="Arial Narrow" w:hAnsi="Arial Narrow" w:cs="Calibri"/>
                <w:color w:val="000000"/>
                <w:sz w:val="20"/>
                <w:szCs w:val="20"/>
              </w:rPr>
              <w:t>0.05</w:t>
            </w:r>
          </w:p>
        </w:tc>
        <w:tc>
          <w:tcPr>
            <w:tcW w:w="806" w:type="pct"/>
            <w:tcBorders>
              <w:top w:val="nil"/>
              <w:left w:val="nil"/>
              <w:bottom w:val="single" w:sz="4" w:space="0" w:color="auto"/>
              <w:right w:val="single" w:sz="4" w:space="0" w:color="auto"/>
            </w:tcBorders>
            <w:shd w:val="clear" w:color="auto" w:fill="auto"/>
            <w:vAlign w:val="bottom"/>
          </w:tcPr>
          <w:p w:rsidR="00E936E1" w:rsidRPr="00E3331A" w:rsidRDefault="00095947" w:rsidP="00E936E1">
            <w:pPr>
              <w:jc w:val="center"/>
              <w:rPr>
                <w:rFonts w:ascii="Arial Narrow" w:hAnsi="Arial Narrow" w:cs="Calibri"/>
                <w:sz w:val="20"/>
                <w:szCs w:val="20"/>
              </w:rPr>
            </w:pPr>
            <w:r w:rsidRPr="00E3331A">
              <w:rPr>
                <w:rFonts w:ascii="Arial Narrow" w:hAnsi="Arial Narrow" w:cs="Calibri"/>
                <w:color w:val="000000"/>
                <w:sz w:val="20"/>
                <w:szCs w:val="20"/>
              </w:rPr>
              <w:t>$269,038</w:t>
            </w:r>
          </w:p>
        </w:tc>
      </w:tr>
      <w:tr w:rsidR="00095947" w:rsidRPr="00E3331A" w:rsidTr="00573669">
        <w:trPr>
          <w:cantSplit/>
          <w:trHeight w:val="300"/>
        </w:trPr>
        <w:tc>
          <w:tcPr>
            <w:tcW w:w="1384" w:type="pct"/>
            <w:vMerge/>
            <w:tcBorders>
              <w:left w:val="single" w:sz="4" w:space="0" w:color="auto"/>
              <w:bottom w:val="single" w:sz="4" w:space="0" w:color="auto"/>
              <w:right w:val="single" w:sz="4" w:space="0" w:color="auto"/>
            </w:tcBorders>
            <w:shd w:val="clear" w:color="auto" w:fill="auto"/>
            <w:vAlign w:val="center"/>
          </w:tcPr>
          <w:p w:rsidR="00095947" w:rsidRPr="00E3331A" w:rsidRDefault="00095947" w:rsidP="00095947">
            <w:pPr>
              <w:rPr>
                <w:rFonts w:ascii="Arial Narrow" w:hAnsi="Arial Narrow" w:cs="Calibri"/>
                <w:sz w:val="20"/>
                <w:szCs w:val="20"/>
                <w:lang w:val="en-US"/>
              </w:rPr>
            </w:pPr>
          </w:p>
        </w:tc>
        <w:tc>
          <w:tcPr>
            <w:tcW w:w="990"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lang w:val="en-US"/>
              </w:rPr>
            </w:pPr>
            <w:r w:rsidRPr="00E3331A">
              <w:rPr>
                <w:rFonts w:ascii="Arial Narrow" w:hAnsi="Arial Narrow" w:cs="Calibri"/>
                <w:sz w:val="20"/>
                <w:szCs w:val="20"/>
                <w:lang w:val="en-US"/>
              </w:rPr>
              <w:t>5-year</w:t>
            </w:r>
          </w:p>
        </w:tc>
        <w:tc>
          <w:tcPr>
            <w:tcW w:w="962"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$81,083</w:t>
            </w:r>
          </w:p>
        </w:tc>
        <w:tc>
          <w:tcPr>
            <w:tcW w:w="858"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0.34</w:t>
            </w:r>
          </w:p>
        </w:tc>
        <w:tc>
          <w:tcPr>
            <w:tcW w:w="806"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$236,378</w:t>
            </w:r>
          </w:p>
        </w:tc>
      </w:tr>
      <w:tr w:rsidR="00095947" w:rsidRPr="00E3331A" w:rsidTr="00573669">
        <w:trPr>
          <w:cantSplit/>
          <w:trHeight w:val="300"/>
        </w:trPr>
        <w:tc>
          <w:tcPr>
            <w:tcW w:w="1384" w:type="pct"/>
            <w:vMerge w:val="restart"/>
            <w:tcBorders>
              <w:top w:val="nil"/>
              <w:left w:val="single" w:sz="4" w:space="0" w:color="auto"/>
              <w:right w:val="single" w:sz="4" w:space="0" w:color="auto"/>
            </w:tcBorders>
            <w:shd w:val="clear" w:color="auto" w:fill="auto"/>
            <w:vAlign w:val="center"/>
          </w:tcPr>
          <w:p w:rsidR="00095947" w:rsidRPr="00E3331A" w:rsidRDefault="00095947" w:rsidP="00095947">
            <w:pPr>
              <w:rPr>
                <w:rFonts w:ascii="Arial Narrow" w:hAnsi="Arial Narrow" w:cs="Calibri"/>
                <w:sz w:val="20"/>
                <w:szCs w:val="20"/>
                <w:lang w:val="en-US"/>
              </w:rPr>
            </w:pPr>
            <w:r w:rsidRPr="00E3331A">
              <w:rPr>
                <w:rFonts w:ascii="Arial Narrow" w:hAnsi="Arial Narrow" w:cs="Calibri"/>
                <w:sz w:val="20"/>
                <w:szCs w:val="20"/>
                <w:lang w:val="en-US"/>
              </w:rPr>
              <w:t>Starting age (55 years)</w:t>
            </w:r>
          </w:p>
        </w:tc>
        <w:tc>
          <w:tcPr>
            <w:tcW w:w="990"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sz w:val="20"/>
                <w:szCs w:val="20"/>
              </w:rPr>
              <w:t>40 years</w:t>
            </w:r>
          </w:p>
        </w:tc>
        <w:tc>
          <w:tcPr>
            <w:tcW w:w="962"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$132,414</w:t>
            </w:r>
          </w:p>
        </w:tc>
        <w:tc>
          <w:tcPr>
            <w:tcW w:w="858"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0.67</w:t>
            </w:r>
          </w:p>
        </w:tc>
        <w:tc>
          <w:tcPr>
            <w:tcW w:w="806"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$197,001</w:t>
            </w:r>
          </w:p>
        </w:tc>
      </w:tr>
      <w:tr w:rsidR="00095947" w:rsidRPr="00E3331A" w:rsidTr="00573669">
        <w:trPr>
          <w:cantSplit/>
          <w:trHeight w:val="300"/>
        </w:trPr>
        <w:tc>
          <w:tcPr>
            <w:tcW w:w="1384" w:type="pct"/>
            <w:vMerge/>
            <w:tcBorders>
              <w:left w:val="single" w:sz="4" w:space="0" w:color="auto"/>
              <w:bottom w:val="single" w:sz="4" w:space="0" w:color="auto"/>
              <w:right w:val="single" w:sz="4" w:space="0" w:color="auto"/>
            </w:tcBorders>
            <w:shd w:val="clear" w:color="auto" w:fill="auto"/>
            <w:vAlign w:val="center"/>
          </w:tcPr>
          <w:p w:rsidR="00095947" w:rsidRPr="00E3331A" w:rsidRDefault="00095947" w:rsidP="00095947">
            <w:pPr>
              <w:rPr>
                <w:rFonts w:ascii="Arial Narrow" w:hAnsi="Arial Narrow" w:cs="Calibri"/>
                <w:sz w:val="20"/>
                <w:szCs w:val="20"/>
                <w:lang w:val="en-US"/>
              </w:rPr>
            </w:pPr>
          </w:p>
        </w:tc>
        <w:tc>
          <w:tcPr>
            <w:tcW w:w="990"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sz w:val="20"/>
                <w:szCs w:val="20"/>
              </w:rPr>
              <w:t>70 years</w:t>
            </w:r>
          </w:p>
        </w:tc>
        <w:tc>
          <w:tcPr>
            <w:tcW w:w="962"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$123,862</w:t>
            </w:r>
          </w:p>
        </w:tc>
        <w:tc>
          <w:tcPr>
            <w:tcW w:w="858"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0.62</w:t>
            </w:r>
          </w:p>
        </w:tc>
        <w:tc>
          <w:tcPr>
            <w:tcW w:w="806"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$199,593</w:t>
            </w:r>
          </w:p>
        </w:tc>
      </w:tr>
      <w:tr w:rsidR="00095947" w:rsidRPr="00E3331A" w:rsidTr="00573669">
        <w:trPr>
          <w:cantSplit/>
          <w:trHeight w:val="300"/>
        </w:trPr>
        <w:tc>
          <w:tcPr>
            <w:tcW w:w="1384" w:type="pct"/>
            <w:vMerge w:val="restart"/>
            <w:tcBorders>
              <w:left w:val="single" w:sz="4" w:space="0" w:color="auto"/>
              <w:right w:val="single" w:sz="4" w:space="0" w:color="auto"/>
            </w:tcBorders>
            <w:shd w:val="clear" w:color="auto" w:fill="auto"/>
            <w:vAlign w:val="center"/>
          </w:tcPr>
          <w:p w:rsidR="00095947" w:rsidRPr="00E3331A" w:rsidRDefault="00095947" w:rsidP="00095947">
            <w:pPr>
              <w:rPr>
                <w:rFonts w:ascii="Arial Narrow" w:hAnsi="Arial Narrow" w:cs="Calibri"/>
                <w:sz w:val="20"/>
                <w:szCs w:val="20"/>
                <w:lang w:val="en-US"/>
              </w:rPr>
            </w:pPr>
            <w:r w:rsidRPr="00E3331A">
              <w:rPr>
                <w:rFonts w:ascii="Arial Narrow" w:hAnsi="Arial Narrow" w:cs="Calibri"/>
                <w:sz w:val="20"/>
                <w:szCs w:val="20"/>
                <w:lang w:val="en-US"/>
              </w:rPr>
              <w:t>Male (49%)</w:t>
            </w:r>
          </w:p>
        </w:tc>
        <w:tc>
          <w:tcPr>
            <w:tcW w:w="990"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sz w:val="20"/>
                <w:szCs w:val="20"/>
              </w:rPr>
              <w:t>40%</w:t>
            </w:r>
          </w:p>
        </w:tc>
        <w:tc>
          <w:tcPr>
            <w:tcW w:w="962"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$130,829</w:t>
            </w:r>
          </w:p>
        </w:tc>
        <w:tc>
          <w:tcPr>
            <w:tcW w:w="858"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0.66</w:t>
            </w:r>
          </w:p>
        </w:tc>
        <w:tc>
          <w:tcPr>
            <w:tcW w:w="806"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$197,439</w:t>
            </w:r>
          </w:p>
        </w:tc>
      </w:tr>
      <w:tr w:rsidR="00095947" w:rsidRPr="00E3331A" w:rsidTr="00573669">
        <w:trPr>
          <w:cantSplit/>
          <w:trHeight w:val="300"/>
        </w:trPr>
        <w:tc>
          <w:tcPr>
            <w:tcW w:w="1384" w:type="pct"/>
            <w:vMerge/>
            <w:tcBorders>
              <w:left w:val="single" w:sz="4" w:space="0" w:color="auto"/>
              <w:bottom w:val="single" w:sz="4" w:space="0" w:color="auto"/>
              <w:right w:val="single" w:sz="4" w:space="0" w:color="auto"/>
            </w:tcBorders>
            <w:shd w:val="clear" w:color="auto" w:fill="auto"/>
            <w:vAlign w:val="center"/>
          </w:tcPr>
          <w:p w:rsidR="00095947" w:rsidRPr="00E3331A" w:rsidRDefault="00095947" w:rsidP="00095947">
            <w:pPr>
              <w:rPr>
                <w:rFonts w:ascii="Arial Narrow" w:hAnsi="Arial Narrow" w:cs="Calibri"/>
                <w:sz w:val="20"/>
                <w:szCs w:val="20"/>
                <w:lang w:val="en-US"/>
              </w:rPr>
            </w:pPr>
          </w:p>
        </w:tc>
        <w:tc>
          <w:tcPr>
            <w:tcW w:w="990"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sz w:val="20"/>
                <w:szCs w:val="20"/>
              </w:rPr>
              <w:t>60%</w:t>
            </w:r>
          </w:p>
        </w:tc>
        <w:tc>
          <w:tcPr>
            <w:tcW w:w="962"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$130,580</w:t>
            </w:r>
          </w:p>
        </w:tc>
        <w:tc>
          <w:tcPr>
            <w:tcW w:w="858"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0.66</w:t>
            </w:r>
          </w:p>
        </w:tc>
        <w:tc>
          <w:tcPr>
            <w:tcW w:w="806"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$197,510</w:t>
            </w:r>
          </w:p>
        </w:tc>
      </w:tr>
      <w:tr w:rsidR="00095947" w:rsidRPr="00E3331A" w:rsidTr="00573669">
        <w:trPr>
          <w:cantSplit/>
          <w:trHeight w:val="300"/>
        </w:trPr>
        <w:tc>
          <w:tcPr>
            <w:tcW w:w="1384" w:type="pct"/>
            <w:vMerge w:val="restart"/>
            <w:tcBorders>
              <w:top w:val="nil"/>
              <w:left w:val="single" w:sz="4" w:space="0" w:color="auto"/>
              <w:right w:val="single" w:sz="4" w:space="0" w:color="auto"/>
            </w:tcBorders>
            <w:shd w:val="clear" w:color="auto" w:fill="auto"/>
            <w:vAlign w:val="center"/>
            <w:hideMark/>
          </w:tcPr>
          <w:p w:rsidR="00095947" w:rsidRPr="00E3331A" w:rsidRDefault="00095947" w:rsidP="00095947">
            <w:pPr>
              <w:rPr>
                <w:rFonts w:ascii="Arial Narrow" w:hAnsi="Arial Narrow" w:cs="Calibri"/>
                <w:sz w:val="20"/>
                <w:szCs w:val="20"/>
              </w:rPr>
            </w:pPr>
            <w:r w:rsidRPr="00E3331A">
              <w:rPr>
                <w:rFonts w:ascii="Arial Narrow" w:hAnsi="Arial Narrow" w:cs="Calibri"/>
                <w:sz w:val="20"/>
                <w:szCs w:val="20"/>
                <w:lang w:val="en-US"/>
              </w:rPr>
              <w:t>Average weight (83kg)</w:t>
            </w:r>
          </w:p>
        </w:tc>
        <w:tc>
          <w:tcPr>
            <w:tcW w:w="990"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sz w:val="20"/>
                <w:szCs w:val="20"/>
              </w:rPr>
              <w:t>50 kg</w:t>
            </w:r>
          </w:p>
        </w:tc>
        <w:tc>
          <w:tcPr>
            <w:tcW w:w="962"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$81,760</w:t>
            </w:r>
          </w:p>
        </w:tc>
        <w:tc>
          <w:tcPr>
            <w:tcW w:w="858"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0.66</w:t>
            </w:r>
          </w:p>
        </w:tc>
        <w:tc>
          <w:tcPr>
            <w:tcW w:w="806"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$123,516</w:t>
            </w:r>
          </w:p>
        </w:tc>
      </w:tr>
      <w:tr w:rsidR="00095947" w:rsidRPr="00E3331A" w:rsidTr="00573669">
        <w:trPr>
          <w:trHeight w:val="300"/>
        </w:trPr>
        <w:tc>
          <w:tcPr>
            <w:tcW w:w="1384" w:type="pct"/>
            <w:vMerge/>
            <w:tcBorders>
              <w:left w:val="single" w:sz="4" w:space="0" w:color="auto"/>
              <w:right w:val="single" w:sz="4" w:space="0" w:color="auto"/>
            </w:tcBorders>
            <w:shd w:val="clear" w:color="auto" w:fill="auto"/>
            <w:vAlign w:val="center"/>
            <w:hideMark/>
          </w:tcPr>
          <w:p w:rsidR="00095947" w:rsidRPr="00E3331A" w:rsidRDefault="00095947" w:rsidP="00095947">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sz w:val="20"/>
                <w:szCs w:val="20"/>
              </w:rPr>
              <w:t>60 kg</w:t>
            </w:r>
          </w:p>
        </w:tc>
        <w:tc>
          <w:tcPr>
            <w:tcW w:w="962"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$96,823</w:t>
            </w:r>
          </w:p>
        </w:tc>
        <w:tc>
          <w:tcPr>
            <w:tcW w:w="858"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0.66</w:t>
            </w:r>
          </w:p>
        </w:tc>
        <w:tc>
          <w:tcPr>
            <w:tcW w:w="806"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$146,272</w:t>
            </w:r>
          </w:p>
        </w:tc>
      </w:tr>
      <w:tr w:rsidR="00095947" w:rsidRPr="00E3331A" w:rsidTr="00573669">
        <w:trPr>
          <w:trHeight w:val="300"/>
        </w:trPr>
        <w:tc>
          <w:tcPr>
            <w:tcW w:w="1384" w:type="pct"/>
            <w:vMerge/>
            <w:tcBorders>
              <w:left w:val="single" w:sz="4" w:space="0" w:color="auto"/>
              <w:right w:val="single" w:sz="4" w:space="0" w:color="auto"/>
            </w:tcBorders>
            <w:shd w:val="clear" w:color="auto" w:fill="auto"/>
            <w:vAlign w:val="center"/>
          </w:tcPr>
          <w:p w:rsidR="00095947" w:rsidRPr="00E3331A" w:rsidRDefault="00095947" w:rsidP="00095947">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sz w:val="20"/>
                <w:szCs w:val="20"/>
              </w:rPr>
              <w:t>70 kg</w:t>
            </w:r>
          </w:p>
        </w:tc>
        <w:tc>
          <w:tcPr>
            <w:tcW w:w="962"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$111,886</w:t>
            </w:r>
          </w:p>
        </w:tc>
        <w:tc>
          <w:tcPr>
            <w:tcW w:w="858"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0.66</w:t>
            </w:r>
          </w:p>
        </w:tc>
        <w:tc>
          <w:tcPr>
            <w:tcW w:w="806"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$169,028</w:t>
            </w:r>
          </w:p>
        </w:tc>
      </w:tr>
      <w:tr w:rsidR="00095947" w:rsidRPr="00E3331A" w:rsidTr="00573669">
        <w:trPr>
          <w:trHeight w:val="300"/>
        </w:trPr>
        <w:tc>
          <w:tcPr>
            <w:tcW w:w="1384" w:type="pct"/>
            <w:vMerge/>
            <w:tcBorders>
              <w:left w:val="single" w:sz="4" w:space="0" w:color="auto"/>
              <w:bottom w:val="single" w:sz="4" w:space="0" w:color="auto"/>
              <w:right w:val="single" w:sz="4" w:space="0" w:color="auto"/>
            </w:tcBorders>
            <w:shd w:val="clear" w:color="auto" w:fill="auto"/>
            <w:vAlign w:val="center"/>
          </w:tcPr>
          <w:p w:rsidR="00095947" w:rsidRPr="00E3331A" w:rsidRDefault="00095947" w:rsidP="00095947">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sz w:val="20"/>
                <w:szCs w:val="20"/>
              </w:rPr>
              <w:t>90 kg</w:t>
            </w:r>
          </w:p>
        </w:tc>
        <w:tc>
          <w:tcPr>
            <w:tcW w:w="962"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$142,011</w:t>
            </w:r>
          </w:p>
        </w:tc>
        <w:tc>
          <w:tcPr>
            <w:tcW w:w="858"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0.66</w:t>
            </w:r>
          </w:p>
        </w:tc>
        <w:tc>
          <w:tcPr>
            <w:tcW w:w="806"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$214,539</w:t>
            </w:r>
          </w:p>
        </w:tc>
      </w:tr>
      <w:tr w:rsidR="00095947" w:rsidRPr="00E3331A" w:rsidTr="00573669">
        <w:trPr>
          <w:trHeight w:val="300"/>
        </w:trPr>
        <w:tc>
          <w:tcPr>
            <w:tcW w:w="1384" w:type="pct"/>
            <w:vMerge w:val="restart"/>
            <w:tcBorders>
              <w:top w:val="nil"/>
              <w:left w:val="single" w:sz="4" w:space="0" w:color="auto"/>
              <w:bottom w:val="single" w:sz="4" w:space="0" w:color="auto"/>
              <w:right w:val="single" w:sz="4" w:space="0" w:color="auto"/>
            </w:tcBorders>
            <w:shd w:val="clear" w:color="auto" w:fill="auto"/>
            <w:vAlign w:val="center"/>
            <w:hideMark/>
          </w:tcPr>
          <w:p w:rsidR="00095947" w:rsidRPr="00E3331A" w:rsidRDefault="00095947" w:rsidP="00095947">
            <w:pPr>
              <w:rPr>
                <w:rFonts w:ascii="Arial Narrow" w:hAnsi="Arial Narrow" w:cs="Calibri"/>
                <w:sz w:val="20"/>
                <w:szCs w:val="20"/>
              </w:rPr>
            </w:pPr>
            <w:r w:rsidRPr="00E3331A">
              <w:rPr>
                <w:rFonts w:ascii="Arial Narrow" w:hAnsi="Arial Narrow" w:cs="Calibri"/>
                <w:sz w:val="20"/>
                <w:szCs w:val="20"/>
                <w:lang w:val="en-US"/>
              </w:rPr>
              <w:t>Discount rate (5%)</w:t>
            </w:r>
          </w:p>
        </w:tc>
        <w:tc>
          <w:tcPr>
            <w:tcW w:w="990"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sz w:val="20"/>
                <w:szCs w:val="20"/>
              </w:rPr>
              <w:t>0%</w:t>
            </w:r>
          </w:p>
        </w:tc>
        <w:tc>
          <w:tcPr>
            <w:tcW w:w="962"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$161,480</w:t>
            </w:r>
          </w:p>
        </w:tc>
        <w:tc>
          <w:tcPr>
            <w:tcW w:w="858"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0.85</w:t>
            </w:r>
          </w:p>
        </w:tc>
        <w:tc>
          <w:tcPr>
            <w:tcW w:w="806"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$190,986</w:t>
            </w:r>
          </w:p>
        </w:tc>
      </w:tr>
      <w:tr w:rsidR="00095947" w:rsidRPr="00E3331A" w:rsidTr="00573669">
        <w:trPr>
          <w:trHeight w:val="300"/>
        </w:trPr>
        <w:tc>
          <w:tcPr>
            <w:tcW w:w="1384" w:type="pct"/>
            <w:vMerge/>
            <w:tcBorders>
              <w:top w:val="nil"/>
              <w:left w:val="single" w:sz="4" w:space="0" w:color="auto"/>
              <w:bottom w:val="single" w:sz="4" w:space="0" w:color="auto"/>
              <w:right w:val="single" w:sz="4" w:space="0" w:color="auto"/>
            </w:tcBorders>
            <w:shd w:val="clear" w:color="auto" w:fill="auto"/>
            <w:vAlign w:val="center"/>
            <w:hideMark/>
          </w:tcPr>
          <w:p w:rsidR="00095947" w:rsidRPr="00E3331A" w:rsidRDefault="00095947" w:rsidP="00095947">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sz w:val="20"/>
                <w:szCs w:val="20"/>
              </w:rPr>
              <w:t>7%</w:t>
            </w:r>
          </w:p>
        </w:tc>
        <w:tc>
          <w:tcPr>
            <w:tcW w:w="962"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$121,115</w:t>
            </w:r>
          </w:p>
        </w:tc>
        <w:tc>
          <w:tcPr>
            <w:tcW w:w="858"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0.61</w:t>
            </w:r>
          </w:p>
        </w:tc>
        <w:tc>
          <w:tcPr>
            <w:tcW w:w="806"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$200,034</w:t>
            </w:r>
          </w:p>
        </w:tc>
      </w:tr>
      <w:tr w:rsidR="00573669" w:rsidRPr="00E3331A" w:rsidTr="00573669">
        <w:trPr>
          <w:trHeight w:val="300"/>
        </w:trPr>
        <w:tc>
          <w:tcPr>
            <w:tcW w:w="5000" w:type="pct"/>
            <w:gridSpan w:val="5"/>
            <w:tcBorders>
              <w:top w:val="nil"/>
              <w:left w:val="single" w:sz="4" w:space="0" w:color="auto"/>
              <w:bottom w:val="single" w:sz="4" w:space="0" w:color="auto"/>
              <w:right w:val="single" w:sz="4" w:space="0" w:color="auto"/>
            </w:tcBorders>
            <w:shd w:val="clear" w:color="auto" w:fill="D9D9D9"/>
            <w:vAlign w:val="center"/>
            <w:hideMark/>
          </w:tcPr>
          <w:p w:rsidR="00573669" w:rsidRPr="00E3331A" w:rsidRDefault="00573669" w:rsidP="00573669">
            <w:pPr>
              <w:rPr>
                <w:rFonts w:ascii="Arial Narrow" w:hAnsi="Arial Narrow" w:cs="Calibri"/>
                <w:sz w:val="20"/>
                <w:szCs w:val="20"/>
              </w:rPr>
            </w:pPr>
            <w:r w:rsidRPr="00E3331A">
              <w:rPr>
                <w:rFonts w:ascii="Arial Narrow" w:hAnsi="Arial Narrow" w:cs="Calibri"/>
                <w:b/>
                <w:bCs/>
                <w:i/>
                <w:iCs/>
                <w:sz w:val="20"/>
                <w:szCs w:val="20"/>
                <w:lang w:val="en-US"/>
              </w:rPr>
              <w:t>Ig delivery costs</w:t>
            </w:r>
          </w:p>
        </w:tc>
      </w:tr>
      <w:tr w:rsidR="00095947" w:rsidRPr="00E3331A" w:rsidTr="00573669">
        <w:trPr>
          <w:cantSplit/>
          <w:trHeight w:val="300"/>
        </w:trPr>
        <w:tc>
          <w:tcPr>
            <w:tcW w:w="1384" w:type="pct"/>
            <w:vMerge w:val="restart"/>
            <w:tcBorders>
              <w:top w:val="nil"/>
              <w:left w:val="single" w:sz="4" w:space="0" w:color="auto"/>
              <w:right w:val="single" w:sz="4" w:space="0" w:color="auto"/>
            </w:tcBorders>
            <w:shd w:val="clear" w:color="auto" w:fill="auto"/>
            <w:vAlign w:val="center"/>
            <w:hideMark/>
          </w:tcPr>
          <w:p w:rsidR="00095947" w:rsidRPr="00E3331A" w:rsidRDefault="00095947" w:rsidP="00095947">
            <w:pPr>
              <w:rPr>
                <w:rFonts w:ascii="Arial Narrow" w:hAnsi="Arial Narrow" w:cs="Calibri"/>
                <w:sz w:val="20"/>
                <w:szCs w:val="20"/>
              </w:rPr>
            </w:pPr>
            <w:r w:rsidRPr="00E3331A">
              <w:rPr>
                <w:rFonts w:ascii="Arial Narrow" w:hAnsi="Arial Narrow" w:cs="Calibri"/>
                <w:sz w:val="20"/>
                <w:szCs w:val="20"/>
                <w:lang w:val="en-US"/>
              </w:rPr>
              <w:t>Ig price ($60.41 per g)</w:t>
            </w:r>
          </w:p>
        </w:tc>
        <w:tc>
          <w:tcPr>
            <w:tcW w:w="990"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sz w:val="20"/>
                <w:szCs w:val="20"/>
              </w:rPr>
              <w:t xml:space="preserve">$140.18 </w:t>
            </w:r>
          </w:p>
        </w:tc>
        <w:tc>
          <w:tcPr>
            <w:tcW w:w="962"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$294,807</w:t>
            </w:r>
          </w:p>
        </w:tc>
        <w:tc>
          <w:tcPr>
            <w:tcW w:w="858"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0.66</w:t>
            </w:r>
          </w:p>
        </w:tc>
        <w:tc>
          <w:tcPr>
            <w:tcW w:w="806"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$445,370</w:t>
            </w:r>
          </w:p>
        </w:tc>
      </w:tr>
      <w:tr w:rsidR="00095947" w:rsidRPr="00E3331A" w:rsidTr="00573669">
        <w:trPr>
          <w:trHeight w:val="300"/>
        </w:trPr>
        <w:tc>
          <w:tcPr>
            <w:tcW w:w="1384" w:type="pct"/>
            <w:vMerge/>
            <w:tcBorders>
              <w:left w:val="single" w:sz="4" w:space="0" w:color="auto"/>
              <w:right w:val="single" w:sz="4" w:space="0" w:color="auto"/>
            </w:tcBorders>
            <w:shd w:val="clear" w:color="auto" w:fill="auto"/>
            <w:vAlign w:val="center"/>
            <w:hideMark/>
          </w:tcPr>
          <w:p w:rsidR="00095947" w:rsidRPr="00E3331A" w:rsidRDefault="00095947" w:rsidP="00095947">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sz w:val="20"/>
                <w:szCs w:val="20"/>
              </w:rPr>
              <w:t>$44.94</w:t>
            </w:r>
          </w:p>
        </w:tc>
        <w:tc>
          <w:tcPr>
            <w:tcW w:w="962"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$98,891</w:t>
            </w:r>
          </w:p>
        </w:tc>
        <w:tc>
          <w:tcPr>
            <w:tcW w:w="858"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0.66</w:t>
            </w:r>
          </w:p>
        </w:tc>
        <w:tc>
          <w:tcPr>
            <w:tcW w:w="806"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$149,397</w:t>
            </w:r>
          </w:p>
        </w:tc>
      </w:tr>
      <w:tr w:rsidR="00095947" w:rsidRPr="00E3331A" w:rsidTr="00573669">
        <w:trPr>
          <w:trHeight w:val="300"/>
        </w:trPr>
        <w:tc>
          <w:tcPr>
            <w:tcW w:w="1384" w:type="pct"/>
            <w:vMerge/>
            <w:tcBorders>
              <w:left w:val="single" w:sz="4" w:space="0" w:color="auto"/>
              <w:bottom w:val="single" w:sz="4" w:space="0" w:color="auto"/>
              <w:right w:val="single" w:sz="4" w:space="0" w:color="auto"/>
            </w:tcBorders>
            <w:shd w:val="clear" w:color="auto" w:fill="auto"/>
            <w:vAlign w:val="center"/>
          </w:tcPr>
          <w:p w:rsidR="00095947" w:rsidRPr="00E3331A" w:rsidRDefault="00095947" w:rsidP="00095947">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sz w:val="20"/>
                <w:szCs w:val="20"/>
              </w:rPr>
              <w:t>$94.51</w:t>
            </w:r>
          </w:p>
        </w:tc>
        <w:tc>
          <w:tcPr>
            <w:tcW w:w="962"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color w:val="000000"/>
                <w:sz w:val="20"/>
                <w:szCs w:val="20"/>
              </w:rPr>
            </w:pPr>
            <w:r w:rsidRPr="00E3331A">
              <w:rPr>
                <w:rFonts w:ascii="Arial Narrow" w:hAnsi="Arial Narrow" w:cs="Calibri"/>
                <w:color w:val="000000"/>
                <w:sz w:val="20"/>
                <w:szCs w:val="20"/>
              </w:rPr>
              <w:t>$200,860</w:t>
            </w:r>
          </w:p>
        </w:tc>
        <w:tc>
          <w:tcPr>
            <w:tcW w:w="858"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color w:val="000000"/>
                <w:sz w:val="20"/>
                <w:szCs w:val="20"/>
              </w:rPr>
            </w:pPr>
            <w:r w:rsidRPr="00E3331A">
              <w:rPr>
                <w:rFonts w:ascii="Arial Narrow" w:hAnsi="Arial Narrow" w:cs="Calibri"/>
                <w:color w:val="000000"/>
                <w:sz w:val="20"/>
                <w:szCs w:val="20"/>
              </w:rPr>
              <w:t>0.66</w:t>
            </w:r>
          </w:p>
        </w:tc>
        <w:tc>
          <w:tcPr>
            <w:tcW w:w="806"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color w:val="000000"/>
                <w:sz w:val="20"/>
                <w:szCs w:val="20"/>
              </w:rPr>
            </w:pPr>
            <w:r w:rsidRPr="00E3331A">
              <w:rPr>
                <w:rFonts w:ascii="Arial Narrow" w:hAnsi="Arial Narrow" w:cs="Calibri"/>
                <w:color w:val="000000"/>
                <w:sz w:val="20"/>
                <w:szCs w:val="20"/>
              </w:rPr>
              <w:t>$303,443</w:t>
            </w:r>
          </w:p>
        </w:tc>
      </w:tr>
      <w:tr w:rsidR="00095947" w:rsidRPr="00E3331A" w:rsidTr="00573669">
        <w:trPr>
          <w:trHeight w:val="300"/>
        </w:trPr>
        <w:tc>
          <w:tcPr>
            <w:tcW w:w="1384" w:type="pct"/>
            <w:vMerge w:val="restart"/>
            <w:tcBorders>
              <w:top w:val="nil"/>
              <w:left w:val="single" w:sz="4" w:space="0" w:color="auto"/>
              <w:right w:val="single" w:sz="4" w:space="0" w:color="auto"/>
            </w:tcBorders>
            <w:shd w:val="clear" w:color="auto" w:fill="auto"/>
            <w:vAlign w:val="center"/>
          </w:tcPr>
          <w:p w:rsidR="00095947" w:rsidRPr="00E3331A" w:rsidRDefault="00095947" w:rsidP="00095947">
            <w:pPr>
              <w:rPr>
                <w:rFonts w:ascii="Arial Narrow" w:hAnsi="Arial Narrow" w:cs="Calibri"/>
                <w:sz w:val="20"/>
                <w:szCs w:val="20"/>
                <w:lang w:val="en-US"/>
              </w:rPr>
            </w:pPr>
            <w:r w:rsidRPr="00E3331A">
              <w:rPr>
                <w:rFonts w:ascii="Arial Narrow" w:hAnsi="Arial Narrow" w:cs="Calibri"/>
                <w:sz w:val="20"/>
                <w:szCs w:val="20"/>
                <w:lang w:val="en-US"/>
              </w:rPr>
              <w:t>SCIg</w:t>
            </w:r>
          </w:p>
        </w:tc>
        <w:tc>
          <w:tcPr>
            <w:tcW w:w="990"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sz w:val="20"/>
                <w:szCs w:val="20"/>
              </w:rPr>
              <w:t>Same dose as IV</w:t>
            </w:r>
          </w:p>
        </w:tc>
        <w:tc>
          <w:tcPr>
            <w:tcW w:w="962"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$110,458</w:t>
            </w:r>
          </w:p>
        </w:tc>
        <w:tc>
          <w:tcPr>
            <w:tcW w:w="858"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0.66</w:t>
            </w:r>
          </w:p>
        </w:tc>
        <w:tc>
          <w:tcPr>
            <w:tcW w:w="806" w:type="pct"/>
            <w:tcBorders>
              <w:top w:val="nil"/>
              <w:left w:val="nil"/>
              <w:bottom w:val="single" w:sz="4" w:space="0" w:color="auto"/>
              <w:right w:val="single" w:sz="4" w:space="0" w:color="auto"/>
            </w:tcBorders>
            <w:shd w:val="clear" w:color="auto" w:fill="auto"/>
            <w:vAlign w:val="center"/>
          </w:tcPr>
          <w:p w:rsidR="00095947" w:rsidRPr="00E3331A" w:rsidRDefault="00095947" w:rsidP="00095947">
            <w:pPr>
              <w:jc w:val="center"/>
              <w:rPr>
                <w:rFonts w:ascii="Arial Narrow" w:hAnsi="Arial Narrow" w:cs="Calibri"/>
                <w:sz w:val="20"/>
                <w:szCs w:val="20"/>
              </w:rPr>
            </w:pPr>
            <w:r w:rsidRPr="00E3331A">
              <w:rPr>
                <w:rFonts w:ascii="Arial Narrow" w:hAnsi="Arial Narrow" w:cs="Calibri"/>
                <w:color w:val="000000"/>
                <w:sz w:val="20"/>
                <w:szCs w:val="20"/>
              </w:rPr>
              <w:t>$166,870</w:t>
            </w:r>
          </w:p>
        </w:tc>
      </w:tr>
      <w:tr w:rsidR="00D50F8F" w:rsidRPr="00E3331A" w:rsidTr="00573669">
        <w:trPr>
          <w:trHeight w:val="300"/>
        </w:trPr>
        <w:tc>
          <w:tcPr>
            <w:tcW w:w="1384" w:type="pct"/>
            <w:vMerge/>
            <w:tcBorders>
              <w:left w:val="single" w:sz="4" w:space="0" w:color="auto"/>
              <w:bottom w:val="single" w:sz="4" w:space="0" w:color="auto"/>
              <w:right w:val="single" w:sz="4" w:space="0" w:color="auto"/>
            </w:tcBorders>
            <w:shd w:val="clear" w:color="auto" w:fill="auto"/>
            <w:vAlign w:val="center"/>
          </w:tcPr>
          <w:p w:rsidR="00D50F8F" w:rsidRPr="00E3331A" w:rsidRDefault="00D50F8F" w:rsidP="00D50F8F">
            <w:pPr>
              <w:rPr>
                <w:rFonts w:ascii="Arial Narrow" w:hAnsi="Arial Narrow" w:cs="Calibri"/>
                <w:sz w:val="20"/>
                <w:szCs w:val="20"/>
                <w:lang w:val="en-US"/>
              </w:rPr>
            </w:pPr>
          </w:p>
        </w:tc>
        <w:tc>
          <w:tcPr>
            <w:tcW w:w="990" w:type="pct"/>
            <w:tcBorders>
              <w:top w:val="nil"/>
              <w:left w:val="nil"/>
              <w:bottom w:val="single" w:sz="4" w:space="0" w:color="auto"/>
              <w:right w:val="single" w:sz="4" w:space="0" w:color="auto"/>
            </w:tcBorders>
            <w:shd w:val="clear" w:color="auto" w:fill="auto"/>
            <w:vAlign w:val="center"/>
          </w:tcPr>
          <w:p w:rsidR="00D50F8F" w:rsidRPr="00E3331A" w:rsidRDefault="00D50F8F" w:rsidP="00D50F8F">
            <w:pPr>
              <w:jc w:val="center"/>
              <w:rPr>
                <w:rFonts w:ascii="Arial Narrow" w:hAnsi="Arial Narrow" w:cs="Calibri"/>
                <w:sz w:val="20"/>
                <w:szCs w:val="20"/>
              </w:rPr>
            </w:pPr>
            <w:r w:rsidRPr="00E3331A">
              <w:rPr>
                <w:rFonts w:ascii="Arial Narrow" w:hAnsi="Arial Narrow" w:cs="Calibri"/>
                <w:sz w:val="20"/>
                <w:szCs w:val="20"/>
              </w:rPr>
              <w:t>120% of IV dose</w:t>
            </w:r>
          </w:p>
        </w:tc>
        <w:tc>
          <w:tcPr>
            <w:tcW w:w="962" w:type="pct"/>
            <w:tcBorders>
              <w:top w:val="nil"/>
              <w:left w:val="nil"/>
              <w:bottom w:val="single" w:sz="4" w:space="0" w:color="auto"/>
              <w:right w:val="single" w:sz="4" w:space="0" w:color="auto"/>
            </w:tcBorders>
            <w:shd w:val="clear" w:color="auto" w:fill="auto"/>
            <w:vAlign w:val="center"/>
          </w:tcPr>
          <w:p w:rsidR="00D50F8F" w:rsidRPr="00E3331A" w:rsidRDefault="00D50F8F" w:rsidP="00D50F8F">
            <w:pPr>
              <w:jc w:val="center"/>
              <w:rPr>
                <w:rFonts w:ascii="Arial Narrow" w:hAnsi="Arial Narrow" w:cs="Calibri"/>
                <w:sz w:val="20"/>
                <w:szCs w:val="20"/>
              </w:rPr>
            </w:pPr>
            <w:r w:rsidRPr="00E3331A">
              <w:rPr>
                <w:rFonts w:ascii="Arial Narrow" w:hAnsi="Arial Narrow" w:cs="Calibri"/>
                <w:color w:val="000000"/>
                <w:sz w:val="20"/>
                <w:szCs w:val="20"/>
              </w:rPr>
              <w:t>$135,311</w:t>
            </w:r>
          </w:p>
        </w:tc>
        <w:tc>
          <w:tcPr>
            <w:tcW w:w="858" w:type="pct"/>
            <w:tcBorders>
              <w:top w:val="nil"/>
              <w:left w:val="nil"/>
              <w:bottom w:val="single" w:sz="4" w:space="0" w:color="auto"/>
              <w:right w:val="single" w:sz="4" w:space="0" w:color="auto"/>
            </w:tcBorders>
            <w:shd w:val="clear" w:color="auto" w:fill="auto"/>
            <w:vAlign w:val="center"/>
          </w:tcPr>
          <w:p w:rsidR="00D50F8F" w:rsidRPr="00E3331A" w:rsidRDefault="00D50F8F" w:rsidP="00D50F8F">
            <w:pPr>
              <w:jc w:val="center"/>
              <w:rPr>
                <w:rFonts w:ascii="Arial Narrow" w:hAnsi="Arial Narrow" w:cs="Calibri"/>
                <w:sz w:val="20"/>
                <w:szCs w:val="20"/>
              </w:rPr>
            </w:pPr>
            <w:r w:rsidRPr="00E3331A">
              <w:rPr>
                <w:rFonts w:ascii="Arial Narrow" w:hAnsi="Arial Narrow" w:cs="Calibri"/>
                <w:color w:val="000000"/>
                <w:sz w:val="20"/>
                <w:szCs w:val="20"/>
              </w:rPr>
              <w:t>0.66</w:t>
            </w:r>
          </w:p>
        </w:tc>
        <w:tc>
          <w:tcPr>
            <w:tcW w:w="806" w:type="pct"/>
            <w:tcBorders>
              <w:top w:val="nil"/>
              <w:left w:val="nil"/>
              <w:bottom w:val="single" w:sz="4" w:space="0" w:color="auto"/>
              <w:right w:val="single" w:sz="4" w:space="0" w:color="auto"/>
            </w:tcBorders>
            <w:shd w:val="clear" w:color="auto" w:fill="auto"/>
            <w:vAlign w:val="center"/>
          </w:tcPr>
          <w:p w:rsidR="00D50F8F" w:rsidRPr="00E3331A" w:rsidRDefault="00D50F8F" w:rsidP="00D50F8F">
            <w:pPr>
              <w:jc w:val="center"/>
              <w:rPr>
                <w:rFonts w:ascii="Arial Narrow" w:hAnsi="Arial Narrow" w:cs="Calibri"/>
                <w:sz w:val="20"/>
                <w:szCs w:val="20"/>
              </w:rPr>
            </w:pPr>
            <w:r w:rsidRPr="00E3331A">
              <w:rPr>
                <w:rFonts w:ascii="Arial Narrow" w:hAnsi="Arial Narrow" w:cs="Calibri"/>
                <w:color w:val="000000"/>
                <w:sz w:val="20"/>
                <w:szCs w:val="20"/>
              </w:rPr>
              <w:t>$204,417</w:t>
            </w:r>
          </w:p>
        </w:tc>
      </w:tr>
      <w:tr w:rsidR="00D50F8F" w:rsidRPr="00E3331A" w:rsidTr="00573669">
        <w:trPr>
          <w:trHeight w:val="300"/>
        </w:trPr>
        <w:tc>
          <w:tcPr>
            <w:tcW w:w="1384" w:type="pct"/>
            <w:vMerge w:val="restart"/>
            <w:tcBorders>
              <w:top w:val="nil"/>
              <w:left w:val="single" w:sz="4" w:space="0" w:color="auto"/>
              <w:bottom w:val="single" w:sz="4" w:space="0" w:color="auto"/>
              <w:right w:val="single" w:sz="4" w:space="0" w:color="auto"/>
            </w:tcBorders>
            <w:shd w:val="clear" w:color="auto" w:fill="auto"/>
            <w:vAlign w:val="center"/>
            <w:hideMark/>
          </w:tcPr>
          <w:p w:rsidR="00D50F8F" w:rsidRPr="00E3331A" w:rsidRDefault="00D50F8F" w:rsidP="00D50F8F">
            <w:pPr>
              <w:rPr>
                <w:rFonts w:ascii="Arial Narrow" w:hAnsi="Arial Narrow" w:cs="Calibri"/>
                <w:sz w:val="20"/>
                <w:szCs w:val="20"/>
              </w:rPr>
            </w:pPr>
            <w:r w:rsidRPr="00E3331A">
              <w:rPr>
                <w:rFonts w:ascii="Arial Narrow" w:hAnsi="Arial Narrow" w:cs="Calibri"/>
                <w:sz w:val="20"/>
                <w:szCs w:val="20"/>
                <w:lang w:val="en-US"/>
              </w:rPr>
              <w:t>Nurse cost per infusion</w:t>
            </w:r>
          </w:p>
        </w:tc>
        <w:tc>
          <w:tcPr>
            <w:tcW w:w="990" w:type="pct"/>
            <w:tcBorders>
              <w:top w:val="nil"/>
              <w:left w:val="nil"/>
              <w:bottom w:val="single" w:sz="4" w:space="0" w:color="auto"/>
              <w:right w:val="single" w:sz="4" w:space="0" w:color="auto"/>
            </w:tcBorders>
            <w:shd w:val="clear" w:color="auto" w:fill="auto"/>
            <w:vAlign w:val="center"/>
          </w:tcPr>
          <w:p w:rsidR="00D50F8F" w:rsidRPr="00E3331A" w:rsidRDefault="00D50F8F" w:rsidP="00D50F8F">
            <w:pPr>
              <w:jc w:val="center"/>
              <w:rPr>
                <w:rFonts w:ascii="Arial Narrow" w:hAnsi="Arial Narrow" w:cs="Calibri"/>
                <w:sz w:val="20"/>
                <w:szCs w:val="20"/>
              </w:rPr>
            </w:pPr>
            <w:r w:rsidRPr="00E3331A">
              <w:rPr>
                <w:rFonts w:ascii="Arial Narrow" w:hAnsi="Arial Narrow" w:cs="Calibri"/>
                <w:sz w:val="20"/>
                <w:szCs w:val="20"/>
              </w:rPr>
              <w:t xml:space="preserve">+10% </w:t>
            </w:r>
          </w:p>
        </w:tc>
        <w:tc>
          <w:tcPr>
            <w:tcW w:w="962" w:type="pct"/>
            <w:tcBorders>
              <w:top w:val="nil"/>
              <w:left w:val="nil"/>
              <w:bottom w:val="single" w:sz="4" w:space="0" w:color="auto"/>
              <w:right w:val="single" w:sz="4" w:space="0" w:color="auto"/>
            </w:tcBorders>
            <w:shd w:val="clear" w:color="auto" w:fill="auto"/>
            <w:vAlign w:val="bottom"/>
          </w:tcPr>
          <w:p w:rsidR="00D50F8F" w:rsidRPr="00E3331A" w:rsidRDefault="00D50F8F" w:rsidP="00D50F8F">
            <w:pPr>
              <w:jc w:val="center"/>
              <w:rPr>
                <w:rFonts w:ascii="Arial Narrow" w:hAnsi="Arial Narrow" w:cs="Calibri"/>
                <w:sz w:val="20"/>
                <w:szCs w:val="20"/>
              </w:rPr>
            </w:pPr>
            <w:r w:rsidRPr="00E3331A">
              <w:rPr>
                <w:rFonts w:ascii="Arial Narrow" w:hAnsi="Arial Narrow" w:cs="Calibri"/>
                <w:sz w:val="20"/>
                <w:szCs w:val="20"/>
              </w:rPr>
              <w:t>131,679</w:t>
            </w:r>
          </w:p>
        </w:tc>
        <w:tc>
          <w:tcPr>
            <w:tcW w:w="858" w:type="pct"/>
            <w:tcBorders>
              <w:top w:val="nil"/>
              <w:left w:val="nil"/>
              <w:bottom w:val="single" w:sz="4" w:space="0" w:color="auto"/>
              <w:right w:val="single" w:sz="4" w:space="0" w:color="auto"/>
            </w:tcBorders>
            <w:shd w:val="clear" w:color="auto" w:fill="auto"/>
            <w:vAlign w:val="bottom"/>
          </w:tcPr>
          <w:p w:rsidR="00D50F8F" w:rsidRPr="00E3331A" w:rsidRDefault="00D50F8F" w:rsidP="00D50F8F">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D50F8F" w:rsidRPr="00E3331A" w:rsidRDefault="00D50F8F" w:rsidP="00D50F8F">
            <w:pPr>
              <w:jc w:val="center"/>
              <w:rPr>
                <w:rFonts w:ascii="Arial Narrow" w:hAnsi="Arial Narrow" w:cs="Calibri"/>
                <w:sz w:val="20"/>
                <w:szCs w:val="20"/>
              </w:rPr>
            </w:pPr>
            <w:r w:rsidRPr="00E3331A">
              <w:rPr>
                <w:rFonts w:ascii="Arial Narrow" w:hAnsi="Arial Narrow" w:cs="Calibri"/>
                <w:sz w:val="20"/>
                <w:szCs w:val="20"/>
              </w:rPr>
              <w:t>198,930</w:t>
            </w:r>
          </w:p>
        </w:tc>
      </w:tr>
      <w:tr w:rsidR="00D50F8F" w:rsidRPr="00E3331A" w:rsidTr="00573669">
        <w:trPr>
          <w:trHeight w:val="300"/>
        </w:trPr>
        <w:tc>
          <w:tcPr>
            <w:tcW w:w="1384" w:type="pct"/>
            <w:vMerge/>
            <w:tcBorders>
              <w:top w:val="nil"/>
              <w:left w:val="single" w:sz="4" w:space="0" w:color="auto"/>
              <w:bottom w:val="single" w:sz="4" w:space="0" w:color="auto"/>
              <w:right w:val="single" w:sz="4" w:space="0" w:color="auto"/>
            </w:tcBorders>
            <w:shd w:val="clear" w:color="auto" w:fill="auto"/>
            <w:vAlign w:val="center"/>
            <w:hideMark/>
          </w:tcPr>
          <w:p w:rsidR="00D50F8F" w:rsidRPr="00E3331A" w:rsidRDefault="00D50F8F" w:rsidP="00D50F8F">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D50F8F" w:rsidRPr="00E3331A" w:rsidRDefault="00D50F8F" w:rsidP="00D50F8F">
            <w:pPr>
              <w:jc w:val="center"/>
              <w:rPr>
                <w:rFonts w:ascii="Arial Narrow" w:hAnsi="Arial Narrow" w:cs="Calibri"/>
                <w:sz w:val="20"/>
                <w:szCs w:val="20"/>
              </w:rPr>
            </w:pPr>
            <w:r w:rsidRPr="00E3331A">
              <w:rPr>
                <w:rFonts w:ascii="Arial Narrow" w:hAnsi="Arial Narrow" w:cs="Calibri"/>
                <w:sz w:val="20"/>
                <w:szCs w:val="20"/>
              </w:rPr>
              <w:t>-10%</w:t>
            </w:r>
          </w:p>
        </w:tc>
        <w:tc>
          <w:tcPr>
            <w:tcW w:w="962" w:type="pct"/>
            <w:tcBorders>
              <w:top w:val="nil"/>
              <w:left w:val="nil"/>
              <w:bottom w:val="single" w:sz="4" w:space="0" w:color="auto"/>
              <w:right w:val="single" w:sz="4" w:space="0" w:color="auto"/>
            </w:tcBorders>
            <w:shd w:val="clear" w:color="auto" w:fill="auto"/>
            <w:vAlign w:val="bottom"/>
          </w:tcPr>
          <w:p w:rsidR="00D50F8F" w:rsidRPr="00E3331A" w:rsidRDefault="00D50F8F" w:rsidP="00D50F8F">
            <w:pPr>
              <w:jc w:val="center"/>
              <w:rPr>
                <w:rFonts w:ascii="Arial Narrow" w:hAnsi="Arial Narrow" w:cs="Calibri"/>
                <w:sz w:val="20"/>
                <w:szCs w:val="20"/>
              </w:rPr>
            </w:pPr>
            <w:r w:rsidRPr="00E3331A">
              <w:rPr>
                <w:rFonts w:ascii="Arial Narrow" w:hAnsi="Arial Narrow" w:cs="Calibri"/>
                <w:sz w:val="20"/>
                <w:szCs w:val="20"/>
              </w:rPr>
              <w:t>129,749</w:t>
            </w:r>
          </w:p>
        </w:tc>
        <w:tc>
          <w:tcPr>
            <w:tcW w:w="858" w:type="pct"/>
            <w:tcBorders>
              <w:top w:val="nil"/>
              <w:left w:val="nil"/>
              <w:bottom w:val="single" w:sz="4" w:space="0" w:color="auto"/>
              <w:right w:val="single" w:sz="4" w:space="0" w:color="auto"/>
            </w:tcBorders>
            <w:shd w:val="clear" w:color="auto" w:fill="auto"/>
            <w:vAlign w:val="bottom"/>
          </w:tcPr>
          <w:p w:rsidR="00D50F8F" w:rsidRPr="00E3331A" w:rsidRDefault="00D50F8F" w:rsidP="00D50F8F">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D50F8F" w:rsidRPr="00E3331A" w:rsidRDefault="00D50F8F" w:rsidP="00D50F8F">
            <w:pPr>
              <w:jc w:val="center"/>
              <w:rPr>
                <w:rFonts w:ascii="Arial Narrow" w:hAnsi="Arial Narrow" w:cs="Calibri"/>
                <w:sz w:val="20"/>
                <w:szCs w:val="20"/>
              </w:rPr>
            </w:pPr>
            <w:r w:rsidRPr="00E3331A">
              <w:rPr>
                <w:rFonts w:ascii="Arial Narrow" w:hAnsi="Arial Narrow" w:cs="Calibri"/>
                <w:sz w:val="20"/>
                <w:szCs w:val="20"/>
              </w:rPr>
              <w:t>196,014</w:t>
            </w:r>
          </w:p>
        </w:tc>
      </w:tr>
      <w:tr w:rsidR="0008336A" w:rsidRPr="00E3331A" w:rsidTr="00573669">
        <w:trPr>
          <w:trHeight w:val="300"/>
        </w:trPr>
        <w:tc>
          <w:tcPr>
            <w:tcW w:w="1384" w:type="pct"/>
            <w:tcBorders>
              <w:top w:val="nil"/>
              <w:left w:val="single" w:sz="4" w:space="0" w:color="auto"/>
              <w:bottom w:val="single" w:sz="4" w:space="0" w:color="auto"/>
              <w:right w:val="single" w:sz="4" w:space="0" w:color="auto"/>
            </w:tcBorders>
            <w:shd w:val="clear" w:color="auto" w:fill="auto"/>
            <w:vAlign w:val="center"/>
          </w:tcPr>
          <w:p w:rsidR="0008336A" w:rsidRPr="00E3331A" w:rsidRDefault="0008336A" w:rsidP="0008336A">
            <w:pPr>
              <w:rPr>
                <w:rFonts w:ascii="Arial Narrow" w:hAnsi="Arial Narrow" w:cs="Calibri"/>
                <w:sz w:val="20"/>
                <w:szCs w:val="20"/>
              </w:rPr>
            </w:pPr>
            <w:r>
              <w:rPr>
                <w:rFonts w:ascii="Arial Narrow" w:hAnsi="Arial Narrow" w:cs="Calibri"/>
                <w:sz w:val="20"/>
                <w:szCs w:val="20"/>
              </w:rPr>
              <w:t xml:space="preserve">Trial </w:t>
            </w:r>
            <w:r w:rsidRPr="0008336A">
              <w:rPr>
                <w:rFonts w:ascii="Arial Narrow" w:hAnsi="Arial Narrow" w:cs="Calibri"/>
                <w:sz w:val="20"/>
                <w:szCs w:val="20"/>
              </w:rPr>
              <w:t>IVIG dose</w:t>
            </w:r>
            <w:r>
              <w:rPr>
                <w:rFonts w:ascii="Arial Narrow" w:hAnsi="Arial Narrow" w:cs="Calibri"/>
                <w:sz w:val="20"/>
                <w:szCs w:val="20"/>
              </w:rPr>
              <w:t xml:space="preserve"> for first 4 months (471g, 33% of </w:t>
            </w:r>
            <w:r w:rsidRPr="0008336A">
              <w:rPr>
                <w:rFonts w:ascii="Arial Narrow" w:hAnsi="Arial Narrow" w:cs="Calibri"/>
                <w:sz w:val="20"/>
                <w:szCs w:val="20"/>
              </w:rPr>
              <w:t>1,430 g per patient per year</w:t>
            </w:r>
            <w:r>
              <w:rPr>
                <w:rFonts w:ascii="Arial Narrow" w:hAnsi="Arial Narrow" w:cs="Calibri"/>
                <w:sz w:val="20"/>
                <w:szCs w:val="20"/>
              </w:rPr>
              <w:t xml:space="preserve">), then average Australian dose (equivalent to 497g </w:t>
            </w:r>
            <w:r w:rsidRPr="0008336A">
              <w:rPr>
                <w:rFonts w:ascii="Arial Narrow" w:hAnsi="Arial Narrow" w:cs="Calibri"/>
                <w:sz w:val="20"/>
                <w:szCs w:val="20"/>
              </w:rPr>
              <w:t>per patient per year</w:t>
            </w:r>
            <w:r w:rsidR="001B576E">
              <w:rPr>
                <w:rFonts w:ascii="Arial Narrow" w:hAnsi="Arial Narrow" w:cs="Calibri"/>
                <w:sz w:val="20"/>
                <w:szCs w:val="20"/>
              </w:rPr>
              <w:t>)</w:t>
            </w:r>
          </w:p>
        </w:tc>
        <w:tc>
          <w:tcPr>
            <w:tcW w:w="990" w:type="pct"/>
            <w:tcBorders>
              <w:top w:val="nil"/>
              <w:left w:val="nil"/>
              <w:bottom w:val="single" w:sz="4" w:space="0" w:color="auto"/>
              <w:right w:val="single" w:sz="4" w:space="0" w:color="auto"/>
            </w:tcBorders>
            <w:shd w:val="clear" w:color="auto" w:fill="auto"/>
            <w:vAlign w:val="center"/>
          </w:tcPr>
          <w:p w:rsidR="00E55EF4" w:rsidRPr="00E3331A" w:rsidRDefault="00E55EF4">
            <w:pPr>
              <w:jc w:val="center"/>
              <w:rPr>
                <w:rFonts w:ascii="Arial Narrow" w:hAnsi="Arial Narrow" w:cs="Calibri"/>
                <w:sz w:val="20"/>
                <w:szCs w:val="20"/>
              </w:rPr>
            </w:pPr>
            <w:r>
              <w:rPr>
                <w:rFonts w:ascii="Arial Narrow" w:hAnsi="Arial Narrow" w:cs="Calibri"/>
                <w:sz w:val="20"/>
                <w:szCs w:val="20"/>
              </w:rPr>
              <w:t>802g in Year 1, 497g following years</w:t>
            </w:r>
          </w:p>
        </w:tc>
        <w:tc>
          <w:tcPr>
            <w:tcW w:w="962" w:type="pct"/>
            <w:tcBorders>
              <w:top w:val="nil"/>
              <w:left w:val="nil"/>
              <w:bottom w:val="single" w:sz="4" w:space="0" w:color="auto"/>
              <w:right w:val="single" w:sz="4" w:space="0" w:color="auto"/>
            </w:tcBorders>
            <w:shd w:val="clear" w:color="auto" w:fill="auto"/>
            <w:vAlign w:val="center"/>
          </w:tcPr>
          <w:p w:rsidR="0008336A" w:rsidRPr="00E3331A" w:rsidRDefault="0008336A" w:rsidP="0008336A">
            <w:pPr>
              <w:jc w:val="center"/>
              <w:rPr>
                <w:rFonts w:ascii="Arial Narrow" w:hAnsi="Arial Narrow" w:cs="Calibri"/>
                <w:sz w:val="20"/>
                <w:szCs w:val="20"/>
              </w:rPr>
            </w:pPr>
            <w:r>
              <w:rPr>
                <w:rFonts w:ascii="Arial Narrow" w:hAnsi="Arial Narrow" w:cs="Calibri"/>
                <w:color w:val="000000"/>
                <w:sz w:val="20"/>
                <w:szCs w:val="20"/>
              </w:rPr>
              <w:t>$151,831,986</w:t>
            </w:r>
          </w:p>
        </w:tc>
        <w:tc>
          <w:tcPr>
            <w:tcW w:w="858" w:type="pct"/>
            <w:tcBorders>
              <w:top w:val="nil"/>
              <w:left w:val="nil"/>
              <w:bottom w:val="single" w:sz="4" w:space="0" w:color="auto"/>
              <w:right w:val="single" w:sz="4" w:space="0" w:color="auto"/>
            </w:tcBorders>
            <w:shd w:val="clear" w:color="auto" w:fill="auto"/>
            <w:vAlign w:val="center"/>
          </w:tcPr>
          <w:p w:rsidR="0008336A" w:rsidRPr="00E3331A" w:rsidRDefault="0008336A" w:rsidP="0008336A">
            <w:pPr>
              <w:jc w:val="center"/>
              <w:rPr>
                <w:rFonts w:ascii="Arial Narrow" w:hAnsi="Arial Narrow" w:cs="Calibri"/>
                <w:sz w:val="20"/>
                <w:szCs w:val="20"/>
              </w:rPr>
            </w:pPr>
            <w:r>
              <w:rPr>
                <w:rFonts w:ascii="Arial Narrow" w:hAnsi="Arial Narrow" w:cs="Calibri"/>
                <w:color w:val="000000"/>
                <w:sz w:val="20"/>
                <w:szCs w:val="20"/>
              </w:rPr>
              <w:t>660.22</w:t>
            </w:r>
          </w:p>
        </w:tc>
        <w:tc>
          <w:tcPr>
            <w:tcW w:w="806" w:type="pct"/>
            <w:tcBorders>
              <w:top w:val="nil"/>
              <w:left w:val="nil"/>
              <w:bottom w:val="single" w:sz="4" w:space="0" w:color="auto"/>
              <w:right w:val="single" w:sz="4" w:space="0" w:color="auto"/>
            </w:tcBorders>
            <w:shd w:val="clear" w:color="auto" w:fill="auto"/>
            <w:vAlign w:val="center"/>
          </w:tcPr>
          <w:p w:rsidR="0008336A" w:rsidRPr="00E3331A" w:rsidRDefault="0008336A" w:rsidP="0008336A">
            <w:pPr>
              <w:jc w:val="center"/>
              <w:rPr>
                <w:rFonts w:ascii="Arial Narrow" w:hAnsi="Arial Narrow" w:cs="Calibri"/>
                <w:sz w:val="20"/>
                <w:szCs w:val="20"/>
              </w:rPr>
            </w:pPr>
            <w:r>
              <w:rPr>
                <w:rFonts w:ascii="Arial Narrow" w:hAnsi="Arial Narrow" w:cs="Calibri"/>
                <w:color w:val="000000"/>
                <w:sz w:val="20"/>
                <w:szCs w:val="20"/>
              </w:rPr>
              <w:t>$229,970</w:t>
            </w:r>
          </w:p>
        </w:tc>
      </w:tr>
      <w:tr w:rsidR="0028743B" w:rsidRPr="00E3331A" w:rsidTr="00573669">
        <w:trPr>
          <w:trHeight w:val="300"/>
        </w:trPr>
        <w:tc>
          <w:tcPr>
            <w:tcW w:w="1384" w:type="pct"/>
            <w:vMerge w:val="restart"/>
            <w:tcBorders>
              <w:top w:val="nil"/>
              <w:left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r w:rsidRPr="00E3331A">
              <w:rPr>
                <w:rFonts w:ascii="Arial Narrow" w:hAnsi="Arial Narrow" w:cs="Calibri"/>
                <w:sz w:val="20"/>
                <w:szCs w:val="20"/>
              </w:rPr>
              <w:t xml:space="preserve">Maintenance IVIG dose </w:t>
            </w:r>
          </w:p>
        </w:tc>
        <w:tc>
          <w:tcPr>
            <w:tcW w:w="990" w:type="pct"/>
            <w:tcBorders>
              <w:top w:val="nil"/>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color w:val="000000"/>
                <w:sz w:val="20"/>
                <w:szCs w:val="20"/>
              </w:rPr>
              <w:t>5%</w:t>
            </w:r>
          </w:p>
        </w:tc>
        <w:tc>
          <w:tcPr>
            <w:tcW w:w="962"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136,359</w:t>
            </w:r>
          </w:p>
        </w:tc>
        <w:tc>
          <w:tcPr>
            <w:tcW w:w="858" w:type="pct"/>
            <w:tcBorders>
              <w:top w:val="nil"/>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206,000</w:t>
            </w:r>
          </w:p>
        </w:tc>
      </w:tr>
      <w:tr w:rsidR="0028743B" w:rsidRPr="00E3331A" w:rsidTr="00573669">
        <w:trPr>
          <w:trHeight w:val="300"/>
        </w:trPr>
        <w:tc>
          <w:tcPr>
            <w:tcW w:w="1384" w:type="pct"/>
            <w:vMerge/>
            <w:tcBorders>
              <w:left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color w:val="000000"/>
                <w:sz w:val="20"/>
                <w:szCs w:val="20"/>
              </w:rPr>
              <w:t>-5%</w:t>
            </w:r>
          </w:p>
        </w:tc>
        <w:tc>
          <w:tcPr>
            <w:tcW w:w="962"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125,069</w:t>
            </w:r>
          </w:p>
        </w:tc>
        <w:tc>
          <w:tcPr>
            <w:tcW w:w="858" w:type="pct"/>
            <w:tcBorders>
              <w:top w:val="nil"/>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188,944</w:t>
            </w:r>
          </w:p>
        </w:tc>
      </w:tr>
      <w:tr w:rsidR="0028743B" w:rsidRPr="00E3331A" w:rsidTr="00573669">
        <w:trPr>
          <w:trHeight w:val="300"/>
        </w:trPr>
        <w:tc>
          <w:tcPr>
            <w:tcW w:w="1384" w:type="pct"/>
            <w:vMerge/>
            <w:tcBorders>
              <w:left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color w:val="000000"/>
                <w:sz w:val="20"/>
                <w:szCs w:val="20"/>
              </w:rPr>
              <w:t>10%</w:t>
            </w:r>
          </w:p>
        </w:tc>
        <w:tc>
          <w:tcPr>
            <w:tcW w:w="962"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142,004</w:t>
            </w:r>
          </w:p>
        </w:tc>
        <w:tc>
          <w:tcPr>
            <w:tcW w:w="858" w:type="pct"/>
            <w:tcBorders>
              <w:top w:val="nil"/>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214,527</w:t>
            </w:r>
          </w:p>
        </w:tc>
      </w:tr>
      <w:tr w:rsidR="0028743B" w:rsidRPr="00E3331A" w:rsidTr="00573669">
        <w:trPr>
          <w:trHeight w:val="300"/>
        </w:trPr>
        <w:tc>
          <w:tcPr>
            <w:tcW w:w="1384" w:type="pct"/>
            <w:vMerge/>
            <w:tcBorders>
              <w:left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color w:val="000000"/>
                <w:sz w:val="20"/>
                <w:szCs w:val="20"/>
              </w:rPr>
              <w:t>-10%</w:t>
            </w:r>
          </w:p>
        </w:tc>
        <w:tc>
          <w:tcPr>
            <w:tcW w:w="962"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119,425</w:t>
            </w:r>
          </w:p>
        </w:tc>
        <w:tc>
          <w:tcPr>
            <w:tcW w:w="858" w:type="pct"/>
            <w:tcBorders>
              <w:top w:val="nil"/>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180,417</w:t>
            </w:r>
          </w:p>
        </w:tc>
      </w:tr>
      <w:tr w:rsidR="0028743B" w:rsidRPr="00E3331A" w:rsidTr="00573669">
        <w:trPr>
          <w:trHeight w:val="300"/>
        </w:trPr>
        <w:tc>
          <w:tcPr>
            <w:tcW w:w="1384" w:type="pct"/>
            <w:vMerge/>
            <w:tcBorders>
              <w:left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color w:val="000000"/>
                <w:sz w:val="20"/>
                <w:szCs w:val="20"/>
              </w:rPr>
              <w:t>20%</w:t>
            </w:r>
          </w:p>
        </w:tc>
        <w:tc>
          <w:tcPr>
            <w:tcW w:w="962"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153,293</w:t>
            </w:r>
          </w:p>
        </w:tc>
        <w:tc>
          <w:tcPr>
            <w:tcW w:w="858" w:type="pct"/>
            <w:tcBorders>
              <w:top w:val="nil"/>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231,582</w:t>
            </w:r>
          </w:p>
        </w:tc>
      </w:tr>
      <w:tr w:rsidR="0028743B" w:rsidRPr="00E3331A" w:rsidTr="00573669">
        <w:trPr>
          <w:trHeight w:val="300"/>
        </w:trPr>
        <w:tc>
          <w:tcPr>
            <w:tcW w:w="1384" w:type="pct"/>
            <w:vMerge/>
            <w:tcBorders>
              <w:left w:val="single" w:sz="4" w:space="0" w:color="auto"/>
              <w:bottom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color w:val="000000"/>
                <w:sz w:val="20"/>
                <w:szCs w:val="20"/>
              </w:rPr>
              <w:t>-20%</w:t>
            </w:r>
          </w:p>
        </w:tc>
        <w:tc>
          <w:tcPr>
            <w:tcW w:w="962"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108,135</w:t>
            </w:r>
          </w:p>
        </w:tc>
        <w:tc>
          <w:tcPr>
            <w:tcW w:w="858" w:type="pct"/>
            <w:tcBorders>
              <w:top w:val="nil"/>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163,362</w:t>
            </w:r>
          </w:p>
        </w:tc>
      </w:tr>
      <w:tr w:rsidR="00573669" w:rsidRPr="00E3331A" w:rsidTr="00573669">
        <w:trPr>
          <w:trHeight w:val="300"/>
        </w:trPr>
        <w:tc>
          <w:tcPr>
            <w:tcW w:w="5000" w:type="pct"/>
            <w:gridSpan w:val="5"/>
            <w:tcBorders>
              <w:top w:val="nil"/>
              <w:left w:val="single" w:sz="4" w:space="0" w:color="auto"/>
              <w:bottom w:val="single" w:sz="4" w:space="0" w:color="auto"/>
              <w:right w:val="single" w:sz="4" w:space="0" w:color="auto"/>
            </w:tcBorders>
            <w:shd w:val="clear" w:color="auto" w:fill="D9D9D9"/>
            <w:vAlign w:val="center"/>
            <w:hideMark/>
          </w:tcPr>
          <w:p w:rsidR="00573669" w:rsidRPr="00E3331A" w:rsidRDefault="00573669" w:rsidP="00573669">
            <w:pPr>
              <w:rPr>
                <w:rFonts w:ascii="Arial Narrow" w:hAnsi="Arial Narrow" w:cs="Calibri"/>
                <w:sz w:val="20"/>
                <w:szCs w:val="20"/>
              </w:rPr>
            </w:pPr>
            <w:r w:rsidRPr="00E3331A">
              <w:rPr>
                <w:rFonts w:ascii="Arial Narrow" w:hAnsi="Arial Narrow" w:cs="Calibri"/>
                <w:b/>
                <w:bCs/>
                <w:i/>
                <w:iCs/>
                <w:sz w:val="20"/>
                <w:szCs w:val="20"/>
                <w:lang w:val="en-US"/>
              </w:rPr>
              <w:t>Unit costs</w:t>
            </w:r>
          </w:p>
        </w:tc>
      </w:tr>
      <w:tr w:rsidR="0028743B" w:rsidRPr="00E3331A" w:rsidTr="00573669">
        <w:trPr>
          <w:trHeight w:val="300"/>
        </w:trPr>
        <w:tc>
          <w:tcPr>
            <w:tcW w:w="1384" w:type="pct"/>
            <w:vMerge w:val="restart"/>
            <w:tcBorders>
              <w:top w:val="nil"/>
              <w:left w:val="single" w:sz="4" w:space="0" w:color="auto"/>
              <w:bottom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r w:rsidRPr="00E3331A">
              <w:rPr>
                <w:rFonts w:ascii="Arial Narrow" w:hAnsi="Arial Narrow" w:cs="Calibri"/>
                <w:sz w:val="20"/>
                <w:szCs w:val="20"/>
              </w:rPr>
              <w:t>Corticosteroids no AE</w:t>
            </w:r>
          </w:p>
        </w:tc>
        <w:tc>
          <w:tcPr>
            <w:tcW w:w="990" w:type="pct"/>
            <w:tcBorders>
              <w:top w:val="nil"/>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 xml:space="preserve">+10% </w:t>
            </w:r>
          </w:p>
        </w:tc>
        <w:tc>
          <w:tcPr>
            <w:tcW w:w="962"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130,360</w:t>
            </w:r>
          </w:p>
        </w:tc>
        <w:tc>
          <w:tcPr>
            <w:tcW w:w="858" w:type="pct"/>
            <w:tcBorders>
              <w:top w:val="nil"/>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196,937</w:t>
            </w:r>
          </w:p>
        </w:tc>
      </w:tr>
      <w:tr w:rsidR="0028743B" w:rsidRPr="00E3331A" w:rsidTr="00573669">
        <w:trPr>
          <w:trHeight w:val="300"/>
        </w:trPr>
        <w:tc>
          <w:tcPr>
            <w:tcW w:w="1384" w:type="pct"/>
            <w:vMerge/>
            <w:tcBorders>
              <w:top w:val="nil"/>
              <w:left w:val="single" w:sz="4" w:space="0" w:color="auto"/>
              <w:bottom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-10%</w:t>
            </w:r>
          </w:p>
        </w:tc>
        <w:tc>
          <w:tcPr>
            <w:tcW w:w="962"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131,068</w:t>
            </w:r>
          </w:p>
        </w:tc>
        <w:tc>
          <w:tcPr>
            <w:tcW w:w="858" w:type="pct"/>
            <w:tcBorders>
              <w:top w:val="nil"/>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198,007</w:t>
            </w:r>
          </w:p>
        </w:tc>
      </w:tr>
      <w:tr w:rsidR="0028743B" w:rsidRPr="00E3331A" w:rsidTr="00573669">
        <w:trPr>
          <w:cantSplit/>
          <w:trHeight w:val="300"/>
        </w:trPr>
        <w:tc>
          <w:tcPr>
            <w:tcW w:w="1384" w:type="pct"/>
            <w:vMerge w:val="restart"/>
            <w:tcBorders>
              <w:top w:val="nil"/>
              <w:left w:val="single" w:sz="4" w:space="0" w:color="auto"/>
              <w:bottom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r w:rsidRPr="00E3331A">
              <w:rPr>
                <w:rFonts w:ascii="Arial Narrow" w:hAnsi="Arial Narrow" w:cs="Calibri"/>
                <w:sz w:val="20"/>
                <w:szCs w:val="20"/>
              </w:rPr>
              <w:t xml:space="preserve">Fracture </w:t>
            </w:r>
          </w:p>
        </w:tc>
        <w:tc>
          <w:tcPr>
            <w:tcW w:w="990" w:type="pct"/>
            <w:tcBorders>
              <w:top w:val="nil"/>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 xml:space="preserve">+10% </w:t>
            </w:r>
          </w:p>
        </w:tc>
        <w:tc>
          <w:tcPr>
            <w:tcW w:w="962"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130,660</w:t>
            </w:r>
          </w:p>
        </w:tc>
        <w:tc>
          <w:tcPr>
            <w:tcW w:w="858" w:type="pct"/>
            <w:tcBorders>
              <w:top w:val="nil"/>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197,390</w:t>
            </w:r>
          </w:p>
        </w:tc>
      </w:tr>
      <w:tr w:rsidR="0028743B" w:rsidRPr="00E3331A" w:rsidTr="00573669">
        <w:trPr>
          <w:trHeight w:val="300"/>
        </w:trPr>
        <w:tc>
          <w:tcPr>
            <w:tcW w:w="1384" w:type="pct"/>
            <w:vMerge/>
            <w:tcBorders>
              <w:top w:val="nil"/>
              <w:left w:val="single" w:sz="4" w:space="0" w:color="auto"/>
              <w:bottom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-10%</w:t>
            </w:r>
          </w:p>
        </w:tc>
        <w:tc>
          <w:tcPr>
            <w:tcW w:w="962"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130,768</w:t>
            </w:r>
          </w:p>
        </w:tc>
        <w:tc>
          <w:tcPr>
            <w:tcW w:w="858" w:type="pct"/>
            <w:tcBorders>
              <w:top w:val="nil"/>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197,553</w:t>
            </w:r>
          </w:p>
        </w:tc>
      </w:tr>
      <w:tr w:rsidR="0028743B" w:rsidRPr="00E3331A" w:rsidTr="00573669">
        <w:trPr>
          <w:trHeight w:val="300"/>
        </w:trPr>
        <w:tc>
          <w:tcPr>
            <w:tcW w:w="1384" w:type="pct"/>
            <w:vMerge w:val="restart"/>
            <w:tcBorders>
              <w:top w:val="nil"/>
              <w:left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r w:rsidRPr="00E3331A">
              <w:rPr>
                <w:rFonts w:ascii="Arial Narrow" w:hAnsi="Arial Narrow" w:cs="Calibri"/>
                <w:sz w:val="20"/>
                <w:szCs w:val="20"/>
              </w:rPr>
              <w:t>Diabetes mellitus</w:t>
            </w:r>
          </w:p>
        </w:tc>
        <w:tc>
          <w:tcPr>
            <w:tcW w:w="990" w:type="pct"/>
            <w:tcBorders>
              <w:top w:val="nil"/>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 xml:space="preserve">+10% </w:t>
            </w:r>
          </w:p>
        </w:tc>
        <w:tc>
          <w:tcPr>
            <w:tcW w:w="962"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130,703</w:t>
            </w:r>
          </w:p>
        </w:tc>
        <w:tc>
          <w:tcPr>
            <w:tcW w:w="858" w:type="pct"/>
            <w:tcBorders>
              <w:top w:val="nil"/>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197,456</w:t>
            </w:r>
          </w:p>
        </w:tc>
      </w:tr>
      <w:tr w:rsidR="0028743B" w:rsidRPr="00E3331A" w:rsidTr="00573669">
        <w:trPr>
          <w:trHeight w:val="300"/>
        </w:trPr>
        <w:tc>
          <w:tcPr>
            <w:tcW w:w="1384" w:type="pct"/>
            <w:vMerge/>
            <w:tcBorders>
              <w:left w:val="single" w:sz="4" w:space="0" w:color="auto"/>
              <w:bottom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-10%</w:t>
            </w:r>
          </w:p>
        </w:tc>
        <w:tc>
          <w:tcPr>
            <w:tcW w:w="962"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130,725</w:t>
            </w:r>
          </w:p>
        </w:tc>
        <w:tc>
          <w:tcPr>
            <w:tcW w:w="858" w:type="pct"/>
            <w:tcBorders>
              <w:top w:val="nil"/>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197,488</w:t>
            </w:r>
          </w:p>
        </w:tc>
      </w:tr>
      <w:tr w:rsidR="0028743B" w:rsidRPr="00E3331A" w:rsidTr="00573669">
        <w:trPr>
          <w:trHeight w:val="300"/>
        </w:trPr>
        <w:tc>
          <w:tcPr>
            <w:tcW w:w="1384" w:type="pct"/>
            <w:vMerge w:val="restart"/>
            <w:tcBorders>
              <w:top w:val="nil"/>
              <w:left w:val="single" w:sz="4" w:space="0" w:color="auto"/>
              <w:bottom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r w:rsidRPr="00E3331A">
              <w:rPr>
                <w:rFonts w:ascii="Arial Narrow" w:hAnsi="Arial Narrow" w:cs="Calibri"/>
                <w:sz w:val="20"/>
                <w:szCs w:val="20"/>
              </w:rPr>
              <w:t xml:space="preserve">Cataract </w:t>
            </w:r>
          </w:p>
        </w:tc>
        <w:tc>
          <w:tcPr>
            <w:tcW w:w="990" w:type="pct"/>
            <w:tcBorders>
              <w:top w:val="nil"/>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 xml:space="preserve">+10% </w:t>
            </w:r>
          </w:p>
        </w:tc>
        <w:tc>
          <w:tcPr>
            <w:tcW w:w="962"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130,691</w:t>
            </w:r>
          </w:p>
        </w:tc>
        <w:tc>
          <w:tcPr>
            <w:tcW w:w="858" w:type="pct"/>
            <w:tcBorders>
              <w:top w:val="nil"/>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197,437</w:t>
            </w:r>
          </w:p>
        </w:tc>
      </w:tr>
      <w:tr w:rsidR="0028743B" w:rsidRPr="00E3331A" w:rsidTr="00573669">
        <w:trPr>
          <w:trHeight w:val="300"/>
        </w:trPr>
        <w:tc>
          <w:tcPr>
            <w:tcW w:w="1384" w:type="pct"/>
            <w:vMerge/>
            <w:tcBorders>
              <w:top w:val="nil"/>
              <w:left w:val="single" w:sz="4" w:space="0" w:color="auto"/>
              <w:bottom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-10%</w:t>
            </w:r>
          </w:p>
        </w:tc>
        <w:tc>
          <w:tcPr>
            <w:tcW w:w="962"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130,737</w:t>
            </w:r>
          </w:p>
        </w:tc>
        <w:tc>
          <w:tcPr>
            <w:tcW w:w="858" w:type="pct"/>
            <w:tcBorders>
              <w:top w:val="nil"/>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197,507</w:t>
            </w:r>
          </w:p>
        </w:tc>
      </w:tr>
      <w:tr w:rsidR="0028743B" w:rsidRPr="00E3331A" w:rsidTr="00573669">
        <w:trPr>
          <w:trHeight w:val="300"/>
        </w:trPr>
        <w:tc>
          <w:tcPr>
            <w:tcW w:w="1384" w:type="pct"/>
            <w:vMerge w:val="restart"/>
            <w:tcBorders>
              <w:top w:val="nil"/>
              <w:left w:val="single" w:sz="4" w:space="0" w:color="auto"/>
              <w:right w:val="single" w:sz="4" w:space="0" w:color="auto"/>
            </w:tcBorders>
            <w:shd w:val="clear" w:color="auto" w:fill="auto"/>
            <w:vAlign w:val="center"/>
          </w:tcPr>
          <w:p w:rsidR="0028743B" w:rsidRPr="00E3331A" w:rsidRDefault="0028743B" w:rsidP="0028743B">
            <w:r w:rsidRPr="00E3331A">
              <w:rPr>
                <w:rFonts w:ascii="Arial Narrow" w:hAnsi="Arial Narrow" w:cs="Calibri"/>
                <w:sz w:val="20"/>
                <w:szCs w:val="20"/>
              </w:rPr>
              <w:lastRenderedPageBreak/>
              <w:t>Glaucoma</w:t>
            </w:r>
          </w:p>
        </w:tc>
        <w:tc>
          <w:tcPr>
            <w:tcW w:w="990" w:type="pct"/>
            <w:tcBorders>
              <w:top w:val="nil"/>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 xml:space="preserve">+10% </w:t>
            </w:r>
          </w:p>
        </w:tc>
        <w:tc>
          <w:tcPr>
            <w:tcW w:w="962"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130,708</w:t>
            </w:r>
          </w:p>
        </w:tc>
        <w:tc>
          <w:tcPr>
            <w:tcW w:w="858" w:type="pct"/>
            <w:tcBorders>
              <w:top w:val="nil"/>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197,463</w:t>
            </w:r>
          </w:p>
        </w:tc>
      </w:tr>
      <w:tr w:rsidR="0028743B" w:rsidRPr="00E3331A" w:rsidTr="00573669">
        <w:trPr>
          <w:trHeight w:val="300"/>
        </w:trPr>
        <w:tc>
          <w:tcPr>
            <w:tcW w:w="1384" w:type="pct"/>
            <w:vMerge/>
            <w:tcBorders>
              <w:left w:val="single" w:sz="4" w:space="0" w:color="auto"/>
              <w:bottom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-10%</w:t>
            </w:r>
          </w:p>
        </w:tc>
        <w:tc>
          <w:tcPr>
            <w:tcW w:w="962"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130,720</w:t>
            </w:r>
          </w:p>
        </w:tc>
        <w:tc>
          <w:tcPr>
            <w:tcW w:w="858" w:type="pct"/>
            <w:tcBorders>
              <w:top w:val="nil"/>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197,481</w:t>
            </w:r>
          </w:p>
        </w:tc>
      </w:tr>
      <w:tr w:rsidR="0028743B" w:rsidRPr="00E3331A" w:rsidTr="00573669">
        <w:trPr>
          <w:trHeight w:val="300"/>
        </w:trPr>
        <w:tc>
          <w:tcPr>
            <w:tcW w:w="1384" w:type="pct"/>
            <w:vMerge w:val="restart"/>
            <w:tcBorders>
              <w:top w:val="single" w:sz="4" w:space="0" w:color="auto"/>
              <w:left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r w:rsidRPr="00E3331A">
              <w:rPr>
                <w:rFonts w:ascii="Arial Narrow" w:hAnsi="Arial Narrow" w:cs="Calibri"/>
                <w:sz w:val="20"/>
                <w:szCs w:val="20"/>
              </w:rPr>
              <w:t xml:space="preserve">Infection </w:t>
            </w:r>
          </w:p>
        </w:tc>
        <w:tc>
          <w:tcPr>
            <w:tcW w:w="990" w:type="pct"/>
            <w:tcBorders>
              <w:top w:val="single" w:sz="4" w:space="0" w:color="auto"/>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 xml:space="preserve">+10% </w:t>
            </w:r>
          </w:p>
        </w:tc>
        <w:tc>
          <w:tcPr>
            <w:tcW w:w="962" w:type="pct"/>
            <w:tcBorders>
              <w:top w:val="single" w:sz="4" w:space="0" w:color="auto"/>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130,707</w:t>
            </w:r>
          </w:p>
        </w:tc>
        <w:tc>
          <w:tcPr>
            <w:tcW w:w="858" w:type="pct"/>
            <w:tcBorders>
              <w:top w:val="single" w:sz="4" w:space="0" w:color="auto"/>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single" w:sz="4" w:space="0" w:color="auto"/>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197,462</w:t>
            </w:r>
          </w:p>
        </w:tc>
      </w:tr>
      <w:tr w:rsidR="0028743B" w:rsidRPr="00E3331A" w:rsidTr="00573669">
        <w:trPr>
          <w:trHeight w:val="300"/>
        </w:trPr>
        <w:tc>
          <w:tcPr>
            <w:tcW w:w="1384" w:type="pct"/>
            <w:vMerge/>
            <w:tcBorders>
              <w:left w:val="single" w:sz="4" w:space="0" w:color="auto"/>
              <w:bottom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p>
        </w:tc>
        <w:tc>
          <w:tcPr>
            <w:tcW w:w="990" w:type="pct"/>
            <w:tcBorders>
              <w:top w:val="single" w:sz="4" w:space="0" w:color="auto"/>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-10%</w:t>
            </w:r>
          </w:p>
        </w:tc>
        <w:tc>
          <w:tcPr>
            <w:tcW w:w="962" w:type="pct"/>
            <w:tcBorders>
              <w:top w:val="single" w:sz="4" w:space="0" w:color="auto"/>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130,721</w:t>
            </w:r>
          </w:p>
        </w:tc>
        <w:tc>
          <w:tcPr>
            <w:tcW w:w="858" w:type="pct"/>
            <w:tcBorders>
              <w:top w:val="single" w:sz="4" w:space="0" w:color="auto"/>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single" w:sz="4" w:space="0" w:color="auto"/>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197,482</w:t>
            </w:r>
          </w:p>
        </w:tc>
      </w:tr>
      <w:tr w:rsidR="0028743B" w:rsidRPr="00E3331A" w:rsidTr="00573669">
        <w:trPr>
          <w:trHeight w:val="300"/>
        </w:trPr>
        <w:tc>
          <w:tcPr>
            <w:tcW w:w="1384" w:type="pct"/>
            <w:vMerge w:val="restart"/>
            <w:tcBorders>
              <w:left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r w:rsidRPr="00E3331A">
              <w:rPr>
                <w:rFonts w:ascii="Arial Narrow" w:hAnsi="Arial Narrow" w:cs="Calibri"/>
                <w:sz w:val="20"/>
                <w:szCs w:val="20"/>
              </w:rPr>
              <w:t>Disability</w:t>
            </w:r>
          </w:p>
        </w:tc>
        <w:tc>
          <w:tcPr>
            <w:tcW w:w="990" w:type="pct"/>
            <w:tcBorders>
              <w:top w:val="single" w:sz="4" w:space="0" w:color="auto"/>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 xml:space="preserve">+10% </w:t>
            </w:r>
          </w:p>
        </w:tc>
        <w:tc>
          <w:tcPr>
            <w:tcW w:w="962" w:type="pct"/>
            <w:tcBorders>
              <w:top w:val="single" w:sz="4" w:space="0" w:color="auto"/>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128,939</w:t>
            </w:r>
          </w:p>
        </w:tc>
        <w:tc>
          <w:tcPr>
            <w:tcW w:w="858" w:type="pct"/>
            <w:tcBorders>
              <w:top w:val="single" w:sz="4" w:space="0" w:color="auto"/>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single" w:sz="4" w:space="0" w:color="auto"/>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194,791</w:t>
            </w:r>
          </w:p>
        </w:tc>
      </w:tr>
      <w:tr w:rsidR="0028743B" w:rsidRPr="00E3331A" w:rsidTr="00573669">
        <w:trPr>
          <w:trHeight w:val="300"/>
        </w:trPr>
        <w:tc>
          <w:tcPr>
            <w:tcW w:w="1384" w:type="pct"/>
            <w:vMerge/>
            <w:tcBorders>
              <w:left w:val="single" w:sz="4" w:space="0" w:color="auto"/>
              <w:bottom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p>
        </w:tc>
        <w:tc>
          <w:tcPr>
            <w:tcW w:w="990" w:type="pct"/>
            <w:tcBorders>
              <w:top w:val="single" w:sz="4" w:space="0" w:color="auto"/>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-10%</w:t>
            </w:r>
          </w:p>
        </w:tc>
        <w:tc>
          <w:tcPr>
            <w:tcW w:w="962" w:type="pct"/>
            <w:tcBorders>
              <w:top w:val="single" w:sz="4" w:space="0" w:color="auto"/>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132,489</w:t>
            </w:r>
          </w:p>
        </w:tc>
        <w:tc>
          <w:tcPr>
            <w:tcW w:w="858" w:type="pct"/>
            <w:tcBorders>
              <w:top w:val="single" w:sz="4" w:space="0" w:color="auto"/>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single" w:sz="4" w:space="0" w:color="auto"/>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200,153</w:t>
            </w:r>
          </w:p>
        </w:tc>
      </w:tr>
      <w:tr w:rsidR="00573669" w:rsidRPr="00E3331A" w:rsidTr="00573669">
        <w:trPr>
          <w:trHeight w:val="300"/>
        </w:trPr>
        <w:tc>
          <w:tcPr>
            <w:tcW w:w="5000" w:type="pct"/>
            <w:gridSpan w:val="5"/>
            <w:tcBorders>
              <w:top w:val="nil"/>
              <w:left w:val="single" w:sz="4" w:space="0" w:color="auto"/>
              <w:bottom w:val="single" w:sz="4" w:space="0" w:color="auto"/>
              <w:right w:val="single" w:sz="4" w:space="0" w:color="auto"/>
            </w:tcBorders>
            <w:shd w:val="clear" w:color="auto" w:fill="D9D9D9"/>
            <w:vAlign w:val="center"/>
            <w:hideMark/>
          </w:tcPr>
          <w:p w:rsidR="00573669" w:rsidRPr="00E3331A" w:rsidRDefault="00573669" w:rsidP="00573669">
            <w:pPr>
              <w:rPr>
                <w:rFonts w:ascii="Arial Narrow" w:hAnsi="Arial Narrow" w:cs="Calibri"/>
                <w:sz w:val="20"/>
                <w:szCs w:val="20"/>
              </w:rPr>
            </w:pPr>
            <w:r w:rsidRPr="00E3331A">
              <w:rPr>
                <w:rFonts w:ascii="Arial Narrow" w:hAnsi="Arial Narrow" w:cs="Calibri"/>
                <w:b/>
                <w:bCs/>
                <w:i/>
                <w:iCs/>
                <w:sz w:val="20"/>
                <w:szCs w:val="20"/>
                <w:lang w:val="en-US"/>
              </w:rPr>
              <w:t>Utilities</w:t>
            </w:r>
          </w:p>
        </w:tc>
      </w:tr>
      <w:tr w:rsidR="0028743B" w:rsidRPr="00E3331A" w:rsidTr="00573669">
        <w:trPr>
          <w:trHeight w:val="300"/>
        </w:trPr>
        <w:tc>
          <w:tcPr>
            <w:tcW w:w="1384" w:type="pct"/>
            <w:vMerge w:val="restart"/>
            <w:tcBorders>
              <w:top w:val="nil"/>
              <w:left w:val="single" w:sz="4" w:space="0" w:color="auto"/>
              <w:bottom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r w:rsidRPr="00E3331A">
              <w:rPr>
                <w:rFonts w:ascii="Arial Narrow" w:hAnsi="Arial Narrow" w:cs="Calibri"/>
                <w:sz w:val="20"/>
                <w:szCs w:val="20"/>
              </w:rPr>
              <w:t>Ig disutility</w:t>
            </w:r>
          </w:p>
        </w:tc>
        <w:tc>
          <w:tcPr>
            <w:tcW w:w="990" w:type="pct"/>
            <w:tcBorders>
              <w:top w:val="nil"/>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color w:val="000000"/>
                <w:sz w:val="20"/>
                <w:szCs w:val="20"/>
              </w:rPr>
              <w:t>Ig and steroid the same</w:t>
            </w:r>
          </w:p>
        </w:tc>
        <w:tc>
          <w:tcPr>
            <w:tcW w:w="962"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130,714</w:t>
            </w:r>
          </w:p>
        </w:tc>
        <w:tc>
          <w:tcPr>
            <w:tcW w:w="858" w:type="pct"/>
            <w:tcBorders>
              <w:top w:val="nil"/>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0.16</w:t>
            </w:r>
          </w:p>
        </w:tc>
        <w:tc>
          <w:tcPr>
            <w:tcW w:w="806"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807,898</w:t>
            </w:r>
          </w:p>
        </w:tc>
      </w:tr>
      <w:tr w:rsidR="0028743B" w:rsidRPr="00E3331A" w:rsidTr="00573669">
        <w:trPr>
          <w:trHeight w:val="300"/>
        </w:trPr>
        <w:tc>
          <w:tcPr>
            <w:tcW w:w="1384" w:type="pct"/>
            <w:vMerge/>
            <w:tcBorders>
              <w:top w:val="nil"/>
              <w:left w:val="single" w:sz="4" w:space="0" w:color="auto"/>
              <w:bottom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color w:val="000000"/>
                <w:sz w:val="20"/>
                <w:szCs w:val="20"/>
              </w:rPr>
            </w:pPr>
            <w:r w:rsidRPr="00E3331A">
              <w:rPr>
                <w:rFonts w:ascii="Arial Narrow" w:hAnsi="Arial Narrow" w:cs="Calibri"/>
                <w:color w:val="000000"/>
                <w:sz w:val="20"/>
                <w:szCs w:val="20"/>
              </w:rPr>
              <w:t>0%</w:t>
            </w:r>
          </w:p>
        </w:tc>
        <w:tc>
          <w:tcPr>
            <w:tcW w:w="962" w:type="pct"/>
            <w:tcBorders>
              <w:top w:val="nil"/>
              <w:left w:val="nil"/>
              <w:bottom w:val="single" w:sz="4" w:space="0" w:color="auto"/>
              <w:right w:val="single" w:sz="4" w:space="0" w:color="auto"/>
            </w:tcBorders>
            <w:shd w:val="clear" w:color="auto" w:fill="auto"/>
            <w:vAlign w:val="bottom"/>
          </w:tcPr>
          <w:p w:rsidR="0028743B" w:rsidRPr="00E3331A" w:rsidDel="00F44618" w:rsidRDefault="00573669" w:rsidP="0028743B">
            <w:pPr>
              <w:jc w:val="center"/>
              <w:rPr>
                <w:rFonts w:ascii="Arial Narrow" w:hAnsi="Arial Narrow" w:cs="Calibri"/>
                <w:color w:val="000000"/>
                <w:sz w:val="20"/>
                <w:szCs w:val="20"/>
              </w:rPr>
            </w:pPr>
            <w:r>
              <w:rPr>
                <w:rFonts w:ascii="Arial Narrow" w:hAnsi="Arial Narrow" w:cs="Calibri"/>
                <w:sz w:val="20"/>
                <w:szCs w:val="20"/>
              </w:rPr>
              <w:t>$</w:t>
            </w:r>
            <w:r w:rsidR="0028743B" w:rsidRPr="00E3331A">
              <w:rPr>
                <w:rFonts w:ascii="Arial Narrow" w:hAnsi="Arial Narrow" w:cs="Calibri"/>
                <w:sz w:val="20"/>
                <w:szCs w:val="20"/>
              </w:rPr>
              <w:t>130,714</w:t>
            </w:r>
          </w:p>
        </w:tc>
        <w:tc>
          <w:tcPr>
            <w:tcW w:w="858" w:type="pct"/>
            <w:tcBorders>
              <w:top w:val="nil"/>
              <w:left w:val="nil"/>
              <w:bottom w:val="single" w:sz="4" w:space="0" w:color="auto"/>
              <w:right w:val="single" w:sz="4" w:space="0" w:color="auto"/>
            </w:tcBorders>
            <w:shd w:val="clear" w:color="auto" w:fill="auto"/>
            <w:vAlign w:val="bottom"/>
          </w:tcPr>
          <w:p w:rsidR="0028743B" w:rsidRPr="00E3331A" w:rsidDel="00F44618" w:rsidRDefault="0028743B" w:rsidP="0028743B">
            <w:pPr>
              <w:jc w:val="center"/>
              <w:rPr>
                <w:rFonts w:ascii="Arial Narrow" w:hAnsi="Arial Narrow" w:cs="Calibri"/>
                <w:color w:val="000000"/>
                <w:sz w:val="20"/>
                <w:szCs w:val="20"/>
              </w:rPr>
            </w:pPr>
            <w:r w:rsidRPr="00E3331A">
              <w:rPr>
                <w:rFonts w:ascii="Arial Narrow" w:hAnsi="Arial Narrow" w:cs="Calibri"/>
                <w:sz w:val="20"/>
                <w:szCs w:val="20"/>
              </w:rPr>
              <w:t>1.16</w:t>
            </w:r>
          </w:p>
        </w:tc>
        <w:tc>
          <w:tcPr>
            <w:tcW w:w="806" w:type="pct"/>
            <w:tcBorders>
              <w:top w:val="nil"/>
              <w:left w:val="nil"/>
              <w:bottom w:val="single" w:sz="4" w:space="0" w:color="auto"/>
              <w:right w:val="single" w:sz="4" w:space="0" w:color="auto"/>
            </w:tcBorders>
            <w:shd w:val="clear" w:color="auto" w:fill="auto"/>
            <w:vAlign w:val="bottom"/>
          </w:tcPr>
          <w:p w:rsidR="0028743B" w:rsidRPr="00E3331A" w:rsidDel="00F44618" w:rsidRDefault="00573669" w:rsidP="0028743B">
            <w:pPr>
              <w:jc w:val="center"/>
              <w:rPr>
                <w:rFonts w:ascii="Arial Narrow" w:hAnsi="Arial Narrow" w:cs="Calibri"/>
                <w:color w:val="000000"/>
                <w:sz w:val="20"/>
                <w:szCs w:val="20"/>
              </w:rPr>
            </w:pPr>
            <w:r>
              <w:rPr>
                <w:rFonts w:ascii="Arial Narrow" w:hAnsi="Arial Narrow" w:cs="Calibri"/>
                <w:sz w:val="20"/>
                <w:szCs w:val="20"/>
              </w:rPr>
              <w:t>$</w:t>
            </w:r>
            <w:r w:rsidR="0028743B" w:rsidRPr="00E3331A">
              <w:rPr>
                <w:rFonts w:ascii="Arial Narrow" w:hAnsi="Arial Narrow" w:cs="Calibri"/>
                <w:sz w:val="20"/>
                <w:szCs w:val="20"/>
              </w:rPr>
              <w:t>112,483</w:t>
            </w:r>
          </w:p>
        </w:tc>
      </w:tr>
      <w:tr w:rsidR="0028743B" w:rsidRPr="00E3331A" w:rsidTr="00573669">
        <w:trPr>
          <w:trHeight w:val="300"/>
        </w:trPr>
        <w:tc>
          <w:tcPr>
            <w:tcW w:w="1384" w:type="pct"/>
            <w:vMerge/>
            <w:tcBorders>
              <w:top w:val="nil"/>
              <w:left w:val="single" w:sz="4" w:space="0" w:color="auto"/>
              <w:bottom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color w:val="000000"/>
                <w:sz w:val="20"/>
                <w:szCs w:val="20"/>
              </w:rPr>
              <w:t>90%</w:t>
            </w:r>
          </w:p>
        </w:tc>
        <w:tc>
          <w:tcPr>
            <w:tcW w:w="962"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130,714</w:t>
            </w:r>
          </w:p>
        </w:tc>
        <w:tc>
          <w:tcPr>
            <w:tcW w:w="858" w:type="pct"/>
            <w:tcBorders>
              <w:top w:val="nil"/>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0.71</w:t>
            </w:r>
          </w:p>
        </w:tc>
        <w:tc>
          <w:tcPr>
            <w:tcW w:w="806"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183,600</w:t>
            </w:r>
          </w:p>
        </w:tc>
      </w:tr>
      <w:tr w:rsidR="0028743B" w:rsidRPr="00E3331A" w:rsidTr="00573669">
        <w:trPr>
          <w:trHeight w:val="300"/>
        </w:trPr>
        <w:tc>
          <w:tcPr>
            <w:tcW w:w="1384" w:type="pct"/>
            <w:vMerge w:val="restart"/>
            <w:tcBorders>
              <w:top w:val="nil"/>
              <w:left w:val="single" w:sz="4" w:space="0" w:color="auto"/>
              <w:bottom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r w:rsidRPr="00E3331A">
              <w:rPr>
                <w:rFonts w:ascii="Arial Narrow" w:hAnsi="Arial Narrow" w:cs="Calibri"/>
                <w:sz w:val="20"/>
                <w:szCs w:val="20"/>
              </w:rPr>
              <w:t>Corticosteroids no AE disutility</w:t>
            </w:r>
          </w:p>
        </w:tc>
        <w:tc>
          <w:tcPr>
            <w:tcW w:w="990" w:type="pct"/>
            <w:tcBorders>
              <w:top w:val="nil"/>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color w:val="000000"/>
                <w:sz w:val="20"/>
                <w:szCs w:val="20"/>
              </w:rPr>
              <w:t>0%</w:t>
            </w:r>
          </w:p>
        </w:tc>
        <w:tc>
          <w:tcPr>
            <w:tcW w:w="962"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130,714</w:t>
            </w:r>
          </w:p>
        </w:tc>
        <w:tc>
          <w:tcPr>
            <w:tcW w:w="858" w:type="pct"/>
            <w:tcBorders>
              <w:top w:val="nil"/>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0.14</w:t>
            </w:r>
          </w:p>
        </w:tc>
        <w:tc>
          <w:tcPr>
            <w:tcW w:w="806"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948,762</w:t>
            </w:r>
          </w:p>
        </w:tc>
      </w:tr>
      <w:tr w:rsidR="0028743B" w:rsidRPr="00E3331A" w:rsidTr="00573669">
        <w:trPr>
          <w:trHeight w:val="300"/>
        </w:trPr>
        <w:tc>
          <w:tcPr>
            <w:tcW w:w="1384" w:type="pct"/>
            <w:vMerge/>
            <w:tcBorders>
              <w:top w:val="nil"/>
              <w:left w:val="single" w:sz="4" w:space="0" w:color="auto"/>
              <w:bottom w:val="single" w:sz="4" w:space="0" w:color="auto"/>
              <w:right w:val="single" w:sz="4" w:space="0" w:color="auto"/>
            </w:tcBorders>
            <w:shd w:val="clear" w:color="auto" w:fill="auto"/>
            <w:vAlign w:val="center"/>
          </w:tcPr>
          <w:p w:rsidR="0028743B" w:rsidRPr="00E3331A" w:rsidRDefault="0028743B" w:rsidP="0028743B">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28743B" w:rsidRPr="00E3331A" w:rsidRDefault="0028743B" w:rsidP="0028743B">
            <w:pPr>
              <w:jc w:val="center"/>
              <w:rPr>
                <w:rFonts w:ascii="Arial Narrow" w:hAnsi="Arial Narrow" w:cs="Calibri"/>
                <w:sz w:val="20"/>
                <w:szCs w:val="20"/>
              </w:rPr>
            </w:pPr>
            <w:r w:rsidRPr="00E3331A">
              <w:rPr>
                <w:rFonts w:ascii="Arial Narrow" w:hAnsi="Arial Narrow" w:cs="Calibri"/>
                <w:color w:val="000000"/>
                <w:sz w:val="20"/>
                <w:szCs w:val="20"/>
              </w:rPr>
              <w:t>90%</w:t>
            </w:r>
          </w:p>
        </w:tc>
        <w:tc>
          <w:tcPr>
            <w:tcW w:w="962"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130,714</w:t>
            </w:r>
          </w:p>
        </w:tc>
        <w:tc>
          <w:tcPr>
            <w:tcW w:w="858" w:type="pct"/>
            <w:tcBorders>
              <w:top w:val="nil"/>
              <w:left w:val="nil"/>
              <w:bottom w:val="single" w:sz="4" w:space="0" w:color="auto"/>
              <w:right w:val="single" w:sz="4" w:space="0" w:color="auto"/>
            </w:tcBorders>
            <w:shd w:val="clear" w:color="auto" w:fill="auto"/>
            <w:vAlign w:val="bottom"/>
          </w:tcPr>
          <w:p w:rsidR="0028743B" w:rsidRPr="00E3331A" w:rsidRDefault="0028743B" w:rsidP="0028743B">
            <w:pPr>
              <w:jc w:val="center"/>
              <w:rPr>
                <w:rFonts w:ascii="Arial Narrow" w:hAnsi="Arial Narrow" w:cs="Calibri"/>
                <w:sz w:val="20"/>
                <w:szCs w:val="20"/>
              </w:rPr>
            </w:pPr>
            <w:r w:rsidRPr="00E3331A">
              <w:rPr>
                <w:rFonts w:ascii="Arial Narrow" w:hAnsi="Arial Narrow" w:cs="Calibri"/>
                <w:sz w:val="20"/>
                <w:szCs w:val="20"/>
              </w:rPr>
              <w:t>0.61</w:t>
            </w:r>
          </w:p>
        </w:tc>
        <w:tc>
          <w:tcPr>
            <w:tcW w:w="806" w:type="pct"/>
            <w:tcBorders>
              <w:top w:val="nil"/>
              <w:left w:val="nil"/>
              <w:bottom w:val="single" w:sz="4" w:space="0" w:color="auto"/>
              <w:right w:val="single" w:sz="4" w:space="0" w:color="auto"/>
            </w:tcBorders>
            <w:shd w:val="clear" w:color="auto" w:fill="auto"/>
            <w:vAlign w:val="bottom"/>
          </w:tcPr>
          <w:p w:rsidR="0028743B" w:rsidRPr="00E3331A" w:rsidRDefault="00573669" w:rsidP="0028743B">
            <w:pPr>
              <w:jc w:val="center"/>
              <w:rPr>
                <w:rFonts w:ascii="Arial Narrow" w:hAnsi="Arial Narrow" w:cs="Calibri"/>
                <w:sz w:val="20"/>
                <w:szCs w:val="20"/>
              </w:rPr>
            </w:pPr>
            <w:r>
              <w:rPr>
                <w:rFonts w:ascii="Arial Narrow" w:hAnsi="Arial Narrow" w:cs="Calibri"/>
                <w:sz w:val="20"/>
                <w:szCs w:val="20"/>
              </w:rPr>
              <w:t>$</w:t>
            </w:r>
            <w:r w:rsidR="0028743B" w:rsidRPr="00E3331A">
              <w:rPr>
                <w:rFonts w:ascii="Arial Narrow" w:hAnsi="Arial Narrow" w:cs="Calibri"/>
                <w:sz w:val="20"/>
                <w:szCs w:val="20"/>
              </w:rPr>
              <w:t>214,454</w:t>
            </w:r>
          </w:p>
        </w:tc>
      </w:tr>
      <w:tr w:rsidR="0063679C" w:rsidRPr="00E3331A" w:rsidTr="00573669">
        <w:trPr>
          <w:cantSplit/>
          <w:trHeight w:val="300"/>
        </w:trPr>
        <w:tc>
          <w:tcPr>
            <w:tcW w:w="1384" w:type="pct"/>
            <w:vMerge w:val="restart"/>
            <w:tcBorders>
              <w:top w:val="nil"/>
              <w:left w:val="single" w:sz="4" w:space="0" w:color="auto"/>
              <w:bottom w:val="single" w:sz="4" w:space="0" w:color="auto"/>
              <w:right w:val="single" w:sz="4" w:space="0" w:color="auto"/>
            </w:tcBorders>
            <w:shd w:val="clear" w:color="auto" w:fill="auto"/>
            <w:vAlign w:val="center"/>
          </w:tcPr>
          <w:p w:rsidR="0063679C" w:rsidRPr="00E3331A" w:rsidRDefault="0063679C" w:rsidP="0063679C">
            <w:pPr>
              <w:rPr>
                <w:rFonts w:ascii="Arial Narrow" w:hAnsi="Arial Narrow" w:cs="Calibri"/>
                <w:sz w:val="20"/>
                <w:szCs w:val="20"/>
              </w:rPr>
            </w:pPr>
            <w:r w:rsidRPr="00E3331A">
              <w:rPr>
                <w:rFonts w:ascii="Arial Narrow" w:hAnsi="Arial Narrow" w:cs="Calibri"/>
                <w:sz w:val="20"/>
                <w:szCs w:val="20"/>
              </w:rPr>
              <w:t>Fracture disutility</w:t>
            </w:r>
          </w:p>
        </w:tc>
        <w:tc>
          <w:tcPr>
            <w:tcW w:w="990" w:type="pct"/>
            <w:tcBorders>
              <w:top w:val="nil"/>
              <w:left w:val="nil"/>
              <w:bottom w:val="single" w:sz="4" w:space="0" w:color="auto"/>
              <w:right w:val="single" w:sz="4" w:space="0" w:color="auto"/>
            </w:tcBorders>
            <w:shd w:val="clear" w:color="auto" w:fill="auto"/>
            <w:vAlign w:val="center"/>
          </w:tcPr>
          <w:p w:rsidR="0063679C" w:rsidRPr="00E3331A" w:rsidRDefault="0063679C" w:rsidP="0063679C">
            <w:pPr>
              <w:jc w:val="center"/>
              <w:rPr>
                <w:rFonts w:ascii="Arial Narrow" w:hAnsi="Arial Narrow" w:cs="Calibri"/>
                <w:sz w:val="20"/>
                <w:szCs w:val="20"/>
              </w:rPr>
            </w:pPr>
            <w:r w:rsidRPr="00E3331A">
              <w:rPr>
                <w:rFonts w:ascii="Arial Narrow" w:hAnsi="Arial Narrow" w:cs="Calibri"/>
                <w:color w:val="000000"/>
                <w:sz w:val="20"/>
                <w:szCs w:val="20"/>
              </w:rPr>
              <w:t>0%</w:t>
            </w:r>
          </w:p>
        </w:tc>
        <w:tc>
          <w:tcPr>
            <w:tcW w:w="962"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$130,714</w:t>
            </w:r>
          </w:p>
        </w:tc>
        <w:tc>
          <w:tcPr>
            <w:tcW w:w="858"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$199,460</w:t>
            </w:r>
          </w:p>
        </w:tc>
      </w:tr>
      <w:tr w:rsidR="0063679C" w:rsidRPr="00E3331A" w:rsidTr="00573669">
        <w:trPr>
          <w:trHeight w:val="300"/>
        </w:trPr>
        <w:tc>
          <w:tcPr>
            <w:tcW w:w="1384" w:type="pct"/>
            <w:vMerge/>
            <w:tcBorders>
              <w:top w:val="nil"/>
              <w:left w:val="single" w:sz="4" w:space="0" w:color="auto"/>
              <w:bottom w:val="single" w:sz="4" w:space="0" w:color="auto"/>
              <w:right w:val="single" w:sz="4" w:space="0" w:color="auto"/>
            </w:tcBorders>
            <w:shd w:val="clear" w:color="auto" w:fill="auto"/>
            <w:vAlign w:val="center"/>
          </w:tcPr>
          <w:p w:rsidR="0063679C" w:rsidRPr="00E3331A" w:rsidRDefault="0063679C" w:rsidP="0063679C">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63679C" w:rsidRPr="00E3331A" w:rsidRDefault="0063679C" w:rsidP="0063679C">
            <w:pPr>
              <w:jc w:val="center"/>
              <w:rPr>
                <w:rFonts w:ascii="Arial Narrow" w:hAnsi="Arial Narrow" w:cs="Calibri"/>
                <w:sz w:val="20"/>
                <w:szCs w:val="20"/>
              </w:rPr>
            </w:pPr>
            <w:r w:rsidRPr="00E3331A">
              <w:rPr>
                <w:rFonts w:ascii="Arial Narrow" w:hAnsi="Arial Narrow" w:cs="Calibri"/>
                <w:color w:val="000000"/>
                <w:sz w:val="20"/>
                <w:szCs w:val="20"/>
              </w:rPr>
              <w:t>90%</w:t>
            </w:r>
          </w:p>
        </w:tc>
        <w:tc>
          <w:tcPr>
            <w:tcW w:w="962"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$130,714</w:t>
            </w:r>
          </w:p>
        </w:tc>
        <w:tc>
          <w:tcPr>
            <w:tcW w:w="858"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$197,669</w:t>
            </w:r>
          </w:p>
        </w:tc>
      </w:tr>
      <w:tr w:rsidR="0063679C" w:rsidRPr="00E3331A" w:rsidTr="00573669">
        <w:trPr>
          <w:trHeight w:val="300"/>
        </w:trPr>
        <w:tc>
          <w:tcPr>
            <w:tcW w:w="1384" w:type="pct"/>
            <w:vMerge w:val="restart"/>
            <w:tcBorders>
              <w:top w:val="nil"/>
              <w:left w:val="single" w:sz="4" w:space="0" w:color="auto"/>
              <w:right w:val="single" w:sz="4" w:space="0" w:color="auto"/>
            </w:tcBorders>
            <w:shd w:val="clear" w:color="auto" w:fill="auto"/>
            <w:vAlign w:val="center"/>
          </w:tcPr>
          <w:p w:rsidR="0063679C" w:rsidRPr="00E3331A" w:rsidRDefault="0063679C" w:rsidP="0063679C">
            <w:pPr>
              <w:rPr>
                <w:rFonts w:ascii="Arial Narrow" w:hAnsi="Arial Narrow" w:cs="Calibri"/>
                <w:sz w:val="20"/>
                <w:szCs w:val="20"/>
              </w:rPr>
            </w:pPr>
            <w:r w:rsidRPr="00E3331A">
              <w:rPr>
                <w:rFonts w:ascii="Arial Narrow" w:hAnsi="Arial Narrow" w:cs="Calibri"/>
                <w:sz w:val="20"/>
                <w:szCs w:val="20"/>
              </w:rPr>
              <w:t>Diabetes mellitus disutility</w:t>
            </w:r>
          </w:p>
        </w:tc>
        <w:tc>
          <w:tcPr>
            <w:tcW w:w="990" w:type="pct"/>
            <w:tcBorders>
              <w:top w:val="nil"/>
              <w:left w:val="nil"/>
              <w:bottom w:val="single" w:sz="4" w:space="0" w:color="auto"/>
              <w:right w:val="single" w:sz="4" w:space="0" w:color="auto"/>
            </w:tcBorders>
            <w:shd w:val="clear" w:color="auto" w:fill="auto"/>
            <w:vAlign w:val="center"/>
          </w:tcPr>
          <w:p w:rsidR="0063679C" w:rsidRPr="00E3331A" w:rsidRDefault="0063679C" w:rsidP="0063679C">
            <w:pPr>
              <w:jc w:val="center"/>
              <w:rPr>
                <w:rFonts w:ascii="Arial Narrow" w:hAnsi="Arial Narrow" w:cs="Calibri"/>
                <w:sz w:val="20"/>
                <w:szCs w:val="20"/>
              </w:rPr>
            </w:pPr>
            <w:r w:rsidRPr="00E3331A">
              <w:rPr>
                <w:rFonts w:ascii="Arial Narrow" w:hAnsi="Arial Narrow" w:cs="Calibri"/>
                <w:color w:val="000000"/>
                <w:sz w:val="20"/>
                <w:szCs w:val="20"/>
              </w:rPr>
              <w:t>0%</w:t>
            </w:r>
          </w:p>
        </w:tc>
        <w:tc>
          <w:tcPr>
            <w:tcW w:w="962"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$130,714</w:t>
            </w:r>
          </w:p>
        </w:tc>
        <w:tc>
          <w:tcPr>
            <w:tcW w:w="858"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0.65</w:t>
            </w:r>
          </w:p>
        </w:tc>
        <w:tc>
          <w:tcPr>
            <w:tcW w:w="806"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$199,968</w:t>
            </w:r>
          </w:p>
        </w:tc>
      </w:tr>
      <w:tr w:rsidR="0063679C" w:rsidRPr="00E3331A" w:rsidTr="00573669">
        <w:trPr>
          <w:trHeight w:val="300"/>
        </w:trPr>
        <w:tc>
          <w:tcPr>
            <w:tcW w:w="1384" w:type="pct"/>
            <w:vMerge/>
            <w:tcBorders>
              <w:left w:val="single" w:sz="4" w:space="0" w:color="auto"/>
              <w:bottom w:val="single" w:sz="4" w:space="0" w:color="auto"/>
              <w:right w:val="single" w:sz="4" w:space="0" w:color="auto"/>
            </w:tcBorders>
            <w:shd w:val="clear" w:color="auto" w:fill="auto"/>
            <w:vAlign w:val="center"/>
          </w:tcPr>
          <w:p w:rsidR="0063679C" w:rsidRPr="00E3331A" w:rsidRDefault="0063679C" w:rsidP="0063679C">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63679C" w:rsidRPr="00E3331A" w:rsidRDefault="0063679C" w:rsidP="0063679C">
            <w:pPr>
              <w:jc w:val="center"/>
              <w:rPr>
                <w:rFonts w:ascii="Arial Narrow" w:hAnsi="Arial Narrow" w:cs="Calibri"/>
                <w:sz w:val="20"/>
                <w:szCs w:val="20"/>
              </w:rPr>
            </w:pPr>
            <w:r w:rsidRPr="00E3331A">
              <w:rPr>
                <w:rFonts w:ascii="Arial Narrow" w:hAnsi="Arial Narrow" w:cs="Calibri"/>
                <w:color w:val="000000"/>
                <w:sz w:val="20"/>
                <w:szCs w:val="20"/>
              </w:rPr>
              <w:t>90%</w:t>
            </w:r>
          </w:p>
        </w:tc>
        <w:tc>
          <w:tcPr>
            <w:tcW w:w="962"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$130,714</w:t>
            </w:r>
          </w:p>
        </w:tc>
        <w:tc>
          <w:tcPr>
            <w:tcW w:w="858"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$197,719</w:t>
            </w:r>
          </w:p>
        </w:tc>
      </w:tr>
      <w:tr w:rsidR="0063679C" w:rsidRPr="00E3331A" w:rsidTr="00573669">
        <w:trPr>
          <w:trHeight w:val="300"/>
        </w:trPr>
        <w:tc>
          <w:tcPr>
            <w:tcW w:w="1384" w:type="pct"/>
            <w:vMerge w:val="restart"/>
            <w:tcBorders>
              <w:top w:val="nil"/>
              <w:left w:val="single" w:sz="4" w:space="0" w:color="auto"/>
              <w:bottom w:val="single" w:sz="4" w:space="0" w:color="auto"/>
              <w:right w:val="single" w:sz="4" w:space="0" w:color="auto"/>
            </w:tcBorders>
            <w:shd w:val="clear" w:color="auto" w:fill="auto"/>
            <w:vAlign w:val="center"/>
          </w:tcPr>
          <w:p w:rsidR="0063679C" w:rsidRPr="00E3331A" w:rsidRDefault="0063679C" w:rsidP="0063679C">
            <w:pPr>
              <w:rPr>
                <w:rFonts w:ascii="Arial Narrow" w:hAnsi="Arial Narrow" w:cs="Calibri"/>
                <w:sz w:val="20"/>
                <w:szCs w:val="20"/>
              </w:rPr>
            </w:pPr>
            <w:r w:rsidRPr="00E3331A">
              <w:rPr>
                <w:rFonts w:ascii="Arial Narrow" w:hAnsi="Arial Narrow" w:cs="Calibri"/>
                <w:sz w:val="20"/>
                <w:szCs w:val="20"/>
              </w:rPr>
              <w:t>Cataract disutility</w:t>
            </w:r>
          </w:p>
        </w:tc>
        <w:tc>
          <w:tcPr>
            <w:tcW w:w="990" w:type="pct"/>
            <w:tcBorders>
              <w:top w:val="nil"/>
              <w:left w:val="nil"/>
              <w:bottom w:val="single" w:sz="4" w:space="0" w:color="auto"/>
              <w:right w:val="single" w:sz="4" w:space="0" w:color="auto"/>
            </w:tcBorders>
            <w:shd w:val="clear" w:color="auto" w:fill="auto"/>
            <w:vAlign w:val="center"/>
          </w:tcPr>
          <w:p w:rsidR="0063679C" w:rsidRPr="00E3331A" w:rsidRDefault="0063679C" w:rsidP="0063679C">
            <w:pPr>
              <w:jc w:val="center"/>
              <w:rPr>
                <w:rFonts w:ascii="Arial Narrow" w:hAnsi="Arial Narrow" w:cs="Calibri"/>
                <w:sz w:val="20"/>
                <w:szCs w:val="20"/>
              </w:rPr>
            </w:pPr>
            <w:r w:rsidRPr="00E3331A">
              <w:rPr>
                <w:rFonts w:ascii="Arial Narrow" w:hAnsi="Arial Narrow" w:cs="Calibri"/>
                <w:color w:val="000000"/>
                <w:sz w:val="20"/>
                <w:szCs w:val="20"/>
              </w:rPr>
              <w:t>0%</w:t>
            </w:r>
          </w:p>
        </w:tc>
        <w:tc>
          <w:tcPr>
            <w:tcW w:w="962"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$130,714</w:t>
            </w:r>
          </w:p>
        </w:tc>
        <w:tc>
          <w:tcPr>
            <w:tcW w:w="858"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$197,590</w:t>
            </w:r>
          </w:p>
        </w:tc>
      </w:tr>
      <w:tr w:rsidR="0063679C" w:rsidRPr="00E3331A" w:rsidTr="00573669">
        <w:trPr>
          <w:trHeight w:val="300"/>
        </w:trPr>
        <w:tc>
          <w:tcPr>
            <w:tcW w:w="1384" w:type="pct"/>
            <w:vMerge/>
            <w:tcBorders>
              <w:top w:val="nil"/>
              <w:left w:val="single" w:sz="4" w:space="0" w:color="auto"/>
              <w:bottom w:val="single" w:sz="4" w:space="0" w:color="auto"/>
              <w:right w:val="single" w:sz="4" w:space="0" w:color="auto"/>
            </w:tcBorders>
            <w:shd w:val="clear" w:color="auto" w:fill="auto"/>
            <w:vAlign w:val="center"/>
          </w:tcPr>
          <w:p w:rsidR="0063679C" w:rsidRPr="00E3331A" w:rsidRDefault="0063679C" w:rsidP="0063679C">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63679C" w:rsidRPr="00E3331A" w:rsidRDefault="0063679C" w:rsidP="0063679C">
            <w:pPr>
              <w:jc w:val="center"/>
              <w:rPr>
                <w:rFonts w:ascii="Arial Narrow" w:hAnsi="Arial Narrow" w:cs="Calibri"/>
                <w:sz w:val="20"/>
                <w:szCs w:val="20"/>
              </w:rPr>
            </w:pPr>
            <w:r w:rsidRPr="00E3331A">
              <w:rPr>
                <w:rFonts w:ascii="Arial Narrow" w:hAnsi="Arial Narrow" w:cs="Calibri"/>
                <w:color w:val="000000"/>
                <w:sz w:val="20"/>
                <w:szCs w:val="20"/>
              </w:rPr>
              <w:t>90%</w:t>
            </w:r>
          </w:p>
        </w:tc>
        <w:tc>
          <w:tcPr>
            <w:tcW w:w="962"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$130,714</w:t>
            </w:r>
          </w:p>
        </w:tc>
        <w:tc>
          <w:tcPr>
            <w:tcW w:w="858"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$197,484</w:t>
            </w:r>
          </w:p>
        </w:tc>
      </w:tr>
      <w:tr w:rsidR="0063679C" w:rsidRPr="00E3331A" w:rsidTr="00573669">
        <w:trPr>
          <w:trHeight w:val="300"/>
        </w:trPr>
        <w:tc>
          <w:tcPr>
            <w:tcW w:w="1384" w:type="pct"/>
            <w:vMerge w:val="restart"/>
            <w:tcBorders>
              <w:top w:val="nil"/>
              <w:left w:val="single" w:sz="4" w:space="0" w:color="auto"/>
              <w:right w:val="single" w:sz="4" w:space="0" w:color="auto"/>
            </w:tcBorders>
            <w:shd w:val="clear" w:color="auto" w:fill="auto"/>
            <w:vAlign w:val="center"/>
          </w:tcPr>
          <w:p w:rsidR="0063679C" w:rsidRPr="00E3331A" w:rsidRDefault="0063679C" w:rsidP="0063679C">
            <w:r w:rsidRPr="00E3331A">
              <w:rPr>
                <w:rFonts w:ascii="Arial Narrow" w:hAnsi="Arial Narrow" w:cs="Calibri"/>
                <w:sz w:val="20"/>
                <w:szCs w:val="20"/>
              </w:rPr>
              <w:t>Glaucoma disutility</w:t>
            </w:r>
          </w:p>
        </w:tc>
        <w:tc>
          <w:tcPr>
            <w:tcW w:w="990" w:type="pct"/>
            <w:tcBorders>
              <w:top w:val="nil"/>
              <w:left w:val="nil"/>
              <w:bottom w:val="single" w:sz="4" w:space="0" w:color="auto"/>
              <w:right w:val="single" w:sz="4" w:space="0" w:color="auto"/>
            </w:tcBorders>
            <w:shd w:val="clear" w:color="auto" w:fill="auto"/>
            <w:vAlign w:val="center"/>
          </w:tcPr>
          <w:p w:rsidR="0063679C" w:rsidRPr="00E3331A" w:rsidRDefault="0063679C" w:rsidP="0063679C">
            <w:pPr>
              <w:jc w:val="center"/>
              <w:rPr>
                <w:rFonts w:ascii="Arial Narrow" w:hAnsi="Arial Narrow" w:cs="Calibri"/>
                <w:sz w:val="20"/>
                <w:szCs w:val="20"/>
              </w:rPr>
            </w:pPr>
            <w:r w:rsidRPr="00E3331A">
              <w:rPr>
                <w:rFonts w:ascii="Arial Narrow" w:hAnsi="Arial Narrow" w:cs="Calibri"/>
                <w:color w:val="000000"/>
                <w:sz w:val="20"/>
                <w:szCs w:val="20"/>
              </w:rPr>
              <w:t>0%</w:t>
            </w:r>
          </w:p>
        </w:tc>
        <w:tc>
          <w:tcPr>
            <w:tcW w:w="962"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$130,714</w:t>
            </w:r>
          </w:p>
        </w:tc>
        <w:tc>
          <w:tcPr>
            <w:tcW w:w="858"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$199,006</w:t>
            </w:r>
          </w:p>
        </w:tc>
      </w:tr>
      <w:tr w:rsidR="0063679C" w:rsidRPr="00E3331A" w:rsidTr="00573669">
        <w:trPr>
          <w:trHeight w:val="300"/>
        </w:trPr>
        <w:tc>
          <w:tcPr>
            <w:tcW w:w="1384" w:type="pct"/>
            <w:vMerge/>
            <w:tcBorders>
              <w:left w:val="single" w:sz="4" w:space="0" w:color="auto"/>
              <w:bottom w:val="single" w:sz="4" w:space="0" w:color="auto"/>
              <w:right w:val="single" w:sz="4" w:space="0" w:color="auto"/>
            </w:tcBorders>
            <w:shd w:val="clear" w:color="auto" w:fill="auto"/>
            <w:vAlign w:val="center"/>
          </w:tcPr>
          <w:p w:rsidR="0063679C" w:rsidRPr="00E3331A" w:rsidRDefault="0063679C" w:rsidP="0063679C">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63679C" w:rsidRPr="00E3331A" w:rsidRDefault="0063679C" w:rsidP="0063679C">
            <w:pPr>
              <w:jc w:val="center"/>
              <w:rPr>
                <w:rFonts w:ascii="Arial Narrow" w:hAnsi="Arial Narrow" w:cs="Calibri"/>
                <w:sz w:val="20"/>
                <w:szCs w:val="20"/>
              </w:rPr>
            </w:pPr>
            <w:r w:rsidRPr="00E3331A">
              <w:rPr>
                <w:rFonts w:ascii="Arial Narrow" w:hAnsi="Arial Narrow" w:cs="Calibri"/>
                <w:color w:val="000000"/>
                <w:sz w:val="20"/>
                <w:szCs w:val="20"/>
              </w:rPr>
              <w:t>90%</w:t>
            </w:r>
          </w:p>
        </w:tc>
        <w:tc>
          <w:tcPr>
            <w:tcW w:w="962"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$130,714</w:t>
            </w:r>
          </w:p>
        </w:tc>
        <w:tc>
          <w:tcPr>
            <w:tcW w:w="858"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$197,624</w:t>
            </w:r>
          </w:p>
        </w:tc>
      </w:tr>
      <w:tr w:rsidR="0063679C" w:rsidRPr="00E3331A" w:rsidTr="00573669">
        <w:trPr>
          <w:trHeight w:val="300"/>
        </w:trPr>
        <w:tc>
          <w:tcPr>
            <w:tcW w:w="1384" w:type="pct"/>
            <w:vMerge w:val="restart"/>
            <w:tcBorders>
              <w:top w:val="single" w:sz="4" w:space="0" w:color="auto"/>
              <w:left w:val="single" w:sz="4" w:space="0" w:color="auto"/>
              <w:right w:val="single" w:sz="4" w:space="0" w:color="auto"/>
            </w:tcBorders>
            <w:shd w:val="clear" w:color="auto" w:fill="auto"/>
            <w:vAlign w:val="center"/>
          </w:tcPr>
          <w:p w:rsidR="0063679C" w:rsidRPr="00E3331A" w:rsidRDefault="0063679C" w:rsidP="0063679C">
            <w:pPr>
              <w:rPr>
                <w:rFonts w:ascii="Arial Narrow" w:hAnsi="Arial Narrow" w:cs="Calibri"/>
                <w:sz w:val="20"/>
                <w:szCs w:val="20"/>
              </w:rPr>
            </w:pPr>
            <w:r w:rsidRPr="00E3331A">
              <w:rPr>
                <w:rFonts w:ascii="Arial Narrow" w:hAnsi="Arial Narrow" w:cs="Calibri"/>
                <w:sz w:val="20"/>
                <w:szCs w:val="20"/>
              </w:rPr>
              <w:t>Infection disutility</w:t>
            </w:r>
          </w:p>
        </w:tc>
        <w:tc>
          <w:tcPr>
            <w:tcW w:w="990" w:type="pct"/>
            <w:tcBorders>
              <w:top w:val="single" w:sz="4" w:space="0" w:color="auto"/>
              <w:left w:val="nil"/>
              <w:bottom w:val="single" w:sz="4" w:space="0" w:color="auto"/>
              <w:right w:val="single" w:sz="4" w:space="0" w:color="auto"/>
            </w:tcBorders>
            <w:shd w:val="clear" w:color="auto" w:fill="auto"/>
            <w:vAlign w:val="center"/>
          </w:tcPr>
          <w:p w:rsidR="0063679C" w:rsidRPr="00E3331A" w:rsidRDefault="0063679C" w:rsidP="0063679C">
            <w:pPr>
              <w:jc w:val="center"/>
              <w:rPr>
                <w:rFonts w:ascii="Arial Narrow" w:hAnsi="Arial Narrow" w:cs="Calibri"/>
                <w:sz w:val="20"/>
                <w:szCs w:val="20"/>
              </w:rPr>
            </w:pPr>
            <w:r w:rsidRPr="00E3331A">
              <w:rPr>
                <w:rFonts w:ascii="Arial Narrow" w:hAnsi="Arial Narrow" w:cs="Calibri"/>
                <w:color w:val="000000"/>
                <w:sz w:val="20"/>
                <w:szCs w:val="20"/>
              </w:rPr>
              <w:t>0%</w:t>
            </w:r>
          </w:p>
        </w:tc>
        <w:tc>
          <w:tcPr>
            <w:tcW w:w="962" w:type="pct"/>
            <w:tcBorders>
              <w:top w:val="single" w:sz="4" w:space="0" w:color="auto"/>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$130,714</w:t>
            </w:r>
          </w:p>
        </w:tc>
        <w:tc>
          <w:tcPr>
            <w:tcW w:w="858" w:type="pct"/>
            <w:tcBorders>
              <w:top w:val="single" w:sz="4" w:space="0" w:color="auto"/>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single" w:sz="4" w:space="0" w:color="auto"/>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$197,904</w:t>
            </w:r>
          </w:p>
        </w:tc>
      </w:tr>
      <w:tr w:rsidR="0063679C" w:rsidRPr="00E3331A" w:rsidTr="00573669">
        <w:trPr>
          <w:trHeight w:val="300"/>
        </w:trPr>
        <w:tc>
          <w:tcPr>
            <w:tcW w:w="1384" w:type="pct"/>
            <w:vMerge/>
            <w:tcBorders>
              <w:left w:val="single" w:sz="4" w:space="0" w:color="auto"/>
              <w:bottom w:val="single" w:sz="4" w:space="0" w:color="auto"/>
              <w:right w:val="single" w:sz="4" w:space="0" w:color="auto"/>
            </w:tcBorders>
            <w:shd w:val="clear" w:color="auto" w:fill="auto"/>
            <w:vAlign w:val="center"/>
          </w:tcPr>
          <w:p w:rsidR="0063679C" w:rsidRPr="00E3331A" w:rsidRDefault="0063679C" w:rsidP="0063679C">
            <w:pPr>
              <w:rPr>
                <w:rFonts w:ascii="Arial Narrow" w:hAnsi="Arial Narrow" w:cs="Calibri"/>
                <w:sz w:val="20"/>
                <w:szCs w:val="20"/>
              </w:rPr>
            </w:pPr>
          </w:p>
        </w:tc>
        <w:tc>
          <w:tcPr>
            <w:tcW w:w="990" w:type="pct"/>
            <w:tcBorders>
              <w:top w:val="single" w:sz="4" w:space="0" w:color="auto"/>
              <w:left w:val="nil"/>
              <w:bottom w:val="single" w:sz="4" w:space="0" w:color="auto"/>
              <w:right w:val="single" w:sz="4" w:space="0" w:color="auto"/>
            </w:tcBorders>
            <w:shd w:val="clear" w:color="auto" w:fill="auto"/>
            <w:vAlign w:val="center"/>
          </w:tcPr>
          <w:p w:rsidR="0063679C" w:rsidRPr="00E3331A" w:rsidRDefault="0063679C" w:rsidP="0063679C">
            <w:pPr>
              <w:jc w:val="center"/>
              <w:rPr>
                <w:rFonts w:ascii="Arial Narrow" w:hAnsi="Arial Narrow" w:cs="Calibri"/>
                <w:sz w:val="20"/>
                <w:szCs w:val="20"/>
              </w:rPr>
            </w:pPr>
            <w:r w:rsidRPr="00E3331A">
              <w:rPr>
                <w:rFonts w:ascii="Arial Narrow" w:hAnsi="Arial Narrow" w:cs="Calibri"/>
                <w:color w:val="000000"/>
                <w:sz w:val="20"/>
                <w:szCs w:val="20"/>
              </w:rPr>
              <w:t>90%</w:t>
            </w:r>
          </w:p>
        </w:tc>
        <w:tc>
          <w:tcPr>
            <w:tcW w:w="962" w:type="pct"/>
            <w:tcBorders>
              <w:top w:val="single" w:sz="4" w:space="0" w:color="auto"/>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$130,714</w:t>
            </w:r>
          </w:p>
        </w:tc>
        <w:tc>
          <w:tcPr>
            <w:tcW w:w="858" w:type="pct"/>
            <w:tcBorders>
              <w:top w:val="single" w:sz="4" w:space="0" w:color="auto"/>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single" w:sz="4" w:space="0" w:color="auto"/>
              <w:left w:val="nil"/>
              <w:bottom w:val="single" w:sz="4" w:space="0" w:color="auto"/>
              <w:right w:val="single" w:sz="4" w:space="0" w:color="auto"/>
            </w:tcBorders>
            <w:shd w:val="clear" w:color="auto" w:fill="auto"/>
            <w:vAlign w:val="bottom"/>
          </w:tcPr>
          <w:p w:rsidR="0063679C" w:rsidRPr="00E3331A" w:rsidRDefault="0063679C" w:rsidP="0063679C">
            <w:pPr>
              <w:jc w:val="center"/>
              <w:rPr>
                <w:rFonts w:ascii="Arial Narrow" w:hAnsi="Arial Narrow" w:cs="Calibri"/>
                <w:sz w:val="20"/>
                <w:szCs w:val="20"/>
              </w:rPr>
            </w:pPr>
            <w:r w:rsidRPr="00E3331A">
              <w:rPr>
                <w:rFonts w:ascii="Arial Narrow" w:hAnsi="Arial Narrow" w:cs="Calibri"/>
                <w:sz w:val="20"/>
                <w:szCs w:val="20"/>
              </w:rPr>
              <w:t>$198,057</w:t>
            </w:r>
          </w:p>
        </w:tc>
      </w:tr>
      <w:tr w:rsidR="00573669" w:rsidRPr="00E3331A" w:rsidTr="00573669">
        <w:trPr>
          <w:trHeight w:val="519"/>
        </w:trPr>
        <w:tc>
          <w:tcPr>
            <w:tcW w:w="1384" w:type="pct"/>
            <w:vMerge w:val="restart"/>
            <w:tcBorders>
              <w:left w:val="single" w:sz="4" w:space="0" w:color="auto"/>
              <w:right w:val="single" w:sz="4" w:space="0" w:color="auto"/>
            </w:tcBorders>
            <w:shd w:val="clear" w:color="auto" w:fill="auto"/>
            <w:vAlign w:val="center"/>
          </w:tcPr>
          <w:p w:rsidR="00573669" w:rsidRPr="00E3331A" w:rsidRDefault="00573669" w:rsidP="0063679C">
            <w:pPr>
              <w:rPr>
                <w:rFonts w:ascii="Arial Narrow" w:hAnsi="Arial Narrow" w:cs="Calibri"/>
                <w:sz w:val="20"/>
                <w:szCs w:val="20"/>
              </w:rPr>
            </w:pPr>
            <w:r w:rsidRPr="00E3331A">
              <w:rPr>
                <w:rFonts w:ascii="Arial Narrow" w:hAnsi="Arial Narrow" w:cs="Calibri"/>
                <w:sz w:val="20"/>
                <w:szCs w:val="20"/>
              </w:rPr>
              <w:t>Disability disutility</w:t>
            </w:r>
          </w:p>
        </w:tc>
        <w:tc>
          <w:tcPr>
            <w:tcW w:w="990" w:type="pct"/>
            <w:tcBorders>
              <w:top w:val="single" w:sz="4" w:space="0" w:color="auto"/>
              <w:left w:val="nil"/>
              <w:bottom w:val="single" w:sz="4" w:space="0" w:color="auto"/>
              <w:right w:val="single" w:sz="4" w:space="0" w:color="auto"/>
            </w:tcBorders>
            <w:shd w:val="clear" w:color="auto" w:fill="auto"/>
            <w:vAlign w:val="center"/>
          </w:tcPr>
          <w:p w:rsidR="00573669" w:rsidRPr="00E3331A" w:rsidRDefault="00573669" w:rsidP="0063679C">
            <w:pPr>
              <w:jc w:val="center"/>
              <w:rPr>
                <w:rFonts w:ascii="Arial Narrow" w:hAnsi="Arial Narrow" w:cs="Calibri"/>
                <w:color w:val="000000"/>
                <w:sz w:val="20"/>
                <w:szCs w:val="20"/>
              </w:rPr>
            </w:pPr>
            <w:r w:rsidRPr="00E3331A">
              <w:rPr>
                <w:rFonts w:ascii="Arial Narrow" w:hAnsi="Arial Narrow" w:cs="Calibri"/>
                <w:color w:val="000000"/>
                <w:sz w:val="20"/>
                <w:szCs w:val="20"/>
              </w:rPr>
              <w:t>0%</w:t>
            </w:r>
          </w:p>
        </w:tc>
        <w:tc>
          <w:tcPr>
            <w:tcW w:w="962" w:type="pct"/>
            <w:tcBorders>
              <w:top w:val="single" w:sz="4" w:space="0" w:color="auto"/>
              <w:left w:val="nil"/>
              <w:bottom w:val="single" w:sz="4" w:space="0" w:color="auto"/>
              <w:right w:val="single" w:sz="4" w:space="0" w:color="auto"/>
            </w:tcBorders>
            <w:shd w:val="clear" w:color="auto" w:fill="auto"/>
            <w:vAlign w:val="bottom"/>
          </w:tcPr>
          <w:p w:rsidR="00573669" w:rsidRPr="00E3331A" w:rsidDel="00F44618" w:rsidRDefault="00573669" w:rsidP="0063679C">
            <w:pPr>
              <w:jc w:val="center"/>
              <w:rPr>
                <w:rFonts w:ascii="Arial Narrow" w:hAnsi="Arial Narrow" w:cs="Calibri"/>
                <w:color w:val="000000"/>
                <w:sz w:val="20"/>
                <w:szCs w:val="20"/>
              </w:rPr>
            </w:pPr>
            <w:r w:rsidRPr="00E3331A">
              <w:rPr>
                <w:rFonts w:ascii="Arial Narrow" w:hAnsi="Arial Narrow" w:cs="Calibri"/>
                <w:sz w:val="20"/>
                <w:szCs w:val="20"/>
              </w:rPr>
              <w:t>$130,714</w:t>
            </w:r>
          </w:p>
        </w:tc>
        <w:tc>
          <w:tcPr>
            <w:tcW w:w="858" w:type="pct"/>
            <w:tcBorders>
              <w:top w:val="single" w:sz="4" w:space="0" w:color="auto"/>
              <w:left w:val="nil"/>
              <w:bottom w:val="single" w:sz="4" w:space="0" w:color="auto"/>
              <w:right w:val="single" w:sz="4" w:space="0" w:color="auto"/>
            </w:tcBorders>
            <w:shd w:val="clear" w:color="auto" w:fill="auto"/>
            <w:vAlign w:val="bottom"/>
          </w:tcPr>
          <w:p w:rsidR="00573669" w:rsidRPr="00E3331A" w:rsidDel="00F44618" w:rsidRDefault="00573669" w:rsidP="0063679C">
            <w:pPr>
              <w:jc w:val="center"/>
              <w:rPr>
                <w:rFonts w:ascii="Arial Narrow" w:hAnsi="Arial Narrow" w:cs="Calibri"/>
                <w:color w:val="000000"/>
                <w:sz w:val="20"/>
                <w:szCs w:val="20"/>
              </w:rPr>
            </w:pPr>
            <w:r w:rsidRPr="00E3331A">
              <w:rPr>
                <w:rFonts w:ascii="Arial Narrow" w:hAnsi="Arial Narrow" w:cs="Calibri"/>
                <w:sz w:val="20"/>
                <w:szCs w:val="20"/>
              </w:rPr>
              <w:t>0.19</w:t>
            </w:r>
          </w:p>
        </w:tc>
        <w:tc>
          <w:tcPr>
            <w:tcW w:w="806" w:type="pct"/>
            <w:tcBorders>
              <w:top w:val="single" w:sz="4" w:space="0" w:color="auto"/>
              <w:left w:val="nil"/>
              <w:bottom w:val="single" w:sz="4" w:space="0" w:color="auto"/>
              <w:right w:val="single" w:sz="4" w:space="0" w:color="auto"/>
            </w:tcBorders>
            <w:shd w:val="clear" w:color="auto" w:fill="auto"/>
            <w:vAlign w:val="bottom"/>
          </w:tcPr>
          <w:p w:rsidR="00573669" w:rsidRPr="00E3331A" w:rsidDel="00F44618" w:rsidRDefault="00573669" w:rsidP="0063679C">
            <w:pPr>
              <w:jc w:val="center"/>
              <w:rPr>
                <w:rFonts w:ascii="Arial Narrow" w:hAnsi="Arial Narrow" w:cs="Calibri"/>
                <w:color w:val="000000"/>
                <w:sz w:val="20"/>
                <w:szCs w:val="20"/>
              </w:rPr>
            </w:pPr>
            <w:r w:rsidRPr="00E3331A">
              <w:rPr>
                <w:rFonts w:ascii="Arial Narrow" w:hAnsi="Arial Narrow" w:cs="Calibri"/>
                <w:sz w:val="20"/>
                <w:szCs w:val="20"/>
              </w:rPr>
              <w:t>$696,121</w:t>
            </w:r>
          </w:p>
        </w:tc>
      </w:tr>
      <w:tr w:rsidR="00573669" w:rsidRPr="00E3331A" w:rsidTr="00573669">
        <w:trPr>
          <w:trHeight w:val="399"/>
        </w:trPr>
        <w:tc>
          <w:tcPr>
            <w:tcW w:w="1384" w:type="pct"/>
            <w:vMerge/>
            <w:tcBorders>
              <w:left w:val="single" w:sz="4" w:space="0" w:color="auto"/>
              <w:right w:val="single" w:sz="4" w:space="0" w:color="auto"/>
            </w:tcBorders>
            <w:shd w:val="clear" w:color="auto" w:fill="auto"/>
            <w:vAlign w:val="center"/>
          </w:tcPr>
          <w:p w:rsidR="00573669" w:rsidRPr="00E3331A" w:rsidDel="00896AC9" w:rsidRDefault="00573669" w:rsidP="0063679C">
            <w:pPr>
              <w:rPr>
                <w:rFonts w:ascii="Arial Narrow" w:hAnsi="Arial Narrow" w:cs="Calibri"/>
                <w:sz w:val="20"/>
                <w:szCs w:val="20"/>
              </w:rPr>
            </w:pPr>
          </w:p>
        </w:tc>
        <w:tc>
          <w:tcPr>
            <w:tcW w:w="990" w:type="pct"/>
            <w:tcBorders>
              <w:top w:val="single" w:sz="4" w:space="0" w:color="auto"/>
              <w:left w:val="nil"/>
              <w:bottom w:val="single" w:sz="4" w:space="0" w:color="auto"/>
              <w:right w:val="single" w:sz="4" w:space="0" w:color="auto"/>
            </w:tcBorders>
            <w:shd w:val="clear" w:color="auto" w:fill="auto"/>
            <w:vAlign w:val="center"/>
          </w:tcPr>
          <w:p w:rsidR="00573669" w:rsidRPr="00E3331A" w:rsidRDefault="00573669" w:rsidP="0063679C">
            <w:pPr>
              <w:jc w:val="center"/>
              <w:rPr>
                <w:rFonts w:ascii="Arial Narrow" w:hAnsi="Arial Narrow" w:cs="Calibri"/>
                <w:color w:val="000000"/>
                <w:sz w:val="20"/>
                <w:szCs w:val="20"/>
              </w:rPr>
            </w:pPr>
            <w:r w:rsidRPr="00E3331A">
              <w:rPr>
                <w:rFonts w:ascii="Arial Narrow" w:hAnsi="Arial Narrow" w:cs="Calibri"/>
                <w:color w:val="000000"/>
                <w:sz w:val="20"/>
                <w:szCs w:val="20"/>
              </w:rPr>
              <w:t>90%</w:t>
            </w:r>
          </w:p>
        </w:tc>
        <w:tc>
          <w:tcPr>
            <w:tcW w:w="962" w:type="pct"/>
            <w:tcBorders>
              <w:top w:val="single" w:sz="4" w:space="0" w:color="auto"/>
              <w:left w:val="nil"/>
              <w:bottom w:val="single" w:sz="4" w:space="0" w:color="auto"/>
              <w:right w:val="single" w:sz="4" w:space="0" w:color="auto"/>
            </w:tcBorders>
            <w:shd w:val="clear" w:color="auto" w:fill="auto"/>
            <w:vAlign w:val="bottom"/>
          </w:tcPr>
          <w:p w:rsidR="00573669" w:rsidRPr="00E3331A" w:rsidRDefault="00573669" w:rsidP="0063679C">
            <w:pPr>
              <w:jc w:val="center"/>
              <w:rPr>
                <w:rFonts w:ascii="Arial Narrow" w:hAnsi="Arial Narrow" w:cs="Calibri"/>
                <w:sz w:val="20"/>
                <w:szCs w:val="20"/>
              </w:rPr>
            </w:pPr>
            <w:r w:rsidRPr="00E3331A">
              <w:rPr>
                <w:rFonts w:ascii="Arial Narrow" w:hAnsi="Arial Narrow" w:cs="Calibri"/>
                <w:sz w:val="20"/>
                <w:szCs w:val="20"/>
              </w:rPr>
              <w:t>$130,714</w:t>
            </w:r>
          </w:p>
        </w:tc>
        <w:tc>
          <w:tcPr>
            <w:tcW w:w="858" w:type="pct"/>
            <w:tcBorders>
              <w:top w:val="single" w:sz="4" w:space="0" w:color="auto"/>
              <w:left w:val="nil"/>
              <w:bottom w:val="single" w:sz="4" w:space="0" w:color="auto"/>
              <w:right w:val="single" w:sz="4" w:space="0" w:color="auto"/>
            </w:tcBorders>
            <w:shd w:val="clear" w:color="auto" w:fill="auto"/>
            <w:vAlign w:val="bottom"/>
          </w:tcPr>
          <w:p w:rsidR="00573669" w:rsidRPr="00E3331A" w:rsidRDefault="00573669" w:rsidP="0063679C">
            <w:pPr>
              <w:jc w:val="center"/>
              <w:rPr>
                <w:rFonts w:ascii="Arial Narrow" w:hAnsi="Arial Narrow" w:cs="Calibri"/>
                <w:sz w:val="20"/>
                <w:szCs w:val="20"/>
              </w:rPr>
            </w:pPr>
            <w:r w:rsidRPr="00E3331A">
              <w:rPr>
                <w:rFonts w:ascii="Arial Narrow" w:hAnsi="Arial Narrow" w:cs="Calibri"/>
                <w:sz w:val="20"/>
                <w:szCs w:val="20"/>
              </w:rPr>
              <w:t>0.61</w:t>
            </w:r>
          </w:p>
        </w:tc>
        <w:tc>
          <w:tcPr>
            <w:tcW w:w="806" w:type="pct"/>
            <w:tcBorders>
              <w:top w:val="single" w:sz="4" w:space="0" w:color="auto"/>
              <w:left w:val="nil"/>
              <w:bottom w:val="single" w:sz="4" w:space="0" w:color="auto"/>
              <w:right w:val="single" w:sz="4" w:space="0" w:color="auto"/>
            </w:tcBorders>
            <w:shd w:val="clear" w:color="auto" w:fill="auto"/>
            <w:vAlign w:val="bottom"/>
          </w:tcPr>
          <w:p w:rsidR="00573669" w:rsidRPr="00E3331A" w:rsidRDefault="00573669" w:rsidP="0063679C">
            <w:pPr>
              <w:jc w:val="center"/>
              <w:rPr>
                <w:rFonts w:ascii="Arial Narrow" w:hAnsi="Arial Narrow" w:cs="Calibri"/>
                <w:sz w:val="20"/>
                <w:szCs w:val="20"/>
              </w:rPr>
            </w:pPr>
            <w:r w:rsidRPr="00E3331A">
              <w:rPr>
                <w:rFonts w:ascii="Arial Narrow" w:hAnsi="Arial Narrow" w:cs="Calibri"/>
                <w:sz w:val="20"/>
                <w:szCs w:val="20"/>
              </w:rPr>
              <w:t>$212,709</w:t>
            </w:r>
          </w:p>
        </w:tc>
      </w:tr>
      <w:tr w:rsidR="00573669" w:rsidRPr="00E3331A" w:rsidTr="00573669">
        <w:trPr>
          <w:trHeight w:val="399"/>
        </w:trPr>
        <w:tc>
          <w:tcPr>
            <w:tcW w:w="1384" w:type="pct"/>
            <w:vMerge/>
            <w:tcBorders>
              <w:left w:val="single" w:sz="4" w:space="0" w:color="auto"/>
              <w:right w:val="single" w:sz="4" w:space="0" w:color="auto"/>
            </w:tcBorders>
            <w:shd w:val="clear" w:color="auto" w:fill="auto"/>
            <w:vAlign w:val="center"/>
          </w:tcPr>
          <w:p w:rsidR="00573669" w:rsidRPr="00E3331A" w:rsidDel="00896AC9" w:rsidRDefault="00573669" w:rsidP="00AA4791">
            <w:pPr>
              <w:rPr>
                <w:rFonts w:ascii="Arial Narrow" w:hAnsi="Arial Narrow" w:cs="Calibri"/>
                <w:sz w:val="20"/>
                <w:szCs w:val="20"/>
              </w:rPr>
            </w:pPr>
          </w:p>
        </w:tc>
        <w:tc>
          <w:tcPr>
            <w:tcW w:w="990" w:type="pct"/>
            <w:tcBorders>
              <w:top w:val="single" w:sz="4" w:space="0" w:color="auto"/>
              <w:left w:val="nil"/>
              <w:bottom w:val="single" w:sz="4" w:space="0" w:color="auto"/>
              <w:right w:val="single" w:sz="4" w:space="0" w:color="auto"/>
            </w:tcBorders>
            <w:shd w:val="clear" w:color="auto" w:fill="auto"/>
            <w:vAlign w:val="center"/>
          </w:tcPr>
          <w:p w:rsidR="00573669" w:rsidRPr="00E3331A" w:rsidRDefault="00573669" w:rsidP="00464E0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 xml:space="preserve">Disable stroke </w:t>
            </w:r>
          </w:p>
          <w:p w:rsidR="00573669" w:rsidRPr="00E3331A" w:rsidRDefault="00573669" w:rsidP="00464E0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-0.39</w:t>
            </w:r>
          </w:p>
        </w:tc>
        <w:tc>
          <w:tcPr>
            <w:tcW w:w="962" w:type="pct"/>
            <w:tcBorders>
              <w:top w:val="single" w:sz="4" w:space="0" w:color="auto"/>
              <w:left w:val="nil"/>
              <w:bottom w:val="single" w:sz="4" w:space="0" w:color="auto"/>
              <w:right w:val="single" w:sz="4" w:space="0" w:color="auto"/>
            </w:tcBorders>
            <w:shd w:val="clear" w:color="auto" w:fill="auto"/>
            <w:vAlign w:val="bottom"/>
          </w:tcPr>
          <w:p w:rsidR="00573669" w:rsidRPr="00E3331A" w:rsidRDefault="00573669" w:rsidP="00AA4791">
            <w:pPr>
              <w:jc w:val="center"/>
              <w:rPr>
                <w:rFonts w:ascii="Arial Narrow" w:hAnsi="Arial Narrow" w:cs="Calibri"/>
                <w:sz w:val="20"/>
                <w:szCs w:val="20"/>
              </w:rPr>
            </w:pPr>
            <w:r w:rsidRPr="00E3331A">
              <w:rPr>
                <w:rFonts w:ascii="Arial Narrow" w:hAnsi="Arial Narrow" w:cs="Calibri"/>
                <w:sz w:val="20"/>
                <w:szCs w:val="20"/>
              </w:rPr>
              <w:t>$130,714</w:t>
            </w:r>
          </w:p>
        </w:tc>
        <w:tc>
          <w:tcPr>
            <w:tcW w:w="858" w:type="pct"/>
            <w:tcBorders>
              <w:top w:val="single" w:sz="4" w:space="0" w:color="auto"/>
              <w:left w:val="nil"/>
              <w:bottom w:val="single" w:sz="4" w:space="0" w:color="auto"/>
              <w:right w:val="single" w:sz="4" w:space="0" w:color="auto"/>
            </w:tcBorders>
            <w:shd w:val="clear" w:color="auto" w:fill="auto"/>
            <w:vAlign w:val="bottom"/>
          </w:tcPr>
          <w:p w:rsidR="00573669" w:rsidRPr="00E3331A" w:rsidRDefault="00573669" w:rsidP="00AA4791">
            <w:pPr>
              <w:jc w:val="center"/>
              <w:rPr>
                <w:rFonts w:ascii="Arial Narrow" w:hAnsi="Arial Narrow" w:cs="Calibri"/>
                <w:sz w:val="20"/>
                <w:szCs w:val="20"/>
              </w:rPr>
            </w:pPr>
            <w:r w:rsidRPr="00E3331A">
              <w:rPr>
                <w:rFonts w:ascii="Arial Narrow" w:hAnsi="Arial Narrow" w:cs="Calibri"/>
                <w:sz w:val="20"/>
                <w:szCs w:val="20"/>
              </w:rPr>
              <w:t>0.79</w:t>
            </w:r>
          </w:p>
        </w:tc>
        <w:tc>
          <w:tcPr>
            <w:tcW w:w="806" w:type="pct"/>
            <w:tcBorders>
              <w:top w:val="single" w:sz="4" w:space="0" w:color="auto"/>
              <w:left w:val="nil"/>
              <w:bottom w:val="single" w:sz="4" w:space="0" w:color="auto"/>
              <w:right w:val="single" w:sz="4" w:space="0" w:color="auto"/>
            </w:tcBorders>
            <w:shd w:val="clear" w:color="auto" w:fill="auto"/>
            <w:vAlign w:val="bottom"/>
          </w:tcPr>
          <w:p w:rsidR="00573669" w:rsidRPr="00E3331A" w:rsidRDefault="00573669" w:rsidP="00AA4791">
            <w:pPr>
              <w:jc w:val="center"/>
              <w:rPr>
                <w:rFonts w:ascii="Arial Narrow" w:hAnsi="Arial Narrow" w:cs="Calibri"/>
                <w:sz w:val="20"/>
                <w:szCs w:val="20"/>
              </w:rPr>
            </w:pPr>
            <w:r w:rsidRPr="00E3331A">
              <w:rPr>
                <w:rFonts w:ascii="Arial Narrow" w:hAnsi="Arial Narrow" w:cs="Calibri"/>
                <w:sz w:val="20"/>
                <w:szCs w:val="20"/>
              </w:rPr>
              <w:t>$164,777</w:t>
            </w:r>
          </w:p>
        </w:tc>
      </w:tr>
      <w:tr w:rsidR="00573669" w:rsidRPr="00E3331A" w:rsidTr="00573669">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573669" w:rsidRPr="00E3331A" w:rsidRDefault="00573669" w:rsidP="00573669">
            <w:pPr>
              <w:rPr>
                <w:rFonts w:ascii="Arial Narrow" w:hAnsi="Arial Narrow" w:cs="Calibri"/>
                <w:sz w:val="20"/>
                <w:szCs w:val="20"/>
              </w:rPr>
            </w:pPr>
            <w:r w:rsidRPr="00E3331A">
              <w:rPr>
                <w:rFonts w:ascii="Arial Narrow" w:hAnsi="Arial Narrow" w:cs="Calibri"/>
                <w:b/>
                <w:bCs/>
                <w:i/>
                <w:iCs/>
                <w:sz w:val="20"/>
                <w:szCs w:val="20"/>
                <w:lang w:val="en-US"/>
              </w:rPr>
              <w:t>Transition probabilities</w:t>
            </w:r>
          </w:p>
        </w:tc>
      </w:tr>
      <w:tr w:rsidR="00AA4791" w:rsidRPr="00E3331A" w:rsidTr="00573669">
        <w:trPr>
          <w:cantSplit/>
          <w:trHeight w:val="300"/>
        </w:trPr>
        <w:tc>
          <w:tcPr>
            <w:tcW w:w="1384" w:type="pct"/>
            <w:vMerge w:val="restart"/>
            <w:tcBorders>
              <w:top w:val="nil"/>
              <w:left w:val="single" w:sz="4" w:space="0" w:color="auto"/>
              <w:bottom w:val="single" w:sz="4" w:space="0" w:color="auto"/>
              <w:right w:val="single" w:sz="4" w:space="0" w:color="auto"/>
            </w:tcBorders>
            <w:shd w:val="clear" w:color="auto" w:fill="auto"/>
            <w:vAlign w:val="center"/>
          </w:tcPr>
          <w:p w:rsidR="00AA4791" w:rsidRPr="00E3331A" w:rsidRDefault="00AA4791" w:rsidP="00AA4791">
            <w:pPr>
              <w:rPr>
                <w:rFonts w:ascii="Arial Narrow" w:hAnsi="Arial Narrow" w:cs="Calibri"/>
                <w:sz w:val="20"/>
                <w:szCs w:val="20"/>
              </w:rPr>
            </w:pPr>
            <w:r w:rsidRPr="00E3331A">
              <w:rPr>
                <w:rFonts w:ascii="Arial Narrow" w:hAnsi="Arial Narrow" w:cs="Calibri"/>
                <w:sz w:val="20"/>
                <w:szCs w:val="20"/>
              </w:rPr>
              <w:t>4-month Ig responder (61%)</w:t>
            </w:r>
          </w:p>
        </w:tc>
        <w:tc>
          <w:tcPr>
            <w:tcW w:w="990" w:type="pct"/>
            <w:tcBorders>
              <w:top w:val="nil"/>
              <w:left w:val="nil"/>
              <w:bottom w:val="single" w:sz="4" w:space="0" w:color="auto"/>
              <w:right w:val="single" w:sz="4" w:space="0" w:color="auto"/>
            </w:tcBorders>
            <w:shd w:val="clear" w:color="auto" w:fill="auto"/>
            <w:vAlign w:val="center"/>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 xml:space="preserve">+10% </w:t>
            </w:r>
          </w:p>
        </w:tc>
        <w:tc>
          <w:tcPr>
            <w:tcW w:w="962"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$142,771</w:t>
            </w:r>
          </w:p>
        </w:tc>
        <w:tc>
          <w:tcPr>
            <w:tcW w:w="858"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0.72</w:t>
            </w:r>
          </w:p>
        </w:tc>
        <w:tc>
          <w:tcPr>
            <w:tcW w:w="806"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$198,012</w:t>
            </w:r>
          </w:p>
        </w:tc>
      </w:tr>
      <w:tr w:rsidR="00AA4791" w:rsidRPr="00E3331A" w:rsidTr="00573669">
        <w:trPr>
          <w:trHeight w:val="300"/>
        </w:trPr>
        <w:tc>
          <w:tcPr>
            <w:tcW w:w="1384" w:type="pct"/>
            <w:vMerge/>
            <w:tcBorders>
              <w:top w:val="nil"/>
              <w:left w:val="single" w:sz="4" w:space="0" w:color="auto"/>
              <w:bottom w:val="single" w:sz="4" w:space="0" w:color="auto"/>
              <w:right w:val="single" w:sz="4" w:space="0" w:color="auto"/>
            </w:tcBorders>
            <w:shd w:val="clear" w:color="auto" w:fill="auto"/>
            <w:vAlign w:val="center"/>
          </w:tcPr>
          <w:p w:rsidR="00AA4791" w:rsidRPr="00E3331A" w:rsidRDefault="00AA4791" w:rsidP="00AA4791">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-10%</w:t>
            </w:r>
          </w:p>
        </w:tc>
        <w:tc>
          <w:tcPr>
            <w:tcW w:w="962"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$118,657</w:t>
            </w:r>
          </w:p>
        </w:tc>
        <w:tc>
          <w:tcPr>
            <w:tcW w:w="858"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0.60</w:t>
            </w:r>
          </w:p>
        </w:tc>
        <w:tc>
          <w:tcPr>
            <w:tcW w:w="806"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$196,826</w:t>
            </w:r>
          </w:p>
        </w:tc>
      </w:tr>
      <w:tr w:rsidR="00AA4791" w:rsidRPr="00E3331A" w:rsidTr="00573669">
        <w:trPr>
          <w:trHeight w:val="300"/>
        </w:trPr>
        <w:tc>
          <w:tcPr>
            <w:tcW w:w="1384" w:type="pct"/>
            <w:vMerge w:val="restart"/>
            <w:tcBorders>
              <w:top w:val="nil"/>
              <w:left w:val="single" w:sz="4" w:space="0" w:color="auto"/>
              <w:right w:val="single" w:sz="4" w:space="0" w:color="auto"/>
            </w:tcBorders>
            <w:shd w:val="clear" w:color="auto" w:fill="auto"/>
            <w:vAlign w:val="center"/>
          </w:tcPr>
          <w:p w:rsidR="00AA4791" w:rsidRPr="00E3331A" w:rsidRDefault="00AA4791" w:rsidP="00AA4791">
            <w:pPr>
              <w:rPr>
                <w:rFonts w:ascii="Arial Narrow" w:hAnsi="Arial Narrow" w:cs="Calibri"/>
                <w:sz w:val="20"/>
                <w:szCs w:val="20"/>
              </w:rPr>
            </w:pPr>
            <w:r w:rsidRPr="00E3331A">
              <w:rPr>
                <w:rFonts w:ascii="Arial Narrow" w:hAnsi="Arial Narrow" w:cs="Calibri"/>
                <w:sz w:val="20"/>
                <w:szCs w:val="20"/>
              </w:rPr>
              <w:t>Weekly probability based on Ig responder weekly relapse (25.15% at 1 year)</w:t>
            </w:r>
          </w:p>
        </w:tc>
        <w:tc>
          <w:tcPr>
            <w:tcW w:w="990" w:type="pct"/>
            <w:tcBorders>
              <w:top w:val="nil"/>
              <w:left w:val="nil"/>
              <w:bottom w:val="single" w:sz="4" w:space="0" w:color="auto"/>
              <w:right w:val="single" w:sz="4" w:space="0" w:color="auto"/>
            </w:tcBorders>
            <w:shd w:val="clear" w:color="auto" w:fill="auto"/>
            <w:vAlign w:val="center"/>
          </w:tcPr>
          <w:p w:rsidR="00AA4791" w:rsidRPr="00E3331A" w:rsidRDefault="00AA4791" w:rsidP="00AA4791">
            <w:pPr>
              <w:jc w:val="center"/>
              <w:rPr>
                <w:rFonts w:ascii="Arial Narrow" w:hAnsi="Arial Narrow" w:cs="Calibri"/>
                <w:sz w:val="20"/>
                <w:szCs w:val="20"/>
              </w:rPr>
            </w:pPr>
            <w:r w:rsidRPr="00E3331A">
              <w:rPr>
                <w:rFonts w:ascii="Arial Narrow" w:hAnsi="Arial Narrow" w:cs="Calibri"/>
                <w:color w:val="000000"/>
                <w:sz w:val="20"/>
                <w:szCs w:val="20"/>
              </w:rPr>
              <w:t>10%</w:t>
            </w:r>
          </w:p>
        </w:tc>
        <w:tc>
          <w:tcPr>
            <w:tcW w:w="962"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$144,551</w:t>
            </w:r>
          </w:p>
        </w:tc>
        <w:tc>
          <w:tcPr>
            <w:tcW w:w="858"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0.73</w:t>
            </w:r>
          </w:p>
        </w:tc>
        <w:tc>
          <w:tcPr>
            <w:tcW w:w="806"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$198,262</w:t>
            </w:r>
          </w:p>
        </w:tc>
      </w:tr>
      <w:tr w:rsidR="00AA4791" w:rsidRPr="00E3331A" w:rsidTr="00573669">
        <w:trPr>
          <w:trHeight w:val="300"/>
        </w:trPr>
        <w:tc>
          <w:tcPr>
            <w:tcW w:w="1384" w:type="pct"/>
            <w:vMerge/>
            <w:tcBorders>
              <w:left w:val="single" w:sz="4" w:space="0" w:color="auto"/>
              <w:right w:val="single" w:sz="4" w:space="0" w:color="auto"/>
            </w:tcBorders>
            <w:shd w:val="clear" w:color="auto" w:fill="auto"/>
            <w:vAlign w:val="center"/>
          </w:tcPr>
          <w:p w:rsidR="00AA4791" w:rsidRPr="00E3331A" w:rsidRDefault="00AA4791" w:rsidP="00AA4791">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AA4791" w:rsidRPr="00E3331A" w:rsidRDefault="00AA4791" w:rsidP="00AA4791">
            <w:pPr>
              <w:jc w:val="center"/>
              <w:rPr>
                <w:rFonts w:ascii="Arial Narrow" w:hAnsi="Arial Narrow" w:cs="Calibri"/>
                <w:sz w:val="20"/>
                <w:szCs w:val="20"/>
              </w:rPr>
            </w:pPr>
            <w:r w:rsidRPr="00E3331A">
              <w:rPr>
                <w:rFonts w:ascii="Arial Narrow" w:hAnsi="Arial Narrow" w:cs="Calibri"/>
                <w:color w:val="000000"/>
                <w:sz w:val="20"/>
                <w:szCs w:val="20"/>
              </w:rPr>
              <w:t>20%</w:t>
            </w:r>
          </w:p>
        </w:tc>
        <w:tc>
          <w:tcPr>
            <w:tcW w:w="962"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$135,538</w:t>
            </w:r>
          </w:p>
        </w:tc>
        <w:tc>
          <w:tcPr>
            <w:tcW w:w="858"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0.69</w:t>
            </w:r>
          </w:p>
        </w:tc>
        <w:tc>
          <w:tcPr>
            <w:tcW w:w="806"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$197,766</w:t>
            </w:r>
          </w:p>
        </w:tc>
      </w:tr>
      <w:tr w:rsidR="00AA4791" w:rsidRPr="00E3331A" w:rsidTr="00573669">
        <w:trPr>
          <w:trHeight w:val="300"/>
        </w:trPr>
        <w:tc>
          <w:tcPr>
            <w:tcW w:w="1384" w:type="pct"/>
            <w:vMerge/>
            <w:tcBorders>
              <w:left w:val="single" w:sz="4" w:space="0" w:color="auto"/>
              <w:right w:val="single" w:sz="4" w:space="0" w:color="auto"/>
            </w:tcBorders>
            <w:shd w:val="clear" w:color="auto" w:fill="auto"/>
            <w:vAlign w:val="center"/>
          </w:tcPr>
          <w:p w:rsidR="00AA4791" w:rsidRPr="00E3331A" w:rsidRDefault="00AA4791" w:rsidP="00AA4791">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AA4791" w:rsidRPr="00E3331A" w:rsidRDefault="00AA4791" w:rsidP="00AA4791">
            <w:pPr>
              <w:jc w:val="center"/>
              <w:rPr>
                <w:rFonts w:ascii="Arial Narrow" w:hAnsi="Arial Narrow" w:cs="Calibri"/>
                <w:sz w:val="20"/>
                <w:szCs w:val="20"/>
              </w:rPr>
            </w:pPr>
            <w:r w:rsidRPr="00E3331A">
              <w:rPr>
                <w:rFonts w:ascii="Arial Narrow" w:hAnsi="Arial Narrow" w:cs="Calibri"/>
                <w:color w:val="000000"/>
                <w:sz w:val="20"/>
                <w:szCs w:val="20"/>
              </w:rPr>
              <w:t>50%</w:t>
            </w:r>
          </w:p>
        </w:tc>
        <w:tc>
          <w:tcPr>
            <w:tcW w:w="962"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$105,170</w:t>
            </w:r>
          </w:p>
        </w:tc>
        <w:tc>
          <w:tcPr>
            <w:tcW w:w="858"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0.54</w:t>
            </w:r>
          </w:p>
        </w:tc>
        <w:tc>
          <w:tcPr>
            <w:tcW w:w="806"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$195,460</w:t>
            </w:r>
          </w:p>
        </w:tc>
      </w:tr>
      <w:tr w:rsidR="00AA4791" w:rsidRPr="00E3331A" w:rsidTr="00573669">
        <w:trPr>
          <w:trHeight w:val="300"/>
        </w:trPr>
        <w:tc>
          <w:tcPr>
            <w:tcW w:w="1384" w:type="pct"/>
            <w:vMerge/>
            <w:tcBorders>
              <w:left w:val="single" w:sz="4" w:space="0" w:color="auto"/>
              <w:bottom w:val="single" w:sz="4" w:space="0" w:color="auto"/>
              <w:right w:val="single" w:sz="4" w:space="0" w:color="auto"/>
            </w:tcBorders>
            <w:shd w:val="clear" w:color="auto" w:fill="auto"/>
            <w:vAlign w:val="center"/>
          </w:tcPr>
          <w:p w:rsidR="00AA4791" w:rsidRPr="00E3331A" w:rsidRDefault="00AA4791" w:rsidP="00AA4791">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AA4791" w:rsidRPr="00E3331A" w:rsidRDefault="00AA4791" w:rsidP="00AA4791">
            <w:pPr>
              <w:jc w:val="center"/>
              <w:rPr>
                <w:rFonts w:ascii="Arial Narrow" w:hAnsi="Arial Narrow" w:cs="Calibri"/>
                <w:sz w:val="20"/>
                <w:szCs w:val="20"/>
              </w:rPr>
            </w:pPr>
            <w:r w:rsidRPr="00E3331A">
              <w:rPr>
                <w:rFonts w:ascii="Arial Narrow" w:hAnsi="Arial Narrow" w:cs="Calibri"/>
                <w:color w:val="000000"/>
                <w:sz w:val="20"/>
                <w:szCs w:val="20"/>
              </w:rPr>
              <w:t>100%</w:t>
            </w:r>
          </w:p>
        </w:tc>
        <w:tc>
          <w:tcPr>
            <w:tcW w:w="962"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$11,972</w:t>
            </w:r>
          </w:p>
        </w:tc>
        <w:tc>
          <w:tcPr>
            <w:tcW w:w="858"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0.08</w:t>
            </w:r>
          </w:p>
        </w:tc>
        <w:tc>
          <w:tcPr>
            <w:tcW w:w="806"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$141,681</w:t>
            </w:r>
          </w:p>
        </w:tc>
      </w:tr>
      <w:tr w:rsidR="00AA4791" w:rsidRPr="00E3331A" w:rsidTr="00573669">
        <w:trPr>
          <w:cantSplit/>
          <w:trHeight w:val="300"/>
        </w:trPr>
        <w:tc>
          <w:tcPr>
            <w:tcW w:w="1384" w:type="pct"/>
            <w:vMerge w:val="restart"/>
            <w:tcBorders>
              <w:top w:val="single" w:sz="4" w:space="0" w:color="auto"/>
              <w:left w:val="single" w:sz="4" w:space="0" w:color="auto"/>
              <w:right w:val="single" w:sz="4" w:space="0" w:color="auto"/>
            </w:tcBorders>
            <w:shd w:val="clear" w:color="auto" w:fill="auto"/>
            <w:vAlign w:val="center"/>
          </w:tcPr>
          <w:p w:rsidR="00AA4791" w:rsidRPr="00E3331A" w:rsidRDefault="00AA4791" w:rsidP="00AA4791">
            <w:pPr>
              <w:rPr>
                <w:rFonts w:ascii="Arial Narrow" w:hAnsi="Arial Narrow" w:cs="Calibri"/>
                <w:sz w:val="20"/>
                <w:szCs w:val="20"/>
              </w:rPr>
            </w:pPr>
            <w:r w:rsidRPr="00E3331A">
              <w:rPr>
                <w:rFonts w:ascii="Arial Narrow" w:hAnsi="Arial Narrow" w:cs="Calibri"/>
                <w:sz w:val="20"/>
                <w:szCs w:val="20"/>
              </w:rPr>
              <w:t>Steroid responder</w:t>
            </w:r>
          </w:p>
        </w:tc>
        <w:tc>
          <w:tcPr>
            <w:tcW w:w="990" w:type="pct"/>
            <w:tcBorders>
              <w:top w:val="single" w:sz="4" w:space="0" w:color="auto"/>
              <w:left w:val="nil"/>
              <w:bottom w:val="single" w:sz="4" w:space="0" w:color="auto"/>
              <w:right w:val="single" w:sz="4" w:space="0" w:color="auto"/>
            </w:tcBorders>
            <w:shd w:val="clear" w:color="auto" w:fill="auto"/>
            <w:vAlign w:val="center"/>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 xml:space="preserve">+10% </w:t>
            </w:r>
          </w:p>
        </w:tc>
        <w:tc>
          <w:tcPr>
            <w:tcW w:w="962"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$129,871</w:t>
            </w:r>
          </w:p>
        </w:tc>
        <w:tc>
          <w:tcPr>
            <w:tcW w:w="858"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0.67</w:t>
            </w:r>
          </w:p>
        </w:tc>
        <w:tc>
          <w:tcPr>
            <w:tcW w:w="806"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$193,882</w:t>
            </w:r>
          </w:p>
        </w:tc>
      </w:tr>
      <w:tr w:rsidR="00AA4791" w:rsidRPr="00E3331A" w:rsidTr="00573669">
        <w:trPr>
          <w:cantSplit/>
          <w:trHeight w:val="300"/>
        </w:trPr>
        <w:tc>
          <w:tcPr>
            <w:tcW w:w="1384" w:type="pct"/>
            <w:vMerge/>
            <w:tcBorders>
              <w:left w:val="single" w:sz="4" w:space="0" w:color="auto"/>
              <w:bottom w:val="single" w:sz="4" w:space="0" w:color="auto"/>
              <w:right w:val="single" w:sz="4" w:space="0" w:color="auto"/>
            </w:tcBorders>
            <w:shd w:val="clear" w:color="auto" w:fill="auto"/>
            <w:vAlign w:val="center"/>
          </w:tcPr>
          <w:p w:rsidR="00AA4791" w:rsidRPr="00E3331A" w:rsidRDefault="00AA4791" w:rsidP="00AA4791">
            <w:pPr>
              <w:rPr>
                <w:rFonts w:ascii="Arial Narrow" w:hAnsi="Arial Narrow" w:cs="Calibri"/>
                <w:sz w:val="20"/>
                <w:szCs w:val="20"/>
              </w:rPr>
            </w:pPr>
          </w:p>
        </w:tc>
        <w:tc>
          <w:tcPr>
            <w:tcW w:w="990" w:type="pct"/>
            <w:tcBorders>
              <w:top w:val="nil"/>
              <w:left w:val="nil"/>
              <w:bottom w:val="single" w:sz="4" w:space="0" w:color="auto"/>
              <w:right w:val="single" w:sz="4" w:space="0" w:color="auto"/>
            </w:tcBorders>
            <w:shd w:val="clear" w:color="auto" w:fill="auto"/>
            <w:vAlign w:val="center"/>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-10%</w:t>
            </w:r>
          </w:p>
        </w:tc>
        <w:tc>
          <w:tcPr>
            <w:tcW w:w="962"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$131,593</w:t>
            </w:r>
          </w:p>
        </w:tc>
        <w:tc>
          <w:tcPr>
            <w:tcW w:w="858"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0.65</w:t>
            </w:r>
          </w:p>
        </w:tc>
        <w:tc>
          <w:tcPr>
            <w:tcW w:w="806" w:type="pct"/>
            <w:tcBorders>
              <w:top w:val="nil"/>
              <w:left w:val="nil"/>
              <w:bottom w:val="single" w:sz="4" w:space="0" w:color="auto"/>
              <w:right w:val="single" w:sz="4" w:space="0" w:color="auto"/>
            </w:tcBorders>
            <w:shd w:val="clear" w:color="auto" w:fill="auto"/>
            <w:vAlign w:val="bottom"/>
          </w:tcPr>
          <w:p w:rsidR="00AA4791" w:rsidRPr="00E3331A" w:rsidRDefault="00AA4791" w:rsidP="00AA4791">
            <w:pPr>
              <w:jc w:val="center"/>
              <w:rPr>
                <w:rFonts w:ascii="Arial Narrow" w:hAnsi="Arial Narrow" w:cs="Calibri"/>
                <w:sz w:val="20"/>
                <w:szCs w:val="20"/>
              </w:rPr>
            </w:pPr>
            <w:r w:rsidRPr="00E3331A">
              <w:rPr>
                <w:rFonts w:ascii="Arial Narrow" w:hAnsi="Arial Narrow" w:cs="Calibri"/>
                <w:sz w:val="20"/>
                <w:szCs w:val="20"/>
              </w:rPr>
              <w:t>$201,304</w:t>
            </w:r>
          </w:p>
        </w:tc>
      </w:tr>
      <w:tr w:rsidR="00215807" w:rsidRPr="00E3331A" w:rsidTr="00573669">
        <w:trPr>
          <w:trHeight w:val="300"/>
        </w:trPr>
        <w:tc>
          <w:tcPr>
            <w:tcW w:w="1384" w:type="pct"/>
            <w:vMerge w:val="restart"/>
            <w:tcBorders>
              <w:top w:val="single" w:sz="4" w:space="0" w:color="auto"/>
              <w:left w:val="single" w:sz="4" w:space="0" w:color="auto"/>
              <w:right w:val="single" w:sz="4" w:space="0" w:color="auto"/>
            </w:tcBorders>
            <w:shd w:val="clear" w:color="auto" w:fill="auto"/>
            <w:vAlign w:val="center"/>
          </w:tcPr>
          <w:p w:rsidR="00215807" w:rsidRPr="00E3331A" w:rsidRDefault="00215807">
            <w:pPr>
              <w:rPr>
                <w:rFonts w:ascii="Arial Narrow" w:hAnsi="Arial Narrow" w:cs="Calibri"/>
                <w:sz w:val="20"/>
                <w:szCs w:val="20"/>
              </w:rPr>
            </w:pPr>
            <w:r w:rsidRPr="00E3331A">
              <w:rPr>
                <w:rFonts w:ascii="Arial Narrow" w:hAnsi="Arial Narrow" w:cs="Calibri"/>
                <w:sz w:val="20"/>
                <w:szCs w:val="20"/>
              </w:rPr>
              <w:t xml:space="preserve">Steroid adverse events </w:t>
            </w:r>
          </w:p>
        </w:tc>
        <w:tc>
          <w:tcPr>
            <w:tcW w:w="990" w:type="pct"/>
            <w:tcBorders>
              <w:top w:val="single" w:sz="4" w:space="0" w:color="auto"/>
              <w:left w:val="nil"/>
              <w:bottom w:val="single" w:sz="4" w:space="0" w:color="auto"/>
              <w:right w:val="single" w:sz="4" w:space="0" w:color="auto"/>
            </w:tcBorders>
            <w:shd w:val="clear" w:color="auto" w:fill="auto"/>
            <w:vAlign w:val="center"/>
          </w:tcPr>
          <w:p w:rsidR="00215807" w:rsidRPr="00E3331A" w:rsidRDefault="00215807" w:rsidP="00215807">
            <w:pPr>
              <w:jc w:val="center"/>
              <w:rPr>
                <w:rFonts w:ascii="Arial Narrow" w:hAnsi="Arial Narrow" w:cs="Calibri"/>
                <w:sz w:val="20"/>
                <w:szCs w:val="20"/>
              </w:rPr>
            </w:pPr>
            <w:r w:rsidRPr="00E3331A">
              <w:rPr>
                <w:rFonts w:ascii="Arial Narrow" w:hAnsi="Arial Narrow" w:cs="Calibri"/>
                <w:sz w:val="20"/>
                <w:szCs w:val="20"/>
              </w:rPr>
              <w:t xml:space="preserve">0% </w:t>
            </w:r>
          </w:p>
        </w:tc>
        <w:tc>
          <w:tcPr>
            <w:tcW w:w="962" w:type="pct"/>
            <w:tcBorders>
              <w:top w:val="single" w:sz="4" w:space="0" w:color="auto"/>
              <w:left w:val="nil"/>
              <w:bottom w:val="single" w:sz="4" w:space="0" w:color="auto"/>
              <w:right w:val="single" w:sz="4" w:space="0" w:color="auto"/>
            </w:tcBorders>
            <w:shd w:val="clear" w:color="auto" w:fill="auto"/>
            <w:vAlign w:val="bottom"/>
          </w:tcPr>
          <w:p w:rsidR="00215807" w:rsidRPr="00E3331A" w:rsidRDefault="00215807" w:rsidP="00215807">
            <w:pPr>
              <w:jc w:val="center"/>
              <w:rPr>
                <w:rFonts w:ascii="Arial Narrow" w:hAnsi="Arial Narrow" w:cs="Calibri"/>
                <w:sz w:val="20"/>
                <w:szCs w:val="20"/>
              </w:rPr>
            </w:pPr>
            <w:r w:rsidRPr="00E3331A">
              <w:rPr>
                <w:rFonts w:ascii="Arial Narrow" w:hAnsi="Arial Narrow" w:cs="Calibri"/>
                <w:sz w:val="20"/>
                <w:szCs w:val="20"/>
              </w:rPr>
              <w:t>$135,012</w:t>
            </w:r>
          </w:p>
        </w:tc>
        <w:tc>
          <w:tcPr>
            <w:tcW w:w="858" w:type="pct"/>
            <w:tcBorders>
              <w:top w:val="single" w:sz="4" w:space="0" w:color="auto"/>
              <w:left w:val="nil"/>
              <w:bottom w:val="single" w:sz="4" w:space="0" w:color="auto"/>
              <w:right w:val="single" w:sz="4" w:space="0" w:color="auto"/>
            </w:tcBorders>
            <w:shd w:val="clear" w:color="auto" w:fill="auto"/>
            <w:vAlign w:val="bottom"/>
          </w:tcPr>
          <w:p w:rsidR="00215807" w:rsidRPr="00E3331A" w:rsidRDefault="00215807" w:rsidP="00215807">
            <w:pPr>
              <w:jc w:val="center"/>
              <w:rPr>
                <w:rFonts w:ascii="Arial Narrow" w:hAnsi="Arial Narrow" w:cs="Calibri"/>
                <w:sz w:val="20"/>
                <w:szCs w:val="20"/>
              </w:rPr>
            </w:pPr>
            <w:r w:rsidRPr="00E3331A">
              <w:rPr>
                <w:rFonts w:ascii="Arial Narrow" w:hAnsi="Arial Narrow" w:cs="Calibri"/>
                <w:sz w:val="20"/>
                <w:szCs w:val="20"/>
              </w:rPr>
              <w:t>0.63</w:t>
            </w:r>
          </w:p>
        </w:tc>
        <w:tc>
          <w:tcPr>
            <w:tcW w:w="806" w:type="pct"/>
            <w:tcBorders>
              <w:top w:val="single" w:sz="4" w:space="0" w:color="auto"/>
              <w:left w:val="nil"/>
              <w:bottom w:val="single" w:sz="4" w:space="0" w:color="auto"/>
              <w:right w:val="single" w:sz="4" w:space="0" w:color="auto"/>
            </w:tcBorders>
            <w:shd w:val="clear" w:color="auto" w:fill="auto"/>
            <w:vAlign w:val="bottom"/>
          </w:tcPr>
          <w:p w:rsidR="00215807" w:rsidRPr="00E3331A" w:rsidRDefault="00215807" w:rsidP="00215807">
            <w:pPr>
              <w:jc w:val="center"/>
              <w:rPr>
                <w:rFonts w:ascii="Arial Narrow" w:hAnsi="Arial Narrow" w:cs="Calibri"/>
                <w:sz w:val="20"/>
                <w:szCs w:val="20"/>
              </w:rPr>
            </w:pPr>
            <w:r w:rsidRPr="00E3331A">
              <w:rPr>
                <w:rFonts w:ascii="Arial Narrow" w:hAnsi="Arial Narrow" w:cs="Calibri"/>
                <w:sz w:val="20"/>
                <w:szCs w:val="20"/>
              </w:rPr>
              <w:t>$215,420</w:t>
            </w:r>
          </w:p>
        </w:tc>
      </w:tr>
      <w:tr w:rsidR="00215807" w:rsidRPr="00E3331A" w:rsidTr="00573669">
        <w:trPr>
          <w:trHeight w:val="300"/>
        </w:trPr>
        <w:tc>
          <w:tcPr>
            <w:tcW w:w="1384" w:type="pct"/>
            <w:vMerge/>
            <w:tcBorders>
              <w:left w:val="single" w:sz="4" w:space="0" w:color="auto"/>
              <w:bottom w:val="single" w:sz="4" w:space="0" w:color="auto"/>
              <w:right w:val="single" w:sz="4" w:space="0" w:color="auto"/>
            </w:tcBorders>
            <w:shd w:val="clear" w:color="auto" w:fill="auto"/>
            <w:vAlign w:val="center"/>
          </w:tcPr>
          <w:p w:rsidR="00215807" w:rsidRPr="00E3331A" w:rsidRDefault="00215807" w:rsidP="00215807">
            <w:pPr>
              <w:rPr>
                <w:rFonts w:ascii="Arial Narrow" w:hAnsi="Arial Narrow" w:cs="Calibri"/>
                <w:sz w:val="20"/>
                <w:szCs w:val="20"/>
              </w:rPr>
            </w:pPr>
          </w:p>
        </w:tc>
        <w:tc>
          <w:tcPr>
            <w:tcW w:w="990" w:type="pct"/>
            <w:tcBorders>
              <w:top w:val="single" w:sz="4" w:space="0" w:color="auto"/>
              <w:left w:val="nil"/>
              <w:bottom w:val="single" w:sz="4" w:space="0" w:color="auto"/>
              <w:right w:val="single" w:sz="4" w:space="0" w:color="auto"/>
            </w:tcBorders>
            <w:shd w:val="clear" w:color="auto" w:fill="auto"/>
            <w:vAlign w:val="center"/>
          </w:tcPr>
          <w:p w:rsidR="00215807" w:rsidRPr="00E3331A" w:rsidRDefault="00215807" w:rsidP="00215807">
            <w:pPr>
              <w:jc w:val="center"/>
              <w:rPr>
                <w:rFonts w:ascii="Arial Narrow" w:hAnsi="Arial Narrow" w:cs="Calibri"/>
                <w:sz w:val="20"/>
                <w:szCs w:val="20"/>
              </w:rPr>
            </w:pPr>
            <w:r w:rsidRPr="00E3331A">
              <w:rPr>
                <w:rFonts w:ascii="Arial Narrow" w:hAnsi="Arial Narrow" w:cs="Calibri"/>
                <w:sz w:val="20"/>
                <w:szCs w:val="20"/>
              </w:rPr>
              <w:t>Wilson et al</w:t>
            </w:r>
          </w:p>
        </w:tc>
        <w:tc>
          <w:tcPr>
            <w:tcW w:w="962" w:type="pct"/>
            <w:tcBorders>
              <w:top w:val="single" w:sz="4" w:space="0" w:color="auto"/>
              <w:left w:val="nil"/>
              <w:bottom w:val="single" w:sz="4" w:space="0" w:color="auto"/>
              <w:right w:val="single" w:sz="4" w:space="0" w:color="auto"/>
            </w:tcBorders>
            <w:shd w:val="clear" w:color="auto" w:fill="auto"/>
            <w:vAlign w:val="bottom"/>
          </w:tcPr>
          <w:p w:rsidR="00215807" w:rsidRPr="00E3331A" w:rsidRDefault="00215807" w:rsidP="00215807">
            <w:pPr>
              <w:jc w:val="center"/>
              <w:rPr>
                <w:rFonts w:ascii="Arial Narrow" w:hAnsi="Arial Narrow" w:cs="Calibri"/>
                <w:sz w:val="20"/>
                <w:szCs w:val="20"/>
              </w:rPr>
            </w:pPr>
            <w:r w:rsidRPr="00E3331A">
              <w:rPr>
                <w:rFonts w:ascii="Arial Narrow" w:hAnsi="Arial Narrow" w:cs="Calibri"/>
                <w:sz w:val="20"/>
                <w:szCs w:val="20"/>
              </w:rPr>
              <w:t>$131,752</w:t>
            </w:r>
          </w:p>
        </w:tc>
        <w:tc>
          <w:tcPr>
            <w:tcW w:w="858" w:type="pct"/>
            <w:tcBorders>
              <w:top w:val="single" w:sz="4" w:space="0" w:color="auto"/>
              <w:left w:val="nil"/>
              <w:bottom w:val="single" w:sz="4" w:space="0" w:color="auto"/>
              <w:right w:val="single" w:sz="4" w:space="0" w:color="auto"/>
            </w:tcBorders>
            <w:shd w:val="clear" w:color="auto" w:fill="auto"/>
            <w:vAlign w:val="bottom"/>
          </w:tcPr>
          <w:p w:rsidR="00215807" w:rsidRPr="00E3331A" w:rsidRDefault="00215807" w:rsidP="00215807">
            <w:pPr>
              <w:jc w:val="center"/>
              <w:rPr>
                <w:rFonts w:ascii="Arial Narrow" w:hAnsi="Arial Narrow" w:cs="Calibri"/>
                <w:sz w:val="20"/>
                <w:szCs w:val="20"/>
              </w:rPr>
            </w:pPr>
            <w:r w:rsidRPr="00E3331A">
              <w:rPr>
                <w:rFonts w:ascii="Arial Narrow" w:hAnsi="Arial Narrow" w:cs="Calibri"/>
                <w:sz w:val="20"/>
                <w:szCs w:val="20"/>
              </w:rPr>
              <w:t>0.65</w:t>
            </w:r>
          </w:p>
        </w:tc>
        <w:tc>
          <w:tcPr>
            <w:tcW w:w="806" w:type="pct"/>
            <w:tcBorders>
              <w:top w:val="single" w:sz="4" w:space="0" w:color="auto"/>
              <w:left w:val="nil"/>
              <w:bottom w:val="single" w:sz="4" w:space="0" w:color="auto"/>
              <w:right w:val="single" w:sz="4" w:space="0" w:color="auto"/>
            </w:tcBorders>
            <w:shd w:val="clear" w:color="auto" w:fill="auto"/>
            <w:vAlign w:val="bottom"/>
          </w:tcPr>
          <w:p w:rsidR="00215807" w:rsidRPr="00E3331A" w:rsidRDefault="00215807" w:rsidP="00215807">
            <w:pPr>
              <w:jc w:val="center"/>
              <w:rPr>
                <w:rFonts w:ascii="Arial Narrow" w:hAnsi="Arial Narrow" w:cs="Calibri"/>
                <w:sz w:val="20"/>
                <w:szCs w:val="20"/>
              </w:rPr>
            </w:pPr>
            <w:r w:rsidRPr="00E3331A">
              <w:rPr>
                <w:rFonts w:ascii="Arial Narrow" w:hAnsi="Arial Narrow" w:cs="Calibri"/>
                <w:sz w:val="20"/>
                <w:szCs w:val="20"/>
              </w:rPr>
              <w:t>$201,540</w:t>
            </w:r>
          </w:p>
        </w:tc>
      </w:tr>
      <w:tr w:rsidR="00573669" w:rsidRPr="00E3331A" w:rsidTr="00573669">
        <w:trPr>
          <w:trHeight w:val="300"/>
        </w:trPr>
        <w:tc>
          <w:tcPr>
            <w:tcW w:w="1384" w:type="pct"/>
            <w:vMerge w:val="restart"/>
            <w:tcBorders>
              <w:left w:val="single" w:sz="4" w:space="0" w:color="auto"/>
              <w:right w:val="single" w:sz="4" w:space="0" w:color="auto"/>
            </w:tcBorders>
            <w:shd w:val="clear" w:color="auto" w:fill="auto"/>
            <w:vAlign w:val="center"/>
          </w:tcPr>
          <w:p w:rsidR="00573669" w:rsidRPr="00E3331A" w:rsidRDefault="00573669" w:rsidP="00215807">
            <w:pPr>
              <w:rPr>
                <w:rFonts w:ascii="Arial Narrow" w:hAnsi="Arial Narrow" w:cs="Calibri"/>
                <w:sz w:val="20"/>
                <w:szCs w:val="20"/>
              </w:rPr>
            </w:pPr>
            <w:r>
              <w:rPr>
                <w:rFonts w:ascii="Arial Narrow" w:hAnsi="Arial Narrow" w:cs="Calibri"/>
                <w:sz w:val="20"/>
                <w:szCs w:val="20"/>
              </w:rPr>
              <w:t>I</w:t>
            </w:r>
            <w:r w:rsidRPr="002B786E">
              <w:rPr>
                <w:rFonts w:ascii="Arial Narrow" w:hAnsi="Arial Narrow" w:cs="Calibri"/>
                <w:sz w:val="20"/>
                <w:szCs w:val="20"/>
              </w:rPr>
              <w:t>mmunosuppressants</w:t>
            </w:r>
            <w:r w:rsidRPr="002B786E" w:rsidDel="002B786E">
              <w:rPr>
                <w:rFonts w:ascii="Arial Narrow" w:hAnsi="Arial Narrow" w:cs="Calibri"/>
                <w:sz w:val="20"/>
                <w:szCs w:val="20"/>
              </w:rPr>
              <w:t xml:space="preserve"> </w:t>
            </w:r>
            <w:r w:rsidRPr="00E3331A">
              <w:rPr>
                <w:rFonts w:ascii="Arial Narrow" w:hAnsi="Arial Narrow" w:cs="Calibri"/>
                <w:sz w:val="20"/>
                <w:szCs w:val="20"/>
              </w:rPr>
              <w:t>non</w:t>
            </w:r>
            <w:r>
              <w:rPr>
                <w:rFonts w:ascii="Arial Narrow" w:hAnsi="Arial Narrow" w:cs="Calibri"/>
                <w:sz w:val="20"/>
                <w:szCs w:val="20"/>
              </w:rPr>
              <w:t>-</w:t>
            </w:r>
            <w:r w:rsidRPr="00E3331A">
              <w:rPr>
                <w:rFonts w:ascii="Arial Narrow" w:hAnsi="Arial Narrow" w:cs="Calibri"/>
                <w:sz w:val="20"/>
                <w:szCs w:val="20"/>
              </w:rPr>
              <w:t>response and Disability</w:t>
            </w:r>
          </w:p>
        </w:tc>
        <w:tc>
          <w:tcPr>
            <w:tcW w:w="990" w:type="pct"/>
            <w:tcBorders>
              <w:top w:val="single" w:sz="4" w:space="0" w:color="auto"/>
              <w:left w:val="nil"/>
              <w:bottom w:val="single" w:sz="4" w:space="0" w:color="auto"/>
              <w:right w:val="single" w:sz="4" w:space="0" w:color="auto"/>
            </w:tcBorders>
            <w:shd w:val="clear" w:color="auto" w:fill="auto"/>
            <w:vAlign w:val="center"/>
          </w:tcPr>
          <w:p w:rsidR="00573669" w:rsidRPr="00E3331A" w:rsidRDefault="00573669" w:rsidP="00464E0A">
            <w:pPr>
              <w:spacing w:after="0" w:line="240" w:lineRule="auto"/>
              <w:jc w:val="center"/>
              <w:rPr>
                <w:rFonts w:ascii="Arial Narrow" w:hAnsi="Arial Narrow" w:cs="Calibri"/>
                <w:sz w:val="20"/>
                <w:szCs w:val="20"/>
              </w:rPr>
            </w:pPr>
            <w:r w:rsidRPr="00E3331A">
              <w:rPr>
                <w:rFonts w:ascii="Arial Narrow" w:hAnsi="Arial Narrow" w:cs="Calibri"/>
                <w:sz w:val="20"/>
                <w:szCs w:val="20"/>
              </w:rPr>
              <w:t xml:space="preserve">No </w:t>
            </w:r>
            <w:r>
              <w:rPr>
                <w:rFonts w:ascii="Arial Narrow" w:hAnsi="Arial Narrow" w:cs="Calibri"/>
                <w:sz w:val="20"/>
                <w:szCs w:val="20"/>
              </w:rPr>
              <w:t>I</w:t>
            </w:r>
            <w:r w:rsidRPr="002B786E">
              <w:rPr>
                <w:rFonts w:ascii="Arial Narrow" w:hAnsi="Arial Narrow" w:cs="Calibri"/>
                <w:sz w:val="20"/>
                <w:szCs w:val="20"/>
              </w:rPr>
              <w:t>mmunosuppressants</w:t>
            </w:r>
            <w:r w:rsidRPr="002B786E" w:rsidDel="002B786E">
              <w:rPr>
                <w:rFonts w:ascii="Arial Narrow" w:hAnsi="Arial Narrow" w:cs="Calibri"/>
                <w:sz w:val="20"/>
                <w:szCs w:val="20"/>
              </w:rPr>
              <w:t xml:space="preserve"> </w:t>
            </w:r>
            <w:r w:rsidRPr="00E3331A">
              <w:rPr>
                <w:rFonts w:ascii="Arial Narrow" w:hAnsi="Arial Narrow" w:cs="Calibri"/>
                <w:sz w:val="20"/>
                <w:szCs w:val="20"/>
              </w:rPr>
              <w:t>non</w:t>
            </w:r>
            <w:r>
              <w:rPr>
                <w:rFonts w:ascii="Arial Narrow" w:hAnsi="Arial Narrow" w:cs="Calibri"/>
                <w:sz w:val="20"/>
                <w:szCs w:val="20"/>
              </w:rPr>
              <w:t>-</w:t>
            </w:r>
            <w:r w:rsidRPr="00E3331A">
              <w:rPr>
                <w:rFonts w:ascii="Arial Narrow" w:hAnsi="Arial Narrow" w:cs="Calibri"/>
                <w:sz w:val="20"/>
                <w:szCs w:val="20"/>
              </w:rPr>
              <w:t>response</w:t>
            </w:r>
          </w:p>
        </w:tc>
        <w:tc>
          <w:tcPr>
            <w:tcW w:w="962" w:type="pct"/>
            <w:tcBorders>
              <w:top w:val="single" w:sz="4" w:space="0" w:color="auto"/>
              <w:left w:val="nil"/>
              <w:bottom w:val="single" w:sz="4" w:space="0" w:color="auto"/>
              <w:right w:val="single" w:sz="4" w:space="0" w:color="auto"/>
            </w:tcBorders>
            <w:shd w:val="clear" w:color="auto" w:fill="auto"/>
            <w:vAlign w:val="bottom"/>
          </w:tcPr>
          <w:p w:rsidR="00573669" w:rsidRPr="00E3331A" w:rsidRDefault="00573669" w:rsidP="00215807">
            <w:pPr>
              <w:jc w:val="center"/>
              <w:rPr>
                <w:rFonts w:ascii="Arial Narrow" w:hAnsi="Arial Narrow" w:cs="Calibri"/>
                <w:sz w:val="20"/>
                <w:szCs w:val="20"/>
              </w:rPr>
            </w:pPr>
            <w:r w:rsidRPr="00E3331A">
              <w:rPr>
                <w:rFonts w:ascii="Arial Narrow" w:hAnsi="Arial Narrow" w:cs="Calibri"/>
                <w:sz w:val="20"/>
                <w:szCs w:val="20"/>
              </w:rPr>
              <w:t>$145,510</w:t>
            </w:r>
          </w:p>
        </w:tc>
        <w:tc>
          <w:tcPr>
            <w:tcW w:w="858" w:type="pct"/>
            <w:tcBorders>
              <w:top w:val="single" w:sz="4" w:space="0" w:color="auto"/>
              <w:left w:val="nil"/>
              <w:bottom w:val="single" w:sz="4" w:space="0" w:color="auto"/>
              <w:right w:val="single" w:sz="4" w:space="0" w:color="auto"/>
            </w:tcBorders>
            <w:shd w:val="clear" w:color="auto" w:fill="auto"/>
            <w:vAlign w:val="bottom"/>
          </w:tcPr>
          <w:p w:rsidR="00573669" w:rsidRPr="00E3331A" w:rsidRDefault="00573669" w:rsidP="00215807">
            <w:pPr>
              <w:jc w:val="center"/>
              <w:rPr>
                <w:rFonts w:ascii="Arial Narrow" w:hAnsi="Arial Narrow" w:cs="Calibri"/>
                <w:sz w:val="20"/>
                <w:szCs w:val="20"/>
              </w:rPr>
            </w:pPr>
            <w:r w:rsidRPr="00E3331A">
              <w:rPr>
                <w:rFonts w:ascii="Arial Narrow" w:hAnsi="Arial Narrow" w:cs="Calibri"/>
                <w:sz w:val="20"/>
                <w:szCs w:val="20"/>
              </w:rPr>
              <w:t>0.53</w:t>
            </w:r>
          </w:p>
        </w:tc>
        <w:tc>
          <w:tcPr>
            <w:tcW w:w="806" w:type="pct"/>
            <w:tcBorders>
              <w:top w:val="single" w:sz="4" w:space="0" w:color="auto"/>
              <w:left w:val="nil"/>
              <w:bottom w:val="single" w:sz="4" w:space="0" w:color="auto"/>
              <w:right w:val="single" w:sz="4" w:space="0" w:color="auto"/>
            </w:tcBorders>
            <w:shd w:val="clear" w:color="auto" w:fill="auto"/>
            <w:vAlign w:val="bottom"/>
          </w:tcPr>
          <w:p w:rsidR="00573669" w:rsidRPr="00E3331A" w:rsidRDefault="00573669" w:rsidP="00215807">
            <w:pPr>
              <w:jc w:val="center"/>
              <w:rPr>
                <w:rFonts w:ascii="Arial Narrow" w:hAnsi="Arial Narrow" w:cs="Calibri"/>
                <w:sz w:val="20"/>
                <w:szCs w:val="20"/>
              </w:rPr>
            </w:pPr>
            <w:r w:rsidRPr="00E3331A">
              <w:rPr>
                <w:rFonts w:ascii="Arial Narrow" w:hAnsi="Arial Narrow" w:cs="Calibri"/>
                <w:sz w:val="20"/>
                <w:szCs w:val="20"/>
              </w:rPr>
              <w:t>$274,132</w:t>
            </w:r>
          </w:p>
        </w:tc>
      </w:tr>
      <w:tr w:rsidR="00573669" w:rsidRPr="00E3331A" w:rsidTr="00573669">
        <w:trPr>
          <w:trHeight w:val="300"/>
        </w:trPr>
        <w:tc>
          <w:tcPr>
            <w:tcW w:w="1384" w:type="pct"/>
            <w:vMerge/>
            <w:tcBorders>
              <w:left w:val="single" w:sz="4" w:space="0" w:color="auto"/>
              <w:right w:val="single" w:sz="4" w:space="0" w:color="auto"/>
            </w:tcBorders>
            <w:shd w:val="clear" w:color="auto" w:fill="auto"/>
            <w:vAlign w:val="center"/>
          </w:tcPr>
          <w:p w:rsidR="00573669" w:rsidRPr="00E3331A" w:rsidRDefault="00573669" w:rsidP="00215807">
            <w:pPr>
              <w:rPr>
                <w:rFonts w:ascii="Arial Narrow" w:hAnsi="Arial Narrow" w:cs="Calibri"/>
                <w:sz w:val="20"/>
                <w:szCs w:val="20"/>
              </w:rPr>
            </w:pPr>
          </w:p>
        </w:tc>
        <w:tc>
          <w:tcPr>
            <w:tcW w:w="990" w:type="pct"/>
            <w:tcBorders>
              <w:top w:val="single" w:sz="4" w:space="0" w:color="auto"/>
              <w:left w:val="nil"/>
              <w:bottom w:val="single" w:sz="4" w:space="0" w:color="auto"/>
              <w:right w:val="single" w:sz="4" w:space="0" w:color="auto"/>
            </w:tcBorders>
            <w:shd w:val="clear" w:color="auto" w:fill="auto"/>
            <w:vAlign w:val="center"/>
          </w:tcPr>
          <w:p w:rsidR="00573669" w:rsidRPr="00E3331A" w:rsidRDefault="00573669" w:rsidP="00215807">
            <w:pPr>
              <w:jc w:val="center"/>
              <w:rPr>
                <w:rFonts w:ascii="Arial Narrow" w:hAnsi="Arial Narrow" w:cs="Calibri"/>
                <w:sz w:val="20"/>
                <w:szCs w:val="20"/>
              </w:rPr>
            </w:pPr>
            <w:r w:rsidRPr="00E3331A">
              <w:rPr>
                <w:rFonts w:ascii="Arial Narrow" w:hAnsi="Arial Narrow" w:cs="Calibri"/>
                <w:sz w:val="20"/>
                <w:szCs w:val="20"/>
              </w:rPr>
              <w:t xml:space="preserve">No probability of disability </w:t>
            </w:r>
          </w:p>
        </w:tc>
        <w:tc>
          <w:tcPr>
            <w:tcW w:w="962" w:type="pct"/>
            <w:tcBorders>
              <w:top w:val="single" w:sz="4" w:space="0" w:color="auto"/>
              <w:left w:val="nil"/>
              <w:bottom w:val="single" w:sz="4" w:space="0" w:color="auto"/>
              <w:right w:val="single" w:sz="4" w:space="0" w:color="auto"/>
            </w:tcBorders>
            <w:shd w:val="clear" w:color="auto" w:fill="auto"/>
            <w:vAlign w:val="bottom"/>
          </w:tcPr>
          <w:p w:rsidR="00573669" w:rsidRPr="00E3331A" w:rsidRDefault="00573669" w:rsidP="00215807">
            <w:pPr>
              <w:jc w:val="center"/>
              <w:rPr>
                <w:rFonts w:ascii="Arial Narrow" w:hAnsi="Arial Narrow" w:cs="Calibri"/>
                <w:sz w:val="20"/>
                <w:szCs w:val="20"/>
              </w:rPr>
            </w:pPr>
            <w:r w:rsidRPr="00E3331A">
              <w:rPr>
                <w:rFonts w:ascii="Arial Narrow" w:hAnsi="Arial Narrow" w:cs="Calibri"/>
                <w:sz w:val="20"/>
                <w:szCs w:val="20"/>
              </w:rPr>
              <w:t>$143,888</w:t>
            </w:r>
          </w:p>
        </w:tc>
        <w:tc>
          <w:tcPr>
            <w:tcW w:w="858" w:type="pct"/>
            <w:tcBorders>
              <w:top w:val="single" w:sz="4" w:space="0" w:color="auto"/>
              <w:left w:val="nil"/>
              <w:bottom w:val="single" w:sz="4" w:space="0" w:color="auto"/>
              <w:right w:val="single" w:sz="4" w:space="0" w:color="auto"/>
            </w:tcBorders>
            <w:shd w:val="clear" w:color="auto" w:fill="auto"/>
            <w:vAlign w:val="bottom"/>
          </w:tcPr>
          <w:p w:rsidR="00573669" w:rsidRPr="00E3331A" w:rsidRDefault="00573669" w:rsidP="00215807">
            <w:pPr>
              <w:jc w:val="center"/>
              <w:rPr>
                <w:rFonts w:ascii="Arial Narrow" w:hAnsi="Arial Narrow" w:cs="Calibri"/>
                <w:sz w:val="20"/>
                <w:szCs w:val="20"/>
              </w:rPr>
            </w:pPr>
            <w:r w:rsidRPr="00E3331A">
              <w:rPr>
                <w:rFonts w:ascii="Arial Narrow" w:hAnsi="Arial Narrow" w:cs="Calibri"/>
                <w:sz w:val="20"/>
                <w:szCs w:val="20"/>
              </w:rPr>
              <w:t>0.50</w:t>
            </w:r>
          </w:p>
        </w:tc>
        <w:tc>
          <w:tcPr>
            <w:tcW w:w="806" w:type="pct"/>
            <w:tcBorders>
              <w:top w:val="single" w:sz="4" w:space="0" w:color="auto"/>
              <w:left w:val="nil"/>
              <w:bottom w:val="single" w:sz="4" w:space="0" w:color="auto"/>
              <w:right w:val="single" w:sz="4" w:space="0" w:color="auto"/>
            </w:tcBorders>
            <w:shd w:val="clear" w:color="auto" w:fill="auto"/>
            <w:vAlign w:val="bottom"/>
          </w:tcPr>
          <w:p w:rsidR="00573669" w:rsidRPr="00E3331A" w:rsidRDefault="00573669" w:rsidP="00215807">
            <w:pPr>
              <w:jc w:val="center"/>
              <w:rPr>
                <w:rFonts w:ascii="Arial Narrow" w:hAnsi="Arial Narrow" w:cs="Calibri"/>
                <w:sz w:val="20"/>
                <w:szCs w:val="20"/>
              </w:rPr>
            </w:pPr>
            <w:r w:rsidRPr="00E3331A">
              <w:rPr>
                <w:rFonts w:ascii="Arial Narrow" w:hAnsi="Arial Narrow" w:cs="Calibri"/>
                <w:sz w:val="20"/>
                <w:szCs w:val="20"/>
              </w:rPr>
              <w:t>$285,559</w:t>
            </w:r>
          </w:p>
        </w:tc>
      </w:tr>
      <w:tr w:rsidR="00573669" w:rsidRPr="00E3331A" w:rsidTr="00573669">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573669" w:rsidRPr="00E3331A" w:rsidRDefault="00573669" w:rsidP="00573669">
            <w:pPr>
              <w:rPr>
                <w:rFonts w:ascii="Arial Narrow" w:hAnsi="Arial Narrow" w:cs="Calibri"/>
                <w:sz w:val="20"/>
                <w:szCs w:val="20"/>
              </w:rPr>
            </w:pPr>
            <w:r w:rsidRPr="00E3331A">
              <w:rPr>
                <w:rFonts w:ascii="Arial Narrow" w:hAnsi="Arial Narrow" w:cs="Calibri"/>
                <w:b/>
                <w:bCs/>
                <w:i/>
                <w:iCs/>
                <w:sz w:val="20"/>
                <w:szCs w:val="20"/>
                <w:lang w:val="en-US"/>
              </w:rPr>
              <w:t>Mortality odds ratio</w:t>
            </w:r>
          </w:p>
        </w:tc>
      </w:tr>
      <w:tr w:rsidR="00215807" w:rsidRPr="00E3331A" w:rsidTr="00573669">
        <w:trPr>
          <w:cantSplit/>
          <w:trHeight w:val="300"/>
        </w:trPr>
        <w:tc>
          <w:tcPr>
            <w:tcW w:w="1384" w:type="pct"/>
            <w:tcBorders>
              <w:top w:val="nil"/>
              <w:left w:val="single" w:sz="4" w:space="0" w:color="auto"/>
              <w:bottom w:val="single" w:sz="4" w:space="0" w:color="auto"/>
              <w:right w:val="single" w:sz="4" w:space="0" w:color="auto"/>
            </w:tcBorders>
            <w:shd w:val="clear" w:color="auto" w:fill="auto"/>
            <w:vAlign w:val="center"/>
          </w:tcPr>
          <w:p w:rsidR="00215807" w:rsidRPr="00E3331A" w:rsidRDefault="00215807" w:rsidP="00215807">
            <w:pPr>
              <w:rPr>
                <w:rFonts w:ascii="Arial Narrow" w:hAnsi="Arial Narrow" w:cs="Calibri"/>
                <w:sz w:val="20"/>
                <w:szCs w:val="20"/>
              </w:rPr>
            </w:pPr>
            <w:r w:rsidRPr="00E3331A">
              <w:rPr>
                <w:rFonts w:ascii="Arial Narrow" w:hAnsi="Arial Narrow" w:cs="Calibri"/>
                <w:sz w:val="20"/>
                <w:szCs w:val="20"/>
              </w:rPr>
              <w:t xml:space="preserve">Fracture, diabetes and infection </w:t>
            </w:r>
          </w:p>
        </w:tc>
        <w:tc>
          <w:tcPr>
            <w:tcW w:w="990" w:type="pct"/>
            <w:tcBorders>
              <w:top w:val="nil"/>
              <w:left w:val="nil"/>
              <w:bottom w:val="single" w:sz="4" w:space="0" w:color="auto"/>
              <w:right w:val="single" w:sz="4" w:space="0" w:color="auto"/>
            </w:tcBorders>
            <w:shd w:val="clear" w:color="auto" w:fill="auto"/>
            <w:vAlign w:val="center"/>
          </w:tcPr>
          <w:p w:rsidR="00215807" w:rsidRPr="00E3331A" w:rsidRDefault="00215807" w:rsidP="00215807">
            <w:pPr>
              <w:jc w:val="center"/>
              <w:rPr>
                <w:rFonts w:ascii="Arial Narrow" w:hAnsi="Arial Narrow" w:cs="Calibri"/>
                <w:sz w:val="20"/>
                <w:szCs w:val="20"/>
              </w:rPr>
            </w:pPr>
            <w:r w:rsidRPr="00E3331A">
              <w:rPr>
                <w:rFonts w:ascii="Arial Narrow" w:hAnsi="Arial Narrow" w:cs="Calibri"/>
                <w:sz w:val="20"/>
                <w:szCs w:val="20"/>
              </w:rPr>
              <w:t xml:space="preserve">0% </w:t>
            </w:r>
          </w:p>
        </w:tc>
        <w:tc>
          <w:tcPr>
            <w:tcW w:w="962" w:type="pct"/>
            <w:tcBorders>
              <w:top w:val="nil"/>
              <w:left w:val="nil"/>
              <w:bottom w:val="single" w:sz="4" w:space="0" w:color="auto"/>
              <w:right w:val="single" w:sz="4" w:space="0" w:color="auto"/>
            </w:tcBorders>
            <w:shd w:val="clear" w:color="auto" w:fill="auto"/>
            <w:vAlign w:val="bottom"/>
          </w:tcPr>
          <w:p w:rsidR="00215807" w:rsidRPr="00E3331A" w:rsidRDefault="00215807" w:rsidP="00215807">
            <w:pPr>
              <w:jc w:val="center"/>
              <w:rPr>
                <w:rFonts w:ascii="Arial Narrow" w:hAnsi="Arial Narrow" w:cs="Calibri"/>
                <w:sz w:val="20"/>
                <w:szCs w:val="20"/>
              </w:rPr>
            </w:pPr>
            <w:r w:rsidRPr="00E3331A">
              <w:rPr>
                <w:rFonts w:ascii="Arial Narrow" w:hAnsi="Arial Narrow" w:cs="Calibri"/>
                <w:sz w:val="20"/>
                <w:szCs w:val="20"/>
              </w:rPr>
              <w:t>$130,714</w:t>
            </w:r>
          </w:p>
        </w:tc>
        <w:tc>
          <w:tcPr>
            <w:tcW w:w="858" w:type="pct"/>
            <w:tcBorders>
              <w:top w:val="nil"/>
              <w:left w:val="nil"/>
              <w:bottom w:val="single" w:sz="4" w:space="0" w:color="auto"/>
              <w:right w:val="single" w:sz="4" w:space="0" w:color="auto"/>
            </w:tcBorders>
            <w:shd w:val="clear" w:color="auto" w:fill="auto"/>
            <w:vAlign w:val="bottom"/>
          </w:tcPr>
          <w:p w:rsidR="00215807" w:rsidRPr="00E3331A" w:rsidRDefault="00215807" w:rsidP="00215807">
            <w:pPr>
              <w:jc w:val="center"/>
              <w:rPr>
                <w:rFonts w:ascii="Arial Narrow" w:hAnsi="Arial Narrow" w:cs="Calibri"/>
                <w:sz w:val="20"/>
                <w:szCs w:val="20"/>
              </w:rPr>
            </w:pPr>
            <w:r w:rsidRPr="00E3331A">
              <w:rPr>
                <w:rFonts w:ascii="Arial Narrow" w:hAnsi="Arial Narrow" w:cs="Calibri"/>
                <w:sz w:val="20"/>
                <w:szCs w:val="20"/>
              </w:rPr>
              <w:t>0.66</w:t>
            </w:r>
          </w:p>
        </w:tc>
        <w:tc>
          <w:tcPr>
            <w:tcW w:w="806" w:type="pct"/>
            <w:tcBorders>
              <w:top w:val="nil"/>
              <w:left w:val="nil"/>
              <w:bottom w:val="single" w:sz="4" w:space="0" w:color="auto"/>
              <w:right w:val="single" w:sz="4" w:space="0" w:color="auto"/>
            </w:tcBorders>
            <w:shd w:val="clear" w:color="auto" w:fill="auto"/>
            <w:vAlign w:val="bottom"/>
          </w:tcPr>
          <w:p w:rsidR="00215807" w:rsidRPr="00E3331A" w:rsidRDefault="00215807" w:rsidP="00215807">
            <w:pPr>
              <w:jc w:val="center"/>
              <w:rPr>
                <w:rFonts w:ascii="Arial Narrow" w:hAnsi="Arial Narrow" w:cs="Calibri"/>
                <w:sz w:val="20"/>
                <w:szCs w:val="20"/>
              </w:rPr>
            </w:pPr>
            <w:r w:rsidRPr="00E3331A">
              <w:rPr>
                <w:rFonts w:ascii="Arial Narrow" w:hAnsi="Arial Narrow" w:cs="Calibri"/>
                <w:sz w:val="20"/>
                <w:szCs w:val="20"/>
              </w:rPr>
              <w:t>$197,473</w:t>
            </w:r>
          </w:p>
        </w:tc>
      </w:tr>
    </w:tbl>
    <w:p w:rsidR="001F5B33" w:rsidRPr="00E3331A" w:rsidRDefault="001F5B33">
      <w:pPr>
        <w:rPr>
          <w:rFonts w:ascii="Arial Narrow" w:hAnsi="Arial Narrow"/>
          <w:sz w:val="18"/>
        </w:rPr>
      </w:pPr>
      <w:r w:rsidRPr="00E3331A">
        <w:rPr>
          <w:rFonts w:ascii="Arial Narrow" w:hAnsi="Arial Narrow"/>
          <w:sz w:val="18"/>
        </w:rPr>
        <w:t>Abbreviations: ICER</w:t>
      </w:r>
      <w:r w:rsidR="00752189" w:rsidRPr="00E3331A">
        <w:rPr>
          <w:rFonts w:ascii="Arial Narrow" w:hAnsi="Arial Narrow"/>
          <w:sz w:val="18"/>
        </w:rPr>
        <w:t xml:space="preserve"> =</w:t>
      </w:r>
      <w:r w:rsidRPr="00E3331A">
        <w:rPr>
          <w:rFonts w:ascii="Arial Narrow" w:hAnsi="Arial Narrow"/>
          <w:sz w:val="18"/>
        </w:rPr>
        <w:t xml:space="preserve"> incremental cost-effectiveness ratio; </w:t>
      </w:r>
      <w:r w:rsidR="00095947" w:rsidRPr="00E3331A">
        <w:rPr>
          <w:rFonts w:ascii="Arial Narrow" w:hAnsi="Arial Narrow"/>
          <w:sz w:val="18"/>
        </w:rPr>
        <w:t>QALY, =</w:t>
      </w:r>
      <w:r w:rsidRPr="00E3331A">
        <w:rPr>
          <w:rFonts w:ascii="Arial Narrow" w:hAnsi="Arial Narrow"/>
          <w:sz w:val="18"/>
        </w:rPr>
        <w:t xml:space="preserve"> quality-adjusted life year.</w:t>
      </w:r>
      <w:r w:rsidR="00752189" w:rsidRPr="00E3331A">
        <w:rPr>
          <w:rFonts w:ascii="Arial Narrow" w:hAnsi="Arial Narrow"/>
          <w:sz w:val="18"/>
        </w:rPr>
        <w:t>; AE = adverse event</w:t>
      </w:r>
    </w:p>
    <w:p w:rsidR="001F5B33" w:rsidRPr="00E3331A" w:rsidRDefault="001F5B33" w:rsidP="00464E0A">
      <w:pPr>
        <w:pStyle w:val="BodyTextSTD"/>
        <w:numPr>
          <w:ilvl w:val="0"/>
          <w:numId w:val="47"/>
        </w:numPr>
      </w:pPr>
      <w:r w:rsidRPr="00E3331A">
        <w:t xml:space="preserve">A base projection of </w:t>
      </w:r>
      <w:r w:rsidR="00480612" w:rsidRPr="00E3331A">
        <w:t xml:space="preserve">10 </w:t>
      </w:r>
      <w:r w:rsidRPr="00E3331A">
        <w:t>years is used in the economic model</w:t>
      </w:r>
      <w:r w:rsidR="00480612" w:rsidRPr="00E3331A">
        <w:t>. This is longer than the b</w:t>
      </w:r>
      <w:r w:rsidRPr="00E3331A">
        <w:t>ase time frame used in Canada</w:t>
      </w:r>
      <w:r w:rsidR="000343E6" w:rsidRPr="00E3331A">
        <w:t xml:space="preserve"> </w:t>
      </w:r>
      <w:r w:rsidR="00480612" w:rsidRPr="00E3331A">
        <w:t xml:space="preserve">by </w:t>
      </w:r>
      <w:r w:rsidR="000343E6" w:rsidRPr="00E3331A">
        <w:t xml:space="preserve">Blackhouse </w:t>
      </w:r>
      <w:r w:rsidR="00983BA7">
        <w:t xml:space="preserve">et al. </w:t>
      </w:r>
      <w:r w:rsidR="000343E6" w:rsidRPr="00E3331A">
        <w:t>(2010)</w:t>
      </w:r>
      <w:r w:rsidRPr="00E3331A">
        <w:t>.</w:t>
      </w:r>
      <w:r w:rsidR="00345C95" w:rsidRPr="00E3331A">
        <w:t xml:space="preserve"> </w:t>
      </w:r>
      <w:r w:rsidR="00480612" w:rsidRPr="00E3331A">
        <w:t>Decreasing the extrapolation to 5</w:t>
      </w:r>
      <w:r w:rsidRPr="00E3331A">
        <w:t xml:space="preserve"> years </w:t>
      </w:r>
      <w:r w:rsidR="00480612" w:rsidRPr="00E3331A">
        <w:t xml:space="preserve">is undertaken </w:t>
      </w:r>
      <w:r w:rsidRPr="00E3331A">
        <w:t>in a sensitivity analysis.</w:t>
      </w:r>
      <w:r w:rsidR="00345C95" w:rsidRPr="00E3331A">
        <w:t xml:space="preserve"> </w:t>
      </w:r>
      <w:r w:rsidR="00480612" w:rsidRPr="00E3331A">
        <w:t>This increases the ICER</w:t>
      </w:r>
      <w:r w:rsidR="000B5C73" w:rsidRPr="00E3331A">
        <w:t xml:space="preserve"> to $236,378 per QALY</w:t>
      </w:r>
      <w:r w:rsidR="00480612" w:rsidRPr="00E3331A">
        <w:t xml:space="preserve">. </w:t>
      </w:r>
      <w:r w:rsidRPr="00E3331A">
        <w:t xml:space="preserve">The average age of entry in the baseline is </w:t>
      </w:r>
      <w:r w:rsidR="008567D1" w:rsidRPr="00E3331A">
        <w:t xml:space="preserve">55 </w:t>
      </w:r>
      <w:r w:rsidRPr="00E3331A">
        <w:t xml:space="preserve">years based on participants in key trials </w:t>
      </w:r>
      <w:r w:rsidR="000343E6" w:rsidRPr="00E3331A">
        <w:t>(</w:t>
      </w:r>
      <w:r w:rsidRPr="00E3331A">
        <w:t>range 48-55 years</w:t>
      </w:r>
      <w:r w:rsidR="000343E6" w:rsidRPr="00E3331A">
        <w:t>)</w:t>
      </w:r>
      <w:r w:rsidRPr="00E3331A">
        <w:t>. Changes in the assumed gender balance and starting age have a limited impact on the estimated ICER</w:t>
      </w:r>
      <w:r w:rsidR="000343E6" w:rsidRPr="00E3331A">
        <w:t>.</w:t>
      </w:r>
    </w:p>
    <w:p w:rsidR="001F5B33" w:rsidRPr="00E3331A" w:rsidRDefault="001F5B33" w:rsidP="00464E0A">
      <w:pPr>
        <w:pStyle w:val="BodyTextSTD"/>
        <w:numPr>
          <w:ilvl w:val="0"/>
          <w:numId w:val="47"/>
        </w:numPr>
      </w:pPr>
      <w:r w:rsidRPr="00E3331A">
        <w:lastRenderedPageBreak/>
        <w:t>The cost of Ig is a key cost driver of the model. Co</w:t>
      </w:r>
      <w:r w:rsidR="000343E6" w:rsidRPr="00E3331A">
        <w:t>nsequent</w:t>
      </w:r>
      <w:r w:rsidRPr="00E3331A">
        <w:t>ly, changes in assumed patient weight ha</w:t>
      </w:r>
      <w:r w:rsidR="000343E6" w:rsidRPr="00E3331A">
        <w:t>ve</w:t>
      </w:r>
      <w:r w:rsidRPr="00E3331A">
        <w:t xml:space="preserve"> a large impact on the estimated ICER. Most economic studies include a weight of 75kg. </w:t>
      </w:r>
      <w:r w:rsidR="000343E6" w:rsidRPr="00E3331A">
        <w:t xml:space="preserve">But </w:t>
      </w:r>
      <w:r w:rsidRPr="00E3331A">
        <w:t>Australian general population weights are higher than this.</w:t>
      </w:r>
      <w:r w:rsidR="00345C95" w:rsidRPr="00E3331A">
        <w:t xml:space="preserve"> </w:t>
      </w:r>
      <w:r w:rsidRPr="00E3331A">
        <w:t>For example, the average Australian weight at 50 years of age is 90.4 kg for males and 75.1 kg for females</w:t>
      </w:r>
      <w:r w:rsidR="000343E6" w:rsidRPr="00E3331A">
        <w:t xml:space="preserve"> (Australian Bureau of Statistics</w:t>
      </w:r>
      <w:r w:rsidR="000343E6" w:rsidRPr="00E3331A">
        <w:rPr>
          <w:rStyle w:val="FootnoteReference"/>
        </w:rPr>
        <w:footnoteReference w:id="31"/>
      </w:r>
      <w:r w:rsidR="000343E6" w:rsidRPr="00E3331A">
        <w:t>)</w:t>
      </w:r>
      <w:r w:rsidRPr="00E3331A">
        <w:t xml:space="preserve">. </w:t>
      </w:r>
      <w:r w:rsidR="00442FC2" w:rsidRPr="00E3331A">
        <w:t xml:space="preserve">The estimate of 497g </w:t>
      </w:r>
      <w:r w:rsidR="00077DDA" w:rsidRPr="00E3331A">
        <w:t xml:space="preserve">of Ig </w:t>
      </w:r>
      <w:r w:rsidR="00442FC2" w:rsidRPr="00E3331A">
        <w:t xml:space="preserve">per patient per year equates to 6.02g/kg </w:t>
      </w:r>
      <w:r w:rsidR="000343E6" w:rsidRPr="00E3331A">
        <w:t xml:space="preserve">for an </w:t>
      </w:r>
      <w:r w:rsidR="00077DDA" w:rsidRPr="00E3331A">
        <w:t>average Australian CIDP patient weigh</w:t>
      </w:r>
      <w:r w:rsidR="000343E6" w:rsidRPr="00E3331A">
        <w:t>ing 82.5kg</w:t>
      </w:r>
      <w:r w:rsidR="00077DDA" w:rsidRPr="00E3331A">
        <w:t xml:space="preserve"> (</w:t>
      </w:r>
      <w:r w:rsidR="000343E6" w:rsidRPr="00E3331A">
        <w:t>NBA data</w:t>
      </w:r>
      <w:r w:rsidR="000343E6" w:rsidRPr="00E3331A" w:rsidDel="000343E6">
        <w:t xml:space="preserve"> </w:t>
      </w:r>
      <w:r w:rsidR="00077DDA" w:rsidRPr="00E3331A">
        <w:t xml:space="preserve">2017-18). </w:t>
      </w:r>
      <w:r w:rsidRPr="00E3331A">
        <w:t>The model was not run for children due to the absence of clinical data for this age group. Based on a similar dose per kg and clinical outcomes in adults, the ICER decreases to $</w:t>
      </w:r>
      <w:r w:rsidR="000B5C73" w:rsidRPr="00E3331A">
        <w:t>89,383</w:t>
      </w:r>
      <w:r w:rsidR="008567D1" w:rsidRPr="00E3331A">
        <w:t xml:space="preserve"> </w:t>
      </w:r>
      <w:r w:rsidRPr="00E3331A">
        <w:t xml:space="preserve">per QALY for a </w:t>
      </w:r>
      <w:r w:rsidR="000343E6" w:rsidRPr="00E3331A">
        <w:t xml:space="preserve">patient weighing </w:t>
      </w:r>
      <w:r w:rsidRPr="00E3331A">
        <w:t>35 kg (average weight for 8-</w:t>
      </w:r>
      <w:r w:rsidR="000343E6" w:rsidRPr="00E3331A">
        <w:t xml:space="preserve"> to </w:t>
      </w:r>
      <w:r w:rsidRPr="00E3331A">
        <w:t xml:space="preserve">11-year old in 2017-18 ABS Health survey). </w:t>
      </w:r>
    </w:p>
    <w:p w:rsidR="001F5B33" w:rsidRPr="00E3331A" w:rsidRDefault="001F5B33" w:rsidP="00464E0A">
      <w:pPr>
        <w:pStyle w:val="BodyTextSTD"/>
        <w:numPr>
          <w:ilvl w:val="0"/>
          <w:numId w:val="47"/>
        </w:numPr>
      </w:pPr>
      <w:r w:rsidRPr="00E3331A">
        <w:t xml:space="preserve">A base discount rate of 5% was used. Higher and lower rates of 0% and 7% </w:t>
      </w:r>
      <w:r w:rsidR="001E2A5B" w:rsidRPr="00E3331A">
        <w:t>we</w:t>
      </w:r>
      <w:r w:rsidRPr="00E3331A">
        <w:t>re also included.</w:t>
      </w:r>
      <w:r w:rsidR="00345C95" w:rsidRPr="00E3331A">
        <w:t xml:space="preserve"> </w:t>
      </w:r>
      <w:r w:rsidRPr="00E3331A">
        <w:t>Changes in discount rate have limited impact</w:t>
      </w:r>
      <w:r w:rsidR="000B5C73" w:rsidRPr="00E3331A">
        <w:t xml:space="preserve">, although the cumulative costs associated with disability toward the end of the projection are less using the higher discount rate of 7%. </w:t>
      </w:r>
    </w:p>
    <w:p w:rsidR="001F5B33" w:rsidRPr="00E3331A" w:rsidRDefault="001F5B33" w:rsidP="00464E0A">
      <w:pPr>
        <w:pStyle w:val="BodyTextSTD"/>
        <w:numPr>
          <w:ilvl w:val="0"/>
          <w:numId w:val="47"/>
        </w:numPr>
      </w:pPr>
      <w:r w:rsidRPr="00E3331A">
        <w:t xml:space="preserve">The cost of Ig product accounts for </w:t>
      </w:r>
      <w:r w:rsidR="00077DDA" w:rsidRPr="00E3331A">
        <w:t>80</w:t>
      </w:r>
      <w:r w:rsidRPr="00E3331A">
        <w:t>%+ of health cost resources. Changes in assumed dose per kg or product price are key drivers of cost</w:t>
      </w:r>
      <w:r w:rsidR="00D45BCF" w:rsidRPr="00E3331A">
        <w:t>-</w:t>
      </w:r>
      <w:r w:rsidRPr="00E3331A">
        <w:t>effectiveness. The base cost of Ig assumes a price per gram of $</w:t>
      </w:r>
      <w:r w:rsidR="004541AC" w:rsidRPr="00E3331A">
        <w:t>60.41</w:t>
      </w:r>
      <w:r w:rsidRPr="00E3331A">
        <w:t>. This is varied by</w:t>
      </w:r>
      <w:r w:rsidR="004541AC" w:rsidRPr="00E3331A">
        <w:t xml:space="preserve"> high ($140.81), low ($44.94) and a weighted value of $94.51</w:t>
      </w:r>
      <w:r w:rsidRPr="00E3331A">
        <w:t>. Inclusion of Ig cost</w:t>
      </w:r>
      <w:r w:rsidR="004541AC" w:rsidRPr="00E3331A">
        <w:t xml:space="preserve">s of this range vary the </w:t>
      </w:r>
      <w:r w:rsidRPr="00E3331A">
        <w:t xml:space="preserve">ICER </w:t>
      </w:r>
      <w:r w:rsidR="004541AC" w:rsidRPr="00E3331A">
        <w:t xml:space="preserve">from </w:t>
      </w:r>
      <w:r w:rsidR="000B5C73" w:rsidRPr="00E3331A">
        <w:t xml:space="preserve">$445,370 to $149,397 </w:t>
      </w:r>
      <w:r w:rsidRPr="00E3331A">
        <w:t>per QALY for IVIg compared to steroids</w:t>
      </w:r>
      <w:r w:rsidR="004541AC" w:rsidRPr="00E3331A">
        <w:t xml:space="preserve"> at </w:t>
      </w:r>
      <w:r w:rsidR="00D175C4" w:rsidRPr="00E3331A">
        <w:t xml:space="preserve">the </w:t>
      </w:r>
      <w:r w:rsidR="004541AC" w:rsidRPr="00E3331A">
        <w:t>average Australia dose per patient.</w:t>
      </w:r>
      <w:r w:rsidR="00077DDA" w:rsidRPr="00E3331A">
        <w:t xml:space="preserve"> </w:t>
      </w:r>
    </w:p>
    <w:p w:rsidR="001F5B33" w:rsidRPr="00E3331A" w:rsidRDefault="001F5B33" w:rsidP="00464E0A">
      <w:pPr>
        <w:pStyle w:val="BodyTextSTD"/>
        <w:numPr>
          <w:ilvl w:val="0"/>
          <w:numId w:val="47"/>
        </w:numPr>
      </w:pPr>
      <w:r w:rsidRPr="00E3331A">
        <w:t xml:space="preserve">The Blackhouse </w:t>
      </w:r>
      <w:r w:rsidR="00983BA7">
        <w:t xml:space="preserve">et al. </w:t>
      </w:r>
      <w:r w:rsidRPr="00E3331A">
        <w:t>(2010) study estimated a</w:t>
      </w:r>
      <w:r w:rsidR="005432D8" w:rsidRPr="00E3331A">
        <w:t xml:space="preserve"> 10-year </w:t>
      </w:r>
      <w:r w:rsidRPr="00E3331A">
        <w:t>ICER of $</w:t>
      </w:r>
      <w:r w:rsidR="00795C9C" w:rsidRPr="00E3331A">
        <w:t>Canadian</w:t>
      </w:r>
      <w:r w:rsidR="005432D8" w:rsidRPr="00E3331A">
        <w:t xml:space="preserve"> $670,396 ($Australian 732,344 at current exchange rate of 1.09) </w:t>
      </w:r>
      <w:r w:rsidRPr="00E3331A">
        <w:t>per QALY gained. It included a base scenario</w:t>
      </w:r>
      <w:r w:rsidR="00D175C4" w:rsidRPr="00E3331A">
        <w:t xml:space="preserve"> of</w:t>
      </w:r>
      <w:r w:rsidRPr="00E3331A">
        <w:t xml:space="preserve"> initial treatment provided as two 1g/kg doses and maintenance </w:t>
      </w:r>
      <w:r w:rsidR="00D175C4" w:rsidRPr="00E3331A">
        <w:t xml:space="preserve">treatment </w:t>
      </w:r>
      <w:r w:rsidRPr="00E3331A">
        <w:t xml:space="preserve">as </w:t>
      </w:r>
      <w:r w:rsidR="00D175C4" w:rsidRPr="00E3331A">
        <w:t xml:space="preserve">a </w:t>
      </w:r>
      <w:r w:rsidRPr="00E3331A">
        <w:t xml:space="preserve">single 1g/kg dose every </w:t>
      </w:r>
      <w:r w:rsidR="00D175C4" w:rsidRPr="00E3331A">
        <w:t xml:space="preserve">three </w:t>
      </w:r>
      <w:r w:rsidRPr="00E3331A">
        <w:t xml:space="preserve">weeks. Correspondingly, the ICER is more than </w:t>
      </w:r>
      <w:r w:rsidR="005432D8" w:rsidRPr="00E3331A">
        <w:t xml:space="preserve">three times </w:t>
      </w:r>
      <w:r w:rsidRPr="00E3331A">
        <w:t xml:space="preserve">that of </w:t>
      </w:r>
      <w:r w:rsidR="00D175C4" w:rsidRPr="00E3331A">
        <w:t>$</w:t>
      </w:r>
      <w:r w:rsidR="005432D8" w:rsidRPr="00E3331A">
        <w:t>197,472</w:t>
      </w:r>
      <w:r w:rsidR="008567D1" w:rsidRPr="00E3331A">
        <w:t xml:space="preserve"> </w:t>
      </w:r>
      <w:r w:rsidRPr="00E3331A">
        <w:t xml:space="preserve">per QALY estimated in this economic study. The assumed dosing in Blackhouse </w:t>
      </w:r>
      <w:r w:rsidR="00983BA7">
        <w:t xml:space="preserve">et al. </w:t>
      </w:r>
      <w:r w:rsidRPr="00E3331A">
        <w:t xml:space="preserve">(2010) is higher than </w:t>
      </w:r>
      <w:r w:rsidR="00D175C4" w:rsidRPr="00E3331A">
        <w:t xml:space="preserve">that </w:t>
      </w:r>
      <w:r w:rsidRPr="00E3331A">
        <w:t xml:space="preserve">in Section D </w:t>
      </w:r>
      <w:r w:rsidR="00D175C4" w:rsidRPr="00E3331A">
        <w:t>(497g</w:t>
      </w:r>
      <w:r w:rsidR="00D175C4" w:rsidRPr="00E3331A" w:rsidDel="00D175C4">
        <w:t xml:space="preserve"> </w:t>
      </w:r>
      <w:r w:rsidRPr="00E3331A">
        <w:t>Ig per person in Australia from NBA reporting</w:t>
      </w:r>
      <w:r w:rsidR="00D175C4" w:rsidRPr="00E3331A">
        <w:t>)</w:t>
      </w:r>
      <w:r w:rsidR="00EF5C8B" w:rsidRPr="00E3331A">
        <w:t>.</w:t>
      </w:r>
      <w:r w:rsidRPr="00E3331A">
        <w:t xml:space="preserve"> </w:t>
      </w:r>
    </w:p>
    <w:p w:rsidR="001F5B33" w:rsidRPr="00E3331A" w:rsidRDefault="001F5B33" w:rsidP="00464E0A">
      <w:pPr>
        <w:pStyle w:val="BodyTextSTD"/>
        <w:numPr>
          <w:ilvl w:val="0"/>
          <w:numId w:val="47"/>
        </w:numPr>
      </w:pPr>
      <w:r w:rsidRPr="00E3331A">
        <w:t xml:space="preserve">Sensitivity analysis was included in the Blackhouse </w:t>
      </w:r>
      <w:r w:rsidR="00983BA7">
        <w:t xml:space="preserve">et al. </w:t>
      </w:r>
      <w:r w:rsidR="00664B73">
        <w:t>(</w:t>
      </w:r>
      <w:r w:rsidRPr="00E3331A">
        <w:t>2010</w:t>
      </w:r>
      <w:r w:rsidR="00664B73">
        <w:t>)</w:t>
      </w:r>
      <w:r w:rsidRPr="00E3331A">
        <w:t xml:space="preserve"> Canadian economic study where patients received 0.4mg/kg every 3 weeks and 0.4mg/kg every 6 weeks for maintenance, resulting in ICERs of $</w:t>
      </w:r>
      <w:r w:rsidR="00EF5C8B" w:rsidRPr="00E3331A">
        <w:t xml:space="preserve">Canadian 181 to 314 thousand </w:t>
      </w:r>
      <w:r w:rsidRPr="00E3331A">
        <w:t>per QALY</w:t>
      </w:r>
      <w:r w:rsidR="00EF5C8B" w:rsidRPr="00E3331A">
        <w:t xml:space="preserve"> over 5-years</w:t>
      </w:r>
      <w:r w:rsidRPr="00E3331A">
        <w:t xml:space="preserve">. The cost </w:t>
      </w:r>
      <w:r w:rsidR="008567D1" w:rsidRPr="00E3331A">
        <w:t xml:space="preserve">for </w:t>
      </w:r>
      <w:r w:rsidRPr="00E3331A">
        <w:t>the Ig arm was $32</w:t>
      </w:r>
      <w:r w:rsidR="00D175C4" w:rsidRPr="00E3331A">
        <w:t>,000-$</w:t>
      </w:r>
      <w:r w:rsidRPr="00E3331A">
        <w:t>56</w:t>
      </w:r>
      <w:r w:rsidR="00D175C4" w:rsidRPr="00E3331A">
        <w:t>,000,</w:t>
      </w:r>
      <w:r w:rsidRPr="00E3331A">
        <w:t xml:space="preserve"> which is more in line with the results of this study</w:t>
      </w:r>
      <w:r w:rsidR="00EF5C8B" w:rsidRPr="00E3331A">
        <w:t xml:space="preserve"> where the five</w:t>
      </w:r>
      <w:r w:rsidR="000C0E99">
        <w:t>-</w:t>
      </w:r>
      <w:r w:rsidR="00EF5C8B" w:rsidRPr="00E3331A">
        <w:t>year ICER is estimated to be $A236,378 per QALY. Varying other Ig treatme</w:t>
      </w:r>
      <w:r w:rsidR="008567D1" w:rsidRPr="00E3331A">
        <w:t>n</w:t>
      </w:r>
      <w:r w:rsidR="00EF5C8B" w:rsidRPr="00E3331A">
        <w:t>t costs, such as nurse time for Ig delivery had limited impact on estimated ICER. S</w:t>
      </w:r>
      <w:r w:rsidRPr="00E3331A">
        <w:t xml:space="preserve">imilarly, unit costs for steroids, </w:t>
      </w:r>
      <w:r w:rsidR="002B786E" w:rsidRPr="002B786E">
        <w:t>immunosuppressants</w:t>
      </w:r>
      <w:r w:rsidR="002B786E" w:rsidRPr="002B786E" w:rsidDel="002B786E">
        <w:t xml:space="preserve"> </w:t>
      </w:r>
      <w:r w:rsidRPr="00E3331A">
        <w:t>and AE</w:t>
      </w:r>
      <w:r w:rsidR="00D175C4" w:rsidRPr="00E3331A">
        <w:t>s</w:t>
      </w:r>
      <w:r w:rsidRPr="00E3331A">
        <w:t xml:space="preserve"> </w:t>
      </w:r>
      <w:r w:rsidR="00D175C4" w:rsidRPr="00E3331A">
        <w:t>we</w:t>
      </w:r>
      <w:r w:rsidRPr="00E3331A">
        <w:t>re also varied and have limited impact on the estimated ICER.</w:t>
      </w:r>
      <w:r w:rsidR="00345C95" w:rsidRPr="00E3331A">
        <w:t xml:space="preserve"> </w:t>
      </w:r>
    </w:p>
    <w:p w:rsidR="00090F80" w:rsidRPr="00E3331A" w:rsidRDefault="00090F80" w:rsidP="00464E0A">
      <w:pPr>
        <w:pStyle w:val="BodyTextSTD"/>
        <w:numPr>
          <w:ilvl w:val="0"/>
          <w:numId w:val="47"/>
        </w:numPr>
      </w:pPr>
      <w:r w:rsidRPr="00E3331A">
        <w:t>SC Ig is costed in Table 70. Based on a patient of 82.5kg and the same weighted Ig cost of $60.41/g, SCIg had an annual total cost per year of $3</w:t>
      </w:r>
      <w:r w:rsidR="00153121" w:rsidRPr="00E3331A">
        <w:t>3</w:t>
      </w:r>
      <w:r w:rsidRPr="00E3331A">
        <w:t>,</w:t>
      </w:r>
      <w:r w:rsidR="00153121" w:rsidRPr="00E3331A">
        <w:t>136. The cost for SC</w:t>
      </w:r>
      <w:r w:rsidRPr="00E3331A">
        <w:t>Ig is around $4,000 less than for IVIg</w:t>
      </w:r>
      <w:r w:rsidR="0013485E">
        <w:rPr>
          <w:noProof/>
          <w:color w:val="000000"/>
        </w:rPr>
        <w:t xml:space="preserve"> [REDACTED]</w:t>
      </w:r>
      <w:r w:rsidRPr="00E3331A">
        <w:t xml:space="preserve">. </w:t>
      </w:r>
      <w:r w:rsidR="0013485E">
        <w:br/>
      </w:r>
      <w:r w:rsidR="00153121" w:rsidRPr="00E3331A">
        <w:lastRenderedPageBreak/>
        <w:t xml:space="preserve">If the cost of SCIg </w:t>
      </w:r>
      <w:r w:rsidR="00EF5C8B" w:rsidRPr="00E3331A">
        <w:t xml:space="preserve">delivery </w:t>
      </w:r>
      <w:r w:rsidR="00153121" w:rsidRPr="00E3331A">
        <w:t xml:space="preserve">is substituted for IVIg and a similar clinical outcome assumed, the ICER for Ig compared to </w:t>
      </w:r>
      <w:r w:rsidR="001E6B99">
        <w:t>steroids is more cost-effective, i.e. a</w:t>
      </w:r>
      <w:r w:rsidR="00153121" w:rsidRPr="00E3331A">
        <w:t>t 10 years it decreases to $</w:t>
      </w:r>
      <w:r w:rsidR="00EF5C8B" w:rsidRPr="00E3331A">
        <w:t xml:space="preserve">166,870 </w:t>
      </w:r>
      <w:r w:rsidR="00153121" w:rsidRPr="00E3331A">
        <w:t xml:space="preserve">per QALY as a result of reduced hospital admission and adverse event costs associated </w:t>
      </w:r>
      <w:r w:rsidR="00795C9C" w:rsidRPr="00E3331A">
        <w:t>with</w:t>
      </w:r>
      <w:r w:rsidR="00153121" w:rsidRPr="00E3331A">
        <w:t xml:space="preserve"> SCIg. </w:t>
      </w:r>
    </w:p>
    <w:p w:rsidR="00090F80" w:rsidRPr="00E3331A" w:rsidRDefault="00090F80" w:rsidP="00090F80">
      <w:pPr>
        <w:pStyle w:val="Caption"/>
      </w:pPr>
      <w:bookmarkStart w:id="485" w:name="_Toc24103389"/>
      <w:r w:rsidRPr="00E3331A">
        <w:t xml:space="preserve">Table </w:t>
      </w:r>
      <w:r w:rsidR="006F35B9">
        <w:rPr>
          <w:noProof/>
        </w:rPr>
        <w:t>83</w:t>
      </w:r>
      <w:r w:rsidRPr="00E3331A">
        <w:tab/>
        <w:t>Resources associated with SCIg</w:t>
      </w:r>
      <w:bookmarkEnd w:id="485"/>
    </w:p>
    <w:tbl>
      <w:tblPr>
        <w:tblW w:w="0" w:type="auto"/>
        <w:tblLayout w:type="fixed"/>
        <w:tblLook w:val="04A0" w:firstRow="1" w:lastRow="0" w:firstColumn="1" w:lastColumn="0" w:noHBand="0" w:noVBand="1"/>
      </w:tblPr>
      <w:tblGrid>
        <w:gridCol w:w="1696"/>
        <w:gridCol w:w="993"/>
        <w:gridCol w:w="992"/>
        <w:gridCol w:w="850"/>
        <w:gridCol w:w="1134"/>
        <w:gridCol w:w="993"/>
        <w:gridCol w:w="2358"/>
      </w:tblGrid>
      <w:tr w:rsidR="00090F80" w:rsidRPr="00E3331A" w:rsidTr="001A1153">
        <w:trPr>
          <w:trHeight w:val="765"/>
          <w:tblHeader/>
        </w:trPr>
        <w:tc>
          <w:tcPr>
            <w:tcW w:w="16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90F80" w:rsidRPr="00E3331A" w:rsidRDefault="00090F80" w:rsidP="001A1153">
            <w:pPr>
              <w:jc w:val="center"/>
              <w:rPr>
                <w:rFonts w:ascii="Arial Narrow" w:hAnsi="Arial Narrow" w:cs="Calibri"/>
                <w:b/>
                <w:bCs/>
                <w:sz w:val="20"/>
                <w:szCs w:val="20"/>
              </w:rPr>
            </w:pPr>
            <w:r w:rsidRPr="00E3331A">
              <w:rPr>
                <w:rFonts w:ascii="Arial Narrow" w:hAnsi="Arial Narrow" w:cs="Calibri"/>
                <w:b/>
                <w:bCs/>
                <w:sz w:val="20"/>
                <w:szCs w:val="20"/>
              </w:rPr>
              <w:t>Item</w:t>
            </w:r>
          </w:p>
        </w:tc>
        <w:tc>
          <w:tcPr>
            <w:tcW w:w="993" w:type="dxa"/>
            <w:tcBorders>
              <w:top w:val="single" w:sz="4" w:space="0" w:color="auto"/>
              <w:left w:val="nil"/>
              <w:bottom w:val="single" w:sz="4" w:space="0" w:color="auto"/>
              <w:right w:val="single" w:sz="4" w:space="0" w:color="auto"/>
            </w:tcBorders>
            <w:shd w:val="clear" w:color="auto" w:fill="D9D9D9"/>
            <w:vAlign w:val="center"/>
            <w:hideMark/>
          </w:tcPr>
          <w:p w:rsidR="00090F80" w:rsidRPr="00E3331A" w:rsidRDefault="00090F80" w:rsidP="001A1153">
            <w:pPr>
              <w:jc w:val="center"/>
              <w:rPr>
                <w:rFonts w:ascii="Arial Narrow" w:hAnsi="Arial Narrow" w:cs="Calibri"/>
                <w:b/>
                <w:bCs/>
                <w:sz w:val="20"/>
                <w:szCs w:val="20"/>
              </w:rPr>
            </w:pPr>
            <w:r w:rsidRPr="00E3331A">
              <w:rPr>
                <w:rFonts w:ascii="Arial Narrow" w:hAnsi="Arial Narrow" w:cs="Calibri"/>
                <w:b/>
                <w:bCs/>
                <w:sz w:val="20"/>
                <w:szCs w:val="20"/>
              </w:rPr>
              <w:t xml:space="preserve">Provider </w:t>
            </w:r>
          </w:p>
        </w:tc>
        <w:tc>
          <w:tcPr>
            <w:tcW w:w="992" w:type="dxa"/>
            <w:tcBorders>
              <w:top w:val="single" w:sz="4" w:space="0" w:color="auto"/>
              <w:left w:val="nil"/>
              <w:bottom w:val="single" w:sz="4" w:space="0" w:color="auto"/>
              <w:right w:val="single" w:sz="4" w:space="0" w:color="auto"/>
            </w:tcBorders>
            <w:shd w:val="clear" w:color="auto" w:fill="D9D9D9"/>
            <w:vAlign w:val="center"/>
            <w:hideMark/>
          </w:tcPr>
          <w:p w:rsidR="00480612" w:rsidRPr="00E3331A" w:rsidRDefault="00090F80">
            <w:pPr>
              <w:jc w:val="center"/>
              <w:rPr>
                <w:rFonts w:ascii="Arial Narrow" w:hAnsi="Arial Narrow" w:cs="Calibri"/>
                <w:b/>
                <w:bCs/>
                <w:sz w:val="20"/>
                <w:szCs w:val="20"/>
              </w:rPr>
            </w:pPr>
            <w:r w:rsidRPr="00E3331A">
              <w:rPr>
                <w:rFonts w:ascii="Arial Narrow" w:hAnsi="Arial Narrow" w:cs="Calibri"/>
                <w:b/>
                <w:bCs/>
                <w:sz w:val="20"/>
                <w:szCs w:val="20"/>
              </w:rPr>
              <w:t xml:space="preserve">Price per unit </w:t>
            </w:r>
            <w:r w:rsidR="00480612" w:rsidRPr="00E3331A">
              <w:rPr>
                <w:rFonts w:ascii="Arial Narrow" w:hAnsi="Arial Narrow" w:cs="Calibri"/>
                <w:b/>
                <w:bCs/>
                <w:sz w:val="20"/>
                <w:szCs w:val="20"/>
              </w:rPr>
              <w:t>(AU$)</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rsidR="00090F80" w:rsidRPr="00E3331A" w:rsidRDefault="00090F80" w:rsidP="001A1153">
            <w:pPr>
              <w:jc w:val="center"/>
              <w:rPr>
                <w:rFonts w:ascii="Arial Narrow" w:hAnsi="Arial Narrow" w:cs="Calibri"/>
                <w:b/>
                <w:bCs/>
                <w:sz w:val="20"/>
                <w:szCs w:val="20"/>
              </w:rPr>
            </w:pPr>
            <w:r w:rsidRPr="00E3331A">
              <w:rPr>
                <w:rFonts w:ascii="Arial Narrow" w:hAnsi="Arial Narrow" w:cs="Calibri"/>
                <w:b/>
                <w:bCs/>
                <w:sz w:val="20"/>
                <w:szCs w:val="20"/>
              </w:rPr>
              <w:t>Number</w:t>
            </w:r>
            <w:r w:rsidR="00480612" w:rsidRPr="00E3331A">
              <w:rPr>
                <w:rFonts w:ascii="Arial Narrow" w:hAnsi="Arial Narrow" w:cs="Calibri"/>
                <w:b/>
                <w:bCs/>
                <w:sz w:val="20"/>
                <w:szCs w:val="20"/>
              </w:rPr>
              <w:t xml:space="preserve"> per period</w:t>
            </w:r>
            <w:r w:rsidRPr="00E3331A">
              <w:rPr>
                <w:rFonts w:ascii="Arial Narrow" w:hAnsi="Arial Narrow" w:cs="Calibri"/>
                <w:b/>
                <w:bCs/>
                <w:sz w:val="20"/>
                <w:szCs w:val="20"/>
              </w:rPr>
              <w:t xml:space="preserve"> </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rsidR="00090F80" w:rsidRPr="00E3331A" w:rsidRDefault="00090F80" w:rsidP="001A1153">
            <w:pPr>
              <w:jc w:val="center"/>
              <w:rPr>
                <w:rFonts w:ascii="Arial Narrow" w:hAnsi="Arial Narrow" w:cs="Calibri"/>
                <w:b/>
                <w:bCs/>
                <w:sz w:val="20"/>
                <w:szCs w:val="20"/>
              </w:rPr>
            </w:pPr>
            <w:r w:rsidRPr="00E3331A">
              <w:rPr>
                <w:rFonts w:ascii="Arial Narrow" w:hAnsi="Arial Narrow" w:cs="Calibri"/>
                <w:b/>
                <w:bCs/>
                <w:sz w:val="20"/>
                <w:szCs w:val="20"/>
              </w:rPr>
              <w:t xml:space="preserve">Proportion availing </w:t>
            </w:r>
          </w:p>
        </w:tc>
        <w:tc>
          <w:tcPr>
            <w:tcW w:w="993" w:type="dxa"/>
            <w:tcBorders>
              <w:top w:val="single" w:sz="4" w:space="0" w:color="auto"/>
              <w:left w:val="nil"/>
              <w:bottom w:val="single" w:sz="4" w:space="0" w:color="auto"/>
              <w:right w:val="single" w:sz="4" w:space="0" w:color="auto"/>
            </w:tcBorders>
            <w:shd w:val="clear" w:color="auto" w:fill="D9D9D9"/>
            <w:vAlign w:val="center"/>
            <w:hideMark/>
          </w:tcPr>
          <w:p w:rsidR="00090F80" w:rsidRPr="00E3331A" w:rsidRDefault="00090F80" w:rsidP="001A1153">
            <w:pPr>
              <w:jc w:val="center"/>
              <w:rPr>
                <w:rFonts w:ascii="Arial Narrow" w:hAnsi="Arial Narrow" w:cs="Calibri"/>
                <w:b/>
                <w:bCs/>
                <w:sz w:val="20"/>
                <w:szCs w:val="20"/>
              </w:rPr>
            </w:pPr>
            <w:r w:rsidRPr="00E3331A">
              <w:rPr>
                <w:rFonts w:ascii="Arial Narrow" w:hAnsi="Arial Narrow" w:cs="Calibri"/>
                <w:b/>
                <w:bCs/>
                <w:sz w:val="20"/>
                <w:szCs w:val="20"/>
              </w:rPr>
              <w:t>Total cost</w:t>
            </w:r>
            <w:r w:rsidR="00480612" w:rsidRPr="00E3331A">
              <w:rPr>
                <w:rFonts w:ascii="Arial Narrow" w:hAnsi="Arial Narrow" w:cs="Calibri"/>
                <w:b/>
                <w:bCs/>
                <w:sz w:val="20"/>
                <w:szCs w:val="20"/>
              </w:rPr>
              <w:t xml:space="preserve"> (AU$)</w:t>
            </w:r>
          </w:p>
        </w:tc>
        <w:tc>
          <w:tcPr>
            <w:tcW w:w="2358" w:type="dxa"/>
            <w:tcBorders>
              <w:top w:val="single" w:sz="4" w:space="0" w:color="auto"/>
              <w:left w:val="nil"/>
              <w:bottom w:val="single" w:sz="4" w:space="0" w:color="auto"/>
              <w:right w:val="single" w:sz="4" w:space="0" w:color="auto"/>
            </w:tcBorders>
            <w:shd w:val="clear" w:color="auto" w:fill="D9D9D9"/>
            <w:vAlign w:val="center"/>
            <w:hideMark/>
          </w:tcPr>
          <w:p w:rsidR="00090F80" w:rsidRPr="00E3331A" w:rsidRDefault="00090F80" w:rsidP="001A1153">
            <w:pPr>
              <w:jc w:val="center"/>
              <w:rPr>
                <w:rFonts w:ascii="Arial Narrow" w:hAnsi="Arial Narrow" w:cs="Calibri"/>
                <w:b/>
                <w:bCs/>
                <w:sz w:val="20"/>
                <w:szCs w:val="20"/>
              </w:rPr>
            </w:pPr>
            <w:r w:rsidRPr="00E3331A">
              <w:rPr>
                <w:rFonts w:ascii="Arial Narrow" w:hAnsi="Arial Narrow" w:cs="Calibri"/>
                <w:b/>
                <w:bCs/>
                <w:sz w:val="20"/>
                <w:szCs w:val="20"/>
              </w:rPr>
              <w:t>Source</w:t>
            </w:r>
          </w:p>
        </w:tc>
      </w:tr>
      <w:tr w:rsidR="00090F80" w:rsidRPr="00E3331A" w:rsidTr="001A1153">
        <w:trPr>
          <w:trHeight w:val="510"/>
          <w:tblHeader/>
        </w:trPr>
        <w:tc>
          <w:tcPr>
            <w:tcW w:w="9016" w:type="dxa"/>
            <w:gridSpan w:val="7"/>
            <w:tcBorders>
              <w:top w:val="nil"/>
              <w:left w:val="single" w:sz="4" w:space="0" w:color="auto"/>
              <w:bottom w:val="single" w:sz="4" w:space="0" w:color="auto"/>
              <w:right w:val="single" w:sz="4" w:space="0" w:color="auto"/>
            </w:tcBorders>
            <w:shd w:val="clear" w:color="auto" w:fill="D9D9D9"/>
            <w:vAlign w:val="center"/>
            <w:hideMark/>
          </w:tcPr>
          <w:p w:rsidR="00090F80" w:rsidRPr="00E3331A" w:rsidRDefault="00090F80" w:rsidP="001A1153">
            <w:pPr>
              <w:rPr>
                <w:rFonts w:ascii="Arial Narrow" w:hAnsi="Arial Narrow" w:cs="Calibri"/>
                <w:b/>
                <w:bCs/>
                <w:sz w:val="20"/>
                <w:szCs w:val="20"/>
              </w:rPr>
            </w:pPr>
            <w:r w:rsidRPr="00E3331A">
              <w:rPr>
                <w:rFonts w:ascii="Arial Narrow" w:hAnsi="Arial Narrow" w:cs="Calibri"/>
                <w:b/>
                <w:bCs/>
                <w:sz w:val="20"/>
                <w:szCs w:val="20"/>
              </w:rPr>
              <w:t>Initial SCIg product cost and delivery (over first 4 months)</w:t>
            </w:r>
          </w:p>
        </w:tc>
      </w:tr>
      <w:tr w:rsidR="00153121" w:rsidRPr="00E3331A" w:rsidTr="001A1153">
        <w:trPr>
          <w:trHeight w:val="510"/>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Nurse time for self-administration education. 2 x 2.5 hours in first 4 months of SCIg</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Hospital</w:t>
            </w:r>
          </w:p>
        </w:tc>
        <w:tc>
          <w:tcPr>
            <w:tcW w:w="992"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$85.5</w:t>
            </w:r>
          </w:p>
        </w:tc>
        <w:tc>
          <w:tcPr>
            <w:tcW w:w="850"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5.00</w:t>
            </w:r>
          </w:p>
        </w:tc>
        <w:tc>
          <w:tcPr>
            <w:tcW w:w="1134"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$427.6</w:t>
            </w:r>
          </w:p>
        </w:tc>
        <w:tc>
          <w:tcPr>
            <w:tcW w:w="2358" w:type="dxa"/>
            <w:tcBorders>
              <w:top w:val="nil"/>
              <w:left w:val="nil"/>
              <w:bottom w:val="single" w:sz="4" w:space="0" w:color="auto"/>
              <w:right w:val="single" w:sz="4" w:space="0" w:color="auto"/>
            </w:tcBorders>
            <w:shd w:val="clear" w:color="000000" w:fill="FFFFFF"/>
            <w:vAlign w:val="center"/>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 xml:space="preserve">NSW State Award. 2018. Clinical Nurse, Grade 2, $1,946 per week. Loaded at 1.67. </w:t>
            </w:r>
          </w:p>
        </w:tc>
      </w:tr>
      <w:tr w:rsidR="00153121" w:rsidRPr="00E3331A" w:rsidTr="001A1153">
        <w:trPr>
          <w:trHeight w:val="705"/>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Assumed same as IV price of $60.41 per g</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NBA</w:t>
            </w:r>
          </w:p>
        </w:tc>
        <w:tc>
          <w:tcPr>
            <w:tcW w:w="992" w:type="dxa"/>
            <w:tcBorders>
              <w:top w:val="nil"/>
              <w:left w:val="nil"/>
              <w:bottom w:val="single" w:sz="4" w:space="0" w:color="auto"/>
              <w:right w:val="single" w:sz="4" w:space="0" w:color="auto"/>
            </w:tcBorders>
            <w:shd w:val="clear" w:color="000000" w:fill="FFFFFF"/>
            <w:noWrap/>
            <w:vAlign w:val="center"/>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$60.4</w:t>
            </w:r>
          </w:p>
        </w:tc>
        <w:tc>
          <w:tcPr>
            <w:tcW w:w="850" w:type="dxa"/>
            <w:tcBorders>
              <w:top w:val="nil"/>
              <w:left w:val="nil"/>
              <w:bottom w:val="single" w:sz="4" w:space="0" w:color="auto"/>
              <w:right w:val="single" w:sz="4" w:space="0" w:color="auto"/>
            </w:tcBorders>
            <w:shd w:val="clear" w:color="000000" w:fill="FFFFFF"/>
            <w:noWrap/>
            <w:vAlign w:val="center"/>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165.67</w:t>
            </w:r>
          </w:p>
        </w:tc>
        <w:tc>
          <w:tcPr>
            <w:tcW w:w="1134" w:type="dxa"/>
            <w:tcBorders>
              <w:top w:val="nil"/>
              <w:left w:val="nil"/>
              <w:bottom w:val="single" w:sz="4" w:space="0" w:color="auto"/>
              <w:right w:val="single" w:sz="4" w:space="0" w:color="auto"/>
            </w:tcBorders>
            <w:shd w:val="clear" w:color="000000" w:fill="FFFFFF"/>
            <w:noWrap/>
            <w:vAlign w:val="center"/>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3" w:type="dxa"/>
            <w:tcBorders>
              <w:top w:val="nil"/>
              <w:left w:val="nil"/>
              <w:bottom w:val="single" w:sz="4" w:space="0" w:color="auto"/>
              <w:right w:val="single" w:sz="4" w:space="0" w:color="auto"/>
            </w:tcBorders>
            <w:shd w:val="clear" w:color="000000" w:fill="FFFFFF"/>
            <w:noWrap/>
            <w:vAlign w:val="center"/>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$10,007.9</w:t>
            </w:r>
          </w:p>
        </w:tc>
        <w:tc>
          <w:tcPr>
            <w:tcW w:w="2358" w:type="dxa"/>
            <w:tcBorders>
              <w:top w:val="nil"/>
              <w:left w:val="nil"/>
              <w:bottom w:val="single" w:sz="4" w:space="0" w:color="auto"/>
              <w:right w:val="single" w:sz="4" w:space="0" w:color="auto"/>
            </w:tcBorders>
            <w:shd w:val="clear" w:color="000000" w:fill="FFFFFF"/>
            <w:vAlign w:val="center"/>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Dosing assumed for 497g per patient per year. 6.024g per kg</w:t>
            </w:r>
          </w:p>
        </w:tc>
      </w:tr>
      <w:tr w:rsidR="0013485E" w:rsidRPr="00E3331A" w:rsidTr="001C1B8A">
        <w:trPr>
          <w:trHeight w:val="480"/>
        </w:trPr>
        <w:tc>
          <w:tcPr>
            <w:tcW w:w="1696" w:type="dxa"/>
            <w:tcBorders>
              <w:top w:val="nil"/>
              <w:left w:val="single" w:sz="4" w:space="0" w:color="auto"/>
              <w:bottom w:val="single" w:sz="4" w:space="0" w:color="auto"/>
              <w:right w:val="single" w:sz="4" w:space="0" w:color="auto"/>
            </w:tcBorders>
            <w:shd w:val="clear" w:color="000000" w:fill="FFFFFF"/>
          </w:tcPr>
          <w:p w:rsidR="0013485E" w:rsidRDefault="0013485E" w:rsidP="0013485E">
            <w:r w:rsidRPr="00F17988">
              <w:t>REDACTED</w:t>
            </w:r>
          </w:p>
        </w:tc>
        <w:tc>
          <w:tcPr>
            <w:tcW w:w="993" w:type="dxa"/>
            <w:tcBorders>
              <w:top w:val="nil"/>
              <w:left w:val="nil"/>
              <w:bottom w:val="single" w:sz="4" w:space="0" w:color="auto"/>
              <w:right w:val="single" w:sz="4" w:space="0" w:color="auto"/>
            </w:tcBorders>
            <w:shd w:val="clear" w:color="auto" w:fill="auto"/>
            <w:noWrap/>
          </w:tcPr>
          <w:p w:rsidR="0013485E" w:rsidRPr="0013485E" w:rsidRDefault="0013485E" w:rsidP="0013485E">
            <w:pPr>
              <w:rPr>
                <w:sz w:val="14"/>
                <w:szCs w:val="14"/>
              </w:rPr>
            </w:pPr>
            <w:r w:rsidRPr="0013485E">
              <w:rPr>
                <w:sz w:val="14"/>
                <w:szCs w:val="14"/>
              </w:rPr>
              <w:t>REDACTED</w:t>
            </w:r>
          </w:p>
        </w:tc>
        <w:tc>
          <w:tcPr>
            <w:tcW w:w="992" w:type="dxa"/>
            <w:tcBorders>
              <w:top w:val="nil"/>
              <w:left w:val="nil"/>
              <w:bottom w:val="single" w:sz="4" w:space="0" w:color="auto"/>
              <w:right w:val="single" w:sz="4" w:space="0" w:color="auto"/>
            </w:tcBorders>
            <w:shd w:val="clear" w:color="000000" w:fill="FFFFFF"/>
            <w:noWrap/>
          </w:tcPr>
          <w:p w:rsidR="0013485E" w:rsidRPr="0013485E" w:rsidRDefault="0013485E" w:rsidP="0013485E">
            <w:pPr>
              <w:rPr>
                <w:sz w:val="14"/>
                <w:szCs w:val="14"/>
              </w:rPr>
            </w:pPr>
            <w:r w:rsidRPr="0013485E">
              <w:rPr>
                <w:sz w:val="14"/>
                <w:szCs w:val="14"/>
              </w:rPr>
              <w:t>REDACTED</w:t>
            </w:r>
          </w:p>
        </w:tc>
        <w:tc>
          <w:tcPr>
            <w:tcW w:w="850" w:type="dxa"/>
            <w:tcBorders>
              <w:top w:val="nil"/>
              <w:left w:val="nil"/>
              <w:bottom w:val="single" w:sz="4" w:space="0" w:color="auto"/>
              <w:right w:val="single" w:sz="4" w:space="0" w:color="auto"/>
            </w:tcBorders>
            <w:shd w:val="clear" w:color="000000" w:fill="FFFFFF"/>
            <w:noWrap/>
          </w:tcPr>
          <w:p w:rsidR="0013485E" w:rsidRPr="0013485E" w:rsidRDefault="0013485E" w:rsidP="0013485E">
            <w:pPr>
              <w:rPr>
                <w:sz w:val="14"/>
                <w:szCs w:val="14"/>
              </w:rPr>
            </w:pPr>
            <w:r w:rsidRPr="0013485E">
              <w:rPr>
                <w:sz w:val="14"/>
                <w:szCs w:val="14"/>
              </w:rPr>
              <w:t>REDACTED</w:t>
            </w:r>
          </w:p>
        </w:tc>
        <w:tc>
          <w:tcPr>
            <w:tcW w:w="1134" w:type="dxa"/>
            <w:tcBorders>
              <w:top w:val="nil"/>
              <w:left w:val="nil"/>
              <w:bottom w:val="single" w:sz="4" w:space="0" w:color="auto"/>
              <w:right w:val="single" w:sz="4" w:space="0" w:color="auto"/>
            </w:tcBorders>
            <w:shd w:val="clear" w:color="000000" w:fill="FFFFFF"/>
            <w:noWrap/>
          </w:tcPr>
          <w:p w:rsidR="0013485E" w:rsidRPr="0013485E" w:rsidRDefault="0013485E" w:rsidP="0013485E">
            <w:pPr>
              <w:rPr>
                <w:sz w:val="14"/>
                <w:szCs w:val="14"/>
              </w:rPr>
            </w:pPr>
            <w:r w:rsidRPr="0013485E">
              <w:rPr>
                <w:sz w:val="14"/>
                <w:szCs w:val="14"/>
              </w:rPr>
              <w:t>REDACTED</w:t>
            </w:r>
          </w:p>
        </w:tc>
        <w:tc>
          <w:tcPr>
            <w:tcW w:w="993" w:type="dxa"/>
            <w:tcBorders>
              <w:top w:val="nil"/>
              <w:left w:val="nil"/>
              <w:bottom w:val="single" w:sz="4" w:space="0" w:color="auto"/>
              <w:right w:val="single" w:sz="4" w:space="0" w:color="auto"/>
            </w:tcBorders>
            <w:shd w:val="clear" w:color="000000" w:fill="FFFFFF"/>
            <w:noWrap/>
          </w:tcPr>
          <w:p w:rsidR="0013485E" w:rsidRPr="0013485E" w:rsidRDefault="0013485E" w:rsidP="0013485E">
            <w:pPr>
              <w:rPr>
                <w:sz w:val="14"/>
                <w:szCs w:val="14"/>
              </w:rPr>
            </w:pPr>
            <w:r w:rsidRPr="0013485E">
              <w:rPr>
                <w:sz w:val="14"/>
                <w:szCs w:val="14"/>
              </w:rPr>
              <w:t>REDACTED</w:t>
            </w:r>
          </w:p>
        </w:tc>
        <w:tc>
          <w:tcPr>
            <w:tcW w:w="2358" w:type="dxa"/>
            <w:tcBorders>
              <w:top w:val="nil"/>
              <w:left w:val="nil"/>
              <w:bottom w:val="single" w:sz="4" w:space="0" w:color="auto"/>
              <w:right w:val="single" w:sz="4" w:space="0" w:color="auto"/>
            </w:tcBorders>
            <w:shd w:val="clear" w:color="000000" w:fill="FFFFFF"/>
          </w:tcPr>
          <w:p w:rsidR="0013485E" w:rsidRDefault="0013485E" w:rsidP="0013485E">
            <w:r w:rsidRPr="00F17988">
              <w:t>REDACTED</w:t>
            </w:r>
          </w:p>
        </w:tc>
      </w:tr>
      <w:tr w:rsidR="00153121" w:rsidRPr="00E3331A" w:rsidTr="001A1153">
        <w:trPr>
          <w:trHeight w:val="765"/>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GP Consultations. Assumes 2 GP visits in first 4 months of IV Ig</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92"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$34.9</w:t>
            </w:r>
          </w:p>
        </w:tc>
        <w:tc>
          <w:tcPr>
            <w:tcW w:w="850"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2.00</w:t>
            </w:r>
          </w:p>
        </w:tc>
        <w:tc>
          <w:tcPr>
            <w:tcW w:w="1134"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$69.8</w:t>
            </w:r>
          </w:p>
        </w:tc>
        <w:tc>
          <w:tcPr>
            <w:tcW w:w="2358" w:type="dxa"/>
            <w:tcBorders>
              <w:top w:val="nil"/>
              <w:left w:val="nil"/>
              <w:bottom w:val="single" w:sz="4" w:space="0" w:color="auto"/>
              <w:right w:val="single" w:sz="4" w:space="0" w:color="auto"/>
            </w:tcBorders>
            <w:shd w:val="clear" w:color="000000" w:fill="FFFFFF"/>
            <w:vAlign w:val="center"/>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 xml:space="preserve">MBS 23. Professional attendance by a general practitioner </w:t>
            </w:r>
          </w:p>
        </w:tc>
      </w:tr>
      <w:tr w:rsidR="00153121" w:rsidRPr="00E3331A" w:rsidTr="001A1153">
        <w:trPr>
          <w:trHeight w:val="765"/>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 xml:space="preserve">Neurologist Specialist Consultations. </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92"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$267.9</w:t>
            </w:r>
          </w:p>
        </w:tc>
        <w:tc>
          <w:tcPr>
            <w:tcW w:w="850"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$267.9</w:t>
            </w:r>
          </w:p>
        </w:tc>
        <w:tc>
          <w:tcPr>
            <w:tcW w:w="2358" w:type="dxa"/>
            <w:tcBorders>
              <w:top w:val="nil"/>
              <w:left w:val="nil"/>
              <w:bottom w:val="single" w:sz="4" w:space="0" w:color="auto"/>
              <w:right w:val="single" w:sz="4" w:space="0" w:color="auto"/>
            </w:tcBorders>
            <w:shd w:val="clear" w:color="000000" w:fill="FFFFFF"/>
            <w:vAlign w:val="center"/>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MBS 132. Professional attendance at consulting rooms or hospital. Assumes 1 specialist visit in first 4 months</w:t>
            </w:r>
          </w:p>
        </w:tc>
      </w:tr>
      <w:tr w:rsidR="00153121" w:rsidRPr="00E3331A" w:rsidTr="001A1153">
        <w:trPr>
          <w:trHeight w:val="510"/>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Liver function tests, Urea, Electrolytes, Creatinine</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92"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$17.1</w:t>
            </w:r>
          </w:p>
        </w:tc>
        <w:tc>
          <w:tcPr>
            <w:tcW w:w="850"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$17.1</w:t>
            </w:r>
          </w:p>
        </w:tc>
        <w:tc>
          <w:tcPr>
            <w:tcW w:w="2358" w:type="dxa"/>
            <w:tcBorders>
              <w:top w:val="nil"/>
              <w:left w:val="nil"/>
              <w:bottom w:val="single" w:sz="4" w:space="0" w:color="auto"/>
              <w:right w:val="single" w:sz="4" w:space="0" w:color="auto"/>
            </w:tcBorders>
            <w:shd w:val="clear" w:color="000000" w:fill="FFFFFF"/>
            <w:vAlign w:val="center"/>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MBS 66512. Liver function tests, Urea, Electrolytes, Creatinine</w:t>
            </w:r>
          </w:p>
        </w:tc>
      </w:tr>
      <w:tr w:rsidR="00153121" w:rsidRPr="00E3331A" w:rsidTr="001A1153">
        <w:trPr>
          <w:trHeight w:val="765"/>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Full Blood Examination</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92"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$17.0</w:t>
            </w:r>
          </w:p>
        </w:tc>
        <w:tc>
          <w:tcPr>
            <w:tcW w:w="850"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$17.0</w:t>
            </w:r>
          </w:p>
        </w:tc>
        <w:tc>
          <w:tcPr>
            <w:tcW w:w="2358" w:type="dxa"/>
            <w:tcBorders>
              <w:top w:val="nil"/>
              <w:left w:val="nil"/>
              <w:bottom w:val="single" w:sz="4" w:space="0" w:color="auto"/>
              <w:right w:val="single" w:sz="4" w:space="0" w:color="auto"/>
            </w:tcBorders>
            <w:shd w:val="clear" w:color="000000" w:fill="FFFFFF"/>
            <w:vAlign w:val="center"/>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 xml:space="preserve">MBS 65070. </w:t>
            </w:r>
          </w:p>
        </w:tc>
      </w:tr>
      <w:tr w:rsidR="00153121" w:rsidRPr="00E3331A" w:rsidTr="001A1153">
        <w:trPr>
          <w:trHeight w:val="255"/>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Neuro muscular electro diagnosis</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92"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$227.6</w:t>
            </w:r>
          </w:p>
        </w:tc>
        <w:tc>
          <w:tcPr>
            <w:tcW w:w="850"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$227.6</w:t>
            </w:r>
          </w:p>
        </w:tc>
        <w:tc>
          <w:tcPr>
            <w:tcW w:w="2358" w:type="dxa"/>
            <w:tcBorders>
              <w:top w:val="nil"/>
              <w:left w:val="nil"/>
              <w:bottom w:val="single" w:sz="4" w:space="0" w:color="auto"/>
              <w:right w:val="single" w:sz="4" w:space="0" w:color="auto"/>
            </w:tcBorders>
            <w:shd w:val="clear" w:color="000000" w:fill="FFFFFF"/>
            <w:vAlign w:val="center"/>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MBS 11018. Neuro muscular electro diagnosis</w:t>
            </w:r>
          </w:p>
        </w:tc>
      </w:tr>
      <w:tr w:rsidR="00153121" w:rsidRPr="00E3331A" w:rsidTr="001A1153">
        <w:trPr>
          <w:trHeight w:val="255"/>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153121" w:rsidRPr="00E3331A" w:rsidRDefault="00153121">
            <w:pP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Subtotal, </w:t>
            </w:r>
          </w:p>
          <w:p w:rsidR="00153121" w:rsidRPr="00E3331A" w:rsidRDefault="00153121">
            <w:pPr>
              <w:rPr>
                <w:rFonts w:ascii="Arial Narrow" w:hAnsi="Arial Narrow" w:cs="Calibri"/>
                <w:b/>
                <w:bCs/>
                <w:color w:val="000000"/>
                <w:sz w:val="20"/>
                <w:szCs w:val="20"/>
              </w:rPr>
            </w:pPr>
            <w:r w:rsidRPr="00E3331A">
              <w:rPr>
                <w:rFonts w:ascii="Arial Narrow" w:hAnsi="Arial Narrow" w:cs="Calibri"/>
                <w:b/>
                <w:bCs/>
                <w:color w:val="000000"/>
                <w:sz w:val="20"/>
                <w:szCs w:val="20"/>
              </w:rPr>
              <w:t>(4 months)</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$11,434.8</w:t>
            </w:r>
          </w:p>
        </w:tc>
        <w:tc>
          <w:tcPr>
            <w:tcW w:w="2358" w:type="dxa"/>
            <w:tcBorders>
              <w:top w:val="nil"/>
              <w:left w:val="nil"/>
              <w:bottom w:val="single" w:sz="4" w:space="0" w:color="auto"/>
              <w:right w:val="single" w:sz="4" w:space="0" w:color="auto"/>
            </w:tcBorders>
            <w:shd w:val="clear" w:color="000000" w:fill="FFFFFF"/>
            <w:vAlign w:val="center"/>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 </w:t>
            </w:r>
          </w:p>
        </w:tc>
      </w:tr>
      <w:tr w:rsidR="00153121" w:rsidRPr="00E3331A" w:rsidTr="001A1153">
        <w:trPr>
          <w:trHeight w:val="255"/>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153121" w:rsidRPr="00E3331A" w:rsidRDefault="00153121" w:rsidP="00153121">
            <w:pPr>
              <w:rPr>
                <w:rFonts w:ascii="Arial Narrow" w:hAnsi="Arial Narrow" w:cs="Calibri"/>
                <w:b/>
                <w:bCs/>
                <w:color w:val="000000"/>
                <w:sz w:val="20"/>
                <w:szCs w:val="20"/>
              </w:rPr>
            </w:pPr>
            <w:r w:rsidRPr="00E3331A">
              <w:rPr>
                <w:rFonts w:ascii="Arial Narrow" w:hAnsi="Arial Narrow" w:cs="Calibri"/>
                <w:b/>
                <w:bCs/>
                <w:color w:val="000000"/>
                <w:sz w:val="20"/>
                <w:szCs w:val="20"/>
              </w:rPr>
              <w:lastRenderedPageBreak/>
              <w:t xml:space="preserve">Subtotal </w:t>
            </w:r>
          </w:p>
          <w:p w:rsidR="00153121" w:rsidRPr="00E3331A" w:rsidRDefault="00153121" w:rsidP="00153121">
            <w:pPr>
              <w:rPr>
                <w:rFonts w:ascii="Arial Narrow" w:hAnsi="Arial Narrow" w:cs="Calibri"/>
                <w:b/>
                <w:bCs/>
                <w:color w:val="000000"/>
                <w:sz w:val="20"/>
                <w:szCs w:val="20"/>
              </w:rPr>
            </w:pPr>
            <w:r w:rsidRPr="00E3331A">
              <w:rPr>
                <w:rFonts w:ascii="Arial Narrow" w:hAnsi="Arial Narrow" w:cs="Calibri"/>
                <w:b/>
                <w:bCs/>
                <w:color w:val="000000"/>
                <w:sz w:val="20"/>
                <w:szCs w:val="20"/>
              </w:rPr>
              <w:t>(weekly equiv.)</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$672.6</w:t>
            </w:r>
          </w:p>
        </w:tc>
        <w:tc>
          <w:tcPr>
            <w:tcW w:w="2358" w:type="dxa"/>
            <w:tcBorders>
              <w:top w:val="nil"/>
              <w:left w:val="nil"/>
              <w:bottom w:val="single" w:sz="4" w:space="0" w:color="auto"/>
              <w:right w:val="single" w:sz="4" w:space="0" w:color="auto"/>
            </w:tcBorders>
            <w:shd w:val="clear" w:color="000000" w:fill="FFFFFF"/>
            <w:vAlign w:val="center"/>
            <w:hideMark/>
          </w:tcPr>
          <w:p w:rsidR="00153121" w:rsidRPr="00E3331A" w:rsidRDefault="00153121" w:rsidP="00153121">
            <w:pPr>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r w:rsidR="00090F80" w:rsidRPr="00E3331A" w:rsidTr="00464E0A">
        <w:trPr>
          <w:trHeight w:val="510"/>
        </w:trPr>
        <w:tc>
          <w:tcPr>
            <w:tcW w:w="9016" w:type="dxa"/>
            <w:gridSpan w:val="7"/>
            <w:tcBorders>
              <w:top w:val="single" w:sz="4" w:space="0" w:color="auto"/>
              <w:left w:val="single" w:sz="4" w:space="0" w:color="auto"/>
              <w:bottom w:val="single" w:sz="4" w:space="0" w:color="auto"/>
              <w:right w:val="single" w:sz="4" w:space="0" w:color="auto"/>
            </w:tcBorders>
            <w:shd w:val="clear" w:color="auto" w:fill="D9D9D9"/>
            <w:vAlign w:val="center"/>
            <w:hideMark/>
          </w:tcPr>
          <w:p w:rsidR="00090F80" w:rsidRPr="00E3331A" w:rsidRDefault="00090F80" w:rsidP="001A1153">
            <w:pPr>
              <w:rPr>
                <w:rFonts w:ascii="Arial Narrow" w:hAnsi="Arial Narrow" w:cs="Calibri"/>
                <w:b/>
                <w:bCs/>
                <w:color w:val="FFFFFF"/>
                <w:sz w:val="20"/>
                <w:szCs w:val="20"/>
              </w:rPr>
            </w:pPr>
            <w:r w:rsidRPr="00E3331A">
              <w:rPr>
                <w:rFonts w:ascii="Arial Narrow" w:hAnsi="Arial Narrow" w:cs="Calibri"/>
                <w:b/>
                <w:bCs/>
                <w:sz w:val="20"/>
                <w:szCs w:val="20"/>
              </w:rPr>
              <w:t>Responder SCIg product cost and delivery (4-12 months)</w:t>
            </w:r>
          </w:p>
        </w:tc>
      </w:tr>
      <w:tr w:rsidR="00153121" w:rsidRPr="00E3331A" w:rsidTr="001A1153">
        <w:trPr>
          <w:trHeight w:val="735"/>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Assumed same as IV price of $60.41 per g</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NBA-listed</w:t>
            </w:r>
          </w:p>
        </w:tc>
        <w:tc>
          <w:tcPr>
            <w:tcW w:w="992" w:type="dxa"/>
            <w:tcBorders>
              <w:top w:val="nil"/>
              <w:left w:val="nil"/>
              <w:bottom w:val="single" w:sz="4" w:space="0" w:color="auto"/>
              <w:right w:val="single" w:sz="4" w:space="0" w:color="auto"/>
            </w:tcBorders>
            <w:shd w:val="clear" w:color="000000" w:fill="FFFFFF"/>
            <w:noWrap/>
            <w:vAlign w:val="center"/>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$60.4</w:t>
            </w:r>
          </w:p>
        </w:tc>
        <w:tc>
          <w:tcPr>
            <w:tcW w:w="850" w:type="dxa"/>
            <w:tcBorders>
              <w:top w:val="nil"/>
              <w:left w:val="nil"/>
              <w:bottom w:val="single" w:sz="4" w:space="0" w:color="auto"/>
              <w:right w:val="single" w:sz="4" w:space="0" w:color="auto"/>
            </w:tcBorders>
            <w:shd w:val="clear" w:color="000000" w:fill="FFFFFF"/>
            <w:noWrap/>
            <w:vAlign w:val="center"/>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331.33</w:t>
            </w:r>
          </w:p>
        </w:tc>
        <w:tc>
          <w:tcPr>
            <w:tcW w:w="1134" w:type="dxa"/>
            <w:tcBorders>
              <w:top w:val="nil"/>
              <w:left w:val="nil"/>
              <w:bottom w:val="single" w:sz="4" w:space="0" w:color="auto"/>
              <w:right w:val="single" w:sz="4" w:space="0" w:color="auto"/>
            </w:tcBorders>
            <w:shd w:val="clear" w:color="000000" w:fill="FFFFFF"/>
            <w:noWrap/>
            <w:vAlign w:val="center"/>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3" w:type="dxa"/>
            <w:tcBorders>
              <w:top w:val="nil"/>
              <w:left w:val="nil"/>
              <w:bottom w:val="single" w:sz="4" w:space="0" w:color="auto"/>
              <w:right w:val="single" w:sz="4" w:space="0" w:color="auto"/>
            </w:tcBorders>
            <w:shd w:val="clear" w:color="000000" w:fill="FFFFFF"/>
            <w:noWrap/>
            <w:vAlign w:val="center"/>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$20,015.8</w:t>
            </w:r>
          </w:p>
        </w:tc>
        <w:tc>
          <w:tcPr>
            <w:tcW w:w="2358" w:type="dxa"/>
            <w:tcBorders>
              <w:top w:val="nil"/>
              <w:left w:val="nil"/>
              <w:bottom w:val="single" w:sz="4" w:space="0" w:color="auto"/>
              <w:right w:val="single" w:sz="4" w:space="0" w:color="auto"/>
            </w:tcBorders>
            <w:shd w:val="clear" w:color="000000" w:fill="FFFFFF"/>
            <w:vAlign w:val="center"/>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Dosing assumed for 497g per patient per year. 6.024g per kg</w:t>
            </w:r>
          </w:p>
        </w:tc>
      </w:tr>
      <w:tr w:rsidR="0013485E" w:rsidRPr="00E3331A" w:rsidTr="004E4F14">
        <w:trPr>
          <w:trHeight w:val="450"/>
        </w:trPr>
        <w:tc>
          <w:tcPr>
            <w:tcW w:w="1696" w:type="dxa"/>
            <w:tcBorders>
              <w:top w:val="nil"/>
              <w:left w:val="single" w:sz="4" w:space="0" w:color="auto"/>
              <w:bottom w:val="single" w:sz="4" w:space="0" w:color="auto"/>
              <w:right w:val="single" w:sz="4" w:space="0" w:color="auto"/>
            </w:tcBorders>
            <w:shd w:val="clear" w:color="000000" w:fill="FFFFFF"/>
          </w:tcPr>
          <w:p w:rsidR="0013485E" w:rsidRDefault="0013485E" w:rsidP="0013485E">
            <w:r w:rsidRPr="007E6C36">
              <w:t>REDACTED</w:t>
            </w:r>
          </w:p>
        </w:tc>
        <w:tc>
          <w:tcPr>
            <w:tcW w:w="993" w:type="dxa"/>
            <w:tcBorders>
              <w:top w:val="nil"/>
              <w:left w:val="nil"/>
              <w:bottom w:val="single" w:sz="4" w:space="0" w:color="auto"/>
              <w:right w:val="single" w:sz="4" w:space="0" w:color="auto"/>
            </w:tcBorders>
            <w:shd w:val="clear" w:color="auto" w:fill="auto"/>
            <w:noWrap/>
          </w:tcPr>
          <w:p w:rsidR="0013485E" w:rsidRPr="0013485E" w:rsidRDefault="0013485E" w:rsidP="0013485E">
            <w:pPr>
              <w:rPr>
                <w:sz w:val="14"/>
                <w:szCs w:val="14"/>
              </w:rPr>
            </w:pPr>
            <w:r w:rsidRPr="0013485E">
              <w:rPr>
                <w:sz w:val="14"/>
                <w:szCs w:val="14"/>
              </w:rPr>
              <w:t>REDACTED</w:t>
            </w:r>
          </w:p>
        </w:tc>
        <w:tc>
          <w:tcPr>
            <w:tcW w:w="992" w:type="dxa"/>
            <w:tcBorders>
              <w:top w:val="nil"/>
              <w:left w:val="nil"/>
              <w:bottom w:val="single" w:sz="4" w:space="0" w:color="auto"/>
              <w:right w:val="single" w:sz="4" w:space="0" w:color="auto"/>
            </w:tcBorders>
            <w:shd w:val="clear" w:color="000000" w:fill="FFFFFF"/>
            <w:noWrap/>
          </w:tcPr>
          <w:p w:rsidR="0013485E" w:rsidRPr="0013485E" w:rsidRDefault="0013485E" w:rsidP="0013485E">
            <w:pPr>
              <w:rPr>
                <w:sz w:val="14"/>
                <w:szCs w:val="14"/>
              </w:rPr>
            </w:pPr>
            <w:r w:rsidRPr="0013485E">
              <w:rPr>
                <w:sz w:val="14"/>
                <w:szCs w:val="14"/>
              </w:rPr>
              <w:t>REDACTED</w:t>
            </w:r>
          </w:p>
        </w:tc>
        <w:tc>
          <w:tcPr>
            <w:tcW w:w="850" w:type="dxa"/>
            <w:tcBorders>
              <w:top w:val="nil"/>
              <w:left w:val="nil"/>
              <w:bottom w:val="single" w:sz="4" w:space="0" w:color="auto"/>
              <w:right w:val="single" w:sz="4" w:space="0" w:color="auto"/>
            </w:tcBorders>
            <w:shd w:val="clear" w:color="000000" w:fill="FFFFFF"/>
            <w:noWrap/>
          </w:tcPr>
          <w:p w:rsidR="0013485E" w:rsidRPr="0013485E" w:rsidRDefault="0013485E" w:rsidP="0013485E">
            <w:pPr>
              <w:rPr>
                <w:sz w:val="14"/>
                <w:szCs w:val="14"/>
              </w:rPr>
            </w:pPr>
            <w:r w:rsidRPr="0013485E">
              <w:rPr>
                <w:sz w:val="14"/>
                <w:szCs w:val="14"/>
              </w:rPr>
              <w:t>REDACTED</w:t>
            </w:r>
          </w:p>
        </w:tc>
        <w:tc>
          <w:tcPr>
            <w:tcW w:w="1134" w:type="dxa"/>
            <w:tcBorders>
              <w:top w:val="nil"/>
              <w:left w:val="nil"/>
              <w:bottom w:val="single" w:sz="4" w:space="0" w:color="auto"/>
              <w:right w:val="single" w:sz="4" w:space="0" w:color="auto"/>
            </w:tcBorders>
            <w:shd w:val="clear" w:color="000000" w:fill="FFFFFF"/>
            <w:noWrap/>
          </w:tcPr>
          <w:p w:rsidR="0013485E" w:rsidRPr="0013485E" w:rsidRDefault="0013485E" w:rsidP="0013485E">
            <w:pPr>
              <w:rPr>
                <w:sz w:val="14"/>
                <w:szCs w:val="14"/>
              </w:rPr>
            </w:pPr>
            <w:r w:rsidRPr="0013485E">
              <w:rPr>
                <w:sz w:val="14"/>
                <w:szCs w:val="14"/>
              </w:rPr>
              <w:t>REDACTED</w:t>
            </w:r>
          </w:p>
        </w:tc>
        <w:tc>
          <w:tcPr>
            <w:tcW w:w="993" w:type="dxa"/>
            <w:tcBorders>
              <w:top w:val="nil"/>
              <w:left w:val="nil"/>
              <w:bottom w:val="single" w:sz="4" w:space="0" w:color="auto"/>
              <w:right w:val="single" w:sz="4" w:space="0" w:color="auto"/>
            </w:tcBorders>
            <w:shd w:val="clear" w:color="000000" w:fill="FFFFFF"/>
            <w:noWrap/>
          </w:tcPr>
          <w:p w:rsidR="0013485E" w:rsidRPr="0013485E" w:rsidRDefault="0013485E" w:rsidP="0013485E">
            <w:pPr>
              <w:rPr>
                <w:sz w:val="14"/>
                <w:szCs w:val="14"/>
              </w:rPr>
            </w:pPr>
            <w:r w:rsidRPr="0013485E">
              <w:rPr>
                <w:sz w:val="14"/>
                <w:szCs w:val="14"/>
              </w:rPr>
              <w:t>REDACTED</w:t>
            </w:r>
          </w:p>
        </w:tc>
        <w:tc>
          <w:tcPr>
            <w:tcW w:w="2358" w:type="dxa"/>
            <w:tcBorders>
              <w:top w:val="nil"/>
              <w:left w:val="nil"/>
              <w:bottom w:val="single" w:sz="4" w:space="0" w:color="auto"/>
              <w:right w:val="single" w:sz="4" w:space="0" w:color="auto"/>
            </w:tcBorders>
            <w:shd w:val="clear" w:color="000000" w:fill="FFFFFF"/>
          </w:tcPr>
          <w:p w:rsidR="0013485E" w:rsidRDefault="0013485E" w:rsidP="0013485E">
            <w:r w:rsidRPr="007E6C36">
              <w:t>REDACTED</w:t>
            </w:r>
          </w:p>
        </w:tc>
      </w:tr>
      <w:tr w:rsidR="00153121" w:rsidRPr="00E3331A" w:rsidTr="001A1153">
        <w:trPr>
          <w:trHeight w:val="255"/>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GP Consultations (MBS 23)</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92"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$34.9</w:t>
            </w:r>
          </w:p>
        </w:tc>
        <w:tc>
          <w:tcPr>
            <w:tcW w:w="850"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2.00</w:t>
            </w:r>
          </w:p>
        </w:tc>
        <w:tc>
          <w:tcPr>
            <w:tcW w:w="1134"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$69.8</w:t>
            </w:r>
          </w:p>
        </w:tc>
        <w:tc>
          <w:tcPr>
            <w:tcW w:w="2358" w:type="dxa"/>
            <w:tcBorders>
              <w:top w:val="nil"/>
              <w:left w:val="nil"/>
              <w:bottom w:val="single" w:sz="4" w:space="0" w:color="auto"/>
              <w:right w:val="single" w:sz="4" w:space="0" w:color="auto"/>
            </w:tcBorders>
            <w:shd w:val="clear" w:color="000000" w:fill="FFFFFF"/>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 xml:space="preserve">MBS 23. Professional attendance by a general practitioner </w:t>
            </w:r>
          </w:p>
        </w:tc>
      </w:tr>
      <w:tr w:rsidR="00153121" w:rsidRPr="00E3331A" w:rsidTr="001A1153">
        <w:trPr>
          <w:trHeight w:val="255"/>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 xml:space="preserve">Neurologist Specialist Consultations </w:t>
            </w:r>
          </w:p>
          <w:p w:rsidR="00153121" w:rsidRPr="00E3331A" w:rsidRDefault="00153121" w:rsidP="00153121">
            <w:pPr>
              <w:rPr>
                <w:rFonts w:ascii="Arial Narrow" w:hAnsi="Arial Narrow" w:cs="Calibri"/>
                <w:color w:val="000000"/>
                <w:sz w:val="20"/>
                <w:szCs w:val="20"/>
              </w:rPr>
            </w:pP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92"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$136.3</w:t>
            </w:r>
          </w:p>
        </w:tc>
        <w:tc>
          <w:tcPr>
            <w:tcW w:w="850"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$136.3</w:t>
            </w:r>
          </w:p>
        </w:tc>
        <w:tc>
          <w:tcPr>
            <w:tcW w:w="2358" w:type="dxa"/>
            <w:tcBorders>
              <w:top w:val="nil"/>
              <w:left w:val="nil"/>
              <w:bottom w:val="single" w:sz="4" w:space="0" w:color="auto"/>
              <w:right w:val="single" w:sz="4" w:space="0" w:color="auto"/>
            </w:tcBorders>
            <w:shd w:val="clear" w:color="000000" w:fill="FFFFFF"/>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MBS 133. Professional attendance at consulting rooms or hospital</w:t>
            </w:r>
          </w:p>
        </w:tc>
      </w:tr>
      <w:tr w:rsidR="00153121" w:rsidRPr="00E3331A" w:rsidTr="001A1153">
        <w:trPr>
          <w:trHeight w:val="255"/>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Neuro muscular electro diagnosis</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92"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$227.6</w:t>
            </w:r>
          </w:p>
        </w:tc>
        <w:tc>
          <w:tcPr>
            <w:tcW w:w="850"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993" w:type="dxa"/>
            <w:tcBorders>
              <w:top w:val="nil"/>
              <w:left w:val="nil"/>
              <w:bottom w:val="single" w:sz="4" w:space="0" w:color="auto"/>
              <w:right w:val="single" w:sz="4" w:space="0" w:color="auto"/>
            </w:tcBorders>
            <w:shd w:val="clear" w:color="000000" w:fill="FFFFFF"/>
            <w:noWrap/>
            <w:vAlign w:val="center"/>
            <w:hideMark/>
          </w:tcPr>
          <w:p w:rsidR="00153121" w:rsidRPr="00E3331A" w:rsidRDefault="00153121" w:rsidP="00153121">
            <w:pPr>
              <w:jc w:val="center"/>
              <w:rPr>
                <w:rFonts w:ascii="Arial Narrow" w:hAnsi="Arial Narrow" w:cs="Calibri"/>
                <w:color w:val="000000"/>
                <w:sz w:val="20"/>
                <w:szCs w:val="20"/>
              </w:rPr>
            </w:pPr>
            <w:r w:rsidRPr="00E3331A">
              <w:rPr>
                <w:rFonts w:ascii="Arial Narrow" w:hAnsi="Arial Narrow" w:cs="Calibri"/>
                <w:color w:val="000000"/>
                <w:sz w:val="20"/>
                <w:szCs w:val="20"/>
              </w:rPr>
              <w:t>$227.6</w:t>
            </w:r>
          </w:p>
        </w:tc>
        <w:tc>
          <w:tcPr>
            <w:tcW w:w="2358" w:type="dxa"/>
            <w:tcBorders>
              <w:top w:val="nil"/>
              <w:left w:val="nil"/>
              <w:bottom w:val="single" w:sz="4" w:space="0" w:color="auto"/>
              <w:right w:val="single" w:sz="4" w:space="0" w:color="auto"/>
            </w:tcBorders>
            <w:shd w:val="clear" w:color="000000" w:fill="FFFFFF"/>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MBS 11018. Neuro muscular electro diagnosis</w:t>
            </w:r>
          </w:p>
        </w:tc>
      </w:tr>
      <w:tr w:rsidR="0013485E" w:rsidRPr="00E3331A" w:rsidTr="007135BB">
        <w:trPr>
          <w:trHeight w:val="765"/>
        </w:trPr>
        <w:tc>
          <w:tcPr>
            <w:tcW w:w="1696" w:type="dxa"/>
            <w:tcBorders>
              <w:top w:val="nil"/>
              <w:left w:val="single" w:sz="4" w:space="0" w:color="auto"/>
              <w:bottom w:val="single" w:sz="4" w:space="0" w:color="auto"/>
              <w:right w:val="single" w:sz="4" w:space="0" w:color="auto"/>
            </w:tcBorders>
            <w:shd w:val="clear" w:color="auto" w:fill="auto"/>
          </w:tcPr>
          <w:p w:rsidR="0013485E" w:rsidRDefault="0013485E" w:rsidP="0013485E">
            <w:r w:rsidRPr="00546A3E">
              <w:t>REDACTED</w:t>
            </w:r>
          </w:p>
          <w:p w:rsidR="0013485E" w:rsidRPr="0013485E" w:rsidRDefault="0013485E" w:rsidP="0013485E">
            <w:pPr>
              <w:rPr>
                <w:sz w:val="140"/>
                <w:szCs w:val="140"/>
              </w:rPr>
            </w:pPr>
          </w:p>
        </w:tc>
        <w:tc>
          <w:tcPr>
            <w:tcW w:w="993" w:type="dxa"/>
            <w:tcBorders>
              <w:top w:val="nil"/>
              <w:left w:val="nil"/>
              <w:bottom w:val="single" w:sz="4" w:space="0" w:color="auto"/>
              <w:right w:val="single" w:sz="4" w:space="0" w:color="auto"/>
            </w:tcBorders>
            <w:shd w:val="clear" w:color="000000" w:fill="FFFFFF"/>
            <w:noWrap/>
          </w:tcPr>
          <w:p w:rsidR="0013485E" w:rsidRPr="0013485E" w:rsidRDefault="0013485E" w:rsidP="0013485E">
            <w:pPr>
              <w:rPr>
                <w:sz w:val="14"/>
                <w:szCs w:val="14"/>
              </w:rPr>
            </w:pPr>
            <w:r w:rsidRPr="0013485E">
              <w:rPr>
                <w:sz w:val="14"/>
                <w:szCs w:val="14"/>
              </w:rPr>
              <w:t>REDACTED</w:t>
            </w:r>
          </w:p>
        </w:tc>
        <w:tc>
          <w:tcPr>
            <w:tcW w:w="992" w:type="dxa"/>
            <w:tcBorders>
              <w:top w:val="nil"/>
              <w:left w:val="nil"/>
              <w:bottom w:val="single" w:sz="4" w:space="0" w:color="auto"/>
              <w:right w:val="single" w:sz="4" w:space="0" w:color="auto"/>
            </w:tcBorders>
            <w:shd w:val="clear" w:color="000000" w:fill="FFFFFF"/>
            <w:noWrap/>
          </w:tcPr>
          <w:p w:rsidR="0013485E" w:rsidRPr="0013485E" w:rsidRDefault="0013485E" w:rsidP="0013485E">
            <w:pPr>
              <w:rPr>
                <w:sz w:val="14"/>
                <w:szCs w:val="14"/>
              </w:rPr>
            </w:pPr>
            <w:r w:rsidRPr="0013485E">
              <w:rPr>
                <w:sz w:val="14"/>
                <w:szCs w:val="14"/>
              </w:rPr>
              <w:t>REDACTED</w:t>
            </w:r>
          </w:p>
        </w:tc>
        <w:tc>
          <w:tcPr>
            <w:tcW w:w="850" w:type="dxa"/>
            <w:tcBorders>
              <w:top w:val="nil"/>
              <w:left w:val="nil"/>
              <w:bottom w:val="single" w:sz="4" w:space="0" w:color="auto"/>
              <w:right w:val="single" w:sz="4" w:space="0" w:color="auto"/>
            </w:tcBorders>
            <w:shd w:val="clear" w:color="000000" w:fill="FFFFFF"/>
            <w:noWrap/>
          </w:tcPr>
          <w:p w:rsidR="0013485E" w:rsidRPr="0013485E" w:rsidRDefault="0013485E" w:rsidP="0013485E">
            <w:pPr>
              <w:rPr>
                <w:sz w:val="14"/>
                <w:szCs w:val="14"/>
              </w:rPr>
            </w:pPr>
            <w:r w:rsidRPr="0013485E">
              <w:rPr>
                <w:sz w:val="14"/>
                <w:szCs w:val="14"/>
              </w:rPr>
              <w:t>REDACTED</w:t>
            </w:r>
          </w:p>
        </w:tc>
        <w:tc>
          <w:tcPr>
            <w:tcW w:w="1134" w:type="dxa"/>
            <w:tcBorders>
              <w:top w:val="nil"/>
              <w:left w:val="nil"/>
              <w:bottom w:val="single" w:sz="4" w:space="0" w:color="auto"/>
              <w:right w:val="single" w:sz="4" w:space="0" w:color="auto"/>
            </w:tcBorders>
            <w:shd w:val="clear" w:color="000000" w:fill="FFFFFF"/>
            <w:noWrap/>
          </w:tcPr>
          <w:p w:rsidR="0013485E" w:rsidRPr="0013485E" w:rsidRDefault="0013485E" w:rsidP="0013485E">
            <w:pPr>
              <w:rPr>
                <w:sz w:val="14"/>
                <w:szCs w:val="14"/>
              </w:rPr>
            </w:pPr>
            <w:r w:rsidRPr="0013485E">
              <w:rPr>
                <w:sz w:val="14"/>
                <w:szCs w:val="14"/>
              </w:rPr>
              <w:t>REDACTED</w:t>
            </w:r>
          </w:p>
        </w:tc>
        <w:tc>
          <w:tcPr>
            <w:tcW w:w="993" w:type="dxa"/>
            <w:tcBorders>
              <w:top w:val="nil"/>
              <w:left w:val="nil"/>
              <w:bottom w:val="single" w:sz="4" w:space="0" w:color="auto"/>
              <w:right w:val="single" w:sz="4" w:space="0" w:color="auto"/>
            </w:tcBorders>
            <w:shd w:val="clear" w:color="000000" w:fill="FFFFFF"/>
            <w:noWrap/>
          </w:tcPr>
          <w:p w:rsidR="0013485E" w:rsidRPr="0013485E" w:rsidRDefault="0013485E" w:rsidP="0013485E">
            <w:pPr>
              <w:rPr>
                <w:sz w:val="14"/>
                <w:szCs w:val="14"/>
              </w:rPr>
            </w:pPr>
            <w:r w:rsidRPr="0013485E">
              <w:rPr>
                <w:sz w:val="14"/>
                <w:szCs w:val="14"/>
              </w:rPr>
              <w:t>REDACTED</w:t>
            </w:r>
          </w:p>
        </w:tc>
        <w:tc>
          <w:tcPr>
            <w:tcW w:w="2358" w:type="dxa"/>
            <w:tcBorders>
              <w:top w:val="nil"/>
              <w:left w:val="nil"/>
              <w:bottom w:val="single" w:sz="4" w:space="0" w:color="auto"/>
              <w:right w:val="single" w:sz="4" w:space="0" w:color="auto"/>
            </w:tcBorders>
            <w:shd w:val="clear" w:color="000000" w:fill="FFFFFF"/>
          </w:tcPr>
          <w:p w:rsidR="0013485E" w:rsidRDefault="0013485E" w:rsidP="0013485E">
            <w:r w:rsidRPr="00546A3E">
              <w:t>REDACTED</w:t>
            </w:r>
          </w:p>
        </w:tc>
      </w:tr>
      <w:tr w:rsidR="00153121" w:rsidRPr="00E3331A" w:rsidTr="001A1153">
        <w:trPr>
          <w:trHeight w:val="255"/>
        </w:trPr>
        <w:tc>
          <w:tcPr>
            <w:tcW w:w="1696" w:type="dxa"/>
            <w:tcBorders>
              <w:top w:val="nil"/>
              <w:left w:val="single" w:sz="4" w:space="0" w:color="auto"/>
              <w:bottom w:val="single" w:sz="4" w:space="0" w:color="auto"/>
              <w:right w:val="single" w:sz="4" w:space="0" w:color="auto"/>
            </w:tcBorders>
            <w:shd w:val="clear" w:color="auto" w:fill="D9D9D9"/>
            <w:vAlign w:val="center"/>
            <w:hideMark/>
          </w:tcPr>
          <w:p w:rsidR="00153121" w:rsidRPr="00E3331A" w:rsidRDefault="00153121" w:rsidP="00153121">
            <w:pP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Subtotal </w:t>
            </w:r>
          </w:p>
          <w:p w:rsidR="00153121" w:rsidRPr="00E3331A" w:rsidRDefault="00153121" w:rsidP="00153121">
            <w:pPr>
              <w:rPr>
                <w:rFonts w:ascii="Arial Narrow" w:hAnsi="Arial Narrow" w:cs="Calibri"/>
                <w:b/>
                <w:bCs/>
                <w:color w:val="000000"/>
                <w:sz w:val="20"/>
                <w:szCs w:val="20"/>
              </w:rPr>
            </w:pPr>
            <w:r w:rsidRPr="00E3331A">
              <w:rPr>
                <w:rFonts w:ascii="Arial Narrow" w:hAnsi="Arial Narrow" w:cs="Calibri"/>
                <w:b/>
                <w:bCs/>
                <w:color w:val="000000"/>
                <w:sz w:val="20"/>
                <w:szCs w:val="20"/>
              </w:rPr>
              <w:t>(8 months)</w:t>
            </w:r>
          </w:p>
        </w:tc>
        <w:tc>
          <w:tcPr>
            <w:tcW w:w="993" w:type="dxa"/>
            <w:tcBorders>
              <w:top w:val="nil"/>
              <w:left w:val="nil"/>
              <w:bottom w:val="single" w:sz="4" w:space="0" w:color="auto"/>
              <w:right w:val="single" w:sz="4" w:space="0" w:color="auto"/>
            </w:tcBorders>
            <w:shd w:val="clear" w:color="auto" w:fill="D9D9D9"/>
            <w:noWrap/>
            <w:vAlign w:val="center"/>
            <w:hideMark/>
          </w:tcPr>
          <w:p w:rsidR="00153121" w:rsidRPr="00E3331A" w:rsidRDefault="00153121" w:rsidP="00153121">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92" w:type="dxa"/>
            <w:tcBorders>
              <w:top w:val="nil"/>
              <w:left w:val="nil"/>
              <w:bottom w:val="single" w:sz="4" w:space="0" w:color="auto"/>
              <w:right w:val="single" w:sz="4" w:space="0" w:color="auto"/>
            </w:tcBorders>
            <w:shd w:val="clear" w:color="auto" w:fill="D9D9D9"/>
            <w:noWrap/>
            <w:vAlign w:val="center"/>
            <w:hideMark/>
          </w:tcPr>
          <w:p w:rsidR="00153121" w:rsidRPr="00E3331A" w:rsidRDefault="00153121" w:rsidP="00153121">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850" w:type="dxa"/>
            <w:tcBorders>
              <w:top w:val="nil"/>
              <w:left w:val="nil"/>
              <w:bottom w:val="single" w:sz="4" w:space="0" w:color="auto"/>
              <w:right w:val="single" w:sz="4" w:space="0" w:color="auto"/>
            </w:tcBorders>
            <w:shd w:val="clear" w:color="auto" w:fill="D9D9D9"/>
            <w:noWrap/>
            <w:vAlign w:val="center"/>
            <w:hideMark/>
          </w:tcPr>
          <w:p w:rsidR="00153121" w:rsidRPr="00E3331A" w:rsidRDefault="00153121" w:rsidP="00153121">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134" w:type="dxa"/>
            <w:tcBorders>
              <w:top w:val="nil"/>
              <w:left w:val="nil"/>
              <w:bottom w:val="single" w:sz="4" w:space="0" w:color="auto"/>
              <w:right w:val="single" w:sz="4" w:space="0" w:color="auto"/>
            </w:tcBorders>
            <w:shd w:val="clear" w:color="auto" w:fill="D9D9D9"/>
            <w:noWrap/>
            <w:vAlign w:val="center"/>
            <w:hideMark/>
          </w:tcPr>
          <w:p w:rsidR="00153121" w:rsidRPr="00E3331A" w:rsidRDefault="00153121" w:rsidP="00153121">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93" w:type="dxa"/>
            <w:tcBorders>
              <w:top w:val="nil"/>
              <w:left w:val="nil"/>
              <w:bottom w:val="single" w:sz="4" w:space="0" w:color="auto"/>
              <w:right w:val="single" w:sz="4" w:space="0" w:color="auto"/>
            </w:tcBorders>
            <w:shd w:val="clear" w:color="auto" w:fill="D9D9D9"/>
            <w:noWrap/>
            <w:vAlign w:val="center"/>
          </w:tcPr>
          <w:p w:rsidR="00153121" w:rsidRPr="00E3331A" w:rsidRDefault="00153121" w:rsidP="00153121">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$21,701.0</w:t>
            </w:r>
          </w:p>
        </w:tc>
        <w:tc>
          <w:tcPr>
            <w:tcW w:w="2358" w:type="dxa"/>
            <w:tcBorders>
              <w:top w:val="nil"/>
              <w:left w:val="nil"/>
              <w:bottom w:val="single" w:sz="4" w:space="0" w:color="auto"/>
              <w:right w:val="single" w:sz="4" w:space="0" w:color="auto"/>
            </w:tcBorders>
            <w:shd w:val="clear" w:color="auto" w:fill="D9D9D9"/>
            <w:vAlign w:val="center"/>
            <w:hideMark/>
          </w:tcPr>
          <w:p w:rsidR="00153121" w:rsidRPr="00E3331A" w:rsidRDefault="00153121" w:rsidP="00153121">
            <w:pPr>
              <w:rPr>
                <w:rFonts w:ascii="Arial Narrow" w:hAnsi="Arial Narrow" w:cs="Calibri"/>
                <w:color w:val="000000"/>
                <w:sz w:val="20"/>
                <w:szCs w:val="20"/>
              </w:rPr>
            </w:pPr>
            <w:r w:rsidRPr="00E3331A">
              <w:rPr>
                <w:rFonts w:ascii="Arial Narrow" w:hAnsi="Arial Narrow" w:cs="Calibri"/>
                <w:color w:val="000000"/>
                <w:sz w:val="20"/>
                <w:szCs w:val="20"/>
              </w:rPr>
              <w:t> </w:t>
            </w:r>
          </w:p>
        </w:tc>
      </w:tr>
      <w:tr w:rsidR="00153121" w:rsidRPr="00E3331A" w:rsidTr="001A1153">
        <w:trPr>
          <w:trHeight w:val="255"/>
        </w:trPr>
        <w:tc>
          <w:tcPr>
            <w:tcW w:w="1696" w:type="dxa"/>
            <w:tcBorders>
              <w:top w:val="nil"/>
              <w:left w:val="single" w:sz="4" w:space="0" w:color="auto"/>
              <w:bottom w:val="single" w:sz="4" w:space="0" w:color="auto"/>
              <w:right w:val="single" w:sz="4" w:space="0" w:color="auto"/>
            </w:tcBorders>
            <w:shd w:val="clear" w:color="auto" w:fill="D9D9D9"/>
            <w:vAlign w:val="center"/>
            <w:hideMark/>
          </w:tcPr>
          <w:p w:rsidR="00153121" w:rsidRPr="00E3331A" w:rsidRDefault="00153121" w:rsidP="00153121">
            <w:pPr>
              <w:rPr>
                <w:rFonts w:ascii="Arial Narrow" w:hAnsi="Arial Narrow" w:cs="Calibri"/>
                <w:b/>
                <w:bCs/>
                <w:color w:val="000000"/>
                <w:sz w:val="20"/>
                <w:szCs w:val="20"/>
              </w:rPr>
            </w:pPr>
            <w:r w:rsidRPr="00E3331A">
              <w:rPr>
                <w:rFonts w:ascii="Arial Narrow" w:hAnsi="Arial Narrow" w:cs="Calibri"/>
                <w:b/>
                <w:bCs/>
                <w:color w:val="000000"/>
                <w:sz w:val="20"/>
                <w:szCs w:val="20"/>
              </w:rPr>
              <w:t>Total per year</w:t>
            </w:r>
          </w:p>
        </w:tc>
        <w:tc>
          <w:tcPr>
            <w:tcW w:w="993" w:type="dxa"/>
            <w:tcBorders>
              <w:top w:val="nil"/>
              <w:left w:val="nil"/>
              <w:bottom w:val="single" w:sz="4" w:space="0" w:color="auto"/>
              <w:right w:val="single" w:sz="4" w:space="0" w:color="auto"/>
            </w:tcBorders>
            <w:shd w:val="clear" w:color="auto" w:fill="D9D9D9"/>
            <w:noWrap/>
            <w:vAlign w:val="bottom"/>
            <w:hideMark/>
          </w:tcPr>
          <w:p w:rsidR="00153121" w:rsidRPr="00E3331A" w:rsidRDefault="00153121" w:rsidP="00153121">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92" w:type="dxa"/>
            <w:tcBorders>
              <w:top w:val="nil"/>
              <w:left w:val="nil"/>
              <w:bottom w:val="single" w:sz="4" w:space="0" w:color="auto"/>
              <w:right w:val="single" w:sz="4" w:space="0" w:color="auto"/>
            </w:tcBorders>
            <w:shd w:val="clear" w:color="auto" w:fill="D9D9D9"/>
            <w:noWrap/>
            <w:vAlign w:val="center"/>
            <w:hideMark/>
          </w:tcPr>
          <w:p w:rsidR="00153121" w:rsidRPr="00E3331A" w:rsidRDefault="00153121" w:rsidP="00153121">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850" w:type="dxa"/>
            <w:tcBorders>
              <w:top w:val="nil"/>
              <w:left w:val="nil"/>
              <w:bottom w:val="single" w:sz="4" w:space="0" w:color="auto"/>
              <w:right w:val="single" w:sz="4" w:space="0" w:color="auto"/>
            </w:tcBorders>
            <w:shd w:val="clear" w:color="auto" w:fill="D9D9D9"/>
            <w:noWrap/>
            <w:vAlign w:val="center"/>
            <w:hideMark/>
          </w:tcPr>
          <w:p w:rsidR="00153121" w:rsidRPr="00E3331A" w:rsidRDefault="00153121" w:rsidP="00153121">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1134" w:type="dxa"/>
            <w:tcBorders>
              <w:top w:val="nil"/>
              <w:left w:val="nil"/>
              <w:bottom w:val="single" w:sz="4" w:space="0" w:color="auto"/>
              <w:right w:val="single" w:sz="4" w:space="0" w:color="auto"/>
            </w:tcBorders>
            <w:shd w:val="clear" w:color="auto" w:fill="D9D9D9"/>
            <w:noWrap/>
            <w:vAlign w:val="center"/>
            <w:hideMark/>
          </w:tcPr>
          <w:p w:rsidR="00153121" w:rsidRPr="00E3331A" w:rsidRDefault="00153121" w:rsidP="00153121">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93" w:type="dxa"/>
            <w:tcBorders>
              <w:top w:val="nil"/>
              <w:left w:val="nil"/>
              <w:bottom w:val="single" w:sz="4" w:space="0" w:color="auto"/>
              <w:right w:val="single" w:sz="4" w:space="0" w:color="auto"/>
            </w:tcBorders>
            <w:shd w:val="clear" w:color="auto" w:fill="D9D9D9"/>
            <w:noWrap/>
            <w:vAlign w:val="center"/>
          </w:tcPr>
          <w:p w:rsidR="00153121" w:rsidRPr="00E3331A" w:rsidRDefault="00153121">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$33,135.8</w:t>
            </w:r>
          </w:p>
        </w:tc>
        <w:tc>
          <w:tcPr>
            <w:tcW w:w="2358" w:type="dxa"/>
            <w:tcBorders>
              <w:top w:val="nil"/>
              <w:left w:val="nil"/>
              <w:bottom w:val="single" w:sz="4" w:space="0" w:color="auto"/>
              <w:right w:val="single" w:sz="4" w:space="0" w:color="auto"/>
            </w:tcBorders>
            <w:shd w:val="clear" w:color="auto" w:fill="D9D9D9"/>
            <w:vAlign w:val="bottom"/>
            <w:hideMark/>
          </w:tcPr>
          <w:p w:rsidR="00153121" w:rsidRPr="00E3331A" w:rsidRDefault="00153121" w:rsidP="00153121">
            <w:pPr>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bl>
    <w:p w:rsidR="00090F80" w:rsidRPr="00E3331A" w:rsidRDefault="00090F80" w:rsidP="00464E0A">
      <w:pPr>
        <w:pStyle w:val="BodyTextSTD"/>
      </w:pPr>
    </w:p>
    <w:p w:rsidR="001F5B33" w:rsidRPr="00E3331A" w:rsidRDefault="001F5B33" w:rsidP="00C83D20">
      <w:pPr>
        <w:pStyle w:val="BodyTextSTD"/>
        <w:numPr>
          <w:ilvl w:val="0"/>
          <w:numId w:val="43"/>
        </w:numPr>
      </w:pPr>
      <w:r w:rsidRPr="00E3331A">
        <w:lastRenderedPageBreak/>
        <w:t>Once patients</w:t>
      </w:r>
      <w:r w:rsidR="00D175C4" w:rsidRPr="00E3331A">
        <w:t xml:space="preserve"> </w:t>
      </w:r>
      <w:r w:rsidR="00EF5C8B" w:rsidRPr="00E3331A">
        <w:t xml:space="preserve">become resistant </w:t>
      </w:r>
      <w:r w:rsidRPr="00E3331A">
        <w:t>to steroids or suffer steroid</w:t>
      </w:r>
      <w:r w:rsidR="00D45BCF" w:rsidRPr="00E3331A">
        <w:t>-</w:t>
      </w:r>
      <w:r w:rsidRPr="00E3331A">
        <w:t xml:space="preserve">related AEs, they are assumed to switch to </w:t>
      </w:r>
      <w:r w:rsidR="002B786E" w:rsidRPr="002B786E">
        <w:t>immunosuppressants</w:t>
      </w:r>
      <w:r w:rsidRPr="00E3331A">
        <w:t xml:space="preserve">. Plasma exchange is also used following corticosteroids and involves exchange of three to five litres of plasma </w:t>
      </w:r>
      <w:r w:rsidR="00D175C4" w:rsidRPr="00E3331A">
        <w:t xml:space="preserve">to </w:t>
      </w:r>
      <w:r w:rsidRPr="00E3331A">
        <w:t>reduce IgG levels by 45</w:t>
      </w:r>
      <w:r w:rsidR="00D175C4" w:rsidRPr="00E3331A">
        <w:t>%</w:t>
      </w:r>
      <w:r w:rsidRPr="00E3331A">
        <w:t>. To achieve adequate venous access, patients may have large-bore peripheral cannulation or insertion of a central venous catheter</w:t>
      </w:r>
      <w:r w:rsidR="009C2707" w:rsidRPr="00E3331A">
        <w:t>, or implantation of an arteriovenous fistulae f</w:t>
      </w:r>
      <w:r w:rsidRPr="00E3331A">
        <w:t>or longer</w:t>
      </w:r>
      <w:r w:rsidR="009C2707" w:rsidRPr="00E3331A">
        <w:t>-</w:t>
      </w:r>
      <w:r w:rsidRPr="00E3331A">
        <w:t xml:space="preserve">term treatment, such as required for CIDP patients. </w:t>
      </w:r>
      <w:r w:rsidR="00D67B69" w:rsidRPr="00E3331A">
        <w:t xml:space="preserve">None of </w:t>
      </w:r>
      <w:r w:rsidR="009C2707" w:rsidRPr="00E3331A">
        <w:t xml:space="preserve">the </w:t>
      </w:r>
      <w:r w:rsidR="00D67B69" w:rsidRPr="00E3331A">
        <w:t xml:space="preserve">RCTs included in the clinical evidence repeated plasma exchange. Case series data reported by Choudray (1995) indicated 10-70 exchanges were undertaken over 8-60 months for patients requiring extended treatment, however, 16 of 23 responders did not need long term treatment. Codron (2017) indicated </w:t>
      </w:r>
      <w:r w:rsidR="00262D6F" w:rsidRPr="00E3331A">
        <w:t xml:space="preserve">that </w:t>
      </w:r>
      <w:r w:rsidR="00D67B69" w:rsidRPr="00E3331A">
        <w:t>11 patients had 368 sessio</w:t>
      </w:r>
      <w:r w:rsidR="00262D6F" w:rsidRPr="00E3331A">
        <w:t>n</w:t>
      </w:r>
      <w:r w:rsidR="00D67B69" w:rsidRPr="00E3331A">
        <w:t xml:space="preserve">s over </w:t>
      </w:r>
      <w:r w:rsidR="00262D6F" w:rsidRPr="00E3331A">
        <w:t xml:space="preserve">approximately </w:t>
      </w:r>
      <w:r w:rsidR="00D67B69" w:rsidRPr="00E3331A">
        <w:t>9.5 years, with a median of 28 sessions per patient</w:t>
      </w:r>
      <w:r w:rsidR="00262D6F" w:rsidRPr="00E3331A">
        <w:t>,</w:t>
      </w:r>
      <w:r w:rsidR="00D67B69" w:rsidRPr="00E3331A">
        <w:t xml:space="preserve"> equat</w:t>
      </w:r>
      <w:r w:rsidR="00262D6F" w:rsidRPr="00E3331A">
        <w:t>ing</w:t>
      </w:r>
      <w:r w:rsidR="00D67B69" w:rsidRPr="00E3331A">
        <w:t xml:space="preserve"> to around 3 per year. </w:t>
      </w:r>
      <w:r w:rsidRPr="00E3331A">
        <w:t xml:space="preserve">The costs of plasma exchange are outlined in </w:t>
      </w:r>
      <w:r w:rsidR="006F35B9" w:rsidRPr="00E3331A">
        <w:t xml:space="preserve">Table </w:t>
      </w:r>
      <w:r w:rsidR="006F35B9">
        <w:rPr>
          <w:noProof/>
        </w:rPr>
        <w:t>84</w:t>
      </w:r>
      <w:r w:rsidR="00D67B69" w:rsidRPr="00E3331A">
        <w:t xml:space="preserve"> for five proc</w:t>
      </w:r>
      <w:r w:rsidR="00262D6F" w:rsidRPr="00E3331A">
        <w:t>e</w:t>
      </w:r>
      <w:r w:rsidR="00D67B69" w:rsidRPr="00E3331A">
        <w:t>dures over 1 year</w:t>
      </w:r>
      <w:r w:rsidRPr="00E3331A">
        <w:t xml:space="preserve">. Substitution of plasma exchange for </w:t>
      </w:r>
      <w:r w:rsidR="002B786E" w:rsidRPr="002B786E">
        <w:t>immunosuppressants</w:t>
      </w:r>
      <w:r w:rsidR="002B786E" w:rsidRPr="002B786E" w:rsidDel="002B786E">
        <w:t xml:space="preserve"> </w:t>
      </w:r>
      <w:r w:rsidRPr="00E3331A">
        <w:t>decreases the estimated ICER to $</w:t>
      </w:r>
      <w:r w:rsidR="00C83D20" w:rsidRPr="00E3331A">
        <w:t>180,308</w:t>
      </w:r>
      <w:r w:rsidR="008567D1" w:rsidRPr="00E3331A">
        <w:t xml:space="preserve"> </w:t>
      </w:r>
      <w:r w:rsidRPr="00E3331A">
        <w:t xml:space="preserve">per QALY. At </w:t>
      </w:r>
      <w:r w:rsidR="00D67B69" w:rsidRPr="00E3331A">
        <w:t xml:space="preserve">around </w:t>
      </w:r>
      <w:r w:rsidR="00262D6F" w:rsidRPr="00E3331A">
        <w:t>$</w:t>
      </w:r>
      <w:r w:rsidR="00B13285" w:rsidRPr="00E3331A">
        <w:t xml:space="preserve">8,210.9 </w:t>
      </w:r>
      <w:r w:rsidRPr="00E3331A">
        <w:t xml:space="preserve">per year, </w:t>
      </w:r>
      <w:r w:rsidR="00262D6F" w:rsidRPr="00E3331A">
        <w:t xml:space="preserve">plasma exchange </w:t>
      </w:r>
      <w:r w:rsidRPr="00E3331A">
        <w:t xml:space="preserve">is three times the cost of </w:t>
      </w:r>
      <w:r w:rsidR="002B786E" w:rsidRPr="002B786E">
        <w:t>immunosuppressants</w:t>
      </w:r>
      <w:r w:rsidRPr="00E3331A">
        <w:t>.</w:t>
      </w:r>
    </w:p>
    <w:p w:rsidR="001F5B33" w:rsidRPr="00E3331A" w:rsidRDefault="001F5B33" w:rsidP="001F5B33">
      <w:pPr>
        <w:pStyle w:val="Caption"/>
      </w:pPr>
      <w:bookmarkStart w:id="486" w:name="_Ref8667061"/>
      <w:bookmarkStart w:id="487" w:name="_Toc24103390"/>
      <w:r w:rsidRPr="00E3331A">
        <w:t xml:space="preserve">Table </w:t>
      </w:r>
      <w:r w:rsidR="006F35B9">
        <w:rPr>
          <w:noProof/>
        </w:rPr>
        <w:t>84</w:t>
      </w:r>
      <w:bookmarkEnd w:id="486"/>
      <w:r w:rsidR="00262D6F" w:rsidRPr="00E3331A">
        <w:tab/>
      </w:r>
      <w:r w:rsidRPr="00E3331A">
        <w:t>Costs of plasma exchange</w:t>
      </w:r>
      <w:bookmarkEnd w:id="487"/>
    </w:p>
    <w:tbl>
      <w:tblPr>
        <w:tblW w:w="5000" w:type="pct"/>
        <w:tblLook w:val="04A0" w:firstRow="1" w:lastRow="0" w:firstColumn="1" w:lastColumn="0" w:noHBand="0" w:noVBand="1"/>
      </w:tblPr>
      <w:tblGrid>
        <w:gridCol w:w="1544"/>
        <w:gridCol w:w="912"/>
        <w:gridCol w:w="912"/>
        <w:gridCol w:w="912"/>
        <w:gridCol w:w="1055"/>
        <w:gridCol w:w="957"/>
        <w:gridCol w:w="2724"/>
      </w:tblGrid>
      <w:tr w:rsidR="00304276" w:rsidRPr="00E3331A" w:rsidTr="00985FE6">
        <w:trPr>
          <w:tblHeader/>
        </w:trPr>
        <w:tc>
          <w:tcPr>
            <w:tcW w:w="85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80612" w:rsidRPr="00E3331A" w:rsidRDefault="00480612" w:rsidP="00480612">
            <w:pPr>
              <w:jc w:val="center"/>
              <w:rPr>
                <w:rFonts w:ascii="Arial Narrow" w:hAnsi="Arial Narrow" w:cs="Calibri"/>
                <w:b/>
                <w:bCs/>
                <w:sz w:val="20"/>
                <w:szCs w:val="20"/>
              </w:rPr>
            </w:pPr>
            <w:r w:rsidRPr="00E3331A">
              <w:rPr>
                <w:rFonts w:ascii="Arial Narrow" w:hAnsi="Arial Narrow" w:cs="Calibri"/>
                <w:b/>
                <w:bCs/>
                <w:sz w:val="20"/>
                <w:szCs w:val="20"/>
              </w:rPr>
              <w:t>Item</w:t>
            </w:r>
          </w:p>
        </w:tc>
        <w:tc>
          <w:tcPr>
            <w:tcW w:w="506" w:type="pct"/>
            <w:tcBorders>
              <w:top w:val="single" w:sz="4" w:space="0" w:color="auto"/>
              <w:left w:val="nil"/>
              <w:bottom w:val="single" w:sz="4" w:space="0" w:color="auto"/>
              <w:right w:val="single" w:sz="4" w:space="0" w:color="auto"/>
            </w:tcBorders>
            <w:shd w:val="clear" w:color="auto" w:fill="D9D9D9"/>
            <w:vAlign w:val="center"/>
            <w:hideMark/>
          </w:tcPr>
          <w:p w:rsidR="00480612" w:rsidRPr="00E3331A" w:rsidRDefault="00480612" w:rsidP="00480612">
            <w:pPr>
              <w:jc w:val="center"/>
              <w:rPr>
                <w:rFonts w:ascii="Arial Narrow" w:hAnsi="Arial Narrow" w:cs="Calibri"/>
                <w:b/>
                <w:bCs/>
                <w:sz w:val="20"/>
                <w:szCs w:val="20"/>
              </w:rPr>
            </w:pPr>
            <w:r w:rsidRPr="00E3331A">
              <w:rPr>
                <w:rFonts w:ascii="Arial Narrow" w:hAnsi="Arial Narrow" w:cs="Calibri"/>
                <w:b/>
                <w:bCs/>
                <w:sz w:val="20"/>
                <w:szCs w:val="20"/>
              </w:rPr>
              <w:t xml:space="preserve">Provider </w:t>
            </w:r>
          </w:p>
        </w:tc>
        <w:tc>
          <w:tcPr>
            <w:tcW w:w="506" w:type="pct"/>
            <w:tcBorders>
              <w:top w:val="single" w:sz="4" w:space="0" w:color="auto"/>
              <w:left w:val="nil"/>
              <w:bottom w:val="single" w:sz="4" w:space="0" w:color="auto"/>
              <w:right w:val="single" w:sz="4" w:space="0" w:color="auto"/>
            </w:tcBorders>
            <w:shd w:val="clear" w:color="auto" w:fill="D9D9D9"/>
            <w:vAlign w:val="center"/>
            <w:hideMark/>
          </w:tcPr>
          <w:p w:rsidR="00480612" w:rsidRPr="00E3331A" w:rsidRDefault="00480612" w:rsidP="00480612">
            <w:pPr>
              <w:jc w:val="center"/>
              <w:rPr>
                <w:rFonts w:ascii="Arial Narrow" w:hAnsi="Arial Narrow" w:cs="Calibri"/>
                <w:b/>
                <w:bCs/>
                <w:sz w:val="20"/>
                <w:szCs w:val="20"/>
              </w:rPr>
            </w:pPr>
            <w:r w:rsidRPr="00E3331A">
              <w:rPr>
                <w:rFonts w:ascii="Arial Narrow" w:hAnsi="Arial Narrow" w:cs="Calibri"/>
                <w:b/>
                <w:bCs/>
                <w:sz w:val="20"/>
                <w:szCs w:val="20"/>
              </w:rPr>
              <w:t>Price per unit (AU$)</w:t>
            </w:r>
          </w:p>
        </w:tc>
        <w:tc>
          <w:tcPr>
            <w:tcW w:w="506" w:type="pct"/>
            <w:tcBorders>
              <w:top w:val="single" w:sz="4" w:space="0" w:color="auto"/>
              <w:left w:val="nil"/>
              <w:bottom w:val="single" w:sz="4" w:space="0" w:color="auto"/>
              <w:right w:val="single" w:sz="4" w:space="0" w:color="auto"/>
            </w:tcBorders>
            <w:shd w:val="clear" w:color="auto" w:fill="D9D9D9"/>
            <w:vAlign w:val="center"/>
            <w:hideMark/>
          </w:tcPr>
          <w:p w:rsidR="00480612" w:rsidRPr="00E3331A" w:rsidRDefault="00480612" w:rsidP="00480612">
            <w:pPr>
              <w:jc w:val="center"/>
              <w:rPr>
                <w:rFonts w:ascii="Arial Narrow" w:hAnsi="Arial Narrow" w:cs="Calibri"/>
                <w:b/>
                <w:bCs/>
                <w:sz w:val="20"/>
                <w:szCs w:val="20"/>
              </w:rPr>
            </w:pPr>
            <w:r w:rsidRPr="00E3331A">
              <w:rPr>
                <w:rFonts w:ascii="Arial Narrow" w:hAnsi="Arial Narrow" w:cs="Calibri"/>
                <w:b/>
                <w:bCs/>
                <w:sz w:val="20"/>
                <w:szCs w:val="20"/>
              </w:rPr>
              <w:t xml:space="preserve">Number per period </w:t>
            </w:r>
          </w:p>
        </w:tc>
        <w:tc>
          <w:tcPr>
            <w:tcW w:w="585" w:type="pct"/>
            <w:tcBorders>
              <w:top w:val="single" w:sz="4" w:space="0" w:color="auto"/>
              <w:left w:val="nil"/>
              <w:bottom w:val="single" w:sz="4" w:space="0" w:color="auto"/>
              <w:right w:val="single" w:sz="4" w:space="0" w:color="auto"/>
            </w:tcBorders>
            <w:shd w:val="clear" w:color="auto" w:fill="D9D9D9"/>
            <w:vAlign w:val="center"/>
            <w:hideMark/>
          </w:tcPr>
          <w:p w:rsidR="00480612" w:rsidRPr="00E3331A" w:rsidRDefault="00480612" w:rsidP="00480612">
            <w:pPr>
              <w:jc w:val="center"/>
              <w:rPr>
                <w:rFonts w:ascii="Arial Narrow" w:hAnsi="Arial Narrow" w:cs="Calibri"/>
                <w:b/>
                <w:bCs/>
                <w:sz w:val="20"/>
                <w:szCs w:val="20"/>
              </w:rPr>
            </w:pPr>
            <w:r w:rsidRPr="00E3331A">
              <w:rPr>
                <w:rFonts w:ascii="Arial Narrow" w:hAnsi="Arial Narrow" w:cs="Calibri"/>
                <w:b/>
                <w:bCs/>
                <w:sz w:val="20"/>
                <w:szCs w:val="20"/>
              </w:rPr>
              <w:t xml:space="preserve">Proportion availing </w:t>
            </w:r>
          </w:p>
        </w:tc>
        <w:tc>
          <w:tcPr>
            <w:tcW w:w="531" w:type="pct"/>
            <w:tcBorders>
              <w:top w:val="single" w:sz="4" w:space="0" w:color="auto"/>
              <w:left w:val="nil"/>
              <w:bottom w:val="single" w:sz="4" w:space="0" w:color="auto"/>
              <w:right w:val="single" w:sz="4" w:space="0" w:color="auto"/>
            </w:tcBorders>
            <w:shd w:val="clear" w:color="auto" w:fill="D9D9D9"/>
            <w:vAlign w:val="center"/>
            <w:hideMark/>
          </w:tcPr>
          <w:p w:rsidR="00480612" w:rsidRPr="00E3331A" w:rsidRDefault="00480612" w:rsidP="00480612">
            <w:pPr>
              <w:jc w:val="center"/>
              <w:rPr>
                <w:rFonts w:ascii="Arial Narrow" w:hAnsi="Arial Narrow" w:cs="Calibri"/>
                <w:b/>
                <w:bCs/>
                <w:sz w:val="20"/>
                <w:szCs w:val="20"/>
              </w:rPr>
            </w:pPr>
            <w:r w:rsidRPr="00E3331A">
              <w:rPr>
                <w:rFonts w:ascii="Arial Narrow" w:hAnsi="Arial Narrow" w:cs="Calibri"/>
                <w:b/>
                <w:bCs/>
                <w:sz w:val="20"/>
                <w:szCs w:val="20"/>
              </w:rPr>
              <w:t>Total cost (AU$)</w:t>
            </w:r>
          </w:p>
        </w:tc>
        <w:tc>
          <w:tcPr>
            <w:tcW w:w="1511" w:type="pct"/>
            <w:tcBorders>
              <w:top w:val="single" w:sz="4" w:space="0" w:color="auto"/>
              <w:left w:val="nil"/>
              <w:bottom w:val="single" w:sz="4" w:space="0" w:color="auto"/>
              <w:right w:val="single" w:sz="4" w:space="0" w:color="auto"/>
            </w:tcBorders>
            <w:shd w:val="clear" w:color="auto" w:fill="D9D9D9"/>
            <w:vAlign w:val="center"/>
            <w:hideMark/>
          </w:tcPr>
          <w:p w:rsidR="00480612" w:rsidRPr="00E3331A" w:rsidRDefault="00480612" w:rsidP="00480612">
            <w:pPr>
              <w:jc w:val="center"/>
              <w:rPr>
                <w:rFonts w:ascii="Arial Narrow" w:hAnsi="Arial Narrow" w:cs="Calibri"/>
                <w:b/>
                <w:bCs/>
                <w:sz w:val="20"/>
                <w:szCs w:val="20"/>
              </w:rPr>
            </w:pPr>
            <w:r w:rsidRPr="00E3331A">
              <w:rPr>
                <w:rFonts w:ascii="Arial Narrow" w:hAnsi="Arial Narrow" w:cs="Calibri"/>
                <w:b/>
                <w:bCs/>
                <w:sz w:val="20"/>
                <w:szCs w:val="20"/>
              </w:rPr>
              <w:t>Source</w:t>
            </w:r>
          </w:p>
        </w:tc>
      </w:tr>
      <w:tr w:rsidR="001E6B99" w:rsidRPr="00E3331A" w:rsidTr="001E6B99">
        <w:tc>
          <w:tcPr>
            <w:tcW w:w="5000" w:type="pct"/>
            <w:gridSpan w:val="7"/>
            <w:tcBorders>
              <w:top w:val="nil"/>
              <w:left w:val="single" w:sz="4" w:space="0" w:color="auto"/>
              <w:bottom w:val="single" w:sz="4" w:space="0" w:color="auto"/>
              <w:right w:val="single" w:sz="4" w:space="0" w:color="auto"/>
            </w:tcBorders>
            <w:shd w:val="clear" w:color="auto" w:fill="D9D9D9"/>
            <w:vAlign w:val="center"/>
            <w:hideMark/>
          </w:tcPr>
          <w:p w:rsidR="001E6B99" w:rsidRPr="00E3331A" w:rsidRDefault="001E6B99" w:rsidP="001E6B99">
            <w:pPr>
              <w:rPr>
                <w:rFonts w:ascii="Arial Narrow" w:hAnsi="Arial Narrow" w:cs="Calibri"/>
                <w:b/>
                <w:bCs/>
                <w:color w:val="FFFFFF"/>
                <w:sz w:val="20"/>
                <w:szCs w:val="20"/>
              </w:rPr>
            </w:pPr>
            <w:r w:rsidRPr="00E3331A">
              <w:rPr>
                <w:rFonts w:ascii="Arial Narrow" w:hAnsi="Arial Narrow" w:cs="Calibri"/>
                <w:b/>
                <w:bCs/>
                <w:sz w:val="20"/>
                <w:szCs w:val="20"/>
              </w:rPr>
              <w:t>Plasma Exchange</w:t>
            </w:r>
          </w:p>
        </w:tc>
      </w:tr>
      <w:tr w:rsidR="00304276" w:rsidRPr="00E3331A" w:rsidTr="00985FE6">
        <w:tc>
          <w:tcPr>
            <w:tcW w:w="856" w:type="pct"/>
            <w:tcBorders>
              <w:top w:val="nil"/>
              <w:left w:val="single" w:sz="4" w:space="0" w:color="auto"/>
              <w:bottom w:val="single" w:sz="4" w:space="0" w:color="auto"/>
              <w:right w:val="single" w:sz="4" w:space="0" w:color="auto"/>
            </w:tcBorders>
            <w:shd w:val="clear" w:color="000000" w:fill="FFFFFF"/>
            <w:vAlign w:val="center"/>
            <w:hideMark/>
          </w:tcPr>
          <w:p w:rsidR="00494FCA" w:rsidRPr="00E3331A" w:rsidRDefault="00494FCA" w:rsidP="00494FCA">
            <w:pPr>
              <w:rPr>
                <w:rFonts w:ascii="Arial Narrow" w:hAnsi="Arial Narrow" w:cs="Calibri"/>
                <w:color w:val="000000"/>
                <w:sz w:val="20"/>
                <w:szCs w:val="20"/>
              </w:rPr>
            </w:pPr>
            <w:r w:rsidRPr="00E3331A">
              <w:rPr>
                <w:rFonts w:ascii="Arial Narrow" w:hAnsi="Arial Narrow" w:cs="Calibri"/>
                <w:color w:val="000000"/>
                <w:sz w:val="20"/>
                <w:szCs w:val="20"/>
              </w:rPr>
              <w:t xml:space="preserve">Albumex, 4% albumin, 40 ml/kg </w:t>
            </w:r>
          </w:p>
        </w:tc>
        <w:tc>
          <w:tcPr>
            <w:tcW w:w="506" w:type="pct"/>
            <w:tcBorders>
              <w:top w:val="nil"/>
              <w:left w:val="nil"/>
              <w:bottom w:val="single" w:sz="4" w:space="0" w:color="auto"/>
              <w:right w:val="single" w:sz="4" w:space="0" w:color="auto"/>
            </w:tcBorders>
            <w:shd w:val="clear" w:color="000000" w:fill="FFFFFF"/>
            <w:vAlign w:val="center"/>
            <w:hideMark/>
          </w:tcPr>
          <w:p w:rsidR="00494FCA" w:rsidRPr="00E3331A" w:rsidRDefault="00494FCA" w:rsidP="00494FCA">
            <w:pPr>
              <w:jc w:val="center"/>
              <w:rPr>
                <w:rFonts w:ascii="Arial Narrow" w:hAnsi="Arial Narrow" w:cs="Calibri"/>
                <w:color w:val="000000"/>
                <w:sz w:val="20"/>
                <w:szCs w:val="20"/>
              </w:rPr>
            </w:pPr>
            <w:r w:rsidRPr="00E3331A">
              <w:rPr>
                <w:rFonts w:ascii="Arial Narrow" w:hAnsi="Arial Narrow" w:cs="Calibri"/>
                <w:color w:val="000000"/>
                <w:sz w:val="20"/>
                <w:szCs w:val="20"/>
              </w:rPr>
              <w:t>NBA</w:t>
            </w:r>
          </w:p>
        </w:tc>
        <w:tc>
          <w:tcPr>
            <w:tcW w:w="506" w:type="pct"/>
            <w:tcBorders>
              <w:top w:val="nil"/>
              <w:left w:val="nil"/>
              <w:bottom w:val="single" w:sz="4" w:space="0" w:color="auto"/>
              <w:right w:val="single" w:sz="4" w:space="0" w:color="auto"/>
            </w:tcBorders>
            <w:shd w:val="clear" w:color="000000" w:fill="FFFFFF"/>
            <w:vAlign w:val="center"/>
            <w:hideMark/>
          </w:tcPr>
          <w:p w:rsidR="00494FCA" w:rsidRPr="00E3331A" w:rsidRDefault="00494FCA" w:rsidP="00494FCA">
            <w:pPr>
              <w:jc w:val="center"/>
              <w:rPr>
                <w:rFonts w:ascii="Arial Narrow" w:hAnsi="Arial Narrow" w:cs="Calibri"/>
                <w:color w:val="000000"/>
                <w:sz w:val="20"/>
                <w:szCs w:val="20"/>
              </w:rPr>
            </w:pPr>
            <w:r w:rsidRPr="00E3331A">
              <w:rPr>
                <w:rFonts w:ascii="Arial Narrow" w:hAnsi="Arial Narrow" w:cs="Calibri"/>
                <w:color w:val="000000"/>
                <w:sz w:val="20"/>
                <w:szCs w:val="20"/>
              </w:rPr>
              <w:t>$67.6</w:t>
            </w:r>
          </w:p>
        </w:tc>
        <w:tc>
          <w:tcPr>
            <w:tcW w:w="506" w:type="pct"/>
            <w:tcBorders>
              <w:top w:val="nil"/>
              <w:left w:val="nil"/>
              <w:bottom w:val="single" w:sz="4" w:space="0" w:color="auto"/>
              <w:right w:val="single" w:sz="4" w:space="0" w:color="auto"/>
            </w:tcBorders>
            <w:shd w:val="clear" w:color="000000" w:fill="FFFFFF"/>
            <w:vAlign w:val="center"/>
            <w:hideMark/>
          </w:tcPr>
          <w:p w:rsidR="00494FCA" w:rsidRPr="00E3331A" w:rsidRDefault="00494FCA" w:rsidP="00494FCA">
            <w:pPr>
              <w:jc w:val="center"/>
              <w:rPr>
                <w:rFonts w:ascii="Arial Narrow" w:hAnsi="Arial Narrow" w:cs="Calibri"/>
                <w:color w:val="000000"/>
                <w:sz w:val="20"/>
                <w:szCs w:val="20"/>
              </w:rPr>
            </w:pPr>
            <w:r w:rsidRPr="00E3331A">
              <w:rPr>
                <w:rFonts w:ascii="Arial Narrow" w:hAnsi="Arial Narrow" w:cs="Calibri"/>
                <w:color w:val="000000"/>
                <w:sz w:val="20"/>
                <w:szCs w:val="20"/>
              </w:rPr>
              <w:t>33.00</w:t>
            </w:r>
          </w:p>
        </w:tc>
        <w:tc>
          <w:tcPr>
            <w:tcW w:w="585" w:type="pct"/>
            <w:tcBorders>
              <w:top w:val="nil"/>
              <w:left w:val="nil"/>
              <w:bottom w:val="single" w:sz="4" w:space="0" w:color="auto"/>
              <w:right w:val="single" w:sz="4" w:space="0" w:color="auto"/>
            </w:tcBorders>
            <w:shd w:val="clear" w:color="000000" w:fill="FFFFFF"/>
            <w:vAlign w:val="center"/>
            <w:hideMark/>
          </w:tcPr>
          <w:p w:rsidR="00494FCA" w:rsidRPr="00E3331A" w:rsidRDefault="00494FCA" w:rsidP="00494FCA">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1" w:type="pct"/>
            <w:tcBorders>
              <w:top w:val="nil"/>
              <w:left w:val="nil"/>
              <w:bottom w:val="single" w:sz="4" w:space="0" w:color="auto"/>
              <w:right w:val="single" w:sz="4" w:space="0" w:color="auto"/>
            </w:tcBorders>
            <w:shd w:val="clear" w:color="000000" w:fill="FFFFFF"/>
            <w:vAlign w:val="center"/>
            <w:hideMark/>
          </w:tcPr>
          <w:p w:rsidR="00494FCA" w:rsidRPr="00E3331A" w:rsidRDefault="00494FCA" w:rsidP="00494FCA">
            <w:pPr>
              <w:jc w:val="center"/>
              <w:rPr>
                <w:rFonts w:ascii="Arial Narrow" w:hAnsi="Arial Narrow" w:cs="Calibri"/>
                <w:color w:val="000000"/>
                <w:sz w:val="20"/>
                <w:szCs w:val="20"/>
              </w:rPr>
            </w:pPr>
            <w:r w:rsidRPr="00E3331A">
              <w:rPr>
                <w:rFonts w:ascii="Arial Narrow" w:hAnsi="Arial Narrow" w:cs="Calibri"/>
                <w:color w:val="000000"/>
                <w:sz w:val="20"/>
                <w:szCs w:val="20"/>
              </w:rPr>
              <w:t>$2,231.5</w:t>
            </w:r>
          </w:p>
        </w:tc>
        <w:tc>
          <w:tcPr>
            <w:tcW w:w="1511" w:type="pct"/>
            <w:tcBorders>
              <w:top w:val="nil"/>
              <w:left w:val="nil"/>
              <w:bottom w:val="single" w:sz="4" w:space="0" w:color="auto"/>
              <w:right w:val="single" w:sz="4" w:space="0" w:color="auto"/>
            </w:tcBorders>
            <w:shd w:val="clear" w:color="000000" w:fill="FFFFFF"/>
            <w:vAlign w:val="center"/>
            <w:hideMark/>
          </w:tcPr>
          <w:p w:rsidR="00494FCA" w:rsidRPr="00E3331A" w:rsidRDefault="00494FCA" w:rsidP="00494FCA">
            <w:pPr>
              <w:rPr>
                <w:rFonts w:ascii="Arial Narrow" w:hAnsi="Arial Narrow" w:cs="Calibri"/>
                <w:color w:val="000000"/>
                <w:sz w:val="20"/>
                <w:szCs w:val="20"/>
              </w:rPr>
            </w:pPr>
            <w:r w:rsidRPr="00E3331A">
              <w:rPr>
                <w:rFonts w:ascii="Arial Narrow" w:hAnsi="Arial Narrow" w:cs="Calibri"/>
                <w:color w:val="000000"/>
                <w:sz w:val="20"/>
                <w:szCs w:val="20"/>
              </w:rPr>
              <w:t>82.5 kg patient × 5 procedures = 15,000 ml = 33 vials of 500 ml 4% albumin. https://www.blood.gov.au/national-product-list</w:t>
            </w:r>
          </w:p>
        </w:tc>
      </w:tr>
      <w:tr w:rsidR="00272257" w:rsidRPr="00E3331A" w:rsidTr="00985FE6">
        <w:tc>
          <w:tcPr>
            <w:tcW w:w="856" w:type="pct"/>
            <w:tcBorders>
              <w:top w:val="nil"/>
              <w:left w:val="single" w:sz="4" w:space="0" w:color="auto"/>
              <w:bottom w:val="single" w:sz="4" w:space="0" w:color="auto"/>
              <w:right w:val="single" w:sz="4" w:space="0" w:color="auto"/>
            </w:tcBorders>
            <w:shd w:val="clear" w:color="000000" w:fill="FFFFFF"/>
            <w:vAlign w:val="center"/>
          </w:tcPr>
          <w:p w:rsidR="00272257" w:rsidRDefault="00272257" w:rsidP="00272257">
            <w:pPr>
              <w:rPr>
                <w:rFonts w:ascii="Arial Narrow" w:hAnsi="Arial Narrow" w:cs="Calibri"/>
                <w:color w:val="000000"/>
                <w:sz w:val="20"/>
                <w:szCs w:val="20"/>
              </w:rPr>
            </w:pPr>
            <w:r w:rsidRPr="00272257">
              <w:rPr>
                <w:rFonts w:ascii="Arial Narrow" w:hAnsi="Arial Narrow" w:cs="Calibri"/>
                <w:color w:val="000000"/>
                <w:sz w:val="20"/>
                <w:szCs w:val="20"/>
              </w:rPr>
              <w:t>REDACTED</w:t>
            </w:r>
          </w:p>
          <w:p w:rsidR="003445F0" w:rsidRPr="003445F0" w:rsidRDefault="003445F0" w:rsidP="00272257">
            <w:pPr>
              <w:rPr>
                <w:rFonts w:ascii="Arial Narrow" w:hAnsi="Arial Narrow" w:cs="Calibri"/>
                <w:color w:val="000000"/>
                <w:sz w:val="130"/>
                <w:szCs w:val="130"/>
                <w:highlight w:val="black"/>
              </w:rPr>
            </w:pPr>
          </w:p>
        </w:tc>
        <w:tc>
          <w:tcPr>
            <w:tcW w:w="506" w:type="pct"/>
            <w:tcBorders>
              <w:top w:val="nil"/>
              <w:left w:val="nil"/>
              <w:bottom w:val="single" w:sz="4" w:space="0" w:color="auto"/>
              <w:right w:val="single" w:sz="4" w:space="0" w:color="auto"/>
            </w:tcBorders>
            <w:shd w:val="clear" w:color="000000" w:fill="FFFFFF"/>
          </w:tcPr>
          <w:p w:rsidR="00272257" w:rsidRDefault="00272257" w:rsidP="00272257">
            <w:r w:rsidRPr="004618F5">
              <w:rPr>
                <w:sz w:val="16"/>
                <w:szCs w:val="16"/>
              </w:rPr>
              <w:t>REDACTED</w:t>
            </w:r>
          </w:p>
        </w:tc>
        <w:tc>
          <w:tcPr>
            <w:tcW w:w="506" w:type="pct"/>
            <w:tcBorders>
              <w:top w:val="nil"/>
              <w:left w:val="nil"/>
              <w:bottom w:val="single" w:sz="4" w:space="0" w:color="auto"/>
              <w:right w:val="single" w:sz="4" w:space="0" w:color="auto"/>
            </w:tcBorders>
            <w:shd w:val="clear" w:color="000000" w:fill="FFFFFF"/>
          </w:tcPr>
          <w:p w:rsidR="00272257" w:rsidRDefault="00272257" w:rsidP="00272257">
            <w:r w:rsidRPr="004618F5">
              <w:rPr>
                <w:sz w:val="16"/>
                <w:szCs w:val="16"/>
              </w:rPr>
              <w:t>REDACTED</w:t>
            </w:r>
          </w:p>
        </w:tc>
        <w:tc>
          <w:tcPr>
            <w:tcW w:w="506" w:type="pct"/>
            <w:tcBorders>
              <w:top w:val="nil"/>
              <w:left w:val="nil"/>
              <w:bottom w:val="single" w:sz="4" w:space="0" w:color="auto"/>
              <w:right w:val="single" w:sz="4" w:space="0" w:color="auto"/>
            </w:tcBorders>
            <w:shd w:val="clear" w:color="000000" w:fill="FFFFFF"/>
          </w:tcPr>
          <w:p w:rsidR="00272257" w:rsidRDefault="00272257" w:rsidP="00272257">
            <w:r w:rsidRPr="004618F5">
              <w:rPr>
                <w:sz w:val="16"/>
                <w:szCs w:val="16"/>
              </w:rPr>
              <w:t>REDACTED</w:t>
            </w:r>
          </w:p>
        </w:tc>
        <w:tc>
          <w:tcPr>
            <w:tcW w:w="585" w:type="pct"/>
            <w:tcBorders>
              <w:top w:val="nil"/>
              <w:left w:val="nil"/>
              <w:bottom w:val="single" w:sz="4" w:space="0" w:color="auto"/>
              <w:right w:val="single" w:sz="4" w:space="0" w:color="auto"/>
            </w:tcBorders>
            <w:shd w:val="clear" w:color="000000" w:fill="FFFFFF"/>
          </w:tcPr>
          <w:p w:rsidR="00272257" w:rsidRDefault="00272257" w:rsidP="00272257">
            <w:r w:rsidRPr="004618F5">
              <w:rPr>
                <w:sz w:val="16"/>
                <w:szCs w:val="16"/>
              </w:rPr>
              <w:t>REDACTED</w:t>
            </w:r>
          </w:p>
        </w:tc>
        <w:tc>
          <w:tcPr>
            <w:tcW w:w="531" w:type="pct"/>
            <w:tcBorders>
              <w:top w:val="nil"/>
              <w:left w:val="nil"/>
              <w:bottom w:val="single" w:sz="4" w:space="0" w:color="auto"/>
              <w:right w:val="single" w:sz="4" w:space="0" w:color="auto"/>
            </w:tcBorders>
            <w:shd w:val="clear" w:color="000000" w:fill="FFFFFF"/>
          </w:tcPr>
          <w:p w:rsidR="00272257" w:rsidRDefault="00272257" w:rsidP="00272257">
            <w:r w:rsidRPr="004618F5">
              <w:rPr>
                <w:sz w:val="16"/>
                <w:szCs w:val="16"/>
              </w:rPr>
              <w:t>REDACTED</w:t>
            </w:r>
          </w:p>
        </w:tc>
        <w:tc>
          <w:tcPr>
            <w:tcW w:w="1511" w:type="pct"/>
            <w:tcBorders>
              <w:top w:val="nil"/>
              <w:left w:val="nil"/>
              <w:bottom w:val="single" w:sz="4" w:space="0" w:color="auto"/>
              <w:right w:val="single" w:sz="4" w:space="0" w:color="auto"/>
            </w:tcBorders>
            <w:shd w:val="clear" w:color="000000" w:fill="FFFFFF"/>
          </w:tcPr>
          <w:p w:rsidR="00272257" w:rsidRPr="002A602E" w:rsidRDefault="00272257" w:rsidP="00272257">
            <w:pPr>
              <w:rPr>
                <w:rFonts w:ascii="Arial Narrow" w:hAnsi="Arial Narrow" w:cs="Calibri"/>
                <w:color w:val="000000"/>
                <w:sz w:val="20"/>
                <w:szCs w:val="20"/>
                <w:highlight w:val="black"/>
              </w:rPr>
            </w:pPr>
            <w:r w:rsidRPr="00272257">
              <w:rPr>
                <w:rFonts w:ascii="Arial Narrow" w:hAnsi="Arial Narrow" w:cs="Calibri"/>
                <w:color w:val="000000"/>
                <w:sz w:val="20"/>
                <w:szCs w:val="20"/>
              </w:rPr>
              <w:t>REDACTED</w:t>
            </w:r>
          </w:p>
        </w:tc>
      </w:tr>
      <w:tr w:rsidR="00304276" w:rsidRPr="00E3331A" w:rsidTr="00985FE6">
        <w:tc>
          <w:tcPr>
            <w:tcW w:w="856" w:type="pct"/>
            <w:tcBorders>
              <w:top w:val="nil"/>
              <w:left w:val="single" w:sz="4" w:space="0" w:color="auto"/>
              <w:bottom w:val="single" w:sz="4" w:space="0" w:color="auto"/>
              <w:right w:val="single" w:sz="4" w:space="0" w:color="auto"/>
            </w:tcBorders>
            <w:shd w:val="clear" w:color="000000" w:fill="FFFFFF"/>
            <w:vAlign w:val="center"/>
          </w:tcPr>
          <w:p w:rsidR="003445F0" w:rsidRPr="00E3331A" w:rsidRDefault="00494FCA" w:rsidP="00494FCA">
            <w:pPr>
              <w:rPr>
                <w:rFonts w:ascii="Arial Narrow" w:hAnsi="Arial Narrow" w:cs="Calibri"/>
                <w:color w:val="000000"/>
                <w:sz w:val="20"/>
                <w:szCs w:val="20"/>
              </w:rPr>
            </w:pPr>
            <w:r w:rsidRPr="00E3331A">
              <w:rPr>
                <w:rFonts w:ascii="Arial Narrow" w:hAnsi="Arial Narrow" w:cs="Calibri"/>
                <w:color w:val="000000"/>
                <w:sz w:val="20"/>
                <w:szCs w:val="20"/>
              </w:rPr>
              <w:t xml:space="preserve">Nurse time for exchange. Assumes 5 </w:t>
            </w:r>
            <w:r w:rsidR="00795C9C" w:rsidRPr="00E3331A">
              <w:rPr>
                <w:rFonts w:ascii="Arial Narrow" w:hAnsi="Arial Narrow" w:cs="Calibri"/>
                <w:color w:val="000000"/>
                <w:sz w:val="20"/>
                <w:szCs w:val="20"/>
              </w:rPr>
              <w:t>exchanges</w:t>
            </w:r>
            <w:r w:rsidRPr="00E3331A">
              <w:rPr>
                <w:rFonts w:ascii="Arial Narrow" w:hAnsi="Arial Narrow" w:cs="Calibri"/>
                <w:color w:val="000000"/>
                <w:sz w:val="20"/>
                <w:szCs w:val="20"/>
              </w:rPr>
              <w:t xml:space="preserve"> x 2 hour per exchange</w:t>
            </w:r>
          </w:p>
        </w:tc>
        <w:tc>
          <w:tcPr>
            <w:tcW w:w="506" w:type="pct"/>
            <w:tcBorders>
              <w:top w:val="nil"/>
              <w:left w:val="nil"/>
              <w:bottom w:val="single" w:sz="4" w:space="0" w:color="auto"/>
              <w:right w:val="single" w:sz="4" w:space="0" w:color="auto"/>
            </w:tcBorders>
            <w:shd w:val="clear" w:color="000000" w:fill="FFFFFF"/>
            <w:vAlign w:val="center"/>
          </w:tcPr>
          <w:p w:rsidR="00494FCA" w:rsidRPr="00E3331A" w:rsidRDefault="00494FCA" w:rsidP="00494FCA">
            <w:pPr>
              <w:jc w:val="center"/>
              <w:rPr>
                <w:rFonts w:ascii="Arial Narrow" w:hAnsi="Arial Narrow" w:cs="Calibri"/>
                <w:color w:val="000000"/>
                <w:sz w:val="20"/>
                <w:szCs w:val="20"/>
              </w:rPr>
            </w:pPr>
            <w:r w:rsidRPr="00E3331A">
              <w:rPr>
                <w:rFonts w:ascii="Arial Narrow" w:hAnsi="Arial Narrow" w:cs="Calibri"/>
                <w:color w:val="000000"/>
                <w:sz w:val="20"/>
                <w:szCs w:val="20"/>
              </w:rPr>
              <w:t>Hospital</w:t>
            </w:r>
          </w:p>
        </w:tc>
        <w:tc>
          <w:tcPr>
            <w:tcW w:w="506" w:type="pct"/>
            <w:tcBorders>
              <w:top w:val="nil"/>
              <w:left w:val="nil"/>
              <w:bottom w:val="single" w:sz="4" w:space="0" w:color="auto"/>
              <w:right w:val="single" w:sz="4" w:space="0" w:color="auto"/>
            </w:tcBorders>
            <w:shd w:val="clear" w:color="000000" w:fill="FFFFFF"/>
            <w:vAlign w:val="center"/>
          </w:tcPr>
          <w:p w:rsidR="00494FCA" w:rsidRPr="00E3331A" w:rsidRDefault="00494FCA" w:rsidP="00494FCA">
            <w:pPr>
              <w:jc w:val="center"/>
              <w:rPr>
                <w:rFonts w:ascii="Arial Narrow" w:hAnsi="Arial Narrow" w:cs="Calibri"/>
                <w:color w:val="000000"/>
                <w:sz w:val="20"/>
                <w:szCs w:val="20"/>
              </w:rPr>
            </w:pPr>
            <w:r w:rsidRPr="00E3331A">
              <w:rPr>
                <w:rFonts w:ascii="Arial Narrow" w:hAnsi="Arial Narrow" w:cs="Calibri"/>
                <w:color w:val="000000"/>
                <w:sz w:val="20"/>
                <w:szCs w:val="20"/>
              </w:rPr>
              <w:t>$85.5</w:t>
            </w:r>
          </w:p>
        </w:tc>
        <w:tc>
          <w:tcPr>
            <w:tcW w:w="506" w:type="pct"/>
            <w:tcBorders>
              <w:top w:val="nil"/>
              <w:left w:val="nil"/>
              <w:bottom w:val="single" w:sz="4" w:space="0" w:color="auto"/>
              <w:right w:val="single" w:sz="4" w:space="0" w:color="auto"/>
            </w:tcBorders>
            <w:shd w:val="clear" w:color="000000" w:fill="FFFFFF"/>
            <w:vAlign w:val="center"/>
          </w:tcPr>
          <w:p w:rsidR="00494FCA" w:rsidRPr="00E3331A" w:rsidRDefault="00494FCA" w:rsidP="00494FCA">
            <w:pPr>
              <w:jc w:val="center"/>
              <w:rPr>
                <w:rFonts w:ascii="Arial Narrow" w:hAnsi="Arial Narrow" w:cs="Calibri"/>
                <w:color w:val="000000"/>
                <w:sz w:val="20"/>
                <w:szCs w:val="20"/>
              </w:rPr>
            </w:pPr>
            <w:r w:rsidRPr="00E3331A">
              <w:rPr>
                <w:rFonts w:ascii="Arial Narrow" w:hAnsi="Arial Narrow" w:cs="Calibri"/>
                <w:color w:val="000000"/>
                <w:sz w:val="20"/>
                <w:szCs w:val="20"/>
              </w:rPr>
              <w:t>10</w:t>
            </w:r>
          </w:p>
        </w:tc>
        <w:tc>
          <w:tcPr>
            <w:tcW w:w="585" w:type="pct"/>
            <w:tcBorders>
              <w:top w:val="nil"/>
              <w:left w:val="nil"/>
              <w:bottom w:val="single" w:sz="4" w:space="0" w:color="auto"/>
              <w:right w:val="single" w:sz="4" w:space="0" w:color="auto"/>
            </w:tcBorders>
            <w:shd w:val="clear" w:color="000000" w:fill="FFFFFF"/>
            <w:vAlign w:val="center"/>
          </w:tcPr>
          <w:p w:rsidR="00494FCA" w:rsidRPr="00E3331A" w:rsidRDefault="00494FCA" w:rsidP="00494FCA">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1" w:type="pct"/>
            <w:tcBorders>
              <w:top w:val="nil"/>
              <w:left w:val="nil"/>
              <w:bottom w:val="single" w:sz="4" w:space="0" w:color="auto"/>
              <w:right w:val="single" w:sz="4" w:space="0" w:color="auto"/>
            </w:tcBorders>
            <w:shd w:val="clear" w:color="000000" w:fill="FFFFFF"/>
            <w:vAlign w:val="center"/>
          </w:tcPr>
          <w:p w:rsidR="00494FCA" w:rsidRPr="00E3331A" w:rsidRDefault="00494FCA" w:rsidP="00494FCA">
            <w:pPr>
              <w:jc w:val="center"/>
              <w:rPr>
                <w:rFonts w:ascii="Arial Narrow" w:hAnsi="Arial Narrow" w:cs="Calibri"/>
                <w:color w:val="000000"/>
                <w:sz w:val="20"/>
                <w:szCs w:val="20"/>
              </w:rPr>
            </w:pPr>
            <w:r w:rsidRPr="00E3331A">
              <w:rPr>
                <w:rFonts w:ascii="Arial Narrow" w:hAnsi="Arial Narrow" w:cs="Calibri"/>
                <w:color w:val="000000"/>
                <w:sz w:val="20"/>
                <w:szCs w:val="20"/>
              </w:rPr>
              <w:t>$855.2</w:t>
            </w:r>
          </w:p>
        </w:tc>
        <w:tc>
          <w:tcPr>
            <w:tcW w:w="1511" w:type="pct"/>
            <w:tcBorders>
              <w:top w:val="nil"/>
              <w:left w:val="nil"/>
              <w:bottom w:val="single" w:sz="4" w:space="0" w:color="auto"/>
              <w:right w:val="single" w:sz="4" w:space="0" w:color="auto"/>
            </w:tcBorders>
            <w:shd w:val="clear" w:color="000000" w:fill="FFFFFF"/>
            <w:vAlign w:val="center"/>
          </w:tcPr>
          <w:p w:rsidR="00494FCA" w:rsidRPr="00E3331A" w:rsidRDefault="00494FCA" w:rsidP="00494FCA">
            <w:pPr>
              <w:rPr>
                <w:rFonts w:ascii="Arial Narrow" w:hAnsi="Arial Narrow" w:cs="Calibri"/>
                <w:color w:val="000000"/>
                <w:sz w:val="20"/>
                <w:szCs w:val="20"/>
              </w:rPr>
            </w:pPr>
            <w:r w:rsidRPr="00E3331A">
              <w:rPr>
                <w:rFonts w:ascii="Arial Narrow" w:hAnsi="Arial Narrow" w:cs="Calibri"/>
                <w:color w:val="000000"/>
                <w:sz w:val="20"/>
                <w:szCs w:val="20"/>
              </w:rPr>
              <w:t xml:space="preserve">NSW State Award. 2018. Clinical Nurse, Grade 2, $1,946 per week. Loaded at 1.67. </w:t>
            </w:r>
          </w:p>
        </w:tc>
      </w:tr>
      <w:tr w:rsidR="00304276" w:rsidRPr="00E3331A" w:rsidTr="00985FE6">
        <w:tc>
          <w:tcPr>
            <w:tcW w:w="856" w:type="pct"/>
            <w:tcBorders>
              <w:top w:val="nil"/>
              <w:left w:val="single" w:sz="4" w:space="0" w:color="auto"/>
              <w:bottom w:val="single" w:sz="4" w:space="0" w:color="auto"/>
              <w:right w:val="single" w:sz="4" w:space="0" w:color="auto"/>
            </w:tcBorders>
            <w:shd w:val="clear" w:color="000000" w:fill="FFFFFF"/>
            <w:vAlign w:val="center"/>
            <w:hideMark/>
          </w:tcPr>
          <w:p w:rsidR="00494FCA" w:rsidRPr="00E3331A" w:rsidRDefault="00494FCA" w:rsidP="00494FCA">
            <w:pPr>
              <w:rPr>
                <w:rFonts w:ascii="Arial Narrow" w:hAnsi="Arial Narrow" w:cs="Calibri"/>
                <w:color w:val="000000"/>
                <w:sz w:val="20"/>
                <w:szCs w:val="20"/>
              </w:rPr>
            </w:pPr>
            <w:r w:rsidRPr="00E3331A">
              <w:rPr>
                <w:rFonts w:ascii="Arial Narrow" w:hAnsi="Arial Narrow" w:cs="Calibri"/>
                <w:color w:val="000000"/>
                <w:sz w:val="20"/>
                <w:szCs w:val="20"/>
              </w:rPr>
              <w:lastRenderedPageBreak/>
              <w:t>Therapeutic haemapheresis</w:t>
            </w:r>
          </w:p>
        </w:tc>
        <w:tc>
          <w:tcPr>
            <w:tcW w:w="506" w:type="pct"/>
            <w:tcBorders>
              <w:top w:val="nil"/>
              <w:left w:val="nil"/>
              <w:bottom w:val="single" w:sz="4" w:space="0" w:color="auto"/>
              <w:right w:val="single" w:sz="4" w:space="0" w:color="auto"/>
            </w:tcBorders>
            <w:shd w:val="clear" w:color="000000" w:fill="FFFFFF"/>
            <w:vAlign w:val="center"/>
            <w:hideMark/>
          </w:tcPr>
          <w:p w:rsidR="00494FCA" w:rsidRPr="00E3331A" w:rsidRDefault="00494FCA" w:rsidP="00494FCA">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506" w:type="pct"/>
            <w:tcBorders>
              <w:top w:val="nil"/>
              <w:left w:val="nil"/>
              <w:bottom w:val="single" w:sz="4" w:space="0" w:color="auto"/>
              <w:right w:val="single" w:sz="4" w:space="0" w:color="auto"/>
            </w:tcBorders>
            <w:shd w:val="clear" w:color="000000" w:fill="FFFFFF"/>
            <w:vAlign w:val="center"/>
            <w:hideMark/>
          </w:tcPr>
          <w:p w:rsidR="00494FCA" w:rsidRPr="00E3331A" w:rsidRDefault="00494FCA" w:rsidP="00494FCA">
            <w:pPr>
              <w:jc w:val="center"/>
              <w:rPr>
                <w:rFonts w:ascii="Arial Narrow" w:hAnsi="Arial Narrow" w:cs="Calibri"/>
                <w:color w:val="000000"/>
                <w:sz w:val="20"/>
                <w:szCs w:val="20"/>
              </w:rPr>
            </w:pPr>
            <w:r w:rsidRPr="00E3331A">
              <w:rPr>
                <w:rFonts w:ascii="Arial Narrow" w:hAnsi="Arial Narrow" w:cs="Calibri"/>
                <w:color w:val="000000"/>
                <w:sz w:val="20"/>
                <w:szCs w:val="20"/>
              </w:rPr>
              <w:t>$136.7</w:t>
            </w:r>
          </w:p>
        </w:tc>
        <w:tc>
          <w:tcPr>
            <w:tcW w:w="506" w:type="pct"/>
            <w:tcBorders>
              <w:top w:val="nil"/>
              <w:left w:val="nil"/>
              <w:bottom w:val="single" w:sz="4" w:space="0" w:color="auto"/>
              <w:right w:val="single" w:sz="4" w:space="0" w:color="auto"/>
            </w:tcBorders>
            <w:shd w:val="clear" w:color="000000" w:fill="FFFFFF"/>
            <w:vAlign w:val="center"/>
            <w:hideMark/>
          </w:tcPr>
          <w:p w:rsidR="00494FCA" w:rsidRPr="00E3331A" w:rsidRDefault="00494FCA" w:rsidP="00494FCA">
            <w:pPr>
              <w:jc w:val="center"/>
              <w:rPr>
                <w:rFonts w:ascii="Arial Narrow" w:hAnsi="Arial Narrow" w:cs="Calibri"/>
                <w:color w:val="000000"/>
                <w:sz w:val="20"/>
                <w:szCs w:val="20"/>
              </w:rPr>
            </w:pPr>
            <w:r w:rsidRPr="00E3331A">
              <w:rPr>
                <w:rFonts w:ascii="Arial Narrow" w:hAnsi="Arial Narrow" w:cs="Calibri"/>
                <w:color w:val="000000"/>
                <w:sz w:val="20"/>
                <w:szCs w:val="20"/>
              </w:rPr>
              <w:t>5.00</w:t>
            </w:r>
          </w:p>
        </w:tc>
        <w:tc>
          <w:tcPr>
            <w:tcW w:w="585" w:type="pct"/>
            <w:tcBorders>
              <w:top w:val="nil"/>
              <w:left w:val="nil"/>
              <w:bottom w:val="single" w:sz="4" w:space="0" w:color="auto"/>
              <w:right w:val="single" w:sz="4" w:space="0" w:color="auto"/>
            </w:tcBorders>
            <w:shd w:val="clear" w:color="000000" w:fill="FFFFFF"/>
            <w:vAlign w:val="center"/>
            <w:hideMark/>
          </w:tcPr>
          <w:p w:rsidR="00494FCA" w:rsidRPr="00E3331A" w:rsidRDefault="00494FCA" w:rsidP="00494FCA">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1" w:type="pct"/>
            <w:tcBorders>
              <w:top w:val="nil"/>
              <w:left w:val="nil"/>
              <w:bottom w:val="single" w:sz="4" w:space="0" w:color="auto"/>
              <w:right w:val="single" w:sz="4" w:space="0" w:color="auto"/>
            </w:tcBorders>
            <w:shd w:val="clear" w:color="000000" w:fill="FFFFFF"/>
            <w:vAlign w:val="center"/>
            <w:hideMark/>
          </w:tcPr>
          <w:p w:rsidR="00494FCA" w:rsidRPr="00E3331A" w:rsidRDefault="00494FCA" w:rsidP="00494FCA">
            <w:pPr>
              <w:jc w:val="center"/>
              <w:rPr>
                <w:rFonts w:ascii="Arial Narrow" w:hAnsi="Arial Narrow" w:cs="Calibri"/>
                <w:color w:val="000000"/>
                <w:sz w:val="20"/>
                <w:szCs w:val="20"/>
              </w:rPr>
            </w:pPr>
            <w:r w:rsidRPr="00E3331A">
              <w:rPr>
                <w:rFonts w:ascii="Arial Narrow" w:hAnsi="Arial Narrow" w:cs="Calibri"/>
                <w:color w:val="000000"/>
                <w:sz w:val="20"/>
                <w:szCs w:val="20"/>
              </w:rPr>
              <w:t>$683.3</w:t>
            </w:r>
          </w:p>
        </w:tc>
        <w:tc>
          <w:tcPr>
            <w:tcW w:w="1511" w:type="pct"/>
            <w:tcBorders>
              <w:top w:val="nil"/>
              <w:left w:val="nil"/>
              <w:bottom w:val="single" w:sz="4" w:space="0" w:color="auto"/>
              <w:right w:val="single" w:sz="4" w:space="0" w:color="auto"/>
            </w:tcBorders>
            <w:shd w:val="clear" w:color="000000" w:fill="FFFFFF"/>
            <w:vAlign w:val="center"/>
            <w:hideMark/>
          </w:tcPr>
          <w:p w:rsidR="00494FCA" w:rsidRPr="00E3331A" w:rsidRDefault="00494FCA" w:rsidP="00494FCA">
            <w:pPr>
              <w:rPr>
                <w:rFonts w:ascii="Arial Narrow" w:hAnsi="Arial Narrow" w:cs="Calibri"/>
                <w:color w:val="000000"/>
                <w:sz w:val="20"/>
                <w:szCs w:val="20"/>
              </w:rPr>
            </w:pPr>
            <w:r w:rsidRPr="00E3331A">
              <w:rPr>
                <w:rFonts w:ascii="Arial Narrow" w:hAnsi="Arial Narrow" w:cs="Calibri"/>
                <w:color w:val="000000"/>
                <w:sz w:val="20"/>
                <w:szCs w:val="20"/>
              </w:rPr>
              <w:t>MBS Item 13750 Removal of plasma or cellular (or both) elements of blood, utilising continuous or intermittent flow techniques</w:t>
            </w:r>
          </w:p>
        </w:tc>
      </w:tr>
      <w:tr w:rsidR="00304276" w:rsidRPr="00E3331A" w:rsidTr="00985FE6">
        <w:tc>
          <w:tcPr>
            <w:tcW w:w="856" w:type="pct"/>
            <w:tcBorders>
              <w:top w:val="nil"/>
              <w:left w:val="single" w:sz="4" w:space="0" w:color="auto"/>
              <w:bottom w:val="single" w:sz="4" w:space="0" w:color="auto"/>
              <w:right w:val="single" w:sz="4" w:space="0" w:color="auto"/>
            </w:tcBorders>
            <w:shd w:val="clear" w:color="000000" w:fill="FFFFFF"/>
            <w:vAlign w:val="center"/>
            <w:hideMark/>
          </w:tcPr>
          <w:p w:rsidR="00B13285" w:rsidRPr="00E3331A" w:rsidRDefault="00B13285" w:rsidP="00B13285">
            <w:pPr>
              <w:rPr>
                <w:rFonts w:ascii="Arial Narrow" w:hAnsi="Arial Narrow" w:cs="Calibri"/>
                <w:color w:val="000000"/>
                <w:sz w:val="20"/>
                <w:szCs w:val="20"/>
              </w:rPr>
            </w:pPr>
            <w:r w:rsidRPr="00E3331A">
              <w:rPr>
                <w:rFonts w:ascii="Arial Narrow" w:hAnsi="Arial Narrow" w:cs="Calibri"/>
                <w:color w:val="000000"/>
                <w:sz w:val="20"/>
                <w:szCs w:val="20"/>
              </w:rPr>
              <w:t xml:space="preserve">Insertion of non-tunnelled central venous catheter </w:t>
            </w:r>
          </w:p>
        </w:tc>
        <w:tc>
          <w:tcPr>
            <w:tcW w:w="506" w:type="pct"/>
            <w:tcBorders>
              <w:top w:val="nil"/>
              <w:left w:val="nil"/>
              <w:bottom w:val="single" w:sz="4" w:space="0" w:color="auto"/>
              <w:right w:val="single" w:sz="4" w:space="0" w:color="auto"/>
            </w:tcBorders>
            <w:shd w:val="clear" w:color="000000" w:fill="FFFFFF"/>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506" w:type="pct"/>
            <w:tcBorders>
              <w:top w:val="nil"/>
              <w:left w:val="nil"/>
              <w:bottom w:val="single" w:sz="4" w:space="0" w:color="auto"/>
              <w:right w:val="single" w:sz="4" w:space="0" w:color="auto"/>
            </w:tcBorders>
            <w:shd w:val="clear" w:color="000000" w:fill="FFFFFF"/>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$857.3</w:t>
            </w:r>
          </w:p>
        </w:tc>
        <w:tc>
          <w:tcPr>
            <w:tcW w:w="506" w:type="pct"/>
            <w:tcBorders>
              <w:top w:val="nil"/>
              <w:left w:val="nil"/>
              <w:bottom w:val="single" w:sz="4" w:space="0" w:color="auto"/>
              <w:right w:val="single" w:sz="4" w:space="0" w:color="auto"/>
            </w:tcBorders>
            <w:shd w:val="clear" w:color="000000" w:fill="FFFFFF"/>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85" w:type="pct"/>
            <w:tcBorders>
              <w:top w:val="nil"/>
              <w:left w:val="nil"/>
              <w:bottom w:val="single" w:sz="4" w:space="0" w:color="auto"/>
              <w:right w:val="single" w:sz="4" w:space="0" w:color="auto"/>
            </w:tcBorders>
            <w:shd w:val="clear" w:color="000000" w:fill="FFFFFF"/>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1" w:type="pct"/>
            <w:tcBorders>
              <w:top w:val="nil"/>
              <w:left w:val="nil"/>
              <w:bottom w:val="single" w:sz="4" w:space="0" w:color="auto"/>
              <w:right w:val="single" w:sz="4" w:space="0" w:color="auto"/>
            </w:tcBorders>
            <w:shd w:val="clear" w:color="000000" w:fill="FFFFFF"/>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$857.3</w:t>
            </w:r>
          </w:p>
        </w:tc>
        <w:tc>
          <w:tcPr>
            <w:tcW w:w="1511" w:type="pct"/>
            <w:tcBorders>
              <w:top w:val="nil"/>
              <w:left w:val="nil"/>
              <w:bottom w:val="single" w:sz="4" w:space="0" w:color="auto"/>
              <w:right w:val="single" w:sz="4" w:space="0" w:color="auto"/>
            </w:tcBorders>
            <w:shd w:val="clear" w:color="000000" w:fill="FFFFFF"/>
            <w:vAlign w:val="center"/>
            <w:hideMark/>
          </w:tcPr>
          <w:p w:rsidR="00B13285" w:rsidRPr="00E3331A" w:rsidRDefault="00B13285" w:rsidP="00B13285">
            <w:pPr>
              <w:rPr>
                <w:rFonts w:ascii="Arial Narrow" w:hAnsi="Arial Narrow" w:cs="Calibri"/>
                <w:color w:val="000000"/>
                <w:sz w:val="20"/>
                <w:szCs w:val="20"/>
              </w:rPr>
            </w:pPr>
            <w:r w:rsidRPr="00E3331A">
              <w:rPr>
                <w:rFonts w:ascii="Arial Narrow" w:hAnsi="Arial Narrow" w:cs="Calibri"/>
                <w:color w:val="000000"/>
                <w:sz w:val="20"/>
                <w:szCs w:val="20"/>
              </w:rPr>
              <w:t>MBS Item 34112, Arterio</w:t>
            </w:r>
            <w:r w:rsidR="00417823">
              <w:rPr>
                <w:rFonts w:ascii="Arial Narrow" w:hAnsi="Arial Narrow" w:cs="Calibri"/>
                <w:color w:val="000000"/>
                <w:sz w:val="20"/>
                <w:szCs w:val="20"/>
              </w:rPr>
              <w:t>venous</w:t>
            </w:r>
            <w:r w:rsidRPr="00E3331A">
              <w:rPr>
                <w:rFonts w:ascii="Arial Narrow" w:hAnsi="Arial Narrow" w:cs="Calibri"/>
                <w:color w:val="000000"/>
                <w:sz w:val="20"/>
                <w:szCs w:val="20"/>
              </w:rPr>
              <w:t xml:space="preserve"> fistula of an extremity, dissection and ligation </w:t>
            </w:r>
          </w:p>
        </w:tc>
      </w:tr>
      <w:tr w:rsidR="00304276" w:rsidRPr="00E3331A" w:rsidTr="00985FE6">
        <w:tc>
          <w:tcPr>
            <w:tcW w:w="856" w:type="pct"/>
            <w:tcBorders>
              <w:top w:val="nil"/>
              <w:left w:val="single" w:sz="4" w:space="0" w:color="auto"/>
              <w:bottom w:val="single" w:sz="4" w:space="0" w:color="auto"/>
              <w:right w:val="single" w:sz="4" w:space="0" w:color="auto"/>
            </w:tcBorders>
            <w:shd w:val="clear" w:color="000000" w:fill="FFFFFF"/>
            <w:vAlign w:val="center"/>
            <w:hideMark/>
          </w:tcPr>
          <w:p w:rsidR="00B13285" w:rsidRPr="00E3331A" w:rsidRDefault="00B13285" w:rsidP="00B13285">
            <w:pPr>
              <w:rPr>
                <w:rFonts w:ascii="Arial Narrow" w:hAnsi="Arial Narrow" w:cs="Calibri"/>
                <w:color w:val="000000"/>
                <w:sz w:val="20"/>
                <w:szCs w:val="20"/>
              </w:rPr>
            </w:pPr>
            <w:r w:rsidRPr="00E3331A">
              <w:rPr>
                <w:rFonts w:ascii="Arial Narrow" w:hAnsi="Arial Narrow" w:cs="Calibri"/>
                <w:color w:val="000000"/>
                <w:sz w:val="20"/>
                <w:szCs w:val="20"/>
              </w:rPr>
              <w:t>TPE equipment amortization</w:t>
            </w:r>
          </w:p>
        </w:tc>
        <w:tc>
          <w:tcPr>
            <w:tcW w:w="506" w:type="pct"/>
            <w:tcBorders>
              <w:top w:val="nil"/>
              <w:left w:val="nil"/>
              <w:bottom w:val="single" w:sz="4" w:space="0" w:color="auto"/>
              <w:right w:val="single" w:sz="4" w:space="0" w:color="auto"/>
            </w:tcBorders>
            <w:shd w:val="clear" w:color="000000" w:fill="FFFFFF"/>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Hospital costs</w:t>
            </w:r>
          </w:p>
        </w:tc>
        <w:tc>
          <w:tcPr>
            <w:tcW w:w="506" w:type="pct"/>
            <w:tcBorders>
              <w:top w:val="nil"/>
              <w:left w:val="nil"/>
              <w:bottom w:val="single" w:sz="4" w:space="0" w:color="auto"/>
              <w:right w:val="single" w:sz="4" w:space="0" w:color="auto"/>
            </w:tcBorders>
            <w:shd w:val="clear" w:color="000000" w:fill="FFFFFF"/>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$52.6</w:t>
            </w:r>
          </w:p>
        </w:tc>
        <w:tc>
          <w:tcPr>
            <w:tcW w:w="506" w:type="pct"/>
            <w:tcBorders>
              <w:top w:val="nil"/>
              <w:left w:val="nil"/>
              <w:bottom w:val="single" w:sz="4" w:space="0" w:color="auto"/>
              <w:right w:val="single" w:sz="4" w:space="0" w:color="auto"/>
            </w:tcBorders>
            <w:shd w:val="clear" w:color="000000" w:fill="FFFFFF"/>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5.00</w:t>
            </w:r>
          </w:p>
        </w:tc>
        <w:tc>
          <w:tcPr>
            <w:tcW w:w="585" w:type="pct"/>
            <w:tcBorders>
              <w:top w:val="nil"/>
              <w:left w:val="nil"/>
              <w:bottom w:val="single" w:sz="4" w:space="0" w:color="auto"/>
              <w:right w:val="single" w:sz="4" w:space="0" w:color="auto"/>
            </w:tcBorders>
            <w:shd w:val="clear" w:color="000000" w:fill="FFFFFF"/>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1" w:type="pct"/>
            <w:tcBorders>
              <w:top w:val="nil"/>
              <w:left w:val="nil"/>
              <w:bottom w:val="single" w:sz="4" w:space="0" w:color="auto"/>
              <w:right w:val="single" w:sz="4" w:space="0" w:color="auto"/>
            </w:tcBorders>
            <w:shd w:val="clear" w:color="000000" w:fill="FFFFFF"/>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$263.0</w:t>
            </w:r>
          </w:p>
        </w:tc>
        <w:tc>
          <w:tcPr>
            <w:tcW w:w="1511" w:type="pct"/>
            <w:tcBorders>
              <w:top w:val="nil"/>
              <w:left w:val="nil"/>
              <w:bottom w:val="single" w:sz="4" w:space="0" w:color="auto"/>
              <w:right w:val="single" w:sz="4" w:space="0" w:color="auto"/>
            </w:tcBorders>
            <w:shd w:val="clear" w:color="000000" w:fill="FFFFFF"/>
            <w:vAlign w:val="center"/>
            <w:hideMark/>
          </w:tcPr>
          <w:p w:rsidR="00B13285" w:rsidRPr="00E3331A" w:rsidRDefault="00B13285" w:rsidP="00B13285">
            <w:pPr>
              <w:rPr>
                <w:rFonts w:ascii="Arial Narrow" w:hAnsi="Arial Narrow" w:cs="Calibri"/>
                <w:color w:val="000000"/>
                <w:sz w:val="20"/>
                <w:szCs w:val="20"/>
              </w:rPr>
            </w:pPr>
            <w:r w:rsidRPr="00E3331A">
              <w:rPr>
                <w:rFonts w:ascii="Arial Narrow" w:hAnsi="Arial Narrow" w:cs="Calibri"/>
                <w:color w:val="000000"/>
                <w:sz w:val="20"/>
                <w:szCs w:val="20"/>
              </w:rPr>
              <w:t xml:space="preserve">Winter </w:t>
            </w:r>
            <w:r w:rsidR="00983BA7">
              <w:rPr>
                <w:rFonts w:ascii="Arial Narrow" w:hAnsi="Arial Narrow" w:cs="Calibri"/>
                <w:color w:val="000000"/>
                <w:sz w:val="20"/>
                <w:szCs w:val="20"/>
              </w:rPr>
              <w:t xml:space="preserve">et al. </w:t>
            </w:r>
            <w:r w:rsidRPr="00E3331A">
              <w:rPr>
                <w:rFonts w:ascii="Arial Narrow" w:hAnsi="Arial Narrow" w:cs="Calibri"/>
                <w:color w:val="000000"/>
                <w:sz w:val="20"/>
                <w:szCs w:val="20"/>
              </w:rPr>
              <w:t>(2011) Included cell separator system, blood warmer and medical recliner chair, with useful lives of 6, 7 and 10 years (200 procedures per year) and costs of $59,320, $3,840 and $829</w:t>
            </w:r>
          </w:p>
        </w:tc>
      </w:tr>
      <w:tr w:rsidR="00304276" w:rsidRPr="00E3331A" w:rsidTr="00985FE6">
        <w:tc>
          <w:tcPr>
            <w:tcW w:w="856" w:type="pct"/>
            <w:tcBorders>
              <w:top w:val="nil"/>
              <w:left w:val="single" w:sz="4" w:space="0" w:color="auto"/>
              <w:bottom w:val="single" w:sz="4" w:space="0" w:color="auto"/>
              <w:right w:val="single" w:sz="4" w:space="0" w:color="auto"/>
            </w:tcBorders>
            <w:shd w:val="clear" w:color="000000" w:fill="FFFFFF"/>
            <w:vAlign w:val="center"/>
            <w:hideMark/>
          </w:tcPr>
          <w:p w:rsidR="00B13285" w:rsidRPr="00E3331A" w:rsidRDefault="00B13285" w:rsidP="00B13285">
            <w:pPr>
              <w:rPr>
                <w:rFonts w:ascii="Arial Narrow" w:hAnsi="Arial Narrow" w:cs="Calibri"/>
                <w:color w:val="000000"/>
                <w:sz w:val="20"/>
                <w:szCs w:val="20"/>
              </w:rPr>
            </w:pPr>
            <w:r w:rsidRPr="00E3331A">
              <w:rPr>
                <w:rFonts w:ascii="Arial Narrow" w:hAnsi="Arial Narrow" w:cs="Calibri"/>
                <w:color w:val="000000"/>
                <w:sz w:val="20"/>
                <w:szCs w:val="20"/>
              </w:rPr>
              <w:t>Service contract amortization</w:t>
            </w:r>
          </w:p>
        </w:tc>
        <w:tc>
          <w:tcPr>
            <w:tcW w:w="506" w:type="pct"/>
            <w:tcBorders>
              <w:top w:val="nil"/>
              <w:left w:val="nil"/>
              <w:bottom w:val="single" w:sz="4" w:space="0" w:color="auto"/>
              <w:right w:val="single" w:sz="4" w:space="0" w:color="auto"/>
            </w:tcBorders>
            <w:shd w:val="clear" w:color="000000" w:fill="FFFFFF"/>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Hospital costs</w:t>
            </w:r>
          </w:p>
        </w:tc>
        <w:tc>
          <w:tcPr>
            <w:tcW w:w="506" w:type="pct"/>
            <w:tcBorders>
              <w:top w:val="nil"/>
              <w:left w:val="nil"/>
              <w:bottom w:val="single" w:sz="4" w:space="0" w:color="auto"/>
              <w:right w:val="single" w:sz="4" w:space="0" w:color="auto"/>
            </w:tcBorders>
            <w:shd w:val="clear" w:color="000000" w:fill="FFFFFF"/>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$22.0</w:t>
            </w:r>
          </w:p>
        </w:tc>
        <w:tc>
          <w:tcPr>
            <w:tcW w:w="506" w:type="pct"/>
            <w:tcBorders>
              <w:top w:val="nil"/>
              <w:left w:val="nil"/>
              <w:bottom w:val="single" w:sz="4" w:space="0" w:color="auto"/>
              <w:right w:val="single" w:sz="4" w:space="0" w:color="auto"/>
            </w:tcBorders>
            <w:shd w:val="clear" w:color="000000" w:fill="FFFFFF"/>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5.00</w:t>
            </w:r>
          </w:p>
        </w:tc>
        <w:tc>
          <w:tcPr>
            <w:tcW w:w="585" w:type="pct"/>
            <w:tcBorders>
              <w:top w:val="nil"/>
              <w:left w:val="nil"/>
              <w:bottom w:val="single" w:sz="4" w:space="0" w:color="auto"/>
              <w:right w:val="single" w:sz="4" w:space="0" w:color="auto"/>
            </w:tcBorders>
            <w:shd w:val="clear" w:color="000000" w:fill="FFFFFF"/>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1" w:type="pct"/>
            <w:tcBorders>
              <w:top w:val="nil"/>
              <w:left w:val="nil"/>
              <w:bottom w:val="single" w:sz="4" w:space="0" w:color="auto"/>
              <w:right w:val="single" w:sz="4" w:space="0" w:color="auto"/>
            </w:tcBorders>
            <w:shd w:val="clear" w:color="000000" w:fill="FFFFFF"/>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$110.0</w:t>
            </w:r>
          </w:p>
        </w:tc>
        <w:tc>
          <w:tcPr>
            <w:tcW w:w="1511" w:type="pct"/>
            <w:tcBorders>
              <w:top w:val="nil"/>
              <w:left w:val="nil"/>
              <w:bottom w:val="single" w:sz="4" w:space="0" w:color="auto"/>
              <w:right w:val="single" w:sz="4" w:space="0" w:color="auto"/>
            </w:tcBorders>
            <w:shd w:val="clear" w:color="000000" w:fill="FFFFFF"/>
            <w:vAlign w:val="center"/>
            <w:hideMark/>
          </w:tcPr>
          <w:p w:rsidR="00B13285" w:rsidRPr="00E3331A" w:rsidRDefault="00B13285" w:rsidP="00B13285">
            <w:pPr>
              <w:rPr>
                <w:rFonts w:ascii="Arial Narrow" w:hAnsi="Arial Narrow" w:cs="Calibri"/>
                <w:color w:val="000000"/>
                <w:sz w:val="20"/>
                <w:szCs w:val="20"/>
              </w:rPr>
            </w:pPr>
            <w:r w:rsidRPr="00E3331A">
              <w:rPr>
                <w:rFonts w:ascii="Arial Narrow" w:hAnsi="Arial Narrow" w:cs="Calibri"/>
                <w:color w:val="000000"/>
                <w:sz w:val="20"/>
                <w:szCs w:val="20"/>
              </w:rPr>
              <w:t xml:space="preserve">$4,450 annually per cell separator system (CaridianBCT device in 2011); assumes 200 procedures per year per device. Winter </w:t>
            </w:r>
            <w:r w:rsidR="00983BA7">
              <w:rPr>
                <w:rFonts w:ascii="Arial Narrow" w:hAnsi="Arial Narrow" w:cs="Calibri"/>
                <w:color w:val="000000"/>
                <w:sz w:val="20"/>
                <w:szCs w:val="20"/>
              </w:rPr>
              <w:t xml:space="preserve">et al. </w:t>
            </w:r>
            <w:r w:rsidRPr="00E3331A">
              <w:rPr>
                <w:rFonts w:ascii="Arial Narrow" w:hAnsi="Arial Narrow" w:cs="Calibri"/>
                <w:color w:val="000000"/>
                <w:sz w:val="20"/>
                <w:szCs w:val="20"/>
              </w:rPr>
              <w:t>2011</w:t>
            </w:r>
          </w:p>
        </w:tc>
      </w:tr>
      <w:tr w:rsidR="00304276" w:rsidRPr="00E3331A" w:rsidTr="00985FE6">
        <w:tc>
          <w:tcPr>
            <w:tcW w:w="856" w:type="pct"/>
            <w:tcBorders>
              <w:top w:val="nil"/>
              <w:left w:val="single" w:sz="4" w:space="0" w:color="auto"/>
              <w:bottom w:val="single" w:sz="4" w:space="0" w:color="auto"/>
              <w:right w:val="single" w:sz="4" w:space="0" w:color="auto"/>
            </w:tcBorders>
            <w:shd w:val="clear" w:color="000000" w:fill="FFFFFF"/>
            <w:vAlign w:val="center"/>
            <w:hideMark/>
          </w:tcPr>
          <w:p w:rsidR="00B13285" w:rsidRPr="00E3331A" w:rsidRDefault="00B13285" w:rsidP="00B13285">
            <w:pPr>
              <w:rPr>
                <w:rFonts w:ascii="Arial Narrow" w:hAnsi="Arial Narrow" w:cs="Calibri"/>
                <w:color w:val="000000"/>
                <w:sz w:val="20"/>
                <w:szCs w:val="20"/>
              </w:rPr>
            </w:pPr>
            <w:r w:rsidRPr="00E3331A">
              <w:rPr>
                <w:rFonts w:ascii="Arial Narrow" w:hAnsi="Arial Narrow" w:cs="Calibri"/>
                <w:color w:val="000000"/>
                <w:sz w:val="20"/>
                <w:szCs w:val="20"/>
              </w:rPr>
              <w:t>GP Consultations. Assumes 4 GP visits per year</w:t>
            </w:r>
          </w:p>
        </w:tc>
        <w:tc>
          <w:tcPr>
            <w:tcW w:w="506" w:type="pct"/>
            <w:tcBorders>
              <w:top w:val="nil"/>
              <w:left w:val="nil"/>
              <w:bottom w:val="single" w:sz="4" w:space="0" w:color="auto"/>
              <w:right w:val="single" w:sz="4" w:space="0" w:color="auto"/>
            </w:tcBorders>
            <w:shd w:val="clear" w:color="000000" w:fill="FFFFFF"/>
            <w:noWrap/>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506" w:type="pct"/>
            <w:tcBorders>
              <w:top w:val="nil"/>
              <w:left w:val="nil"/>
              <w:bottom w:val="single" w:sz="4" w:space="0" w:color="auto"/>
              <w:right w:val="single" w:sz="4" w:space="0" w:color="auto"/>
            </w:tcBorders>
            <w:shd w:val="clear" w:color="000000" w:fill="FFFFFF"/>
            <w:noWrap/>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$34.9</w:t>
            </w:r>
          </w:p>
        </w:tc>
        <w:tc>
          <w:tcPr>
            <w:tcW w:w="506" w:type="pct"/>
            <w:tcBorders>
              <w:top w:val="nil"/>
              <w:left w:val="nil"/>
              <w:bottom w:val="single" w:sz="4" w:space="0" w:color="auto"/>
              <w:right w:val="single" w:sz="4" w:space="0" w:color="auto"/>
            </w:tcBorders>
            <w:shd w:val="clear" w:color="000000" w:fill="FFFFFF"/>
            <w:noWrap/>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4.00</w:t>
            </w:r>
          </w:p>
        </w:tc>
        <w:tc>
          <w:tcPr>
            <w:tcW w:w="585" w:type="pct"/>
            <w:tcBorders>
              <w:top w:val="nil"/>
              <w:left w:val="nil"/>
              <w:bottom w:val="single" w:sz="4" w:space="0" w:color="auto"/>
              <w:right w:val="single" w:sz="4" w:space="0" w:color="auto"/>
            </w:tcBorders>
            <w:shd w:val="clear" w:color="000000" w:fill="FFFFFF"/>
            <w:noWrap/>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1" w:type="pct"/>
            <w:tcBorders>
              <w:top w:val="nil"/>
              <w:left w:val="nil"/>
              <w:bottom w:val="single" w:sz="4" w:space="0" w:color="auto"/>
              <w:right w:val="single" w:sz="4" w:space="0" w:color="auto"/>
            </w:tcBorders>
            <w:shd w:val="clear" w:color="000000" w:fill="FFFFFF"/>
            <w:noWrap/>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$139.6</w:t>
            </w:r>
          </w:p>
        </w:tc>
        <w:tc>
          <w:tcPr>
            <w:tcW w:w="1511" w:type="pct"/>
            <w:tcBorders>
              <w:top w:val="nil"/>
              <w:left w:val="nil"/>
              <w:bottom w:val="single" w:sz="4" w:space="0" w:color="auto"/>
              <w:right w:val="single" w:sz="4" w:space="0" w:color="auto"/>
            </w:tcBorders>
            <w:shd w:val="clear" w:color="000000" w:fill="FFFFFF"/>
            <w:vAlign w:val="center"/>
            <w:hideMark/>
          </w:tcPr>
          <w:p w:rsidR="00B13285" w:rsidRPr="00E3331A" w:rsidRDefault="00B13285" w:rsidP="00B13285">
            <w:pPr>
              <w:rPr>
                <w:rFonts w:ascii="Arial Narrow" w:hAnsi="Arial Narrow" w:cs="Calibri"/>
                <w:color w:val="000000"/>
                <w:sz w:val="20"/>
                <w:szCs w:val="20"/>
              </w:rPr>
            </w:pPr>
            <w:r w:rsidRPr="00E3331A">
              <w:rPr>
                <w:rFonts w:ascii="Arial Narrow" w:hAnsi="Arial Narrow" w:cs="Calibri"/>
                <w:color w:val="000000"/>
                <w:sz w:val="20"/>
                <w:szCs w:val="20"/>
              </w:rPr>
              <w:t>MBS 23. Professional attendance by a general practitioner at consulting rooms (other than a service to which another item in the table applies), lasting less than 20 minutes</w:t>
            </w:r>
          </w:p>
        </w:tc>
      </w:tr>
      <w:tr w:rsidR="00304276" w:rsidRPr="00E3331A" w:rsidTr="00985FE6">
        <w:tc>
          <w:tcPr>
            <w:tcW w:w="856" w:type="pct"/>
            <w:tcBorders>
              <w:top w:val="nil"/>
              <w:left w:val="single" w:sz="4" w:space="0" w:color="auto"/>
              <w:bottom w:val="single" w:sz="4" w:space="0" w:color="auto"/>
              <w:right w:val="single" w:sz="4" w:space="0" w:color="auto"/>
            </w:tcBorders>
            <w:shd w:val="clear" w:color="000000" w:fill="FFFFFF"/>
            <w:vAlign w:val="center"/>
            <w:hideMark/>
          </w:tcPr>
          <w:p w:rsidR="00B13285" w:rsidRPr="00E3331A" w:rsidRDefault="00B13285" w:rsidP="00B13285">
            <w:pPr>
              <w:rPr>
                <w:rFonts w:ascii="Arial Narrow" w:hAnsi="Arial Narrow" w:cs="Calibri"/>
                <w:color w:val="000000"/>
                <w:sz w:val="20"/>
                <w:szCs w:val="20"/>
              </w:rPr>
            </w:pPr>
            <w:r w:rsidRPr="00E3331A">
              <w:rPr>
                <w:rFonts w:ascii="Arial Narrow" w:hAnsi="Arial Narrow" w:cs="Calibri"/>
                <w:color w:val="000000"/>
                <w:sz w:val="20"/>
                <w:szCs w:val="20"/>
              </w:rPr>
              <w:t xml:space="preserve">Neurologist Specialist </w:t>
            </w:r>
            <w:r w:rsidR="00820286" w:rsidRPr="00E3331A">
              <w:rPr>
                <w:rFonts w:ascii="Arial Narrow" w:hAnsi="Arial Narrow" w:cs="Calibri"/>
                <w:color w:val="000000"/>
                <w:sz w:val="20"/>
                <w:szCs w:val="20"/>
              </w:rPr>
              <w:t>Consultations. Assumes</w:t>
            </w:r>
            <w:r w:rsidRPr="00E3331A">
              <w:rPr>
                <w:rFonts w:ascii="Arial Narrow" w:hAnsi="Arial Narrow" w:cs="Calibri"/>
                <w:color w:val="000000"/>
                <w:sz w:val="20"/>
                <w:szCs w:val="20"/>
              </w:rPr>
              <w:t xml:space="preserve"> 1 specialist visit per year</w:t>
            </w:r>
          </w:p>
        </w:tc>
        <w:tc>
          <w:tcPr>
            <w:tcW w:w="506" w:type="pct"/>
            <w:tcBorders>
              <w:top w:val="nil"/>
              <w:left w:val="nil"/>
              <w:bottom w:val="single" w:sz="4" w:space="0" w:color="auto"/>
              <w:right w:val="single" w:sz="4" w:space="0" w:color="auto"/>
            </w:tcBorders>
            <w:shd w:val="clear" w:color="000000" w:fill="FFFFFF"/>
            <w:noWrap/>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506" w:type="pct"/>
            <w:tcBorders>
              <w:top w:val="nil"/>
              <w:left w:val="nil"/>
              <w:bottom w:val="single" w:sz="4" w:space="0" w:color="auto"/>
              <w:right w:val="single" w:sz="4" w:space="0" w:color="auto"/>
            </w:tcBorders>
            <w:shd w:val="clear" w:color="000000" w:fill="FFFFFF"/>
            <w:noWrap/>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$267.9</w:t>
            </w:r>
          </w:p>
        </w:tc>
        <w:tc>
          <w:tcPr>
            <w:tcW w:w="506" w:type="pct"/>
            <w:tcBorders>
              <w:top w:val="nil"/>
              <w:left w:val="nil"/>
              <w:bottom w:val="single" w:sz="4" w:space="0" w:color="auto"/>
              <w:right w:val="single" w:sz="4" w:space="0" w:color="auto"/>
            </w:tcBorders>
            <w:shd w:val="clear" w:color="000000" w:fill="FFFFFF"/>
            <w:noWrap/>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85" w:type="pct"/>
            <w:tcBorders>
              <w:top w:val="nil"/>
              <w:left w:val="nil"/>
              <w:bottom w:val="single" w:sz="4" w:space="0" w:color="auto"/>
              <w:right w:val="single" w:sz="4" w:space="0" w:color="auto"/>
            </w:tcBorders>
            <w:shd w:val="clear" w:color="000000" w:fill="FFFFFF"/>
            <w:noWrap/>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1" w:type="pct"/>
            <w:tcBorders>
              <w:top w:val="nil"/>
              <w:left w:val="nil"/>
              <w:bottom w:val="single" w:sz="4" w:space="0" w:color="auto"/>
              <w:right w:val="single" w:sz="4" w:space="0" w:color="auto"/>
            </w:tcBorders>
            <w:shd w:val="clear" w:color="000000" w:fill="FFFFFF"/>
            <w:noWrap/>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$267.9</w:t>
            </w:r>
          </w:p>
        </w:tc>
        <w:tc>
          <w:tcPr>
            <w:tcW w:w="1511" w:type="pct"/>
            <w:tcBorders>
              <w:top w:val="nil"/>
              <w:left w:val="nil"/>
              <w:bottom w:val="single" w:sz="4" w:space="0" w:color="auto"/>
              <w:right w:val="single" w:sz="4" w:space="0" w:color="auto"/>
            </w:tcBorders>
            <w:shd w:val="clear" w:color="000000" w:fill="FFFFFF"/>
            <w:vAlign w:val="center"/>
            <w:hideMark/>
          </w:tcPr>
          <w:p w:rsidR="00B13285" w:rsidRPr="00E3331A" w:rsidRDefault="00B13285" w:rsidP="00B13285">
            <w:pPr>
              <w:rPr>
                <w:rFonts w:ascii="Arial Narrow" w:hAnsi="Arial Narrow" w:cs="Calibri"/>
                <w:color w:val="000000"/>
                <w:sz w:val="20"/>
                <w:szCs w:val="20"/>
              </w:rPr>
            </w:pPr>
            <w:r w:rsidRPr="00E3331A">
              <w:rPr>
                <w:rFonts w:ascii="Arial Narrow" w:hAnsi="Arial Narrow" w:cs="Calibri"/>
                <w:color w:val="000000"/>
                <w:sz w:val="20"/>
                <w:szCs w:val="20"/>
              </w:rPr>
              <w:t>MBS 132. Professional attendance at consulting rooms or hospital</w:t>
            </w:r>
          </w:p>
        </w:tc>
      </w:tr>
      <w:tr w:rsidR="00304276" w:rsidRPr="00E3331A" w:rsidTr="00985FE6">
        <w:tc>
          <w:tcPr>
            <w:tcW w:w="856" w:type="pct"/>
            <w:tcBorders>
              <w:top w:val="nil"/>
              <w:left w:val="single" w:sz="4" w:space="0" w:color="auto"/>
              <w:bottom w:val="single" w:sz="4" w:space="0" w:color="auto"/>
              <w:right w:val="single" w:sz="4" w:space="0" w:color="auto"/>
            </w:tcBorders>
            <w:shd w:val="clear" w:color="000000" w:fill="FFFFFF"/>
            <w:vAlign w:val="center"/>
          </w:tcPr>
          <w:p w:rsidR="00B13285" w:rsidRPr="00E3331A" w:rsidRDefault="00B13285" w:rsidP="00B13285">
            <w:pPr>
              <w:rPr>
                <w:rFonts w:ascii="Arial Narrow" w:hAnsi="Arial Narrow" w:cs="Calibri"/>
                <w:color w:val="000000"/>
                <w:sz w:val="20"/>
                <w:szCs w:val="20"/>
              </w:rPr>
            </w:pPr>
            <w:r w:rsidRPr="00E3331A">
              <w:rPr>
                <w:rFonts w:ascii="Arial Narrow" w:hAnsi="Arial Narrow" w:cs="Calibri"/>
                <w:color w:val="000000"/>
                <w:sz w:val="20"/>
                <w:szCs w:val="20"/>
              </w:rPr>
              <w:t xml:space="preserve">Neurologist Specialist Consultations (MBS 133). </w:t>
            </w:r>
          </w:p>
        </w:tc>
        <w:tc>
          <w:tcPr>
            <w:tcW w:w="506" w:type="pct"/>
            <w:tcBorders>
              <w:top w:val="nil"/>
              <w:left w:val="nil"/>
              <w:bottom w:val="single" w:sz="4" w:space="0" w:color="auto"/>
              <w:right w:val="single" w:sz="4" w:space="0" w:color="auto"/>
            </w:tcBorders>
            <w:shd w:val="clear" w:color="000000" w:fill="FFFFFF"/>
            <w:noWrap/>
            <w:vAlign w:val="center"/>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506" w:type="pct"/>
            <w:tcBorders>
              <w:top w:val="nil"/>
              <w:left w:val="nil"/>
              <w:bottom w:val="single" w:sz="4" w:space="0" w:color="auto"/>
              <w:right w:val="single" w:sz="4" w:space="0" w:color="auto"/>
            </w:tcBorders>
            <w:shd w:val="clear" w:color="000000" w:fill="FFFFFF"/>
            <w:noWrap/>
            <w:vAlign w:val="center"/>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$136.3</w:t>
            </w:r>
          </w:p>
        </w:tc>
        <w:tc>
          <w:tcPr>
            <w:tcW w:w="506" w:type="pct"/>
            <w:tcBorders>
              <w:top w:val="nil"/>
              <w:left w:val="nil"/>
              <w:bottom w:val="single" w:sz="4" w:space="0" w:color="auto"/>
              <w:right w:val="single" w:sz="4" w:space="0" w:color="auto"/>
            </w:tcBorders>
            <w:shd w:val="clear" w:color="000000" w:fill="FFFFFF"/>
            <w:noWrap/>
            <w:vAlign w:val="center"/>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2.00</w:t>
            </w:r>
          </w:p>
        </w:tc>
        <w:tc>
          <w:tcPr>
            <w:tcW w:w="585" w:type="pct"/>
            <w:tcBorders>
              <w:top w:val="nil"/>
              <w:left w:val="nil"/>
              <w:bottom w:val="single" w:sz="4" w:space="0" w:color="auto"/>
              <w:right w:val="single" w:sz="4" w:space="0" w:color="auto"/>
            </w:tcBorders>
            <w:shd w:val="clear" w:color="000000" w:fill="FFFFFF"/>
            <w:noWrap/>
            <w:vAlign w:val="center"/>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1" w:type="pct"/>
            <w:tcBorders>
              <w:top w:val="nil"/>
              <w:left w:val="nil"/>
              <w:bottom w:val="single" w:sz="4" w:space="0" w:color="auto"/>
              <w:right w:val="single" w:sz="4" w:space="0" w:color="auto"/>
            </w:tcBorders>
            <w:shd w:val="clear" w:color="000000" w:fill="FFFFFF"/>
            <w:noWrap/>
            <w:vAlign w:val="center"/>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$272.5</w:t>
            </w:r>
          </w:p>
        </w:tc>
        <w:tc>
          <w:tcPr>
            <w:tcW w:w="1511" w:type="pct"/>
            <w:tcBorders>
              <w:top w:val="nil"/>
              <w:left w:val="nil"/>
              <w:bottom w:val="single" w:sz="4" w:space="0" w:color="auto"/>
              <w:right w:val="single" w:sz="4" w:space="0" w:color="auto"/>
            </w:tcBorders>
            <w:shd w:val="clear" w:color="000000" w:fill="FFFFFF"/>
            <w:vAlign w:val="center"/>
          </w:tcPr>
          <w:p w:rsidR="00B13285" w:rsidRPr="00E3331A" w:rsidRDefault="00B13285" w:rsidP="00B13285">
            <w:pPr>
              <w:rPr>
                <w:rFonts w:ascii="Arial Narrow" w:hAnsi="Arial Narrow" w:cs="Calibri"/>
                <w:color w:val="000000"/>
                <w:sz w:val="20"/>
                <w:szCs w:val="20"/>
              </w:rPr>
            </w:pPr>
            <w:r w:rsidRPr="00E3331A">
              <w:rPr>
                <w:rFonts w:ascii="Arial Narrow" w:hAnsi="Arial Narrow" w:cs="Calibri"/>
                <w:color w:val="000000"/>
                <w:sz w:val="20"/>
                <w:szCs w:val="20"/>
              </w:rPr>
              <w:t xml:space="preserve"> MBS 132 for initial then MBS 133 (professional attendance of at least 20 minutes’ duration subsequent to the first attendance) for subsequent visits</w:t>
            </w:r>
          </w:p>
        </w:tc>
      </w:tr>
      <w:tr w:rsidR="00304276" w:rsidRPr="00E3331A" w:rsidTr="00985FE6">
        <w:tc>
          <w:tcPr>
            <w:tcW w:w="856" w:type="pct"/>
            <w:tcBorders>
              <w:top w:val="nil"/>
              <w:left w:val="single" w:sz="4" w:space="0" w:color="auto"/>
              <w:bottom w:val="single" w:sz="4" w:space="0" w:color="auto"/>
              <w:right w:val="single" w:sz="4" w:space="0" w:color="auto"/>
            </w:tcBorders>
            <w:shd w:val="clear" w:color="000000" w:fill="FFFFFF"/>
            <w:vAlign w:val="center"/>
            <w:hideMark/>
          </w:tcPr>
          <w:p w:rsidR="00B13285" w:rsidRPr="00E3331A" w:rsidRDefault="00B13285" w:rsidP="00B13285">
            <w:pPr>
              <w:rPr>
                <w:rFonts w:ascii="Arial Narrow" w:hAnsi="Arial Narrow" w:cs="Calibri"/>
                <w:color w:val="000000"/>
                <w:sz w:val="20"/>
                <w:szCs w:val="20"/>
              </w:rPr>
            </w:pPr>
            <w:r w:rsidRPr="00E3331A">
              <w:rPr>
                <w:rFonts w:ascii="Arial Narrow" w:hAnsi="Arial Narrow" w:cs="Calibri"/>
                <w:color w:val="000000"/>
                <w:sz w:val="20"/>
                <w:szCs w:val="20"/>
              </w:rPr>
              <w:lastRenderedPageBreak/>
              <w:t>Neuro muscular electro diagnosis</w:t>
            </w:r>
          </w:p>
        </w:tc>
        <w:tc>
          <w:tcPr>
            <w:tcW w:w="506" w:type="pct"/>
            <w:tcBorders>
              <w:top w:val="nil"/>
              <w:left w:val="nil"/>
              <w:bottom w:val="single" w:sz="4" w:space="0" w:color="auto"/>
              <w:right w:val="single" w:sz="4" w:space="0" w:color="auto"/>
            </w:tcBorders>
            <w:shd w:val="clear" w:color="000000" w:fill="FFFFFF"/>
            <w:noWrap/>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506" w:type="pct"/>
            <w:tcBorders>
              <w:top w:val="nil"/>
              <w:left w:val="nil"/>
              <w:bottom w:val="single" w:sz="4" w:space="0" w:color="auto"/>
              <w:right w:val="single" w:sz="4" w:space="0" w:color="auto"/>
            </w:tcBorders>
            <w:shd w:val="clear" w:color="000000" w:fill="FFFFFF"/>
            <w:noWrap/>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$227.6</w:t>
            </w:r>
          </w:p>
        </w:tc>
        <w:tc>
          <w:tcPr>
            <w:tcW w:w="506" w:type="pct"/>
            <w:tcBorders>
              <w:top w:val="nil"/>
              <w:left w:val="nil"/>
              <w:bottom w:val="single" w:sz="4" w:space="0" w:color="auto"/>
              <w:right w:val="single" w:sz="4" w:space="0" w:color="auto"/>
            </w:tcBorders>
            <w:shd w:val="clear" w:color="000000" w:fill="FFFFFF"/>
            <w:noWrap/>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585" w:type="pct"/>
            <w:tcBorders>
              <w:top w:val="nil"/>
              <w:left w:val="nil"/>
              <w:bottom w:val="single" w:sz="4" w:space="0" w:color="auto"/>
              <w:right w:val="single" w:sz="4" w:space="0" w:color="auto"/>
            </w:tcBorders>
            <w:shd w:val="clear" w:color="000000" w:fill="FFFFFF"/>
            <w:noWrap/>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1</w:t>
            </w:r>
          </w:p>
        </w:tc>
        <w:tc>
          <w:tcPr>
            <w:tcW w:w="531" w:type="pct"/>
            <w:tcBorders>
              <w:top w:val="nil"/>
              <w:left w:val="nil"/>
              <w:bottom w:val="single" w:sz="4" w:space="0" w:color="auto"/>
              <w:right w:val="single" w:sz="4" w:space="0" w:color="auto"/>
            </w:tcBorders>
            <w:shd w:val="clear" w:color="000000" w:fill="FFFFFF"/>
            <w:noWrap/>
            <w:vAlign w:val="center"/>
            <w:hideMark/>
          </w:tcPr>
          <w:p w:rsidR="00B13285" w:rsidRPr="00E3331A" w:rsidRDefault="00B13285" w:rsidP="00B13285">
            <w:pPr>
              <w:jc w:val="center"/>
              <w:rPr>
                <w:rFonts w:ascii="Arial Narrow" w:hAnsi="Arial Narrow" w:cs="Calibri"/>
                <w:color w:val="000000"/>
                <w:sz w:val="20"/>
                <w:szCs w:val="20"/>
              </w:rPr>
            </w:pPr>
            <w:r w:rsidRPr="00E3331A">
              <w:rPr>
                <w:rFonts w:ascii="Arial Narrow" w:hAnsi="Arial Narrow" w:cs="Calibri"/>
                <w:color w:val="000000"/>
                <w:sz w:val="20"/>
                <w:szCs w:val="20"/>
              </w:rPr>
              <w:t>$227.6</w:t>
            </w:r>
          </w:p>
        </w:tc>
        <w:tc>
          <w:tcPr>
            <w:tcW w:w="1511" w:type="pct"/>
            <w:tcBorders>
              <w:top w:val="nil"/>
              <w:left w:val="nil"/>
              <w:bottom w:val="single" w:sz="4" w:space="0" w:color="auto"/>
              <w:right w:val="single" w:sz="4" w:space="0" w:color="auto"/>
            </w:tcBorders>
            <w:shd w:val="clear" w:color="000000" w:fill="FFFFFF"/>
            <w:vAlign w:val="center"/>
            <w:hideMark/>
          </w:tcPr>
          <w:p w:rsidR="00B13285" w:rsidRPr="00E3331A" w:rsidRDefault="00B13285" w:rsidP="00B13285">
            <w:pPr>
              <w:rPr>
                <w:rFonts w:ascii="Arial Narrow" w:hAnsi="Arial Narrow" w:cs="Calibri"/>
                <w:color w:val="000000"/>
                <w:sz w:val="20"/>
                <w:szCs w:val="20"/>
              </w:rPr>
            </w:pPr>
            <w:r w:rsidRPr="00E3331A">
              <w:rPr>
                <w:rFonts w:ascii="Arial Narrow" w:hAnsi="Arial Narrow" w:cs="Calibri"/>
                <w:color w:val="000000"/>
                <w:sz w:val="20"/>
                <w:szCs w:val="20"/>
              </w:rPr>
              <w:t xml:space="preserve">MBS 11018. Neuro muscular electro diagnosis </w:t>
            </w:r>
          </w:p>
        </w:tc>
      </w:tr>
      <w:tr w:rsidR="00985FE6" w:rsidRPr="00E3331A" w:rsidTr="00985FE6">
        <w:tc>
          <w:tcPr>
            <w:tcW w:w="856" w:type="pct"/>
            <w:tcBorders>
              <w:top w:val="nil"/>
              <w:left w:val="single" w:sz="4" w:space="0" w:color="auto"/>
              <w:bottom w:val="single" w:sz="4" w:space="0" w:color="auto"/>
              <w:right w:val="single" w:sz="4" w:space="0" w:color="auto"/>
            </w:tcBorders>
            <w:shd w:val="clear" w:color="auto" w:fill="auto"/>
            <w:vAlign w:val="center"/>
          </w:tcPr>
          <w:p w:rsidR="00985FE6" w:rsidRDefault="00985FE6" w:rsidP="00985FE6">
            <w:pPr>
              <w:rPr>
                <w:rFonts w:ascii="Arial Narrow" w:hAnsi="Arial Narrow" w:cs="Calibri"/>
                <w:sz w:val="20"/>
                <w:szCs w:val="20"/>
              </w:rPr>
            </w:pPr>
            <w:r w:rsidRPr="00985FE6">
              <w:rPr>
                <w:rFonts w:ascii="Arial Narrow" w:hAnsi="Arial Narrow" w:cs="Calibri"/>
                <w:sz w:val="20"/>
                <w:szCs w:val="20"/>
              </w:rPr>
              <w:t>REDACTED</w:t>
            </w:r>
          </w:p>
          <w:p w:rsidR="00985FE6" w:rsidRPr="00985FE6" w:rsidRDefault="00985FE6" w:rsidP="00985FE6">
            <w:pPr>
              <w:rPr>
                <w:rFonts w:ascii="Arial Narrow" w:hAnsi="Arial Narrow" w:cs="Calibri"/>
                <w:sz w:val="120"/>
                <w:szCs w:val="120"/>
                <w:highlight w:val="black"/>
              </w:rPr>
            </w:pPr>
          </w:p>
        </w:tc>
        <w:tc>
          <w:tcPr>
            <w:tcW w:w="506" w:type="pct"/>
            <w:tcBorders>
              <w:top w:val="nil"/>
              <w:left w:val="nil"/>
              <w:bottom w:val="single" w:sz="4" w:space="0" w:color="auto"/>
              <w:right w:val="single" w:sz="4" w:space="0" w:color="auto"/>
            </w:tcBorders>
            <w:shd w:val="clear" w:color="000000" w:fill="FFFFFF"/>
            <w:noWrap/>
          </w:tcPr>
          <w:p w:rsidR="00985FE6" w:rsidRDefault="00985FE6" w:rsidP="00985FE6">
            <w:r w:rsidRPr="000D7602">
              <w:rPr>
                <w:sz w:val="16"/>
                <w:szCs w:val="16"/>
              </w:rPr>
              <w:t>REDACTED</w:t>
            </w:r>
          </w:p>
        </w:tc>
        <w:tc>
          <w:tcPr>
            <w:tcW w:w="506" w:type="pct"/>
            <w:tcBorders>
              <w:top w:val="nil"/>
              <w:left w:val="nil"/>
              <w:bottom w:val="single" w:sz="4" w:space="0" w:color="auto"/>
              <w:right w:val="single" w:sz="4" w:space="0" w:color="auto"/>
            </w:tcBorders>
            <w:shd w:val="clear" w:color="000000" w:fill="FFFFFF"/>
            <w:noWrap/>
          </w:tcPr>
          <w:p w:rsidR="00985FE6" w:rsidRDefault="00985FE6" w:rsidP="00985FE6">
            <w:r w:rsidRPr="000D7602">
              <w:rPr>
                <w:sz w:val="16"/>
                <w:szCs w:val="16"/>
              </w:rPr>
              <w:t>REDACTED</w:t>
            </w:r>
          </w:p>
        </w:tc>
        <w:tc>
          <w:tcPr>
            <w:tcW w:w="506" w:type="pct"/>
            <w:tcBorders>
              <w:top w:val="nil"/>
              <w:left w:val="nil"/>
              <w:bottom w:val="single" w:sz="4" w:space="0" w:color="auto"/>
              <w:right w:val="single" w:sz="4" w:space="0" w:color="auto"/>
            </w:tcBorders>
            <w:shd w:val="clear" w:color="000000" w:fill="FFFFFF"/>
            <w:noWrap/>
          </w:tcPr>
          <w:p w:rsidR="00985FE6" w:rsidRDefault="00985FE6" w:rsidP="00985FE6">
            <w:r w:rsidRPr="000D7602">
              <w:rPr>
                <w:sz w:val="16"/>
                <w:szCs w:val="16"/>
              </w:rPr>
              <w:t>REDACTED</w:t>
            </w:r>
          </w:p>
        </w:tc>
        <w:tc>
          <w:tcPr>
            <w:tcW w:w="585" w:type="pct"/>
            <w:tcBorders>
              <w:top w:val="nil"/>
              <w:left w:val="nil"/>
              <w:bottom w:val="single" w:sz="4" w:space="0" w:color="auto"/>
              <w:right w:val="single" w:sz="4" w:space="0" w:color="auto"/>
            </w:tcBorders>
            <w:shd w:val="clear" w:color="000000" w:fill="FFFFFF"/>
            <w:noWrap/>
          </w:tcPr>
          <w:p w:rsidR="00985FE6" w:rsidRDefault="00985FE6" w:rsidP="00985FE6">
            <w:r w:rsidRPr="000D7602">
              <w:rPr>
                <w:sz w:val="16"/>
                <w:szCs w:val="16"/>
              </w:rPr>
              <w:t>REDACTED</w:t>
            </w:r>
          </w:p>
        </w:tc>
        <w:tc>
          <w:tcPr>
            <w:tcW w:w="531" w:type="pct"/>
            <w:tcBorders>
              <w:top w:val="nil"/>
              <w:left w:val="nil"/>
              <w:bottom w:val="single" w:sz="4" w:space="0" w:color="auto"/>
              <w:right w:val="single" w:sz="4" w:space="0" w:color="auto"/>
            </w:tcBorders>
            <w:shd w:val="clear" w:color="000000" w:fill="FFFFFF"/>
            <w:noWrap/>
          </w:tcPr>
          <w:p w:rsidR="00985FE6" w:rsidRDefault="00985FE6" w:rsidP="00985FE6">
            <w:r w:rsidRPr="000D7602">
              <w:rPr>
                <w:sz w:val="16"/>
                <w:szCs w:val="16"/>
              </w:rPr>
              <w:t>REDACTED</w:t>
            </w:r>
          </w:p>
        </w:tc>
        <w:tc>
          <w:tcPr>
            <w:tcW w:w="1511" w:type="pct"/>
            <w:tcBorders>
              <w:top w:val="nil"/>
              <w:left w:val="nil"/>
              <w:bottom w:val="single" w:sz="4" w:space="0" w:color="auto"/>
              <w:right w:val="single" w:sz="4" w:space="0" w:color="auto"/>
            </w:tcBorders>
            <w:shd w:val="clear" w:color="000000" w:fill="FFFFFF"/>
          </w:tcPr>
          <w:p w:rsidR="00985FE6" w:rsidRPr="002A602E" w:rsidRDefault="00985FE6" w:rsidP="00985FE6">
            <w:pPr>
              <w:rPr>
                <w:rFonts w:ascii="Arial Narrow" w:hAnsi="Arial Narrow" w:cs="Calibri"/>
                <w:color w:val="000000"/>
                <w:sz w:val="20"/>
                <w:szCs w:val="20"/>
                <w:highlight w:val="black"/>
              </w:rPr>
            </w:pPr>
            <w:r w:rsidRPr="00985FE6">
              <w:rPr>
                <w:rFonts w:ascii="Arial Narrow" w:hAnsi="Arial Narrow" w:cs="Calibri"/>
                <w:color w:val="000000"/>
                <w:sz w:val="20"/>
                <w:szCs w:val="20"/>
              </w:rPr>
              <w:t>REDACTED</w:t>
            </w:r>
          </w:p>
        </w:tc>
      </w:tr>
      <w:tr w:rsidR="00304276" w:rsidRPr="00E3331A" w:rsidTr="00985FE6">
        <w:tc>
          <w:tcPr>
            <w:tcW w:w="856" w:type="pct"/>
            <w:tcBorders>
              <w:top w:val="nil"/>
              <w:left w:val="single" w:sz="4" w:space="0" w:color="auto"/>
              <w:bottom w:val="single" w:sz="4" w:space="0" w:color="auto"/>
              <w:right w:val="single" w:sz="4" w:space="0" w:color="auto"/>
            </w:tcBorders>
            <w:shd w:val="clear" w:color="auto" w:fill="D9D9D9"/>
            <w:vAlign w:val="center"/>
            <w:hideMark/>
          </w:tcPr>
          <w:p w:rsidR="00B13285" w:rsidRPr="00E3331A" w:rsidRDefault="00B13285" w:rsidP="00B13285">
            <w:pPr>
              <w:rPr>
                <w:rFonts w:ascii="Arial Narrow" w:hAnsi="Arial Narrow" w:cs="Calibri"/>
                <w:b/>
                <w:bCs/>
                <w:color w:val="000000"/>
                <w:sz w:val="20"/>
                <w:szCs w:val="20"/>
              </w:rPr>
            </w:pPr>
            <w:r w:rsidRPr="00E3331A">
              <w:rPr>
                <w:rFonts w:ascii="Arial Narrow" w:hAnsi="Arial Narrow" w:cs="Calibri"/>
                <w:b/>
                <w:bCs/>
                <w:color w:val="000000"/>
                <w:sz w:val="20"/>
                <w:szCs w:val="20"/>
              </w:rPr>
              <w:t>Annual total</w:t>
            </w:r>
          </w:p>
        </w:tc>
        <w:tc>
          <w:tcPr>
            <w:tcW w:w="506" w:type="pct"/>
            <w:tcBorders>
              <w:top w:val="nil"/>
              <w:left w:val="nil"/>
              <w:bottom w:val="single" w:sz="4" w:space="0" w:color="auto"/>
              <w:right w:val="single" w:sz="4" w:space="0" w:color="auto"/>
            </w:tcBorders>
            <w:shd w:val="clear" w:color="auto" w:fill="D9D9D9"/>
            <w:vAlign w:val="center"/>
            <w:hideMark/>
          </w:tcPr>
          <w:p w:rsidR="00B13285" w:rsidRPr="00E3331A" w:rsidRDefault="00B13285" w:rsidP="00B13285">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06" w:type="pct"/>
            <w:tcBorders>
              <w:top w:val="nil"/>
              <w:left w:val="nil"/>
              <w:bottom w:val="single" w:sz="4" w:space="0" w:color="auto"/>
              <w:right w:val="single" w:sz="4" w:space="0" w:color="auto"/>
            </w:tcBorders>
            <w:shd w:val="clear" w:color="auto" w:fill="D9D9D9"/>
            <w:vAlign w:val="center"/>
            <w:hideMark/>
          </w:tcPr>
          <w:p w:rsidR="00B13285" w:rsidRPr="00E3331A" w:rsidRDefault="00B13285" w:rsidP="00B13285">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06" w:type="pct"/>
            <w:tcBorders>
              <w:top w:val="nil"/>
              <w:left w:val="nil"/>
              <w:bottom w:val="single" w:sz="4" w:space="0" w:color="auto"/>
              <w:right w:val="single" w:sz="4" w:space="0" w:color="auto"/>
            </w:tcBorders>
            <w:shd w:val="clear" w:color="auto" w:fill="D9D9D9"/>
            <w:vAlign w:val="center"/>
            <w:hideMark/>
          </w:tcPr>
          <w:p w:rsidR="00B13285" w:rsidRPr="00E3331A" w:rsidRDefault="00B13285" w:rsidP="00B13285">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85" w:type="pct"/>
            <w:tcBorders>
              <w:top w:val="nil"/>
              <w:left w:val="nil"/>
              <w:bottom w:val="single" w:sz="4" w:space="0" w:color="auto"/>
              <w:right w:val="single" w:sz="4" w:space="0" w:color="auto"/>
            </w:tcBorders>
            <w:shd w:val="clear" w:color="auto" w:fill="D9D9D9"/>
            <w:vAlign w:val="center"/>
            <w:hideMark/>
          </w:tcPr>
          <w:p w:rsidR="00B13285" w:rsidRPr="00E3331A" w:rsidRDefault="00B13285" w:rsidP="00B13285">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31" w:type="pct"/>
            <w:tcBorders>
              <w:top w:val="nil"/>
              <w:left w:val="nil"/>
              <w:bottom w:val="single" w:sz="4" w:space="0" w:color="auto"/>
              <w:right w:val="single" w:sz="4" w:space="0" w:color="auto"/>
            </w:tcBorders>
            <w:shd w:val="clear" w:color="auto" w:fill="D9D9D9"/>
            <w:vAlign w:val="center"/>
            <w:hideMark/>
          </w:tcPr>
          <w:p w:rsidR="00B13285" w:rsidRPr="00E3331A" w:rsidRDefault="00B13285" w:rsidP="00B13285">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$8,210.9</w:t>
            </w:r>
          </w:p>
        </w:tc>
        <w:tc>
          <w:tcPr>
            <w:tcW w:w="1511" w:type="pct"/>
            <w:tcBorders>
              <w:top w:val="nil"/>
              <w:left w:val="nil"/>
              <w:bottom w:val="single" w:sz="4" w:space="0" w:color="auto"/>
              <w:right w:val="single" w:sz="4" w:space="0" w:color="auto"/>
            </w:tcBorders>
            <w:shd w:val="clear" w:color="auto" w:fill="D9D9D9"/>
            <w:vAlign w:val="center"/>
            <w:hideMark/>
          </w:tcPr>
          <w:p w:rsidR="00B13285" w:rsidRPr="00E3331A" w:rsidRDefault="00B13285" w:rsidP="00B13285">
            <w:pPr>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r w:rsidR="00304276" w:rsidRPr="00E3331A" w:rsidTr="00985FE6">
        <w:tc>
          <w:tcPr>
            <w:tcW w:w="856" w:type="pct"/>
            <w:tcBorders>
              <w:top w:val="nil"/>
              <w:left w:val="single" w:sz="4" w:space="0" w:color="auto"/>
              <w:bottom w:val="single" w:sz="4" w:space="0" w:color="auto"/>
              <w:right w:val="single" w:sz="4" w:space="0" w:color="auto"/>
            </w:tcBorders>
            <w:shd w:val="clear" w:color="auto" w:fill="D9D9D9"/>
            <w:vAlign w:val="center"/>
            <w:hideMark/>
          </w:tcPr>
          <w:p w:rsidR="00B13285" w:rsidRPr="00E3331A" w:rsidRDefault="00B13285" w:rsidP="00B13285">
            <w:pPr>
              <w:rPr>
                <w:rFonts w:ascii="Arial Narrow" w:hAnsi="Arial Narrow" w:cs="Calibri"/>
                <w:b/>
                <w:bCs/>
                <w:color w:val="000000"/>
                <w:sz w:val="20"/>
                <w:szCs w:val="20"/>
              </w:rPr>
            </w:pPr>
            <w:r w:rsidRPr="00E3331A">
              <w:rPr>
                <w:rFonts w:ascii="Arial Narrow" w:hAnsi="Arial Narrow" w:cs="Calibri"/>
                <w:b/>
                <w:bCs/>
                <w:color w:val="000000"/>
                <w:sz w:val="20"/>
                <w:szCs w:val="20"/>
              </w:rPr>
              <w:t>Weekly equivalent</w:t>
            </w:r>
          </w:p>
        </w:tc>
        <w:tc>
          <w:tcPr>
            <w:tcW w:w="506" w:type="pct"/>
            <w:tcBorders>
              <w:top w:val="nil"/>
              <w:left w:val="nil"/>
              <w:bottom w:val="single" w:sz="4" w:space="0" w:color="auto"/>
              <w:right w:val="single" w:sz="4" w:space="0" w:color="auto"/>
            </w:tcBorders>
            <w:shd w:val="clear" w:color="auto" w:fill="D9D9D9"/>
            <w:vAlign w:val="center"/>
            <w:hideMark/>
          </w:tcPr>
          <w:p w:rsidR="00B13285" w:rsidRPr="00E3331A" w:rsidRDefault="00B13285" w:rsidP="00B13285">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06" w:type="pct"/>
            <w:tcBorders>
              <w:top w:val="nil"/>
              <w:left w:val="nil"/>
              <w:bottom w:val="single" w:sz="4" w:space="0" w:color="auto"/>
              <w:right w:val="single" w:sz="4" w:space="0" w:color="auto"/>
            </w:tcBorders>
            <w:shd w:val="clear" w:color="auto" w:fill="D9D9D9"/>
            <w:vAlign w:val="center"/>
            <w:hideMark/>
          </w:tcPr>
          <w:p w:rsidR="00B13285" w:rsidRPr="00E3331A" w:rsidRDefault="00B13285" w:rsidP="00B13285">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06" w:type="pct"/>
            <w:tcBorders>
              <w:top w:val="nil"/>
              <w:left w:val="nil"/>
              <w:bottom w:val="single" w:sz="4" w:space="0" w:color="auto"/>
              <w:right w:val="single" w:sz="4" w:space="0" w:color="auto"/>
            </w:tcBorders>
            <w:shd w:val="clear" w:color="auto" w:fill="D9D9D9"/>
            <w:vAlign w:val="center"/>
            <w:hideMark/>
          </w:tcPr>
          <w:p w:rsidR="00B13285" w:rsidRPr="00E3331A" w:rsidRDefault="00B13285" w:rsidP="00B13285">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85" w:type="pct"/>
            <w:tcBorders>
              <w:top w:val="nil"/>
              <w:left w:val="nil"/>
              <w:bottom w:val="single" w:sz="4" w:space="0" w:color="auto"/>
              <w:right w:val="single" w:sz="4" w:space="0" w:color="auto"/>
            </w:tcBorders>
            <w:shd w:val="clear" w:color="auto" w:fill="D9D9D9"/>
            <w:vAlign w:val="center"/>
            <w:hideMark/>
          </w:tcPr>
          <w:p w:rsidR="00B13285" w:rsidRPr="00E3331A" w:rsidRDefault="00B13285" w:rsidP="00B13285">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31" w:type="pct"/>
            <w:tcBorders>
              <w:top w:val="nil"/>
              <w:left w:val="nil"/>
              <w:bottom w:val="single" w:sz="4" w:space="0" w:color="auto"/>
              <w:right w:val="single" w:sz="4" w:space="0" w:color="auto"/>
            </w:tcBorders>
            <w:shd w:val="clear" w:color="auto" w:fill="D9D9D9"/>
            <w:vAlign w:val="center"/>
            <w:hideMark/>
          </w:tcPr>
          <w:p w:rsidR="00B13285" w:rsidRPr="00E3331A" w:rsidRDefault="00B13285" w:rsidP="00B13285">
            <w:pPr>
              <w:jc w:val="center"/>
              <w:rPr>
                <w:rFonts w:ascii="Arial Narrow" w:hAnsi="Arial Narrow" w:cs="Calibri"/>
                <w:b/>
                <w:bCs/>
                <w:color w:val="000000"/>
                <w:sz w:val="20"/>
                <w:szCs w:val="20"/>
              </w:rPr>
            </w:pPr>
            <w:r w:rsidRPr="00E3331A">
              <w:rPr>
                <w:rFonts w:ascii="Arial Narrow" w:hAnsi="Arial Narrow" w:cs="Calibri"/>
                <w:b/>
                <w:bCs/>
                <w:color w:val="000000"/>
                <w:sz w:val="20"/>
                <w:szCs w:val="20"/>
              </w:rPr>
              <w:t>$157.9</w:t>
            </w:r>
          </w:p>
        </w:tc>
        <w:tc>
          <w:tcPr>
            <w:tcW w:w="1511" w:type="pct"/>
            <w:tcBorders>
              <w:top w:val="nil"/>
              <w:left w:val="nil"/>
              <w:bottom w:val="single" w:sz="4" w:space="0" w:color="auto"/>
              <w:right w:val="single" w:sz="4" w:space="0" w:color="auto"/>
            </w:tcBorders>
            <w:shd w:val="clear" w:color="auto" w:fill="D9D9D9"/>
            <w:vAlign w:val="center"/>
            <w:hideMark/>
          </w:tcPr>
          <w:p w:rsidR="00B13285" w:rsidRPr="00E3331A" w:rsidRDefault="00B13285" w:rsidP="00B13285">
            <w:pPr>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bl>
    <w:p w:rsidR="001F5B33" w:rsidRPr="00E3331A" w:rsidRDefault="001F5B33" w:rsidP="001F5B33">
      <w:pPr>
        <w:pStyle w:val="ColorfulList-Accent11"/>
      </w:pPr>
    </w:p>
    <w:p w:rsidR="00C83D20" w:rsidRPr="00E3331A" w:rsidRDefault="00654CAA">
      <w:pPr>
        <w:pStyle w:val="BodyTextSTD"/>
        <w:numPr>
          <w:ilvl w:val="0"/>
          <w:numId w:val="43"/>
        </w:numPr>
      </w:pPr>
      <w:r w:rsidRPr="00E3331A">
        <w:t xml:space="preserve">Patients who do not respond to steroids and </w:t>
      </w:r>
      <w:r w:rsidR="002B786E" w:rsidRPr="002B786E">
        <w:t>immunosuppressants</w:t>
      </w:r>
      <w:r w:rsidR="002B786E" w:rsidRPr="002B786E" w:rsidDel="002B786E">
        <w:t xml:space="preserve"> </w:t>
      </w:r>
      <w:r w:rsidRPr="00E3331A">
        <w:t>have the potential to become disable</w:t>
      </w:r>
      <w:r w:rsidR="00FB0D35" w:rsidRPr="00E3331A">
        <w:t>d</w:t>
      </w:r>
      <w:r w:rsidRPr="00E3331A">
        <w:t xml:space="preserve">. This potential was modelled in the Thai study of Bamrungsawad </w:t>
      </w:r>
      <w:r w:rsidR="00983BA7">
        <w:t xml:space="preserve">et al. </w:t>
      </w:r>
      <w:r w:rsidR="00664B73">
        <w:t>(</w:t>
      </w:r>
      <w:r w:rsidRPr="00E3331A">
        <w:t>2016</w:t>
      </w:r>
      <w:r w:rsidR="00664B73">
        <w:t>)</w:t>
      </w:r>
      <w:r w:rsidR="00FB0D35" w:rsidRPr="00E3331A">
        <w:t>, which</w:t>
      </w:r>
      <w:r w:rsidRPr="00E3331A">
        <w:t xml:space="preserve"> included a probability of 0.098 </w:t>
      </w:r>
      <w:r w:rsidR="00EB3EED" w:rsidRPr="00E3331A">
        <w:t xml:space="preserve">for </w:t>
      </w:r>
      <w:r w:rsidR="00820286" w:rsidRPr="00E3331A">
        <w:t>disability</w:t>
      </w:r>
      <w:r w:rsidR="00EB3EED" w:rsidRPr="00E3331A">
        <w:t xml:space="preserve"> among non-responsive patients </w:t>
      </w:r>
      <w:r w:rsidRPr="00E3331A">
        <w:t>and costs of care in the hospital and at home. A utility of -0.178 was included for disable</w:t>
      </w:r>
      <w:r w:rsidR="00FB0D35" w:rsidRPr="00E3331A">
        <w:t>d</w:t>
      </w:r>
      <w:r w:rsidRPr="00E3331A">
        <w:t xml:space="preserve"> patients, however, the survey was based on </w:t>
      </w:r>
      <w:r w:rsidR="00FB0D35" w:rsidRPr="00E3331A">
        <w:t xml:space="preserve">four </w:t>
      </w:r>
      <w:r w:rsidRPr="00E3331A">
        <w:t xml:space="preserve">patients. </w:t>
      </w:r>
      <w:r w:rsidR="00C83D20" w:rsidRPr="00E3331A">
        <w:t xml:space="preserve">The 10-year extrapolated analysis includes the progression of resistant and contraindicated steroid patients to disability. The disutility included in the analysis is based on a survey of MS patients in Australia. The </w:t>
      </w:r>
      <w:r w:rsidR="00820286" w:rsidRPr="00E3331A">
        <w:t>disutility</w:t>
      </w:r>
      <w:r w:rsidR="00C83D20" w:rsidRPr="00E3331A">
        <w:t xml:space="preserve"> is far less </w:t>
      </w:r>
      <w:r w:rsidR="00820286" w:rsidRPr="00E3331A">
        <w:t>than</w:t>
      </w:r>
      <w:r w:rsidR="00C83D20" w:rsidRPr="00E3331A">
        <w:t xml:space="preserve"> that of Bamrungsawad </w:t>
      </w:r>
      <w:r w:rsidR="00983BA7">
        <w:t xml:space="preserve">et al. </w:t>
      </w:r>
      <w:r w:rsidR="00664B73">
        <w:t>(</w:t>
      </w:r>
      <w:r w:rsidR="00C83D20" w:rsidRPr="00E3331A">
        <w:t>2016</w:t>
      </w:r>
      <w:r w:rsidR="00664B73">
        <w:t>)</w:t>
      </w:r>
      <w:r w:rsidR="00C83D20" w:rsidRPr="00E3331A">
        <w:t xml:space="preserve">, and the estimated ICER is higher. </w:t>
      </w:r>
    </w:p>
    <w:p w:rsidR="00077DDA" w:rsidRPr="00E3331A" w:rsidRDefault="00654CAA">
      <w:pPr>
        <w:pStyle w:val="BodyTextSTD"/>
        <w:numPr>
          <w:ilvl w:val="0"/>
          <w:numId w:val="43"/>
        </w:numPr>
      </w:pPr>
      <w:r w:rsidRPr="00E3331A">
        <w:t xml:space="preserve">A sensitivity analysis was included in </w:t>
      </w:r>
      <w:r w:rsidR="006F35B9" w:rsidRPr="00E3331A">
        <w:t xml:space="preserve">Table </w:t>
      </w:r>
      <w:r w:rsidR="006F35B9">
        <w:rPr>
          <w:noProof/>
        </w:rPr>
        <w:t>82</w:t>
      </w:r>
      <w:r w:rsidR="00EB3EED" w:rsidRPr="00E3331A">
        <w:t xml:space="preserve"> </w:t>
      </w:r>
      <w:r w:rsidRPr="00E3331A">
        <w:t>using d</w:t>
      </w:r>
      <w:r w:rsidR="00077DDA" w:rsidRPr="00E3331A">
        <w:t xml:space="preserve">isabling stroke utility of 0.39 </w:t>
      </w:r>
      <w:r w:rsidRPr="00E3331A">
        <w:t>from</w:t>
      </w:r>
      <w:r w:rsidR="00077DDA" w:rsidRPr="00E3331A">
        <w:t xml:space="preserve"> studies such as Wu et al. (2014) and Shah and Gage (2011)</w:t>
      </w:r>
      <w:r w:rsidR="008567D1" w:rsidRPr="00E3331A">
        <w:t xml:space="preserve"> as a proxy for disabled CIDP quality of life</w:t>
      </w:r>
      <w:r w:rsidRPr="00E3331A">
        <w:t>.</w:t>
      </w:r>
      <w:r w:rsidR="00077DDA" w:rsidRPr="00E3331A">
        <w:t xml:space="preserve"> This represents a disutility of around -0.46 for a general population utility of 0.85. </w:t>
      </w:r>
      <w:r w:rsidR="00820286" w:rsidRPr="00E3331A">
        <w:t>Inclusion</w:t>
      </w:r>
      <w:r w:rsidR="00C83D20" w:rsidRPr="00E3331A">
        <w:t xml:space="preserve"> of this </w:t>
      </w:r>
      <w:r w:rsidR="00820286" w:rsidRPr="00E3331A">
        <w:t>disutility</w:t>
      </w:r>
      <w:r w:rsidR="00C83D20" w:rsidRPr="00E3331A">
        <w:t xml:space="preserve"> has a large impact on the estimated ICER. It decreases to $164,777 per QALY gained.</w:t>
      </w:r>
    </w:p>
    <w:p w:rsidR="001F5B33" w:rsidRPr="00E3331A" w:rsidRDefault="001F5B33">
      <w:pPr>
        <w:pStyle w:val="BodyTextSTD"/>
        <w:numPr>
          <w:ilvl w:val="0"/>
          <w:numId w:val="43"/>
        </w:numPr>
      </w:pPr>
      <w:r w:rsidRPr="00E3331A">
        <w:t>Transition probabilities are varied for Ig response, steroid response and steroid-related AEs. The odds ratios associated with each of the AE</w:t>
      </w:r>
      <w:r w:rsidR="004C6981" w:rsidRPr="00E3331A">
        <w:t>s</w:t>
      </w:r>
      <w:r w:rsidRPr="00E3331A">
        <w:t xml:space="preserve"> are also varied. As only limited numbers of patients are estimated to transition to </w:t>
      </w:r>
      <w:r w:rsidR="00C83D20" w:rsidRPr="00E3331A">
        <w:t xml:space="preserve">steroid-related </w:t>
      </w:r>
      <w:r w:rsidRPr="00E3331A">
        <w:t>AEs, variation in these odds ratios has limited impact on economic results.</w:t>
      </w:r>
      <w:r w:rsidR="005648C3" w:rsidRPr="00E3331A">
        <w:t xml:space="preserve"> </w:t>
      </w:r>
      <w:r w:rsidR="00C83D20" w:rsidRPr="00E3331A">
        <w:t xml:space="preserve">Steroid adverse event rates are also taken from the </w:t>
      </w:r>
      <w:r w:rsidR="005648C3" w:rsidRPr="00E3331A">
        <w:t xml:space="preserve">Wilson </w:t>
      </w:r>
      <w:r w:rsidR="00983BA7">
        <w:t xml:space="preserve">et al. </w:t>
      </w:r>
      <w:r w:rsidR="00921756" w:rsidRPr="00E3331A">
        <w:t xml:space="preserve">(2007) </w:t>
      </w:r>
      <w:r w:rsidR="00C83D20" w:rsidRPr="00E3331A">
        <w:t xml:space="preserve">study. Inclusion of these annual rates of 0.42%, 0.41%, 1.14%, 0.50%, and 1.20% for </w:t>
      </w:r>
      <w:r w:rsidR="00C83D20" w:rsidRPr="00E3331A">
        <w:lastRenderedPageBreak/>
        <w:t>fracture, diabetes, cataract, glaucoma and infection probability has limited impact on the estimated ICER.</w:t>
      </w:r>
    </w:p>
    <w:p w:rsidR="001F5B33" w:rsidRPr="00E3331A" w:rsidRDefault="001F5B33" w:rsidP="00464E0A">
      <w:pPr>
        <w:pStyle w:val="BodyTextSTD"/>
        <w:numPr>
          <w:ilvl w:val="0"/>
          <w:numId w:val="43"/>
        </w:numPr>
      </w:pPr>
      <w:r w:rsidRPr="00E3331A">
        <w:t>Utilities are specified for Ig responders, steroids and steroid</w:t>
      </w:r>
      <w:r w:rsidR="00417823">
        <w:t xml:space="preserve"> </w:t>
      </w:r>
      <w:r w:rsidRPr="00E3331A">
        <w:t>AE patients.</w:t>
      </w:r>
      <w:r w:rsidR="00345C95" w:rsidRPr="00E3331A">
        <w:t xml:space="preserve"> </w:t>
      </w:r>
      <w:r w:rsidRPr="00E3331A">
        <w:t>There is uncertainty around these estimates as they are derived from trials with limited follow-up and small patient numbers.</w:t>
      </w:r>
      <w:r w:rsidR="00345C95" w:rsidRPr="00E3331A">
        <w:t xml:space="preserve"> </w:t>
      </w:r>
      <w:r w:rsidRPr="00E3331A">
        <w:t xml:space="preserve">The difference between steroids and Ig of 0.12 was taken from Hughes </w:t>
      </w:r>
      <w:r w:rsidR="00983BA7">
        <w:t xml:space="preserve">et al. </w:t>
      </w:r>
      <w:r w:rsidRPr="00E3331A">
        <w:t>(2001) which followed</w:t>
      </w:r>
      <w:r w:rsidR="004C6981" w:rsidRPr="00E3331A">
        <w:t>-</w:t>
      </w:r>
      <w:r w:rsidRPr="00E3331A">
        <w:t xml:space="preserve">up patients for </w:t>
      </w:r>
      <w:r w:rsidR="004C6981" w:rsidRPr="00E3331A">
        <w:t xml:space="preserve">six </w:t>
      </w:r>
      <w:r w:rsidRPr="00E3331A">
        <w:t>weeks. More recent studies</w:t>
      </w:r>
      <w:r w:rsidR="004C6981" w:rsidRPr="00E3331A">
        <w:t>,</w:t>
      </w:r>
      <w:r w:rsidRPr="00E3331A">
        <w:t xml:space="preserve"> such as that by </w:t>
      </w:r>
      <w:r w:rsidR="0049684F" w:rsidRPr="00E3331A">
        <w:t>Nobile-Orazio</w:t>
      </w:r>
      <w:r w:rsidR="0049684F" w:rsidRPr="00E3331A" w:rsidDel="0049684F">
        <w:t xml:space="preserve"> </w:t>
      </w:r>
      <w:r w:rsidRPr="00E3331A">
        <w:t>and colleagues</w:t>
      </w:r>
      <w:r w:rsidR="00654C90" w:rsidRPr="00E3331A">
        <w:t>,</w:t>
      </w:r>
      <w:r w:rsidRPr="00E3331A">
        <w:t xml:space="preserve"> found no difference in SF-36 gain between steroid and Ig patients. This study is confounded by intention</w:t>
      </w:r>
      <w:r w:rsidR="00D45BCF" w:rsidRPr="00E3331A">
        <w:t>-</w:t>
      </w:r>
      <w:r w:rsidRPr="00E3331A">
        <w:t>to</w:t>
      </w:r>
      <w:r w:rsidR="00D45BCF" w:rsidRPr="00E3331A">
        <w:t>-</w:t>
      </w:r>
      <w:r w:rsidRPr="00E3331A">
        <w:t xml:space="preserve">treat analysis, with high non-response on the steroid arm. A sensitivity analysis is included where utility values are changed by 10%. It is evident the ICER varies considerably with changes in utility assumptions. </w:t>
      </w:r>
    </w:p>
    <w:p w:rsidR="001F5B33" w:rsidRPr="00E3331A" w:rsidRDefault="001F5B33" w:rsidP="00464E0A">
      <w:pPr>
        <w:pStyle w:val="BodyTextSTD"/>
        <w:numPr>
          <w:ilvl w:val="0"/>
          <w:numId w:val="43"/>
        </w:numPr>
      </w:pPr>
      <w:r w:rsidRPr="00E3331A">
        <w:t>The economic model is based on assumptions derived from Ig vers</w:t>
      </w:r>
      <w:r w:rsidR="00654C90" w:rsidRPr="00E3331A">
        <w:t>us</w:t>
      </w:r>
      <w:r w:rsidRPr="00E3331A">
        <w:t xml:space="preserve"> steroid comparison trials that included steroid</w:t>
      </w:r>
      <w:r w:rsidR="00654C90" w:rsidRPr="00E3331A">
        <w:t>-</w:t>
      </w:r>
      <w:r w:rsidRPr="00E3331A">
        <w:t xml:space="preserve">resistant and </w:t>
      </w:r>
      <w:r w:rsidR="00654C90" w:rsidRPr="00E3331A">
        <w:t>-</w:t>
      </w:r>
      <w:r w:rsidRPr="00E3331A">
        <w:t>responsive patients. The cost-effectiveness of Ig in these mixed patient groups is likely to be less than if Ig was used in steroid</w:t>
      </w:r>
      <w:r w:rsidR="00654C90" w:rsidRPr="00E3331A">
        <w:t>-</w:t>
      </w:r>
      <w:r w:rsidRPr="00E3331A">
        <w:t xml:space="preserve">resistant patents alone. </w:t>
      </w:r>
      <w:r w:rsidR="00C83D20" w:rsidRPr="00E3331A">
        <w:t xml:space="preserve">For steroid </w:t>
      </w:r>
      <w:r w:rsidR="00820286" w:rsidRPr="00E3331A">
        <w:t>resistant</w:t>
      </w:r>
      <w:r w:rsidR="00C83D20" w:rsidRPr="00E3331A">
        <w:t xml:space="preserve"> patients alone</w:t>
      </w:r>
      <w:r w:rsidR="00045F1B">
        <w:rPr>
          <w:rStyle w:val="FootnoteReference"/>
        </w:rPr>
        <w:footnoteReference w:id="32"/>
      </w:r>
      <w:r w:rsidR="00C83D20" w:rsidRPr="00E3331A">
        <w:t>, an ICER of $125,260 per QALY gained is estimated.</w:t>
      </w:r>
      <w:r w:rsidRPr="00E3331A">
        <w:t xml:space="preserve"> </w:t>
      </w:r>
    </w:p>
    <w:p w:rsidR="001F5B33" w:rsidRPr="00E3331A" w:rsidRDefault="001F5B33" w:rsidP="00906C5E">
      <w:pPr>
        <w:pStyle w:val="BodyTextSTD"/>
      </w:pPr>
      <w:r w:rsidRPr="00E3331A">
        <w:t xml:space="preserve">Key results from the sensitivity analysis are summarised in </w:t>
      </w:r>
      <w:r w:rsidR="006F35B9" w:rsidRPr="00E3331A">
        <w:t xml:space="preserve">Table </w:t>
      </w:r>
      <w:r w:rsidR="006F35B9">
        <w:rPr>
          <w:noProof/>
        </w:rPr>
        <w:t>85</w:t>
      </w:r>
      <w:r w:rsidRPr="00E3331A">
        <w:t xml:space="preserve">. </w:t>
      </w:r>
    </w:p>
    <w:p w:rsidR="001F5B33" w:rsidRPr="00E3331A" w:rsidRDefault="001F5B33" w:rsidP="001F5B33">
      <w:pPr>
        <w:pStyle w:val="Caption"/>
        <w:tabs>
          <w:tab w:val="left" w:pos="1134"/>
        </w:tabs>
        <w:ind w:left="1134" w:hanging="1134"/>
        <w:rPr>
          <w:rFonts w:cs="Arial"/>
          <w:snapToGrid w:val="0"/>
          <w:szCs w:val="16"/>
          <w:lang w:eastAsia="en-US"/>
        </w:rPr>
      </w:pPr>
      <w:bookmarkStart w:id="488" w:name="_Ref520569212"/>
      <w:bookmarkStart w:id="489" w:name="_Toc24103391"/>
      <w:r w:rsidRPr="00E3331A">
        <w:t xml:space="preserve">Table </w:t>
      </w:r>
      <w:r w:rsidR="006F35B9">
        <w:rPr>
          <w:noProof/>
        </w:rPr>
        <w:t>85</w:t>
      </w:r>
      <w:bookmarkEnd w:id="488"/>
      <w:r w:rsidR="00654C90" w:rsidRPr="00E3331A">
        <w:tab/>
      </w:r>
      <w:r w:rsidRPr="00E3331A">
        <w:rPr>
          <w:rFonts w:cs="Arial"/>
          <w:snapToGrid w:val="0"/>
          <w:szCs w:val="16"/>
          <w:lang w:eastAsia="en-US"/>
        </w:rPr>
        <w:t>Key drivers of the economic model</w:t>
      </w:r>
      <w:bookmarkEnd w:id="4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2"/>
        <w:gridCol w:w="3118"/>
        <w:gridCol w:w="3776"/>
      </w:tblGrid>
      <w:tr w:rsidR="00193E84" w:rsidRPr="00E3331A" w:rsidTr="00AE1B75">
        <w:trPr>
          <w:tblHeader/>
        </w:trPr>
        <w:tc>
          <w:tcPr>
            <w:tcW w:w="1177" w:type="pct"/>
            <w:shd w:val="clear" w:color="auto" w:fill="D9D9D9"/>
            <w:vAlign w:val="center"/>
          </w:tcPr>
          <w:p w:rsidR="00193E84" w:rsidRPr="00E3331A" w:rsidRDefault="00193E84" w:rsidP="00AE1B75">
            <w:pPr>
              <w:pStyle w:val="TableHeading"/>
              <w:rPr>
                <w:snapToGrid w:val="0"/>
                <w:lang w:eastAsia="en-US"/>
              </w:rPr>
            </w:pPr>
            <w:r w:rsidRPr="00E3331A">
              <w:rPr>
                <w:snapToGrid w:val="0"/>
                <w:lang w:eastAsia="en-US"/>
              </w:rPr>
              <w:t>Description</w:t>
            </w:r>
          </w:p>
        </w:tc>
        <w:tc>
          <w:tcPr>
            <w:tcW w:w="1729" w:type="pct"/>
            <w:shd w:val="clear" w:color="auto" w:fill="D9D9D9"/>
            <w:vAlign w:val="center"/>
          </w:tcPr>
          <w:p w:rsidR="00193E84" w:rsidRPr="00E3331A" w:rsidRDefault="00193E84" w:rsidP="00AE1B75">
            <w:pPr>
              <w:pStyle w:val="TableHeading"/>
              <w:rPr>
                <w:snapToGrid w:val="0"/>
                <w:lang w:eastAsia="en-US"/>
              </w:rPr>
            </w:pPr>
            <w:r w:rsidRPr="00E3331A">
              <w:rPr>
                <w:snapToGrid w:val="0"/>
                <w:lang w:eastAsia="en-US"/>
              </w:rPr>
              <w:t>Method/Value</w:t>
            </w:r>
          </w:p>
        </w:tc>
        <w:tc>
          <w:tcPr>
            <w:tcW w:w="2094" w:type="pct"/>
            <w:shd w:val="clear" w:color="auto" w:fill="D9D9D9"/>
            <w:vAlign w:val="center"/>
          </w:tcPr>
          <w:p w:rsidR="00193E84" w:rsidRPr="00E3331A" w:rsidRDefault="00193E84" w:rsidP="00AE1B75">
            <w:pPr>
              <w:pStyle w:val="TableHeading"/>
              <w:rPr>
                <w:snapToGrid w:val="0"/>
                <w:lang w:eastAsia="en-US"/>
              </w:rPr>
            </w:pPr>
            <w:r w:rsidRPr="00E3331A">
              <w:rPr>
                <w:snapToGrid w:val="0"/>
                <w:lang w:eastAsia="en-US"/>
              </w:rPr>
              <w:t>Impact</w:t>
            </w:r>
          </w:p>
        </w:tc>
      </w:tr>
      <w:tr w:rsidR="00193E84" w:rsidRPr="00E3331A" w:rsidTr="00AE1B75">
        <w:tc>
          <w:tcPr>
            <w:tcW w:w="1177" w:type="pct"/>
            <w:shd w:val="clear" w:color="auto" w:fill="auto"/>
            <w:vAlign w:val="center"/>
          </w:tcPr>
          <w:p w:rsidR="00193E84" w:rsidRPr="00E3331A" w:rsidRDefault="00193E84" w:rsidP="00AE1B75">
            <w:pPr>
              <w:pStyle w:val="Tabletext1"/>
              <w:rPr>
                <w:snapToGrid w:val="0"/>
                <w:lang w:eastAsia="en-US"/>
              </w:rPr>
            </w:pPr>
            <w:r w:rsidRPr="00E3331A">
              <w:rPr>
                <w:snapToGrid w:val="0"/>
                <w:lang w:eastAsia="en-US"/>
              </w:rPr>
              <w:t>Utilities for Ig responders and steroids</w:t>
            </w:r>
          </w:p>
        </w:tc>
        <w:tc>
          <w:tcPr>
            <w:tcW w:w="1729" w:type="pct"/>
            <w:shd w:val="clear" w:color="auto" w:fill="auto"/>
            <w:vAlign w:val="center"/>
          </w:tcPr>
          <w:p w:rsidR="00193E84" w:rsidRPr="00E3331A" w:rsidRDefault="00193E84" w:rsidP="00AE1B75">
            <w:pPr>
              <w:pStyle w:val="Tabletext1"/>
              <w:rPr>
                <w:snapToGrid w:val="0"/>
                <w:lang w:eastAsia="en-US"/>
              </w:rPr>
            </w:pPr>
            <w:r w:rsidRPr="00E3331A">
              <w:rPr>
                <w:snapToGrid w:val="0"/>
                <w:lang w:eastAsia="en-US"/>
              </w:rPr>
              <w:t xml:space="preserve">The utility gain of 0.12 employed in Blackhouse </w:t>
            </w:r>
            <w:r w:rsidR="00983BA7">
              <w:rPr>
                <w:snapToGrid w:val="0"/>
                <w:lang w:eastAsia="en-US"/>
              </w:rPr>
              <w:t xml:space="preserve">et al. </w:t>
            </w:r>
            <w:r w:rsidRPr="00E3331A">
              <w:rPr>
                <w:snapToGrid w:val="0"/>
                <w:lang w:eastAsia="en-US"/>
              </w:rPr>
              <w:t xml:space="preserve">(2010) was used to estimate the difference between Ig and steroids. It was based on the small study by McCrone </w:t>
            </w:r>
            <w:r w:rsidR="00983BA7">
              <w:rPr>
                <w:snapToGrid w:val="0"/>
                <w:lang w:eastAsia="en-US"/>
              </w:rPr>
              <w:t xml:space="preserve">et al. </w:t>
            </w:r>
            <w:r w:rsidRPr="00E3331A">
              <w:rPr>
                <w:snapToGrid w:val="0"/>
                <w:lang w:eastAsia="en-US"/>
              </w:rPr>
              <w:t xml:space="preserve">(2003). A more recent study by Nobile-Orazio found no utility gain, however there were high drop-outs in study arms, which confound generalisability of results. </w:t>
            </w:r>
          </w:p>
        </w:tc>
        <w:tc>
          <w:tcPr>
            <w:tcW w:w="2094" w:type="pct"/>
            <w:shd w:val="clear" w:color="auto" w:fill="auto"/>
            <w:vAlign w:val="center"/>
          </w:tcPr>
          <w:p w:rsidR="00193E84" w:rsidRPr="00E3331A" w:rsidRDefault="00193E84" w:rsidP="00AE1B75">
            <w:pPr>
              <w:pStyle w:val="Tabletext1"/>
              <w:rPr>
                <w:snapToGrid w:val="0"/>
                <w:lang w:eastAsia="en-US"/>
              </w:rPr>
            </w:pPr>
            <w:r w:rsidRPr="00E3331A">
              <w:rPr>
                <w:snapToGrid w:val="0"/>
                <w:lang w:eastAsia="en-US"/>
              </w:rPr>
              <w:t xml:space="preserve">Large. Decreasing this value has a large impact on estimated ICER. The Reference Group noted that that in McCrone </w:t>
            </w:r>
            <w:r w:rsidR="00983BA7">
              <w:rPr>
                <w:snapToGrid w:val="0"/>
                <w:lang w:eastAsia="en-US"/>
              </w:rPr>
              <w:t xml:space="preserve">et al. </w:t>
            </w:r>
            <w:r w:rsidRPr="00E3331A">
              <w:rPr>
                <w:snapToGrid w:val="0"/>
                <w:lang w:eastAsia="en-US"/>
              </w:rPr>
              <w:t>(2003) health-related quality of life (or the utility difference) was not significantly different for Ig compared to steroids</w:t>
            </w:r>
            <w:r w:rsidRPr="00E3331A">
              <w:rPr>
                <w:rStyle w:val="CommentReference"/>
                <w:snapToGrid w:val="0"/>
                <w:sz w:val="20"/>
                <w:lang w:eastAsia="en-US"/>
              </w:rPr>
              <w:t xml:space="preserve"> </w:t>
            </w:r>
          </w:p>
        </w:tc>
      </w:tr>
      <w:tr w:rsidR="00193E84" w:rsidRPr="00E3331A" w:rsidTr="00AE1B75">
        <w:tc>
          <w:tcPr>
            <w:tcW w:w="1177" w:type="pct"/>
            <w:shd w:val="clear" w:color="auto" w:fill="auto"/>
            <w:vAlign w:val="center"/>
          </w:tcPr>
          <w:p w:rsidR="00193E84" w:rsidRPr="00E3331A" w:rsidRDefault="00193E84" w:rsidP="00AE1B75">
            <w:pPr>
              <w:pStyle w:val="Tabletext1"/>
              <w:rPr>
                <w:snapToGrid w:val="0"/>
                <w:lang w:eastAsia="en-US"/>
              </w:rPr>
            </w:pPr>
            <w:r w:rsidRPr="00E3331A">
              <w:rPr>
                <w:snapToGrid w:val="0"/>
                <w:lang w:eastAsia="en-US"/>
              </w:rPr>
              <w:t>Cost of Ig</w:t>
            </w:r>
          </w:p>
        </w:tc>
        <w:tc>
          <w:tcPr>
            <w:tcW w:w="1729" w:type="pct"/>
            <w:shd w:val="clear" w:color="auto" w:fill="auto"/>
            <w:vAlign w:val="center"/>
          </w:tcPr>
          <w:p w:rsidR="00193E84" w:rsidRPr="00E3331A" w:rsidRDefault="00193E84" w:rsidP="00AE1B75">
            <w:pPr>
              <w:pStyle w:val="Tabletext1"/>
              <w:rPr>
                <w:snapToGrid w:val="0"/>
                <w:lang w:eastAsia="en-US"/>
              </w:rPr>
            </w:pPr>
            <w:r w:rsidRPr="00E3331A">
              <w:rPr>
                <w:snapToGrid w:val="0"/>
                <w:lang w:eastAsia="en-US"/>
              </w:rPr>
              <w:t xml:space="preserve">The cost of Ig accounts for more than 80% of intervention costs. Correspondingly, variation in this cost has a large impact on the estimated ICER. </w:t>
            </w:r>
          </w:p>
        </w:tc>
        <w:tc>
          <w:tcPr>
            <w:tcW w:w="2094" w:type="pct"/>
            <w:shd w:val="clear" w:color="auto" w:fill="auto"/>
            <w:vAlign w:val="center"/>
          </w:tcPr>
          <w:p w:rsidR="00193E84" w:rsidRPr="00E3331A" w:rsidRDefault="00193E84" w:rsidP="00AE1B75">
            <w:pPr>
              <w:pStyle w:val="Tabletext1"/>
              <w:rPr>
                <w:snapToGrid w:val="0"/>
                <w:lang w:eastAsia="en-US"/>
              </w:rPr>
            </w:pPr>
            <w:r w:rsidRPr="00E3331A">
              <w:rPr>
                <w:snapToGrid w:val="0"/>
                <w:lang w:eastAsia="en-US"/>
              </w:rPr>
              <w:t>Large. Lower Ig price reduces the ICER. Sensitivity analyses are undertaken using high and low Ig costs of $140.18 and $44.94 per gram. The 10-year ICER varies between $445,370 and $149,397</w:t>
            </w:r>
          </w:p>
        </w:tc>
      </w:tr>
      <w:tr w:rsidR="00193E84" w:rsidRPr="00E3331A" w:rsidTr="00AE1B75">
        <w:tc>
          <w:tcPr>
            <w:tcW w:w="1177" w:type="pct"/>
            <w:shd w:val="clear" w:color="auto" w:fill="auto"/>
            <w:vAlign w:val="center"/>
          </w:tcPr>
          <w:p w:rsidR="00193E84" w:rsidRPr="00E3331A" w:rsidRDefault="00193E84" w:rsidP="00AE1B75">
            <w:pPr>
              <w:pStyle w:val="Tabletext1"/>
              <w:rPr>
                <w:snapToGrid w:val="0"/>
                <w:lang w:eastAsia="en-US"/>
              </w:rPr>
            </w:pPr>
            <w:r w:rsidRPr="00E3331A">
              <w:rPr>
                <w:snapToGrid w:val="0"/>
                <w:lang w:eastAsia="en-US"/>
              </w:rPr>
              <w:t>Ig dosing</w:t>
            </w:r>
          </w:p>
        </w:tc>
        <w:tc>
          <w:tcPr>
            <w:tcW w:w="1729" w:type="pct"/>
            <w:shd w:val="clear" w:color="auto" w:fill="auto"/>
            <w:vAlign w:val="center"/>
          </w:tcPr>
          <w:p w:rsidR="00193E84" w:rsidRPr="00E3331A" w:rsidRDefault="00193E84" w:rsidP="00AE1B75">
            <w:pPr>
              <w:pStyle w:val="Tabletext1"/>
              <w:rPr>
                <w:snapToGrid w:val="0"/>
                <w:lang w:eastAsia="en-US"/>
              </w:rPr>
            </w:pPr>
            <w:r w:rsidRPr="00E3331A">
              <w:rPr>
                <w:snapToGrid w:val="0"/>
                <w:lang w:eastAsia="en-US"/>
              </w:rPr>
              <w:t xml:space="preserve">Induction and maintenance dosing frequencies and grams per dose have a large impact on the estimated ICER. The grams of Ig included in this study of 497 g are less than that of Blackhouse </w:t>
            </w:r>
            <w:r w:rsidR="00983BA7">
              <w:rPr>
                <w:snapToGrid w:val="0"/>
                <w:lang w:eastAsia="en-US"/>
              </w:rPr>
              <w:t xml:space="preserve">et al. </w:t>
            </w:r>
            <w:r w:rsidRPr="00E3331A">
              <w:rPr>
                <w:snapToGrid w:val="0"/>
                <w:lang w:eastAsia="en-US"/>
              </w:rPr>
              <w:t xml:space="preserve">(2010). </w:t>
            </w:r>
          </w:p>
        </w:tc>
        <w:tc>
          <w:tcPr>
            <w:tcW w:w="2094" w:type="pct"/>
            <w:shd w:val="clear" w:color="auto" w:fill="auto"/>
            <w:vAlign w:val="center"/>
          </w:tcPr>
          <w:p w:rsidR="00193E84" w:rsidRPr="00E3331A" w:rsidRDefault="00193E84" w:rsidP="00AE1B75">
            <w:pPr>
              <w:pStyle w:val="Tabletext1"/>
              <w:rPr>
                <w:snapToGrid w:val="0"/>
                <w:lang w:eastAsia="en-US"/>
              </w:rPr>
            </w:pPr>
            <w:r w:rsidRPr="00E3331A">
              <w:rPr>
                <w:snapToGrid w:val="0"/>
                <w:lang w:eastAsia="en-US"/>
              </w:rPr>
              <w:t xml:space="preserve">Large. The estimated ICER of $197,472 per QALY in this analysis is far less than Blackhouse </w:t>
            </w:r>
            <w:r w:rsidR="00983BA7">
              <w:rPr>
                <w:snapToGrid w:val="0"/>
                <w:lang w:eastAsia="en-US"/>
              </w:rPr>
              <w:t xml:space="preserve">et al. </w:t>
            </w:r>
            <w:r w:rsidRPr="00E3331A">
              <w:rPr>
                <w:snapToGrid w:val="0"/>
                <w:lang w:eastAsia="en-US"/>
              </w:rPr>
              <w:t>(2010) of $Canadian 670,396</w:t>
            </w:r>
            <w:r w:rsidRPr="00E3331A" w:rsidDel="00D62760">
              <w:rPr>
                <w:snapToGrid w:val="0"/>
                <w:lang w:eastAsia="en-US"/>
              </w:rPr>
              <w:t xml:space="preserve"> </w:t>
            </w:r>
            <w:r w:rsidRPr="00E3331A">
              <w:rPr>
                <w:snapToGrid w:val="0"/>
                <w:lang w:eastAsia="en-US"/>
              </w:rPr>
              <w:t>per QALY ($Australian 732,344 at current exchange rate of 1.09) gained due to lower Ig use. Australian average Ig use of 497g per patient per year versus initial treatment provided as two 1g/kg doses and maintenance treatment as a single 1g/kg dose every three weeks in the Canadian study.</w:t>
            </w:r>
          </w:p>
        </w:tc>
      </w:tr>
      <w:tr w:rsidR="00193E84" w:rsidRPr="00E3331A" w:rsidTr="00AE1B75">
        <w:tc>
          <w:tcPr>
            <w:tcW w:w="1177" w:type="pct"/>
            <w:shd w:val="clear" w:color="auto" w:fill="auto"/>
            <w:vAlign w:val="center"/>
          </w:tcPr>
          <w:p w:rsidR="00193E84" w:rsidRPr="00E3331A" w:rsidRDefault="00193E84" w:rsidP="00AE1B75">
            <w:pPr>
              <w:pStyle w:val="Tabletext1"/>
              <w:rPr>
                <w:snapToGrid w:val="0"/>
                <w:lang w:eastAsia="en-US"/>
              </w:rPr>
            </w:pPr>
            <w:r w:rsidRPr="00E3331A">
              <w:rPr>
                <w:snapToGrid w:val="0"/>
                <w:lang w:eastAsia="en-US"/>
              </w:rPr>
              <w:lastRenderedPageBreak/>
              <w:t>Steroid non-response probability</w:t>
            </w:r>
          </w:p>
        </w:tc>
        <w:tc>
          <w:tcPr>
            <w:tcW w:w="1729" w:type="pct"/>
            <w:shd w:val="clear" w:color="auto" w:fill="auto"/>
            <w:vAlign w:val="center"/>
          </w:tcPr>
          <w:p w:rsidR="00193E84" w:rsidRPr="00E3331A" w:rsidRDefault="00193E84" w:rsidP="00AE1B75">
            <w:pPr>
              <w:pStyle w:val="Tabletext1"/>
              <w:rPr>
                <w:snapToGrid w:val="0"/>
                <w:lang w:eastAsia="en-US"/>
              </w:rPr>
            </w:pPr>
            <w:r w:rsidRPr="00E3331A">
              <w:rPr>
                <w:snapToGrid w:val="0"/>
                <w:lang w:eastAsia="en-US"/>
              </w:rPr>
              <w:t xml:space="preserve">The model is based on assumptions from trials with steroid-resistant and -responsive patients. The Thai economic study (Bamrungsawad </w:t>
            </w:r>
            <w:r w:rsidR="00983BA7">
              <w:rPr>
                <w:snapToGrid w:val="0"/>
                <w:lang w:eastAsia="en-US"/>
              </w:rPr>
              <w:t xml:space="preserve">et al. </w:t>
            </w:r>
            <w:r w:rsidRPr="00E3331A">
              <w:rPr>
                <w:snapToGrid w:val="0"/>
                <w:lang w:eastAsia="en-US"/>
              </w:rPr>
              <w:t>2016) demonstrated that Ig is cost-effective in steroid</w:t>
            </w:r>
            <w:r w:rsidR="00417823">
              <w:rPr>
                <w:snapToGrid w:val="0"/>
                <w:lang w:eastAsia="en-US"/>
              </w:rPr>
              <w:t>-</w:t>
            </w:r>
            <w:r w:rsidRPr="00E3331A">
              <w:rPr>
                <w:snapToGrid w:val="0"/>
                <w:lang w:eastAsia="en-US"/>
              </w:rPr>
              <w:t>resistant populations as patients transition to disability and costs of treatment are higher than steroids alone.</w:t>
            </w:r>
          </w:p>
        </w:tc>
        <w:tc>
          <w:tcPr>
            <w:tcW w:w="2094" w:type="pct"/>
            <w:shd w:val="clear" w:color="auto" w:fill="auto"/>
            <w:vAlign w:val="center"/>
          </w:tcPr>
          <w:p w:rsidR="00193E84" w:rsidRPr="00E3331A" w:rsidRDefault="00193E84" w:rsidP="00AE1B75">
            <w:pPr>
              <w:pStyle w:val="Tabletext1"/>
              <w:rPr>
                <w:snapToGrid w:val="0"/>
                <w:lang w:eastAsia="en-US"/>
              </w:rPr>
            </w:pPr>
            <w:r w:rsidRPr="00E3331A">
              <w:rPr>
                <w:snapToGrid w:val="0"/>
                <w:lang w:eastAsia="en-US"/>
              </w:rPr>
              <w:t>Possibly Large. The ICER for Ig is less in steroid-resistant patients, as disability has a large disutility.</w:t>
            </w:r>
            <w:r w:rsidRPr="00E3331A">
              <w:t xml:space="preserve"> </w:t>
            </w:r>
            <w:r w:rsidRPr="00E3331A">
              <w:rPr>
                <w:snapToGrid w:val="0"/>
                <w:lang w:eastAsia="en-US"/>
              </w:rPr>
              <w:t>For steroid-resistant patients alone, an ICER of $125,260 per QALY gained is estimated</w:t>
            </w:r>
          </w:p>
        </w:tc>
      </w:tr>
    </w:tbl>
    <w:p w:rsidR="00193E84" w:rsidRPr="00E3331A" w:rsidRDefault="00193E84" w:rsidP="00193E84">
      <w:pPr>
        <w:rPr>
          <w:rFonts w:ascii="Arial Narrow" w:hAnsi="Arial Narrow"/>
          <w:sz w:val="18"/>
        </w:rPr>
      </w:pPr>
      <w:r w:rsidRPr="00E3331A">
        <w:rPr>
          <w:rFonts w:ascii="Arial Narrow" w:hAnsi="Arial Narrow"/>
          <w:sz w:val="18"/>
        </w:rPr>
        <w:t>Abbreviations: ICER = incremental cost-effectiveness ratio; QALY, = quality-adjusted life year.; AE = adverse event</w:t>
      </w:r>
    </w:p>
    <w:p w:rsidR="001F5B33" w:rsidRPr="00E3331A" w:rsidRDefault="001F5B33" w:rsidP="001F5B33">
      <w:pPr>
        <w:pStyle w:val="Heading1"/>
      </w:pPr>
      <w:bookmarkStart w:id="490" w:name="_Toc24103519"/>
      <w:bookmarkStart w:id="491" w:name="_Ref379274614"/>
      <w:r w:rsidRPr="00E3331A">
        <w:lastRenderedPageBreak/>
        <w:t>Section E</w:t>
      </w:r>
      <w:r w:rsidRPr="00E3331A">
        <w:tab/>
        <w:t>Financial Implications</w:t>
      </w:r>
      <w:bookmarkEnd w:id="490"/>
    </w:p>
    <w:p w:rsidR="001F5B33" w:rsidRPr="00E3331A" w:rsidRDefault="001F5B33" w:rsidP="003E4E1F">
      <w:pPr>
        <w:pStyle w:val="Heading2"/>
        <w:numPr>
          <w:ilvl w:val="4"/>
          <w:numId w:val="10"/>
        </w:numPr>
      </w:pPr>
      <w:bookmarkStart w:id="492" w:name="_Toc24103520"/>
      <w:r w:rsidRPr="00E3331A">
        <w:t>Justification of the Selection of Sources of Data</w:t>
      </w:r>
      <w:bookmarkEnd w:id="492"/>
    </w:p>
    <w:p w:rsidR="001F5B33" w:rsidRPr="00E3331A" w:rsidRDefault="001F5B33" w:rsidP="00BB6E4C">
      <w:pPr>
        <w:pStyle w:val="BodyTextSTD"/>
      </w:pPr>
      <w:r w:rsidRPr="00E3331A">
        <w:t xml:space="preserve">Section E presents the financial budget impact of a scenario </w:t>
      </w:r>
      <w:r w:rsidR="00CD6546" w:rsidRPr="00E3331A">
        <w:t>where</w:t>
      </w:r>
      <w:r w:rsidRPr="00E3331A">
        <w:t xml:space="preserve"> CIDP </w:t>
      </w:r>
      <w:r w:rsidR="00FD5B45" w:rsidRPr="00E3331A">
        <w:t>patients use</w:t>
      </w:r>
      <w:r w:rsidRPr="00E3331A">
        <w:t xml:space="preserve"> </w:t>
      </w:r>
      <w:r w:rsidR="00CD6546" w:rsidRPr="00E3331A">
        <w:t xml:space="preserve">of </w:t>
      </w:r>
      <w:r w:rsidRPr="00E3331A">
        <w:t xml:space="preserve">Ig </w:t>
      </w:r>
      <w:r w:rsidR="00CD6546" w:rsidRPr="00E3331A">
        <w:t xml:space="preserve">is projected </w:t>
      </w:r>
      <w:r w:rsidRPr="00E3331A">
        <w:t>over a five-year period</w:t>
      </w:r>
      <w:r w:rsidR="00CD6546" w:rsidRPr="00E3331A">
        <w:t xml:space="preserve"> using the 2012-2018 trend in </w:t>
      </w:r>
      <w:r w:rsidR="00833E6E" w:rsidRPr="00E3331A">
        <w:t>patient numbers</w:t>
      </w:r>
      <w:r w:rsidRPr="00E3331A">
        <w:t xml:space="preserve">. As Ig </w:t>
      </w:r>
      <w:r w:rsidRPr="00E3331A">
        <w:rPr>
          <w:noProof/>
        </w:rPr>
        <w:t>is already funded</w:t>
      </w:r>
      <w:r w:rsidRPr="00E3331A">
        <w:t xml:space="preserve"> in Australia, </w:t>
      </w:r>
      <w:r w:rsidR="00FD5B45" w:rsidRPr="00E3331A">
        <w:t xml:space="preserve">total </w:t>
      </w:r>
      <w:r w:rsidRPr="00E3331A">
        <w:t xml:space="preserve">patient numbers and Ig utilisation data are available in the </w:t>
      </w:r>
      <w:r w:rsidRPr="00E3331A">
        <w:rPr>
          <w:i/>
        </w:rPr>
        <w:t xml:space="preserve">National Report on the Issue </w:t>
      </w:r>
      <w:r w:rsidRPr="00E3331A">
        <w:rPr>
          <w:i/>
          <w:noProof/>
        </w:rPr>
        <w:t>and</w:t>
      </w:r>
      <w:r w:rsidRPr="00E3331A">
        <w:rPr>
          <w:i/>
        </w:rPr>
        <w:t xml:space="preserve"> Use of Immunoglobulin (Ig) Annual Report 2015-16</w:t>
      </w:r>
      <w:r w:rsidR="00FD5B45" w:rsidRPr="00E3331A">
        <w:rPr>
          <w:i/>
        </w:rPr>
        <w:t>,</w:t>
      </w:r>
      <w:r w:rsidRPr="00E3331A">
        <w:t xml:space="preserve"> presented by the </w:t>
      </w:r>
      <w:r w:rsidR="00EE2429" w:rsidRPr="00E3331A">
        <w:t>NBA</w:t>
      </w:r>
      <w:r w:rsidRPr="00E3331A">
        <w:t xml:space="preserve">. </w:t>
      </w:r>
      <w:r w:rsidR="00FD5B45" w:rsidRPr="00E3331A">
        <w:t>However, t</w:t>
      </w:r>
      <w:r w:rsidRPr="00E3331A">
        <w:t>he number of CIDP patients in Australia, includ</w:t>
      </w:r>
      <w:r w:rsidR="00FD5B45" w:rsidRPr="00E3331A">
        <w:t>ing</w:t>
      </w:r>
      <w:r w:rsidRPr="00E3331A">
        <w:t xml:space="preserve"> those not </w:t>
      </w:r>
      <w:r w:rsidR="00FD5B45" w:rsidRPr="00E3331A">
        <w:t xml:space="preserve">using </w:t>
      </w:r>
      <w:r w:rsidRPr="00E3331A">
        <w:t>Ig</w:t>
      </w:r>
      <w:r w:rsidR="00FD5B45" w:rsidRPr="00E3331A">
        <w:t>,</w:t>
      </w:r>
      <w:r w:rsidRPr="00E3331A">
        <w:t xml:space="preserve"> </w:t>
      </w:r>
      <w:r w:rsidR="00FD5B45" w:rsidRPr="00E3331A">
        <w:t xml:space="preserve">is </w:t>
      </w:r>
      <w:r w:rsidRPr="00E3331A">
        <w:t xml:space="preserve">uncertain. Similarly, data relating to the proportions of Ig patients in Australia </w:t>
      </w:r>
      <w:r w:rsidR="00FD5B45" w:rsidRPr="00E3331A">
        <w:t xml:space="preserve">that </w:t>
      </w:r>
      <w:r w:rsidRPr="00E3331A">
        <w:t>are steroid</w:t>
      </w:r>
      <w:r w:rsidR="00FD5B45" w:rsidRPr="00E3331A">
        <w:t>-</w:t>
      </w:r>
      <w:r w:rsidRPr="00E3331A">
        <w:t>resistant or pure motor CIDP types are not available.</w:t>
      </w:r>
    </w:p>
    <w:p w:rsidR="001F5B33" w:rsidRPr="00E3331A" w:rsidRDefault="00FD5B45" w:rsidP="00BB6E4C">
      <w:pPr>
        <w:pStyle w:val="BodyTextSTD"/>
      </w:pPr>
      <w:r w:rsidRPr="00E3331A">
        <w:t>D</w:t>
      </w:r>
      <w:r w:rsidR="001F5B33" w:rsidRPr="00E3331A">
        <w:t>ata sources used to estimate the number of CIDP patients and those being treated with Ig are provided in</w:t>
      </w:r>
      <w:r w:rsidR="00DA591D" w:rsidRPr="00E3331A">
        <w:t xml:space="preserve"> </w:t>
      </w:r>
      <w:r w:rsidR="006F35B9" w:rsidRPr="00E3331A">
        <w:t xml:space="preserve">Table </w:t>
      </w:r>
      <w:r w:rsidR="006F35B9">
        <w:rPr>
          <w:noProof/>
        </w:rPr>
        <w:t>86</w:t>
      </w:r>
      <w:r w:rsidR="00DA591D" w:rsidRPr="00E3331A">
        <w:t xml:space="preserve"> and </w:t>
      </w:r>
      <w:r w:rsidR="006F35B9" w:rsidRPr="00E3331A">
        <w:t xml:space="preserve">Table </w:t>
      </w:r>
      <w:r w:rsidR="006F35B9">
        <w:rPr>
          <w:noProof/>
        </w:rPr>
        <w:t>87</w:t>
      </w:r>
      <w:r w:rsidR="001F5B33" w:rsidRPr="00E3331A">
        <w:t>.</w:t>
      </w:r>
      <w:r w:rsidR="00345C95" w:rsidRPr="00E3331A">
        <w:t xml:space="preserve"> </w:t>
      </w:r>
      <w:r w:rsidR="001F5B33" w:rsidRPr="00E3331A">
        <w:t xml:space="preserve">Prevalence estimates for CIDP vary considerably. Rajabally et al. (2009) estimated patient numbers using EFNS/PNS criteria (2006 version) resulting in a prevalence of 4.77 per </w:t>
      </w:r>
      <w:r w:rsidR="00820286" w:rsidRPr="00E3331A">
        <w:t>100,000 and</w:t>
      </w:r>
      <w:r w:rsidR="001F5B33" w:rsidRPr="00E3331A">
        <w:t xml:space="preserve"> </w:t>
      </w:r>
      <w:r w:rsidRPr="00E3331A">
        <w:t>using</w:t>
      </w:r>
      <w:r w:rsidR="001F5B33" w:rsidRPr="00E3331A">
        <w:t xml:space="preserve"> the AAN criteria resulting in </w:t>
      </w:r>
      <w:r w:rsidRPr="00E3331A">
        <w:t xml:space="preserve">a prevalence of </w:t>
      </w:r>
      <w:r w:rsidR="001F5B33" w:rsidRPr="00E3331A">
        <w:t xml:space="preserve">1.97 per 100,000. Lefter </w:t>
      </w:r>
      <w:r w:rsidR="00983BA7">
        <w:t xml:space="preserve">et al. </w:t>
      </w:r>
      <w:r w:rsidR="001F5B33" w:rsidRPr="00E3331A">
        <w:t xml:space="preserve">(2017) reported </w:t>
      </w:r>
      <w:r w:rsidRPr="00E3331A">
        <w:t xml:space="preserve">CIDP </w:t>
      </w:r>
      <w:r w:rsidR="001F5B33" w:rsidRPr="00E3331A">
        <w:t xml:space="preserve">prevalence of 5.87 per 100,000 adults in Ireland using EFNS/PNS criteria. McLeod </w:t>
      </w:r>
      <w:r w:rsidR="00983BA7">
        <w:t xml:space="preserve">et al. </w:t>
      </w:r>
      <w:r w:rsidR="001F5B33" w:rsidRPr="00E3331A">
        <w:t xml:space="preserve">(1999) estimated Australian CIDP patient numbers using AAN criteria, resulting in a prevalence of 1.9 per 100,000. </w:t>
      </w:r>
    </w:p>
    <w:p w:rsidR="001F5B33" w:rsidRPr="00E3331A" w:rsidRDefault="00FD5B45" w:rsidP="00BB6E4C">
      <w:pPr>
        <w:pStyle w:val="BodyTextSTD"/>
      </w:pPr>
      <w:r w:rsidRPr="00E3331A">
        <w:t>The e</w:t>
      </w:r>
      <w:r w:rsidR="001F5B33" w:rsidRPr="00E3331A">
        <w:t xml:space="preserve">stimated </w:t>
      </w:r>
      <w:r w:rsidRPr="00E3331A">
        <w:t xml:space="preserve">number of </w:t>
      </w:r>
      <w:r w:rsidR="001F5B33" w:rsidRPr="00E3331A">
        <w:t>CIDP patient</w:t>
      </w:r>
      <w:r w:rsidRPr="00E3331A">
        <w:t>s</w:t>
      </w:r>
      <w:r w:rsidR="001F5B33" w:rsidRPr="00E3331A">
        <w:t xml:space="preserve"> in Australia </w:t>
      </w:r>
      <w:r w:rsidRPr="00E3331A">
        <w:t xml:space="preserve">ranges </w:t>
      </w:r>
      <w:r w:rsidR="001F5B33" w:rsidRPr="00E3331A">
        <w:t xml:space="preserve">from </w:t>
      </w:r>
      <w:r w:rsidR="007C068F" w:rsidRPr="00E3331A">
        <w:t xml:space="preserve">578 to 1593 </w:t>
      </w:r>
      <w:r w:rsidR="001F5B33" w:rsidRPr="00E3331A">
        <w:t>in 201</w:t>
      </w:r>
      <w:r w:rsidR="007C068F" w:rsidRPr="00E3331A">
        <w:t>7/</w:t>
      </w:r>
      <w:r w:rsidR="00781AD8" w:rsidRPr="00E3331A">
        <w:t xml:space="preserve">2018 </w:t>
      </w:r>
      <w:r w:rsidR="001F5B33" w:rsidRPr="00E3331A">
        <w:t xml:space="preserve">based on these </w:t>
      </w:r>
      <w:r w:rsidRPr="00E3331A">
        <w:t xml:space="preserve">prevalence </w:t>
      </w:r>
      <w:r w:rsidR="001F5B33" w:rsidRPr="00E3331A">
        <w:t>rates, which is less than the</w:t>
      </w:r>
      <w:r w:rsidRPr="00E3331A">
        <w:t xml:space="preserve"> figure of</w:t>
      </w:r>
      <w:r w:rsidR="001F5B33" w:rsidRPr="00E3331A">
        <w:t xml:space="preserve"> 2,</w:t>
      </w:r>
      <w:r w:rsidR="007C068F" w:rsidRPr="00E3331A">
        <w:t>595</w:t>
      </w:r>
      <w:r w:rsidR="001F5B33" w:rsidRPr="00E3331A">
        <w:t xml:space="preserve"> CIDP patients </w:t>
      </w:r>
      <w:r w:rsidRPr="00E3331A">
        <w:t xml:space="preserve">using </w:t>
      </w:r>
      <w:r w:rsidR="001F5B33" w:rsidRPr="00E3331A">
        <w:t xml:space="preserve">Ig </w:t>
      </w:r>
      <w:r w:rsidRPr="00E3331A">
        <w:t xml:space="preserve">as </w:t>
      </w:r>
      <w:r w:rsidR="001F5B33" w:rsidRPr="00E3331A">
        <w:t xml:space="preserve">reported by the NBA. The PICO noted that around half of CIDP patients currently use steroids. There is a great deal of uncertainty surrounding CIDP patient numbers in Australia. </w:t>
      </w:r>
    </w:p>
    <w:p w:rsidR="001F5B33" w:rsidRDefault="001F5B33" w:rsidP="00BB6E4C">
      <w:pPr>
        <w:pStyle w:val="BodyTextSTD"/>
      </w:pPr>
      <w:r w:rsidRPr="00E3331A">
        <w:t xml:space="preserve">The number of CIDP patients </w:t>
      </w:r>
      <w:r w:rsidR="00FD5B45" w:rsidRPr="00E3331A">
        <w:t xml:space="preserve">using </w:t>
      </w:r>
      <w:r w:rsidRPr="00E3331A">
        <w:t>Ig has increased in recent years. NBA data indicate</w:t>
      </w:r>
      <w:r w:rsidR="00FD5B45" w:rsidRPr="00E3331A">
        <w:t>s that</w:t>
      </w:r>
      <w:r w:rsidRPr="00E3331A">
        <w:t xml:space="preserve"> the number of </w:t>
      </w:r>
      <w:r w:rsidR="007C068F" w:rsidRPr="00E3331A">
        <w:t xml:space="preserve">patients using Ig for CIDP </w:t>
      </w:r>
      <w:r w:rsidRPr="00E3331A">
        <w:t xml:space="preserve">has increased by </w:t>
      </w:r>
      <w:r w:rsidR="007C068F" w:rsidRPr="00E3331A">
        <w:t>67</w:t>
      </w:r>
      <w:r w:rsidRPr="00E3331A">
        <w:t>% between 201</w:t>
      </w:r>
      <w:r w:rsidR="007C068F" w:rsidRPr="00E3331A">
        <w:t>1/12</w:t>
      </w:r>
      <w:r w:rsidRPr="00E3331A">
        <w:t xml:space="preserve"> and 201</w:t>
      </w:r>
      <w:r w:rsidR="007C068F" w:rsidRPr="00E3331A">
        <w:t>7/18</w:t>
      </w:r>
      <w:r w:rsidRPr="00E3331A">
        <w:t xml:space="preserve">. The rationale for this increase is unclear. A regression analysis </w:t>
      </w:r>
      <w:r w:rsidR="00FD5B45" w:rsidRPr="00E3331A">
        <w:t>wa</w:t>
      </w:r>
      <w:r w:rsidRPr="00E3331A">
        <w:t xml:space="preserve">s undertaken to </w:t>
      </w:r>
      <w:r w:rsidR="00FD5B45" w:rsidRPr="00E3331A">
        <w:t xml:space="preserve">project </w:t>
      </w:r>
      <w:r w:rsidRPr="00E3331A">
        <w:t xml:space="preserve">CIDP patient numbers to </w:t>
      </w:r>
      <w:r w:rsidR="00CD6546" w:rsidRPr="00E3331A">
        <w:t xml:space="preserve">2024 </w:t>
      </w:r>
      <w:r w:rsidRPr="00E3331A">
        <w:t xml:space="preserve">for use in this budget impact analysis. </w:t>
      </w:r>
      <w:r w:rsidR="00833E6E" w:rsidRPr="00E3331A">
        <w:t xml:space="preserve">The analysis includes the increase in patient numbers, but not changes in average Ig per patient per year. Average use per patient will change with adoption of the new criteria. </w:t>
      </w:r>
      <w:r w:rsidRPr="00E3331A">
        <w:t>A</w:t>
      </w:r>
      <w:r w:rsidR="00FD5B45" w:rsidRPr="00E3331A">
        <w:t xml:space="preserve"> </w:t>
      </w:r>
      <w:r w:rsidRPr="00E3331A">
        <w:t xml:space="preserve">sensitivity analysis is </w:t>
      </w:r>
      <w:r w:rsidR="00FD5B45" w:rsidRPr="00E3331A">
        <w:t xml:space="preserve">also </w:t>
      </w:r>
      <w:r w:rsidRPr="00E3331A">
        <w:t>included</w:t>
      </w:r>
      <w:r w:rsidR="00FD5B45" w:rsidRPr="00E3331A">
        <w:t>,</w:t>
      </w:r>
      <w:r w:rsidRPr="00E3331A">
        <w:t xml:space="preserve"> which corresponds with higher and lower CIDP patient number estimates based on Rajabally et al. (2009) prevalence rates.</w:t>
      </w:r>
    </w:p>
    <w:p w:rsidR="00970BB0" w:rsidRPr="00E3331A" w:rsidRDefault="00970BB0" w:rsidP="00BB6E4C">
      <w:pPr>
        <w:pStyle w:val="BodyTextSTD"/>
        <w:rPr>
          <w:rFonts w:ascii="Arial Narrow" w:hAnsi="Arial Narrow"/>
          <w:sz w:val="18"/>
        </w:rPr>
      </w:pPr>
      <w:r>
        <w:t xml:space="preserve">The budget impact analysis includes financial impacts for the NBA (Commonwealth and State), MBS, PBS and state hospitals. The base case analysis uses a </w:t>
      </w:r>
      <w:r w:rsidRPr="00970BB0">
        <w:t>domestic unit cost of</w:t>
      </w:r>
      <w:r>
        <w:t xml:space="preserve"> Ig excluding plasma of</w:t>
      </w:r>
      <w:r w:rsidRPr="00970BB0">
        <w:t xml:space="preserve"> $60.41</w:t>
      </w:r>
      <w:r>
        <w:t>, while other unit costs are taken from the MBS and PBS</w:t>
      </w:r>
      <w:r w:rsidR="00AF45EA">
        <w:t xml:space="preserve"> -</w:t>
      </w:r>
      <w:r>
        <w:t xml:space="preserve"> along with hospital costs detailed in the economics section. Out-of-pocket </w:t>
      </w:r>
      <w:r w:rsidR="00AF45EA">
        <w:t xml:space="preserve">health services </w:t>
      </w:r>
      <w:r>
        <w:t>costs are not included for patients</w:t>
      </w:r>
      <w:r w:rsidR="00AF45EA">
        <w:t xml:space="preserve"> due to data limitations, however, they would be relatively small compared with </w:t>
      </w:r>
      <w:r>
        <w:t xml:space="preserve">Ig costs. </w:t>
      </w:r>
    </w:p>
    <w:p w:rsidR="009615CF" w:rsidRPr="00E3331A" w:rsidRDefault="009615CF" w:rsidP="009615CF">
      <w:pPr>
        <w:pStyle w:val="Heading2"/>
      </w:pPr>
      <w:bookmarkStart w:id="493" w:name="_Toc24103521"/>
      <w:r w:rsidRPr="00E3331A">
        <w:lastRenderedPageBreak/>
        <w:t>E.2.</w:t>
      </w:r>
      <w:r w:rsidRPr="00E3331A">
        <w:tab/>
        <w:t>Use and Cost of Ig For CIDP</w:t>
      </w:r>
      <w:bookmarkEnd w:id="493"/>
    </w:p>
    <w:p w:rsidR="001F5B33" w:rsidRPr="00E3331A" w:rsidRDefault="001F5B33" w:rsidP="001F5B33">
      <w:pPr>
        <w:pStyle w:val="Heading3"/>
      </w:pPr>
      <w:bookmarkStart w:id="494" w:name="_Toc24103522"/>
      <w:r w:rsidRPr="00E3331A">
        <w:t>E.2.1.</w:t>
      </w:r>
      <w:r w:rsidRPr="00E3331A">
        <w:tab/>
        <w:t>Number of patients with the medical condition</w:t>
      </w:r>
      <w:bookmarkEnd w:id="494"/>
      <w:r w:rsidRPr="00E3331A">
        <w:t xml:space="preserve"> </w:t>
      </w:r>
    </w:p>
    <w:p w:rsidR="001F5B33" w:rsidRPr="00E3331A" w:rsidRDefault="006F35B9" w:rsidP="00BB6E4C">
      <w:pPr>
        <w:pStyle w:val="BodyTextSTD"/>
      </w:pPr>
      <w:r w:rsidRPr="00E3331A">
        <w:t xml:space="preserve">Table </w:t>
      </w:r>
      <w:r>
        <w:rPr>
          <w:noProof/>
        </w:rPr>
        <w:t>86</w:t>
      </w:r>
      <w:r w:rsidR="004849F1" w:rsidRPr="00E3331A">
        <w:t xml:space="preserve"> shows number of p</w:t>
      </w:r>
      <w:r w:rsidR="001F5B33" w:rsidRPr="00E3331A">
        <w:t>atient</w:t>
      </w:r>
      <w:r w:rsidR="004849F1" w:rsidRPr="00E3331A">
        <w:t>s</w:t>
      </w:r>
      <w:r w:rsidR="001F5B33" w:rsidRPr="00E3331A">
        <w:t xml:space="preserve"> </w:t>
      </w:r>
      <w:r w:rsidR="004849F1" w:rsidRPr="00E3331A">
        <w:t xml:space="preserve">using </w:t>
      </w:r>
      <w:r w:rsidR="001F5B33" w:rsidRPr="00E3331A">
        <w:t xml:space="preserve">Ig </w:t>
      </w:r>
      <w:r w:rsidR="004849F1" w:rsidRPr="00E3331A">
        <w:t>as</w:t>
      </w:r>
      <w:r w:rsidR="004849F1" w:rsidRPr="00E3331A">
        <w:rPr>
          <w:noProof/>
        </w:rPr>
        <w:t xml:space="preserve"> reported </w:t>
      </w:r>
      <w:r w:rsidR="004849F1" w:rsidRPr="00E3331A">
        <w:t>by the NBA</w:t>
      </w:r>
      <w:r w:rsidR="001F5B33" w:rsidRPr="00E3331A">
        <w:t xml:space="preserve"> </w:t>
      </w:r>
      <w:r w:rsidR="004849F1" w:rsidRPr="00E3331A">
        <w:t>(</w:t>
      </w:r>
      <w:r w:rsidR="001F5B33" w:rsidRPr="00E3331A">
        <w:rPr>
          <w:i/>
        </w:rPr>
        <w:t xml:space="preserve">National Report on the Issue </w:t>
      </w:r>
      <w:r w:rsidR="001F5B33" w:rsidRPr="00E3331A">
        <w:rPr>
          <w:i/>
          <w:noProof/>
        </w:rPr>
        <w:t>and</w:t>
      </w:r>
      <w:r w:rsidR="001F5B33" w:rsidRPr="00E3331A">
        <w:rPr>
          <w:i/>
        </w:rPr>
        <w:t xml:space="preserve"> Use of Immunoglobulin (Ig) Annual Report 2015-16</w:t>
      </w:r>
      <w:r w:rsidR="00833E6E" w:rsidRPr="00E3331A">
        <w:t xml:space="preserve">). </w:t>
      </w:r>
      <w:r w:rsidR="001F5B33" w:rsidRPr="00E3331A">
        <w:t>It is evident</w:t>
      </w:r>
      <w:r w:rsidR="004849F1" w:rsidRPr="00E3331A">
        <w:t xml:space="preserve"> that</w:t>
      </w:r>
      <w:r w:rsidR="001F5B33" w:rsidRPr="00E3331A">
        <w:t xml:space="preserve"> </w:t>
      </w:r>
      <w:r w:rsidR="004849F1" w:rsidRPr="00E3331A">
        <w:t xml:space="preserve">patient </w:t>
      </w:r>
      <w:r w:rsidR="001F5B33" w:rsidRPr="00E3331A">
        <w:t xml:space="preserve">numbers increased by </w:t>
      </w:r>
      <w:r w:rsidR="00CD6546" w:rsidRPr="00E3331A">
        <w:t>57</w:t>
      </w:r>
      <w:r w:rsidR="001F5B33" w:rsidRPr="00E3331A">
        <w:t>%</w:t>
      </w:r>
      <w:r w:rsidR="004A7F80" w:rsidRPr="00E3331A">
        <w:t xml:space="preserve"> between 2012 and 201</w:t>
      </w:r>
      <w:r w:rsidR="00CD6546" w:rsidRPr="00E3331A">
        <w:t>8</w:t>
      </w:r>
      <w:r w:rsidR="001F5B33" w:rsidRPr="00E3331A">
        <w:t>, however, the reasons underpinning this trend are unclear.</w:t>
      </w:r>
    </w:p>
    <w:p w:rsidR="001F5B33" w:rsidRPr="00E3331A" w:rsidRDefault="001F5B33" w:rsidP="001F5B33">
      <w:pPr>
        <w:pStyle w:val="Caption"/>
        <w:rPr>
          <w:rFonts w:ascii="Calibri" w:hAnsi="Calibri" w:cs="Calibri"/>
        </w:rPr>
      </w:pPr>
      <w:bookmarkStart w:id="495" w:name="_Ref8902746"/>
      <w:bookmarkStart w:id="496" w:name="_Toc24103392"/>
      <w:r w:rsidRPr="00E3331A">
        <w:t xml:space="preserve">Table </w:t>
      </w:r>
      <w:r w:rsidR="006F35B9">
        <w:rPr>
          <w:noProof/>
        </w:rPr>
        <w:t>86</w:t>
      </w:r>
      <w:bookmarkEnd w:id="495"/>
      <w:r w:rsidR="004849F1" w:rsidRPr="00E3331A">
        <w:tab/>
      </w:r>
      <w:r w:rsidRPr="00E3331A">
        <w:rPr>
          <w:rFonts w:ascii="Calibri" w:hAnsi="Calibri" w:cs="Calibri"/>
        </w:rPr>
        <w:t>Historical patient numbers using IVIg for CIDP in Australia (total) by year</w:t>
      </w:r>
      <w:bookmarkEnd w:id="496"/>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1233"/>
        <w:gridCol w:w="1232"/>
        <w:gridCol w:w="1232"/>
        <w:gridCol w:w="1232"/>
        <w:gridCol w:w="1232"/>
        <w:gridCol w:w="1117"/>
      </w:tblGrid>
      <w:tr w:rsidR="00281EC2" w:rsidRPr="00E3331A" w:rsidTr="0007007F">
        <w:tc>
          <w:tcPr>
            <w:tcW w:w="1738" w:type="dxa"/>
            <w:tcBorders>
              <w:bottom w:val="single" w:sz="4" w:space="0" w:color="auto"/>
            </w:tcBorders>
            <w:shd w:val="clear" w:color="auto" w:fill="D9D9D9"/>
            <w:vAlign w:val="center"/>
          </w:tcPr>
          <w:p w:rsidR="004A7F80" w:rsidRPr="00E3331A" w:rsidRDefault="004A7F80" w:rsidP="0007007F">
            <w:pPr>
              <w:pStyle w:val="Tableheading1"/>
              <w:spacing w:before="60" w:after="60"/>
              <w:ind w:left="0"/>
              <w:jc w:val="both"/>
            </w:pPr>
            <w:r w:rsidRPr="00E3331A">
              <w:t>Financial Year</w:t>
            </w:r>
          </w:p>
        </w:tc>
        <w:tc>
          <w:tcPr>
            <w:tcW w:w="1233" w:type="dxa"/>
            <w:tcBorders>
              <w:bottom w:val="single" w:sz="4" w:space="0" w:color="auto"/>
            </w:tcBorders>
            <w:shd w:val="clear" w:color="auto" w:fill="D9D9D9"/>
            <w:vAlign w:val="center"/>
          </w:tcPr>
          <w:p w:rsidR="004A7F80" w:rsidRPr="00E3331A" w:rsidRDefault="004A7F80" w:rsidP="0007007F">
            <w:pPr>
              <w:pStyle w:val="Tableheading1"/>
              <w:spacing w:before="60" w:after="60"/>
              <w:ind w:left="0"/>
              <w:jc w:val="center"/>
            </w:pPr>
            <w:r w:rsidRPr="00E3331A">
              <w:t>2011-12</w:t>
            </w:r>
          </w:p>
        </w:tc>
        <w:tc>
          <w:tcPr>
            <w:tcW w:w="1232" w:type="dxa"/>
            <w:tcBorders>
              <w:bottom w:val="single" w:sz="4" w:space="0" w:color="auto"/>
            </w:tcBorders>
            <w:shd w:val="clear" w:color="auto" w:fill="D9D9D9"/>
            <w:vAlign w:val="center"/>
          </w:tcPr>
          <w:p w:rsidR="004A7F80" w:rsidRPr="00E3331A" w:rsidRDefault="004A7F80" w:rsidP="0007007F">
            <w:pPr>
              <w:pStyle w:val="Tableheading1"/>
              <w:spacing w:before="60" w:after="60"/>
              <w:ind w:left="0"/>
              <w:jc w:val="center"/>
            </w:pPr>
            <w:r w:rsidRPr="00E3331A">
              <w:t>2012-13</w:t>
            </w:r>
          </w:p>
        </w:tc>
        <w:tc>
          <w:tcPr>
            <w:tcW w:w="1232" w:type="dxa"/>
            <w:tcBorders>
              <w:bottom w:val="single" w:sz="4" w:space="0" w:color="auto"/>
            </w:tcBorders>
            <w:shd w:val="clear" w:color="auto" w:fill="D9D9D9"/>
            <w:vAlign w:val="center"/>
          </w:tcPr>
          <w:p w:rsidR="004A7F80" w:rsidRPr="00E3331A" w:rsidRDefault="004A7F80" w:rsidP="0007007F">
            <w:pPr>
              <w:pStyle w:val="Tableheading1"/>
              <w:spacing w:before="60" w:after="60"/>
              <w:ind w:left="0"/>
              <w:jc w:val="center"/>
            </w:pPr>
            <w:r w:rsidRPr="00E3331A">
              <w:t>2013-14</w:t>
            </w:r>
          </w:p>
        </w:tc>
        <w:tc>
          <w:tcPr>
            <w:tcW w:w="1232" w:type="dxa"/>
            <w:tcBorders>
              <w:bottom w:val="single" w:sz="4" w:space="0" w:color="auto"/>
            </w:tcBorders>
            <w:shd w:val="clear" w:color="auto" w:fill="D9D9D9"/>
            <w:vAlign w:val="center"/>
          </w:tcPr>
          <w:p w:rsidR="004A7F80" w:rsidRPr="00E3331A" w:rsidRDefault="004A7F80" w:rsidP="0007007F">
            <w:pPr>
              <w:pStyle w:val="Tableheading1"/>
              <w:spacing w:before="60" w:after="60"/>
              <w:ind w:left="0"/>
              <w:jc w:val="center"/>
            </w:pPr>
            <w:r w:rsidRPr="00E3331A">
              <w:t>2014-15</w:t>
            </w:r>
          </w:p>
        </w:tc>
        <w:tc>
          <w:tcPr>
            <w:tcW w:w="1232" w:type="dxa"/>
            <w:tcBorders>
              <w:bottom w:val="single" w:sz="4" w:space="0" w:color="auto"/>
            </w:tcBorders>
            <w:shd w:val="clear" w:color="auto" w:fill="D9D9D9"/>
            <w:vAlign w:val="center"/>
          </w:tcPr>
          <w:p w:rsidR="004A7F80" w:rsidRPr="00E3331A" w:rsidRDefault="004A7F80" w:rsidP="0007007F">
            <w:pPr>
              <w:pStyle w:val="Tableheading1"/>
              <w:spacing w:before="60" w:after="60"/>
              <w:ind w:left="0"/>
              <w:jc w:val="center"/>
            </w:pPr>
            <w:r w:rsidRPr="00E3331A">
              <w:t>2015-16</w:t>
            </w:r>
          </w:p>
        </w:tc>
        <w:tc>
          <w:tcPr>
            <w:tcW w:w="1117" w:type="dxa"/>
            <w:tcBorders>
              <w:bottom w:val="single" w:sz="4" w:space="0" w:color="auto"/>
            </w:tcBorders>
            <w:shd w:val="clear" w:color="auto" w:fill="D9D9D9"/>
          </w:tcPr>
          <w:p w:rsidR="004A7F80" w:rsidRPr="00E3331A" w:rsidRDefault="004A7F80" w:rsidP="0007007F">
            <w:pPr>
              <w:pStyle w:val="Tableheading1"/>
              <w:spacing w:before="60" w:after="60"/>
              <w:ind w:left="0"/>
              <w:jc w:val="center"/>
            </w:pPr>
            <w:r w:rsidRPr="00E3331A">
              <w:t>2017-18</w:t>
            </w:r>
          </w:p>
        </w:tc>
      </w:tr>
      <w:tr w:rsidR="00281EC2" w:rsidRPr="00E3331A" w:rsidTr="00464E0A">
        <w:trPr>
          <w:trHeight w:val="270"/>
        </w:trPr>
        <w:tc>
          <w:tcPr>
            <w:tcW w:w="1738" w:type="dxa"/>
            <w:tcBorders>
              <w:bottom w:val="single" w:sz="4" w:space="0" w:color="auto"/>
            </w:tcBorders>
            <w:shd w:val="clear" w:color="auto" w:fill="auto"/>
            <w:vAlign w:val="center"/>
          </w:tcPr>
          <w:p w:rsidR="004A7F80" w:rsidRPr="00E3331A" w:rsidRDefault="004A7F80" w:rsidP="00464E0A">
            <w:pPr>
              <w:spacing w:after="0" w:line="240" w:lineRule="auto"/>
            </w:pPr>
            <w:r w:rsidRPr="00E3331A">
              <w:rPr>
                <w:rFonts w:ascii="Arial Narrow" w:hAnsi="Arial Narrow"/>
                <w:sz w:val="20"/>
                <w:szCs w:val="20"/>
              </w:rPr>
              <w:t>Patient no.</w:t>
            </w:r>
          </w:p>
        </w:tc>
        <w:tc>
          <w:tcPr>
            <w:tcW w:w="1233" w:type="dxa"/>
            <w:tcBorders>
              <w:bottom w:val="single" w:sz="4" w:space="0" w:color="auto"/>
            </w:tcBorders>
            <w:shd w:val="clear" w:color="auto" w:fill="auto"/>
            <w:vAlign w:val="center"/>
          </w:tcPr>
          <w:p w:rsidR="004A7F80" w:rsidRPr="00E3331A" w:rsidRDefault="004A7F80" w:rsidP="00464E0A">
            <w:pPr>
              <w:spacing w:after="0" w:line="240" w:lineRule="auto"/>
              <w:jc w:val="center"/>
            </w:pPr>
            <w:r w:rsidRPr="00E3331A">
              <w:rPr>
                <w:rFonts w:ascii="Arial Narrow" w:hAnsi="Arial Narrow"/>
                <w:sz w:val="20"/>
                <w:szCs w:val="20"/>
              </w:rPr>
              <w:t>1,551</w:t>
            </w:r>
          </w:p>
        </w:tc>
        <w:tc>
          <w:tcPr>
            <w:tcW w:w="1232" w:type="dxa"/>
            <w:tcBorders>
              <w:bottom w:val="single" w:sz="4" w:space="0" w:color="auto"/>
            </w:tcBorders>
            <w:shd w:val="clear" w:color="auto" w:fill="auto"/>
            <w:vAlign w:val="center"/>
          </w:tcPr>
          <w:p w:rsidR="004A7F80" w:rsidRPr="00E3331A" w:rsidRDefault="004A7F80" w:rsidP="00464E0A">
            <w:pPr>
              <w:spacing w:after="0" w:line="240" w:lineRule="auto"/>
              <w:jc w:val="center"/>
            </w:pPr>
            <w:r w:rsidRPr="00E3331A">
              <w:rPr>
                <w:rFonts w:ascii="Arial Narrow" w:hAnsi="Arial Narrow"/>
                <w:sz w:val="20"/>
                <w:szCs w:val="20"/>
              </w:rPr>
              <w:t>1,753</w:t>
            </w:r>
          </w:p>
        </w:tc>
        <w:tc>
          <w:tcPr>
            <w:tcW w:w="1232" w:type="dxa"/>
            <w:tcBorders>
              <w:bottom w:val="single" w:sz="4" w:space="0" w:color="auto"/>
            </w:tcBorders>
            <w:shd w:val="clear" w:color="auto" w:fill="auto"/>
            <w:vAlign w:val="center"/>
          </w:tcPr>
          <w:p w:rsidR="004A7F80" w:rsidRPr="00E3331A" w:rsidRDefault="004A7F80" w:rsidP="00464E0A">
            <w:pPr>
              <w:spacing w:after="0" w:line="240" w:lineRule="auto"/>
              <w:jc w:val="center"/>
            </w:pPr>
            <w:r w:rsidRPr="00E3331A">
              <w:rPr>
                <w:rFonts w:ascii="Arial Narrow" w:hAnsi="Arial Narrow"/>
                <w:sz w:val="20"/>
                <w:szCs w:val="20"/>
              </w:rPr>
              <w:t>1,903</w:t>
            </w:r>
          </w:p>
        </w:tc>
        <w:tc>
          <w:tcPr>
            <w:tcW w:w="1232" w:type="dxa"/>
            <w:tcBorders>
              <w:bottom w:val="single" w:sz="4" w:space="0" w:color="auto"/>
            </w:tcBorders>
            <w:shd w:val="clear" w:color="auto" w:fill="auto"/>
            <w:vAlign w:val="center"/>
          </w:tcPr>
          <w:p w:rsidR="004A7F80" w:rsidRPr="00E3331A" w:rsidRDefault="004A7F80" w:rsidP="00464E0A">
            <w:pPr>
              <w:spacing w:after="0" w:line="240" w:lineRule="auto"/>
              <w:jc w:val="center"/>
            </w:pPr>
            <w:r w:rsidRPr="00E3331A">
              <w:rPr>
                <w:rFonts w:ascii="Arial Narrow" w:hAnsi="Arial Narrow"/>
                <w:sz w:val="20"/>
                <w:szCs w:val="20"/>
              </w:rPr>
              <w:t>2,054</w:t>
            </w:r>
          </w:p>
        </w:tc>
        <w:tc>
          <w:tcPr>
            <w:tcW w:w="1232" w:type="dxa"/>
            <w:tcBorders>
              <w:bottom w:val="single" w:sz="4" w:space="0" w:color="auto"/>
            </w:tcBorders>
            <w:shd w:val="clear" w:color="auto" w:fill="auto"/>
            <w:vAlign w:val="center"/>
          </w:tcPr>
          <w:p w:rsidR="004A7F80" w:rsidRPr="00E3331A" w:rsidRDefault="004A7F80" w:rsidP="00464E0A">
            <w:pPr>
              <w:spacing w:after="0" w:line="240" w:lineRule="auto"/>
              <w:jc w:val="center"/>
            </w:pPr>
            <w:r w:rsidRPr="00E3331A">
              <w:rPr>
                <w:rFonts w:ascii="Arial Narrow" w:hAnsi="Arial Narrow"/>
                <w:sz w:val="20"/>
                <w:szCs w:val="20"/>
              </w:rPr>
              <w:t>2,250</w:t>
            </w:r>
          </w:p>
        </w:tc>
        <w:tc>
          <w:tcPr>
            <w:tcW w:w="1117" w:type="dxa"/>
            <w:tcBorders>
              <w:bottom w:val="single" w:sz="4" w:space="0" w:color="auto"/>
            </w:tcBorders>
            <w:shd w:val="clear" w:color="auto" w:fill="auto"/>
            <w:vAlign w:val="center"/>
          </w:tcPr>
          <w:p w:rsidR="004A7F80" w:rsidRPr="00E3331A" w:rsidRDefault="004A7F80" w:rsidP="00464E0A">
            <w:pPr>
              <w:spacing w:after="0" w:line="240" w:lineRule="auto"/>
              <w:jc w:val="center"/>
            </w:pPr>
            <w:r w:rsidRPr="00E3331A">
              <w:rPr>
                <w:rFonts w:ascii="Arial Narrow" w:hAnsi="Arial Narrow"/>
                <w:sz w:val="20"/>
                <w:szCs w:val="20"/>
              </w:rPr>
              <w:t>2,595</w:t>
            </w:r>
          </w:p>
        </w:tc>
      </w:tr>
    </w:tbl>
    <w:p w:rsidR="001F5B33" w:rsidRPr="00E3331A" w:rsidRDefault="001F5B33" w:rsidP="00BB6E4C">
      <w:pPr>
        <w:pStyle w:val="BodyTextSTD"/>
        <w:rPr>
          <w:rFonts w:ascii="Arial Narrow" w:hAnsi="Arial Narrow"/>
          <w:sz w:val="18"/>
          <w:szCs w:val="18"/>
        </w:rPr>
      </w:pPr>
      <w:r w:rsidRPr="00E3331A">
        <w:rPr>
          <w:rFonts w:ascii="Arial Narrow" w:hAnsi="Arial Narrow"/>
          <w:b/>
          <w:sz w:val="18"/>
          <w:szCs w:val="18"/>
        </w:rPr>
        <w:t xml:space="preserve">Source: </w:t>
      </w:r>
      <w:r w:rsidRPr="00E3331A">
        <w:rPr>
          <w:rFonts w:ascii="Arial Narrow" w:hAnsi="Arial Narrow"/>
          <w:sz w:val="18"/>
          <w:szCs w:val="18"/>
        </w:rPr>
        <w:t>NBA Annual Report</w:t>
      </w:r>
    </w:p>
    <w:p w:rsidR="001F5B33" w:rsidRPr="00E3331A" w:rsidRDefault="006F35B9" w:rsidP="00BB6E4C">
      <w:pPr>
        <w:pStyle w:val="BodyTextSTD"/>
      </w:pPr>
      <w:r w:rsidRPr="00E3331A">
        <w:t xml:space="preserve">Table </w:t>
      </w:r>
      <w:r>
        <w:t>87</w:t>
      </w:r>
      <w:r w:rsidR="004849F1" w:rsidRPr="00E3331A">
        <w:t xml:space="preserve"> shows t</w:t>
      </w:r>
      <w:r w:rsidR="001F5B33" w:rsidRPr="00E3331A">
        <w:t xml:space="preserve">he number of patients projected to </w:t>
      </w:r>
      <w:r w:rsidR="004849F1" w:rsidRPr="00E3331A">
        <w:t xml:space="preserve">use </w:t>
      </w:r>
      <w:r w:rsidR="001F5B33" w:rsidRPr="00E3331A">
        <w:t xml:space="preserve">Ig treatment </w:t>
      </w:r>
      <w:r w:rsidR="004849F1" w:rsidRPr="00E3331A">
        <w:t>in</w:t>
      </w:r>
      <w:r w:rsidR="001F5B33" w:rsidRPr="00E3331A">
        <w:t xml:space="preserve"> 2020</w:t>
      </w:r>
      <w:r w:rsidR="004849F1" w:rsidRPr="00E3331A">
        <w:t xml:space="preserve"> to </w:t>
      </w:r>
      <w:r w:rsidR="001F5B33" w:rsidRPr="00E3331A">
        <w:t xml:space="preserve">2024 </w:t>
      </w:r>
      <w:r w:rsidR="004849F1" w:rsidRPr="00E3331A">
        <w:t xml:space="preserve">following </w:t>
      </w:r>
      <w:r w:rsidR="001F5B33" w:rsidRPr="00E3331A">
        <w:t xml:space="preserve">the trend </w:t>
      </w:r>
      <w:r w:rsidR="004849F1" w:rsidRPr="00E3331A">
        <w:t xml:space="preserve">from </w:t>
      </w:r>
      <w:r w:rsidR="001F5B33" w:rsidRPr="00E3331A">
        <w:t xml:space="preserve">2012 to </w:t>
      </w:r>
      <w:r w:rsidR="004A7F80" w:rsidRPr="00E3331A">
        <w:t>2018</w:t>
      </w:r>
      <w:r w:rsidR="001F5B33" w:rsidRPr="00E3331A">
        <w:t>.</w:t>
      </w:r>
      <w:r w:rsidR="00345C95" w:rsidRPr="00E3331A">
        <w:t xml:space="preserve"> </w:t>
      </w:r>
      <w:r w:rsidR="001F5B33" w:rsidRPr="00E3331A">
        <w:t>Regression analysis was undertaken using the patients in each year over the 2012-201</w:t>
      </w:r>
      <w:r w:rsidR="004A7F80" w:rsidRPr="00E3331A">
        <w:t>8</w:t>
      </w:r>
      <w:r w:rsidR="001F5B33" w:rsidRPr="00E3331A">
        <w:t xml:space="preserve"> period. The equation comprised an intercept of </w:t>
      </w:r>
      <w:r w:rsidR="00781AD8" w:rsidRPr="00E3331A">
        <w:t xml:space="preserve">- </w:t>
      </w:r>
      <w:r w:rsidR="004A7F80" w:rsidRPr="00E3331A">
        <w:t xml:space="preserve">344648.4 </w:t>
      </w:r>
      <w:r w:rsidR="001F5B33" w:rsidRPr="00E3331A">
        <w:t xml:space="preserve">and coefficient </w:t>
      </w:r>
      <w:r w:rsidR="00781AD8" w:rsidRPr="00E3331A">
        <w:t xml:space="preserve">per </w:t>
      </w:r>
      <w:r w:rsidR="001F5B33" w:rsidRPr="00E3331A">
        <w:t xml:space="preserve">year of </w:t>
      </w:r>
      <w:r w:rsidR="004A7F80" w:rsidRPr="00E3331A">
        <w:t xml:space="preserve">172.07 </w:t>
      </w:r>
      <w:r w:rsidR="001F5B33" w:rsidRPr="00E3331A">
        <w:t>(R</w:t>
      </w:r>
      <w:r w:rsidR="001F5B33" w:rsidRPr="00E3331A">
        <w:rPr>
          <w:vertAlign w:val="superscript"/>
        </w:rPr>
        <w:t>2</w:t>
      </w:r>
      <w:r w:rsidR="001F5B33" w:rsidRPr="00E3331A">
        <w:t>=0.998</w:t>
      </w:r>
      <w:r w:rsidR="004A7F80" w:rsidRPr="00E3331A">
        <w:t>766</w:t>
      </w:r>
      <w:r w:rsidR="001F5B33" w:rsidRPr="00E3331A">
        <w:t>). Based on the regression</w:t>
      </w:r>
      <w:r w:rsidR="004849F1" w:rsidRPr="00E3331A">
        <w:t xml:space="preserve"> analysis</w:t>
      </w:r>
      <w:r w:rsidR="001F5B33" w:rsidRPr="00E3331A">
        <w:t>, Ig patient numbers increase from 2,250 in 2016 to 2,</w:t>
      </w:r>
      <w:r w:rsidR="004A7F80" w:rsidRPr="00E3331A">
        <w:t xml:space="preserve">936 </w:t>
      </w:r>
      <w:r w:rsidR="001F5B33" w:rsidRPr="00E3331A">
        <w:t xml:space="preserve">for the 2020 starting year of the projection. By 2024 it is estimated that there </w:t>
      </w:r>
      <w:r w:rsidR="004849F1" w:rsidRPr="00E3331A">
        <w:t xml:space="preserve">will be </w:t>
      </w:r>
      <w:r w:rsidR="001F5B33" w:rsidRPr="00E3331A">
        <w:t>3,</w:t>
      </w:r>
      <w:r w:rsidR="004A7F80" w:rsidRPr="00E3331A">
        <w:t xml:space="preserve">624 </w:t>
      </w:r>
      <w:r w:rsidR="001F5B33" w:rsidRPr="00E3331A">
        <w:t xml:space="preserve">patients </w:t>
      </w:r>
      <w:r w:rsidR="004849F1" w:rsidRPr="00E3331A">
        <w:t xml:space="preserve">using </w:t>
      </w:r>
      <w:r w:rsidR="001F5B33" w:rsidRPr="00E3331A">
        <w:t xml:space="preserve">Ig in </w:t>
      </w:r>
      <w:r w:rsidR="004849F1" w:rsidRPr="00E3331A">
        <w:t>Australia</w:t>
      </w:r>
      <w:r w:rsidR="00833E6E" w:rsidRPr="00E3331A">
        <w:t>, which represents an annual increase in patient numbers of around 5% per year.</w:t>
      </w:r>
    </w:p>
    <w:p w:rsidR="001F5B33" w:rsidRPr="00E3331A" w:rsidRDefault="001F5B33" w:rsidP="001F5B33">
      <w:pPr>
        <w:pStyle w:val="Caption"/>
        <w:rPr>
          <w:noProof/>
          <w:szCs w:val="20"/>
        </w:rPr>
      </w:pPr>
      <w:bookmarkStart w:id="497" w:name="_Ref493086039"/>
      <w:bookmarkStart w:id="498" w:name="_Toc24103393"/>
      <w:r w:rsidRPr="00E3331A">
        <w:t xml:space="preserve">Table </w:t>
      </w:r>
      <w:r w:rsidR="006F35B9">
        <w:rPr>
          <w:noProof/>
        </w:rPr>
        <w:t>87</w:t>
      </w:r>
      <w:bookmarkEnd w:id="497"/>
      <w:r w:rsidR="00C90F6D" w:rsidRPr="00E3331A">
        <w:rPr>
          <w:noProof/>
        </w:rPr>
        <w:tab/>
      </w:r>
      <w:r w:rsidRPr="00E3331A">
        <w:t>Projected CIDP patient</w:t>
      </w:r>
      <w:r w:rsidRPr="00E3331A">
        <w:rPr>
          <w:noProof/>
          <w:szCs w:val="20"/>
        </w:rPr>
        <w:t xml:space="preserve"> uptake of Ig in Australia, 2020-2024</w:t>
      </w:r>
      <w:r w:rsidR="001E6B99">
        <w:rPr>
          <w:noProof/>
          <w:szCs w:val="20"/>
        </w:rPr>
        <w:t xml:space="preserve"> (based on utilisation data from 2012-2018)</w:t>
      </w:r>
      <w:bookmarkEnd w:id="498"/>
    </w:p>
    <w:tbl>
      <w:tblPr>
        <w:tblW w:w="0" w:type="auto"/>
        <w:tblLayout w:type="fixed"/>
        <w:tblLook w:val="04A0" w:firstRow="1" w:lastRow="0" w:firstColumn="1" w:lastColumn="0" w:noHBand="0" w:noVBand="1"/>
      </w:tblPr>
      <w:tblGrid>
        <w:gridCol w:w="1129"/>
        <w:gridCol w:w="1134"/>
        <w:gridCol w:w="1134"/>
        <w:gridCol w:w="1276"/>
        <w:gridCol w:w="1134"/>
        <w:gridCol w:w="1134"/>
        <w:gridCol w:w="2075"/>
      </w:tblGrid>
      <w:tr w:rsidR="001F5B33" w:rsidRPr="00E3331A" w:rsidTr="0007007F">
        <w:trPr>
          <w:cantSplit/>
          <w:trHeight w:val="330"/>
          <w:tblHeader/>
        </w:trPr>
        <w:tc>
          <w:tcPr>
            <w:tcW w:w="112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F5B33" w:rsidRPr="00E3331A" w:rsidRDefault="001F5B33" w:rsidP="00493DDF">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Description</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1F5B33" w:rsidRPr="00E3331A" w:rsidRDefault="001F5B33" w:rsidP="00493DDF">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2020</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1F5B33" w:rsidRPr="00E3331A" w:rsidRDefault="001F5B33" w:rsidP="00493DDF">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2021</w:t>
            </w:r>
          </w:p>
        </w:tc>
        <w:tc>
          <w:tcPr>
            <w:tcW w:w="1276" w:type="dxa"/>
            <w:tcBorders>
              <w:top w:val="single" w:sz="4" w:space="0" w:color="auto"/>
              <w:left w:val="nil"/>
              <w:bottom w:val="single" w:sz="4" w:space="0" w:color="auto"/>
              <w:right w:val="single" w:sz="4" w:space="0" w:color="auto"/>
            </w:tcBorders>
            <w:shd w:val="clear" w:color="auto" w:fill="D9D9D9"/>
            <w:noWrap/>
            <w:vAlign w:val="center"/>
            <w:hideMark/>
          </w:tcPr>
          <w:p w:rsidR="001F5B33" w:rsidRPr="00E3331A" w:rsidRDefault="001F5B33" w:rsidP="00493DDF">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2022</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1F5B33" w:rsidRPr="00E3331A" w:rsidRDefault="001F5B33" w:rsidP="00493DDF">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2023</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1F5B33" w:rsidRPr="00E3331A" w:rsidRDefault="001F5B33" w:rsidP="00493DDF">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2024</w:t>
            </w:r>
          </w:p>
        </w:tc>
        <w:tc>
          <w:tcPr>
            <w:tcW w:w="2075" w:type="dxa"/>
            <w:tcBorders>
              <w:top w:val="single" w:sz="4" w:space="0" w:color="auto"/>
              <w:left w:val="nil"/>
              <w:bottom w:val="single" w:sz="4" w:space="0" w:color="auto"/>
              <w:right w:val="single" w:sz="4" w:space="0" w:color="auto"/>
            </w:tcBorders>
            <w:shd w:val="clear" w:color="auto" w:fill="D9D9D9"/>
            <w:noWrap/>
            <w:vAlign w:val="center"/>
            <w:hideMark/>
          </w:tcPr>
          <w:p w:rsidR="001F5B33" w:rsidRPr="00E3331A" w:rsidRDefault="001F5B33" w:rsidP="00493DDF">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Source</w:t>
            </w:r>
          </w:p>
        </w:tc>
      </w:tr>
      <w:tr w:rsidR="00BA762C" w:rsidRPr="00E3331A" w:rsidTr="00464E0A">
        <w:trPr>
          <w:cantSplit/>
          <w:trHeight w:val="255"/>
        </w:trPr>
        <w:tc>
          <w:tcPr>
            <w:tcW w:w="1129" w:type="dxa"/>
            <w:tcBorders>
              <w:top w:val="nil"/>
              <w:left w:val="single" w:sz="4" w:space="0" w:color="auto"/>
              <w:bottom w:val="single" w:sz="4" w:space="0" w:color="auto"/>
              <w:right w:val="single" w:sz="4" w:space="0" w:color="auto"/>
            </w:tcBorders>
            <w:shd w:val="clear" w:color="auto" w:fill="auto"/>
            <w:vAlign w:val="center"/>
          </w:tcPr>
          <w:p w:rsidR="00BA762C" w:rsidRPr="00E3331A" w:rsidRDefault="00BA762C" w:rsidP="00BA762C">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Australian population</w:t>
            </w:r>
          </w:p>
        </w:tc>
        <w:tc>
          <w:tcPr>
            <w:tcW w:w="1134"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25,992,413</w:t>
            </w:r>
          </w:p>
        </w:tc>
        <w:tc>
          <w:tcPr>
            <w:tcW w:w="1134"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26,408,291</w:t>
            </w:r>
          </w:p>
        </w:tc>
        <w:tc>
          <w:tcPr>
            <w:tcW w:w="1276"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26,830,824</w:t>
            </w:r>
          </w:p>
        </w:tc>
        <w:tc>
          <w:tcPr>
            <w:tcW w:w="1134"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27,260,117</w:t>
            </w:r>
          </w:p>
        </w:tc>
        <w:tc>
          <w:tcPr>
            <w:tcW w:w="1134"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27,696,279</w:t>
            </w:r>
          </w:p>
        </w:tc>
        <w:tc>
          <w:tcPr>
            <w:tcW w:w="2075"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ABS</w:t>
            </w:r>
            <w:r w:rsidRPr="00E3331A">
              <w:rPr>
                <w:rStyle w:val="FootnoteReference"/>
                <w:rFonts w:ascii="Arial Narrow" w:hAnsi="Arial Narrow" w:cs="Calibri"/>
                <w:color w:val="000000"/>
                <w:sz w:val="20"/>
                <w:szCs w:val="20"/>
              </w:rPr>
              <w:footnoteReference w:id="33"/>
            </w:r>
            <w:r w:rsidRPr="00E3331A">
              <w:rPr>
                <w:rFonts w:ascii="Arial Narrow" w:hAnsi="Arial Narrow" w:cs="Calibri"/>
                <w:color w:val="000000"/>
                <w:sz w:val="20"/>
                <w:szCs w:val="20"/>
              </w:rPr>
              <w:t xml:space="preserve"> Australian population 2018 and 1.6% population growth</w:t>
            </w:r>
          </w:p>
        </w:tc>
      </w:tr>
      <w:tr w:rsidR="00BA762C" w:rsidRPr="00E3331A" w:rsidTr="00464E0A">
        <w:trPr>
          <w:cantSplit/>
          <w:trHeight w:val="255"/>
        </w:trPr>
        <w:tc>
          <w:tcPr>
            <w:tcW w:w="1129" w:type="dxa"/>
            <w:tcBorders>
              <w:top w:val="nil"/>
              <w:left w:val="single" w:sz="4" w:space="0" w:color="auto"/>
              <w:bottom w:val="single" w:sz="4" w:space="0" w:color="auto"/>
              <w:right w:val="single" w:sz="4" w:space="0" w:color="auto"/>
            </w:tcBorders>
            <w:shd w:val="clear" w:color="auto" w:fill="auto"/>
            <w:vAlign w:val="center"/>
          </w:tcPr>
          <w:p w:rsidR="00BA762C" w:rsidRPr="00E3331A" w:rsidRDefault="00BA762C" w:rsidP="00BA762C">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Lefter </w:t>
            </w:r>
            <w:r w:rsidR="00983BA7">
              <w:rPr>
                <w:rFonts w:ascii="Arial Narrow" w:hAnsi="Arial Narrow" w:cs="Calibri"/>
                <w:color w:val="000000"/>
                <w:sz w:val="20"/>
                <w:szCs w:val="20"/>
              </w:rPr>
              <w:t xml:space="preserve">et al. </w:t>
            </w:r>
            <w:r w:rsidRPr="00E3331A">
              <w:rPr>
                <w:rFonts w:ascii="Arial Narrow" w:hAnsi="Arial Narrow" w:cs="Calibri"/>
                <w:color w:val="000000"/>
                <w:sz w:val="20"/>
                <w:szCs w:val="20"/>
              </w:rPr>
              <w:t>(2017), EFNS/PNS Ireland</w:t>
            </w:r>
          </w:p>
        </w:tc>
        <w:tc>
          <w:tcPr>
            <w:tcW w:w="1134"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1,125</w:t>
            </w:r>
          </w:p>
        </w:tc>
        <w:tc>
          <w:tcPr>
            <w:tcW w:w="1134"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1,143</w:t>
            </w:r>
          </w:p>
        </w:tc>
        <w:tc>
          <w:tcPr>
            <w:tcW w:w="1276"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1,161</w:t>
            </w:r>
          </w:p>
        </w:tc>
        <w:tc>
          <w:tcPr>
            <w:tcW w:w="1134"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1,180</w:t>
            </w:r>
          </w:p>
        </w:tc>
        <w:tc>
          <w:tcPr>
            <w:tcW w:w="1134"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1,199</w:t>
            </w:r>
          </w:p>
        </w:tc>
        <w:tc>
          <w:tcPr>
            <w:tcW w:w="2075"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Lefter </w:t>
            </w:r>
            <w:r w:rsidR="00983BA7">
              <w:rPr>
                <w:rFonts w:ascii="Arial Narrow" w:hAnsi="Arial Narrow" w:cs="Calibri"/>
                <w:color w:val="000000"/>
                <w:sz w:val="20"/>
                <w:szCs w:val="20"/>
              </w:rPr>
              <w:t xml:space="preserve">et al. </w:t>
            </w:r>
            <w:r w:rsidRPr="00E3331A">
              <w:rPr>
                <w:rFonts w:ascii="Arial Narrow" w:hAnsi="Arial Narrow" w:cs="Calibri"/>
                <w:color w:val="000000"/>
                <w:sz w:val="20"/>
                <w:szCs w:val="20"/>
              </w:rPr>
              <w:t>(2017) 5.87 per 100,000 in adult Irish population. Estimate for Australia assumes 75% of population 18 years+</w:t>
            </w:r>
          </w:p>
        </w:tc>
      </w:tr>
      <w:tr w:rsidR="00BA762C" w:rsidRPr="00E3331A" w:rsidTr="00464E0A">
        <w:trPr>
          <w:cantSplit/>
          <w:trHeight w:val="255"/>
        </w:trPr>
        <w:tc>
          <w:tcPr>
            <w:tcW w:w="1129" w:type="dxa"/>
            <w:tcBorders>
              <w:top w:val="nil"/>
              <w:left w:val="single" w:sz="4" w:space="0" w:color="auto"/>
              <w:bottom w:val="single" w:sz="4" w:space="0" w:color="auto"/>
              <w:right w:val="single" w:sz="4" w:space="0" w:color="auto"/>
            </w:tcBorders>
            <w:shd w:val="clear" w:color="auto" w:fill="auto"/>
            <w:vAlign w:val="center"/>
          </w:tcPr>
          <w:p w:rsidR="00BA762C" w:rsidRPr="00E3331A" w:rsidRDefault="00BA762C" w:rsidP="00BA762C">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Rajabally et al. (2009) EFNS/PNS CIDP patients</w:t>
            </w:r>
          </w:p>
        </w:tc>
        <w:tc>
          <w:tcPr>
            <w:tcW w:w="1134"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1,240</w:t>
            </w:r>
          </w:p>
        </w:tc>
        <w:tc>
          <w:tcPr>
            <w:tcW w:w="1134"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1,260</w:t>
            </w:r>
          </w:p>
        </w:tc>
        <w:tc>
          <w:tcPr>
            <w:tcW w:w="1276"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1,280</w:t>
            </w:r>
          </w:p>
        </w:tc>
        <w:tc>
          <w:tcPr>
            <w:tcW w:w="1134"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1,300</w:t>
            </w:r>
          </w:p>
        </w:tc>
        <w:tc>
          <w:tcPr>
            <w:tcW w:w="1134"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1,321</w:t>
            </w:r>
          </w:p>
        </w:tc>
        <w:tc>
          <w:tcPr>
            <w:tcW w:w="2075"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Rajabally et al. (2009) estimated patient numbers using EFNS/PNS criteria of 4.77 per 100,000</w:t>
            </w:r>
          </w:p>
        </w:tc>
      </w:tr>
      <w:tr w:rsidR="00BA762C" w:rsidRPr="00E3331A" w:rsidTr="00464E0A">
        <w:trPr>
          <w:cantSplit/>
          <w:trHeight w:val="255"/>
        </w:trPr>
        <w:tc>
          <w:tcPr>
            <w:tcW w:w="1129" w:type="dxa"/>
            <w:tcBorders>
              <w:top w:val="nil"/>
              <w:left w:val="single" w:sz="4" w:space="0" w:color="auto"/>
              <w:bottom w:val="single" w:sz="4" w:space="0" w:color="auto"/>
              <w:right w:val="single" w:sz="4" w:space="0" w:color="auto"/>
            </w:tcBorders>
            <w:shd w:val="clear" w:color="auto" w:fill="auto"/>
            <w:vAlign w:val="center"/>
          </w:tcPr>
          <w:p w:rsidR="00BA762C" w:rsidRPr="00E3331A" w:rsidRDefault="00BA762C" w:rsidP="00BA762C">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McLeod et al. (1999) AAN CIDP patients</w:t>
            </w:r>
          </w:p>
        </w:tc>
        <w:tc>
          <w:tcPr>
            <w:tcW w:w="1134"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494</w:t>
            </w:r>
          </w:p>
        </w:tc>
        <w:tc>
          <w:tcPr>
            <w:tcW w:w="1134"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502</w:t>
            </w:r>
          </w:p>
        </w:tc>
        <w:tc>
          <w:tcPr>
            <w:tcW w:w="1276"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510</w:t>
            </w:r>
          </w:p>
        </w:tc>
        <w:tc>
          <w:tcPr>
            <w:tcW w:w="1134"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518</w:t>
            </w:r>
          </w:p>
        </w:tc>
        <w:tc>
          <w:tcPr>
            <w:tcW w:w="1134"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526</w:t>
            </w:r>
          </w:p>
        </w:tc>
        <w:tc>
          <w:tcPr>
            <w:tcW w:w="2075" w:type="dxa"/>
            <w:tcBorders>
              <w:top w:val="nil"/>
              <w:left w:val="nil"/>
              <w:bottom w:val="single" w:sz="4" w:space="0" w:color="auto"/>
              <w:right w:val="single" w:sz="4" w:space="0" w:color="auto"/>
            </w:tcBorders>
            <w:shd w:val="clear" w:color="auto" w:fill="auto"/>
            <w:noWrap/>
            <w:vAlign w:val="center"/>
          </w:tcPr>
          <w:p w:rsidR="00BA762C" w:rsidRPr="00E3331A" w:rsidRDefault="00BA762C" w:rsidP="00BA762C">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McLeod et al. (1999) estimated patient numbers using AAN criteria of 1.9 per 100,000</w:t>
            </w:r>
          </w:p>
        </w:tc>
      </w:tr>
      <w:tr w:rsidR="00BA762C" w:rsidRPr="00E3331A" w:rsidTr="00464E0A">
        <w:trPr>
          <w:cantSplit/>
          <w:trHeight w:val="255"/>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BA762C" w:rsidRPr="00E3331A" w:rsidRDefault="00BA762C" w:rsidP="00BA762C">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lastRenderedPageBreak/>
              <w:t>CIDP patients using Ig, from NBA annual report trend</w:t>
            </w:r>
          </w:p>
        </w:tc>
        <w:tc>
          <w:tcPr>
            <w:tcW w:w="1134" w:type="dxa"/>
            <w:tcBorders>
              <w:top w:val="nil"/>
              <w:left w:val="nil"/>
              <w:bottom w:val="single" w:sz="4" w:space="0" w:color="auto"/>
              <w:right w:val="single" w:sz="4" w:space="0" w:color="auto"/>
            </w:tcBorders>
            <w:shd w:val="clear" w:color="auto" w:fill="auto"/>
            <w:noWrap/>
            <w:vAlign w:val="center"/>
            <w:hideMark/>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2,936</w:t>
            </w:r>
          </w:p>
        </w:tc>
        <w:tc>
          <w:tcPr>
            <w:tcW w:w="1134" w:type="dxa"/>
            <w:tcBorders>
              <w:top w:val="nil"/>
              <w:left w:val="nil"/>
              <w:bottom w:val="single" w:sz="4" w:space="0" w:color="auto"/>
              <w:right w:val="single" w:sz="4" w:space="0" w:color="auto"/>
            </w:tcBorders>
            <w:shd w:val="clear" w:color="auto" w:fill="auto"/>
            <w:noWrap/>
            <w:vAlign w:val="center"/>
            <w:hideMark/>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3,108</w:t>
            </w:r>
          </w:p>
        </w:tc>
        <w:tc>
          <w:tcPr>
            <w:tcW w:w="1276" w:type="dxa"/>
            <w:tcBorders>
              <w:top w:val="nil"/>
              <w:left w:val="nil"/>
              <w:bottom w:val="single" w:sz="4" w:space="0" w:color="auto"/>
              <w:right w:val="single" w:sz="4" w:space="0" w:color="auto"/>
            </w:tcBorders>
            <w:shd w:val="clear" w:color="auto" w:fill="auto"/>
            <w:noWrap/>
            <w:vAlign w:val="center"/>
            <w:hideMark/>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3,280</w:t>
            </w:r>
          </w:p>
        </w:tc>
        <w:tc>
          <w:tcPr>
            <w:tcW w:w="1134" w:type="dxa"/>
            <w:tcBorders>
              <w:top w:val="nil"/>
              <w:left w:val="nil"/>
              <w:bottom w:val="single" w:sz="4" w:space="0" w:color="auto"/>
              <w:right w:val="single" w:sz="4" w:space="0" w:color="auto"/>
            </w:tcBorders>
            <w:shd w:val="clear" w:color="auto" w:fill="auto"/>
            <w:noWrap/>
            <w:vAlign w:val="center"/>
            <w:hideMark/>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3,452</w:t>
            </w:r>
          </w:p>
        </w:tc>
        <w:tc>
          <w:tcPr>
            <w:tcW w:w="1134" w:type="dxa"/>
            <w:tcBorders>
              <w:top w:val="nil"/>
              <w:left w:val="nil"/>
              <w:bottom w:val="single" w:sz="4" w:space="0" w:color="auto"/>
              <w:right w:val="single" w:sz="4" w:space="0" w:color="auto"/>
            </w:tcBorders>
            <w:shd w:val="clear" w:color="auto" w:fill="auto"/>
            <w:noWrap/>
            <w:vAlign w:val="center"/>
            <w:hideMark/>
          </w:tcPr>
          <w:p w:rsidR="00BA762C" w:rsidRPr="00E3331A" w:rsidRDefault="00BA762C" w:rsidP="00BA762C">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3,624</w:t>
            </w:r>
          </w:p>
        </w:tc>
        <w:tc>
          <w:tcPr>
            <w:tcW w:w="2075" w:type="dxa"/>
            <w:tcBorders>
              <w:top w:val="nil"/>
              <w:left w:val="nil"/>
              <w:bottom w:val="single" w:sz="4" w:space="0" w:color="auto"/>
              <w:right w:val="single" w:sz="4" w:space="0" w:color="auto"/>
            </w:tcBorders>
            <w:shd w:val="clear" w:color="auto" w:fill="auto"/>
            <w:noWrap/>
            <w:vAlign w:val="center"/>
            <w:hideMark/>
          </w:tcPr>
          <w:p w:rsidR="00BA762C" w:rsidRPr="00E3331A" w:rsidRDefault="00BA762C" w:rsidP="00BA762C">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Regression analysis of 2012-18 CIDP patients using NBA reporting projected 2020-2024</w:t>
            </w:r>
          </w:p>
        </w:tc>
      </w:tr>
    </w:tbl>
    <w:p w:rsidR="001F5B33" w:rsidRPr="00E3331A" w:rsidRDefault="001F5B33" w:rsidP="001F5B33">
      <w:pPr>
        <w:rPr>
          <w:rFonts w:ascii="Arial Narrow" w:hAnsi="Arial Narrow"/>
          <w:sz w:val="18"/>
        </w:rPr>
      </w:pPr>
      <w:r w:rsidRPr="00E3331A">
        <w:rPr>
          <w:rFonts w:ascii="Arial Narrow" w:hAnsi="Arial Narrow"/>
          <w:sz w:val="18"/>
        </w:rPr>
        <w:t xml:space="preserve">Abbreviations: </w:t>
      </w:r>
      <w:r w:rsidR="00D92C37" w:rsidRPr="00E3331A">
        <w:rPr>
          <w:rFonts w:ascii="Arial Narrow" w:hAnsi="Arial Narrow"/>
          <w:sz w:val="18"/>
        </w:rPr>
        <w:t>AAN = American Academy of Neurology, CIDP = chronic inflammatory demyelinating polyneuropathy, EFNS/PNS = European Federation of Neurological Societies/Peripheral Nerve Society, INCAT = inflammatory neuropathy cause and treatment. NBA = National Blood Authority.</w:t>
      </w:r>
    </w:p>
    <w:p w:rsidR="001F5B33" w:rsidRPr="00E3331A" w:rsidRDefault="001F5B33" w:rsidP="001F5B33">
      <w:pPr>
        <w:pStyle w:val="Heading3"/>
      </w:pPr>
      <w:bookmarkStart w:id="499" w:name="_Toc24103523"/>
      <w:r w:rsidRPr="00E3331A">
        <w:t>E.2.2.</w:t>
      </w:r>
      <w:r w:rsidRPr="00E3331A">
        <w:tab/>
        <w:t>Number who would be eligible for the requested restriction</w:t>
      </w:r>
      <w:bookmarkEnd w:id="499"/>
    </w:p>
    <w:p w:rsidR="001F5B33" w:rsidRPr="00E3331A" w:rsidRDefault="001F5B33" w:rsidP="001F5B33">
      <w:pPr>
        <w:jc w:val="both"/>
      </w:pPr>
      <w:r w:rsidRPr="00E3331A">
        <w:t>The current Ig use criteria specify that confirmed CIDP patients with significant disability or compromised walking (measured by ONLS score of at least two points, and MRC sum score</w:t>
      </w:r>
      <w:r w:rsidR="007C068F" w:rsidRPr="00E3331A">
        <w:t xml:space="preserve"> for patients &gt;10 years and 6MWT and/or Modified Rankin Scale sum score for patients ≤ 10 years</w:t>
      </w:r>
      <w:r w:rsidRPr="00E3331A">
        <w:t xml:space="preserve">) and </w:t>
      </w:r>
      <w:r w:rsidR="00F16491" w:rsidRPr="00E3331A">
        <w:t>those</w:t>
      </w:r>
      <w:r w:rsidRPr="00E3331A">
        <w:t xml:space="preserve"> who relapse within six months of commencing a trial off Ig therapy are eligible for Ig. Neurologist reviews should be undertaken annually to support continu</w:t>
      </w:r>
      <w:r w:rsidR="00F16491" w:rsidRPr="00E3331A">
        <w:t>ed</w:t>
      </w:r>
      <w:r w:rsidRPr="00E3331A">
        <w:t xml:space="preserve"> IVIg therapy. Patients are also eligible for Ig therapy in the event </w:t>
      </w:r>
      <w:r w:rsidR="00F16491" w:rsidRPr="00E3331A">
        <w:t xml:space="preserve">that </w:t>
      </w:r>
      <w:r w:rsidRPr="00E3331A">
        <w:t>relapse has occurred within six months of the last Ig dose. The PICO note</w:t>
      </w:r>
      <w:r w:rsidR="00F16491" w:rsidRPr="00E3331A">
        <w:t>s</w:t>
      </w:r>
      <w:r w:rsidRPr="00E3331A">
        <w:t xml:space="preserve"> that IVIg is often a </w:t>
      </w:r>
      <w:r w:rsidR="00DA591D" w:rsidRPr="00E3331A">
        <w:t>first-choice</w:t>
      </w:r>
      <w:r w:rsidRPr="00E3331A">
        <w:t xml:space="preserve"> treatment option for patients with moderate to</w:t>
      </w:r>
      <w:r w:rsidR="00781AD8" w:rsidRPr="00E3331A">
        <w:t>o</w:t>
      </w:r>
      <w:r w:rsidRPr="00E3331A">
        <w:t xml:space="preserve"> severe CIDP in Australia.</w:t>
      </w:r>
      <w:r w:rsidR="00781AD8" w:rsidRPr="00E3331A">
        <w:t xml:space="preserve"> CIDP patients access Ig treatment in Australia according to NBA Criteria eligibility. The total number of CIDP patients in Australia is unknown, thus the proportion using Ig is unclear, but regression analysis indicates that the number of CIDP patients using Ig will increase to 3,624 by 2024</w:t>
      </w:r>
      <w:r w:rsidR="00664B73">
        <w:t>.</w:t>
      </w:r>
    </w:p>
    <w:p w:rsidR="001F5B33" w:rsidRPr="00E3331A" w:rsidRDefault="001F5B33" w:rsidP="001F5B33">
      <w:pPr>
        <w:pStyle w:val="Heading3"/>
      </w:pPr>
      <w:bookmarkStart w:id="500" w:name="_Toc24103524"/>
      <w:r w:rsidRPr="00E3331A">
        <w:t>E.2.3.</w:t>
      </w:r>
      <w:r w:rsidRPr="00E3331A">
        <w:tab/>
        <w:t>Number of patients</w:t>
      </w:r>
      <w:bookmarkEnd w:id="500"/>
      <w:r w:rsidRPr="00E3331A">
        <w:t xml:space="preserve"> </w:t>
      </w:r>
    </w:p>
    <w:p w:rsidR="00426F62" w:rsidRPr="00E3331A" w:rsidRDefault="00781AD8" w:rsidP="00304276">
      <w:r w:rsidRPr="00E3331A">
        <w:t>Clinical feedback provided during the evaluation indicated that 60% of patients have chronic progressive CIDP requiring lifelong treatment, 30% have a relapsing-remitting form requiring recurrent treatment for relapses (often treated lifelong after second relapse), and 10% are monophasic and could be taken off treatment. Clinical feedback indicated that about 5% of CIDP patients have the pure motor form of the disease. Steroid studies indicated that half of CIDP patients could be contraindicated or non-responsive to steroids. It is unclear what proportion of Ig-using CIDP patients in Australia are steroid</w:t>
      </w:r>
      <w:r w:rsidR="00417823">
        <w:t>-resistant</w:t>
      </w:r>
      <w:r w:rsidRPr="00E3331A">
        <w:t xml:space="preserve">. </w:t>
      </w:r>
      <w:r w:rsidR="001F5B33" w:rsidRPr="00E3331A">
        <w:t xml:space="preserve">The numbers of </w:t>
      </w:r>
      <w:r w:rsidR="00D92C37" w:rsidRPr="00E3331A">
        <w:t xml:space="preserve">CIDP </w:t>
      </w:r>
      <w:r w:rsidR="001F5B33" w:rsidRPr="00E3331A">
        <w:t xml:space="preserve">patients </w:t>
      </w:r>
      <w:r w:rsidR="00D92C37" w:rsidRPr="00E3331A">
        <w:t>(all sub-groups) who are projected to avail</w:t>
      </w:r>
      <w:r w:rsidR="001F5B33" w:rsidRPr="00E3331A">
        <w:t xml:space="preserve"> Ig over a five-year period are summarised in </w:t>
      </w:r>
      <w:r w:rsidR="006F35B9" w:rsidRPr="00E3331A">
        <w:t xml:space="preserve">Table </w:t>
      </w:r>
      <w:r w:rsidR="006F35B9">
        <w:rPr>
          <w:noProof/>
        </w:rPr>
        <w:t>87</w:t>
      </w:r>
      <w:r w:rsidR="00D92C37" w:rsidRPr="00E3331A">
        <w:t xml:space="preserve"> using the 2012-2018 trend in patient numbers</w:t>
      </w:r>
      <w:r w:rsidR="001F5B33" w:rsidRPr="00E3331A">
        <w:t>.</w:t>
      </w:r>
      <w:r w:rsidR="00D92C37" w:rsidRPr="00E3331A">
        <w:t xml:space="preserve"> </w:t>
      </w:r>
    </w:p>
    <w:p w:rsidR="00155820" w:rsidRPr="00E3331A" w:rsidRDefault="00155820" w:rsidP="00155820">
      <w:pPr>
        <w:pStyle w:val="Heading3"/>
      </w:pPr>
      <w:bookmarkStart w:id="501" w:name="_Toc24103525"/>
      <w:r w:rsidRPr="00E3331A">
        <w:t>E.2.4.</w:t>
      </w:r>
      <w:r w:rsidRPr="00E3331A">
        <w:tab/>
      </w:r>
      <w:r w:rsidR="00781AD8" w:rsidRPr="00E3331A">
        <w:t>Estimated Cost per Patient Who Receives Ig</w:t>
      </w:r>
      <w:bookmarkEnd w:id="501"/>
    </w:p>
    <w:p w:rsidR="00781AD8" w:rsidRPr="00E3331A" w:rsidRDefault="00781AD8" w:rsidP="00781AD8">
      <w:pPr>
        <w:jc w:val="both"/>
      </w:pPr>
      <w:r w:rsidRPr="00E3331A">
        <w:t xml:space="preserve">Average Ig use of 497g per patient per year (NBA reporting) is used for Ig cost estimates in the budget impact analysis. Four Ig price scenarios are included in the analysis. The base case analysis: domestic unit cost of IVIg excluding plasma, $60.41; in addition to sensitivity analyses based on: </w:t>
      </w:r>
    </w:p>
    <w:p w:rsidR="00781AD8" w:rsidRPr="00E3331A" w:rsidRDefault="00781AD8" w:rsidP="00781AD8">
      <w:pPr>
        <w:ind w:left="567"/>
        <w:jc w:val="both"/>
      </w:pPr>
      <w:r w:rsidRPr="00E3331A">
        <w:t xml:space="preserve">1) Highest cost Ig: domestic IVIg including plasma, $140.18; </w:t>
      </w:r>
    </w:p>
    <w:p w:rsidR="00781AD8" w:rsidRPr="00E3331A" w:rsidRDefault="00781AD8" w:rsidP="00781AD8">
      <w:pPr>
        <w:ind w:left="567"/>
        <w:jc w:val="both"/>
      </w:pPr>
      <w:r w:rsidRPr="00E3331A">
        <w:t xml:space="preserve">2) Lowest cost Ig: imported IVIg, $44.94; and </w:t>
      </w:r>
    </w:p>
    <w:p w:rsidR="00781AD8" w:rsidRPr="00E3331A" w:rsidRDefault="00781AD8" w:rsidP="00781AD8">
      <w:pPr>
        <w:ind w:left="567"/>
        <w:jc w:val="both"/>
      </w:pPr>
      <w:r w:rsidRPr="00E3331A">
        <w:lastRenderedPageBreak/>
        <w:t xml:space="preserve">3) </w:t>
      </w:r>
      <w:r w:rsidR="000A1BD4">
        <w:t>T</w:t>
      </w:r>
      <w:r w:rsidRPr="00E3331A">
        <w:t xml:space="preserve">he weighted average cost across all indications when plasma is included, which is estimated to be $94.51. </w:t>
      </w:r>
    </w:p>
    <w:p w:rsidR="00781AD8" w:rsidRPr="00E3331A" w:rsidRDefault="00781AD8" w:rsidP="00781AD8">
      <w:pPr>
        <w:jc w:val="both"/>
      </w:pPr>
      <w:r w:rsidRPr="00E3331A">
        <w:t xml:space="preserve">Costs of Ig delivery were presented in Section D. They are outlined again in </w:t>
      </w:r>
      <w:r w:rsidR="00664B73" w:rsidRPr="00E3331A">
        <w:t xml:space="preserve">Table </w:t>
      </w:r>
      <w:r w:rsidR="00664B73">
        <w:rPr>
          <w:noProof/>
        </w:rPr>
        <w:t>88</w:t>
      </w:r>
      <w:r w:rsidR="00664B73">
        <w:rPr>
          <w:b/>
          <w:bCs/>
          <w:lang w:val="en-US"/>
        </w:rPr>
        <w:t xml:space="preserve"> </w:t>
      </w:r>
      <w:r w:rsidRPr="00E3331A">
        <w:t xml:space="preserve">with an allowance for MBS and PBS proportions of total cost. </w:t>
      </w:r>
    </w:p>
    <w:p w:rsidR="00781AD8" w:rsidRPr="00E3331A" w:rsidRDefault="00781AD8" w:rsidP="00781AD8">
      <w:pPr>
        <w:pStyle w:val="Caption"/>
      </w:pPr>
      <w:bookmarkStart w:id="502" w:name="_Ref19028344"/>
      <w:bookmarkStart w:id="503" w:name="_Toc24103394"/>
      <w:r w:rsidRPr="00E3331A">
        <w:t xml:space="preserve">Table </w:t>
      </w:r>
      <w:r w:rsidR="006F35B9">
        <w:rPr>
          <w:noProof/>
        </w:rPr>
        <w:t>88</w:t>
      </w:r>
      <w:bookmarkEnd w:id="502"/>
      <w:r w:rsidRPr="00E3331A">
        <w:tab/>
        <w:t>Unit costs of Ig Delivery</w:t>
      </w:r>
      <w:r w:rsidR="001E6B99">
        <w:t>: IVIg product cost and delivery (maintenance)</w:t>
      </w:r>
      <w:bookmarkEnd w:id="503"/>
    </w:p>
    <w:tbl>
      <w:tblPr>
        <w:tblW w:w="0" w:type="auto"/>
        <w:tblLayout w:type="fixed"/>
        <w:tblLook w:val="04A0" w:firstRow="1" w:lastRow="0" w:firstColumn="1" w:lastColumn="0" w:noHBand="0" w:noVBand="1"/>
      </w:tblPr>
      <w:tblGrid>
        <w:gridCol w:w="1270"/>
        <w:gridCol w:w="852"/>
        <w:gridCol w:w="992"/>
        <w:gridCol w:w="709"/>
        <w:gridCol w:w="850"/>
        <w:gridCol w:w="992"/>
        <w:gridCol w:w="993"/>
        <w:gridCol w:w="1149"/>
        <w:gridCol w:w="1209"/>
      </w:tblGrid>
      <w:tr w:rsidR="00781AD8" w:rsidRPr="00E3331A" w:rsidTr="00464E0A">
        <w:trPr>
          <w:trHeight w:val="960"/>
        </w:trPr>
        <w:tc>
          <w:tcPr>
            <w:tcW w:w="12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81AD8" w:rsidRPr="00E3331A" w:rsidRDefault="00781AD8" w:rsidP="003A1339">
            <w:pPr>
              <w:spacing w:after="0" w:line="240" w:lineRule="auto"/>
              <w:jc w:val="center"/>
              <w:rPr>
                <w:rFonts w:ascii="Arial Narrow" w:hAnsi="Arial Narrow" w:cs="Calibri"/>
                <w:b/>
                <w:bCs/>
                <w:sz w:val="18"/>
                <w:szCs w:val="20"/>
              </w:rPr>
            </w:pPr>
            <w:r w:rsidRPr="00E3331A">
              <w:rPr>
                <w:rFonts w:ascii="Arial Narrow" w:hAnsi="Arial Narrow" w:cs="Calibri"/>
                <w:b/>
                <w:bCs/>
                <w:sz w:val="18"/>
                <w:szCs w:val="20"/>
              </w:rPr>
              <w:t>MBS Item</w:t>
            </w:r>
          </w:p>
        </w:tc>
        <w:tc>
          <w:tcPr>
            <w:tcW w:w="852" w:type="dxa"/>
            <w:tcBorders>
              <w:top w:val="single" w:sz="4" w:space="0" w:color="auto"/>
              <w:left w:val="nil"/>
              <w:bottom w:val="single" w:sz="4" w:space="0" w:color="auto"/>
              <w:right w:val="single" w:sz="4" w:space="0" w:color="auto"/>
            </w:tcBorders>
            <w:shd w:val="clear" w:color="auto" w:fill="D9D9D9"/>
            <w:vAlign w:val="center"/>
            <w:hideMark/>
          </w:tcPr>
          <w:p w:rsidR="00781AD8" w:rsidRPr="00E3331A" w:rsidRDefault="00781AD8" w:rsidP="003A1339">
            <w:pPr>
              <w:spacing w:after="0" w:line="240" w:lineRule="auto"/>
              <w:jc w:val="center"/>
              <w:rPr>
                <w:rFonts w:ascii="Arial Narrow" w:hAnsi="Arial Narrow" w:cs="Calibri"/>
                <w:b/>
                <w:bCs/>
                <w:sz w:val="18"/>
                <w:szCs w:val="20"/>
              </w:rPr>
            </w:pPr>
            <w:r w:rsidRPr="00E3331A">
              <w:rPr>
                <w:rFonts w:ascii="Arial Narrow" w:hAnsi="Arial Narrow" w:cs="Calibri"/>
                <w:b/>
                <w:bCs/>
                <w:sz w:val="18"/>
                <w:szCs w:val="20"/>
              </w:rPr>
              <w:t xml:space="preserve">Provider </w:t>
            </w:r>
          </w:p>
        </w:tc>
        <w:tc>
          <w:tcPr>
            <w:tcW w:w="992" w:type="dxa"/>
            <w:tcBorders>
              <w:top w:val="single" w:sz="4" w:space="0" w:color="auto"/>
              <w:left w:val="nil"/>
              <w:bottom w:val="single" w:sz="4" w:space="0" w:color="auto"/>
              <w:right w:val="single" w:sz="4" w:space="0" w:color="auto"/>
            </w:tcBorders>
            <w:shd w:val="clear" w:color="auto" w:fill="D9D9D9"/>
            <w:vAlign w:val="center"/>
            <w:hideMark/>
          </w:tcPr>
          <w:p w:rsidR="00781AD8" w:rsidRPr="00E3331A" w:rsidRDefault="00781AD8" w:rsidP="003A1339">
            <w:pPr>
              <w:spacing w:after="0" w:line="240" w:lineRule="auto"/>
              <w:jc w:val="center"/>
              <w:rPr>
                <w:rFonts w:ascii="Arial Narrow" w:hAnsi="Arial Narrow" w:cs="Calibri"/>
                <w:b/>
                <w:bCs/>
                <w:sz w:val="18"/>
                <w:szCs w:val="20"/>
              </w:rPr>
            </w:pPr>
            <w:r w:rsidRPr="00E3331A">
              <w:rPr>
                <w:rFonts w:ascii="Arial Narrow" w:hAnsi="Arial Narrow" w:cs="Calibri"/>
                <w:b/>
                <w:bCs/>
                <w:sz w:val="18"/>
                <w:szCs w:val="20"/>
              </w:rPr>
              <w:t xml:space="preserve">Price per unit </w:t>
            </w:r>
          </w:p>
        </w:tc>
        <w:tc>
          <w:tcPr>
            <w:tcW w:w="709" w:type="dxa"/>
            <w:tcBorders>
              <w:top w:val="single" w:sz="4" w:space="0" w:color="auto"/>
              <w:left w:val="nil"/>
              <w:bottom w:val="single" w:sz="4" w:space="0" w:color="auto"/>
              <w:right w:val="single" w:sz="4" w:space="0" w:color="auto"/>
            </w:tcBorders>
            <w:shd w:val="clear" w:color="auto" w:fill="D9D9D9"/>
            <w:vAlign w:val="center"/>
            <w:hideMark/>
          </w:tcPr>
          <w:p w:rsidR="00781AD8" w:rsidRPr="00E3331A" w:rsidRDefault="004E1CBF" w:rsidP="003A1339">
            <w:pPr>
              <w:spacing w:after="0" w:line="240" w:lineRule="auto"/>
              <w:jc w:val="center"/>
              <w:rPr>
                <w:rFonts w:ascii="Arial Narrow" w:hAnsi="Arial Narrow" w:cs="Calibri"/>
                <w:b/>
                <w:bCs/>
                <w:sz w:val="18"/>
                <w:szCs w:val="20"/>
              </w:rPr>
            </w:pPr>
            <w:r w:rsidRPr="00E3331A">
              <w:rPr>
                <w:rFonts w:ascii="Arial Narrow" w:hAnsi="Arial Narrow" w:cs="Calibri"/>
                <w:b/>
                <w:bCs/>
                <w:sz w:val="18"/>
                <w:szCs w:val="20"/>
              </w:rPr>
              <w:t>P</w:t>
            </w:r>
            <w:r w:rsidR="00781AD8" w:rsidRPr="00E3331A">
              <w:rPr>
                <w:rFonts w:ascii="Arial Narrow" w:hAnsi="Arial Narrow" w:cs="Calibri"/>
                <w:b/>
                <w:bCs/>
                <w:sz w:val="18"/>
                <w:szCs w:val="20"/>
              </w:rPr>
              <w:t>er year</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rsidR="00781AD8" w:rsidRPr="00E3331A" w:rsidRDefault="00781AD8" w:rsidP="003A1339">
            <w:pPr>
              <w:spacing w:after="0" w:line="240" w:lineRule="auto"/>
              <w:jc w:val="center"/>
              <w:rPr>
                <w:rFonts w:ascii="Arial Narrow" w:hAnsi="Arial Narrow" w:cs="Calibri"/>
                <w:b/>
                <w:bCs/>
                <w:sz w:val="18"/>
                <w:szCs w:val="20"/>
              </w:rPr>
            </w:pPr>
            <w:r w:rsidRPr="00E3331A">
              <w:rPr>
                <w:rFonts w:ascii="Arial Narrow" w:hAnsi="Arial Narrow" w:cs="Calibri"/>
                <w:b/>
                <w:bCs/>
                <w:sz w:val="18"/>
                <w:szCs w:val="20"/>
              </w:rPr>
              <w:t xml:space="preserve">% </w:t>
            </w:r>
            <w:r w:rsidR="004E1CBF" w:rsidRPr="00E3331A">
              <w:rPr>
                <w:rFonts w:ascii="Arial Narrow" w:hAnsi="Arial Narrow" w:cs="Calibri"/>
                <w:b/>
                <w:bCs/>
                <w:sz w:val="18"/>
                <w:szCs w:val="20"/>
              </w:rPr>
              <w:t>of Patients</w:t>
            </w:r>
          </w:p>
        </w:tc>
        <w:tc>
          <w:tcPr>
            <w:tcW w:w="992" w:type="dxa"/>
            <w:tcBorders>
              <w:top w:val="single" w:sz="4" w:space="0" w:color="auto"/>
              <w:left w:val="nil"/>
              <w:bottom w:val="single" w:sz="4" w:space="0" w:color="auto"/>
              <w:right w:val="single" w:sz="4" w:space="0" w:color="auto"/>
            </w:tcBorders>
            <w:shd w:val="clear" w:color="auto" w:fill="D9D9D9"/>
            <w:vAlign w:val="center"/>
            <w:hideMark/>
          </w:tcPr>
          <w:p w:rsidR="00781AD8" w:rsidRPr="00E3331A" w:rsidRDefault="00781AD8" w:rsidP="003A1339">
            <w:pPr>
              <w:spacing w:after="0" w:line="240" w:lineRule="auto"/>
              <w:jc w:val="center"/>
              <w:rPr>
                <w:rFonts w:ascii="Arial Narrow" w:hAnsi="Arial Narrow" w:cs="Calibri"/>
                <w:b/>
                <w:bCs/>
                <w:sz w:val="18"/>
                <w:szCs w:val="20"/>
              </w:rPr>
            </w:pPr>
            <w:r w:rsidRPr="00E3331A">
              <w:rPr>
                <w:rFonts w:ascii="Arial Narrow" w:hAnsi="Arial Narrow" w:cs="Calibri"/>
                <w:b/>
                <w:bCs/>
                <w:sz w:val="18"/>
                <w:szCs w:val="20"/>
              </w:rPr>
              <w:t>Total cost</w:t>
            </w:r>
          </w:p>
        </w:tc>
        <w:tc>
          <w:tcPr>
            <w:tcW w:w="993" w:type="dxa"/>
            <w:tcBorders>
              <w:top w:val="single" w:sz="4" w:space="0" w:color="auto"/>
              <w:left w:val="nil"/>
              <w:bottom w:val="single" w:sz="4" w:space="0" w:color="auto"/>
              <w:right w:val="single" w:sz="4" w:space="0" w:color="auto"/>
            </w:tcBorders>
            <w:shd w:val="clear" w:color="auto" w:fill="D9D9D9"/>
            <w:vAlign w:val="center"/>
            <w:hideMark/>
          </w:tcPr>
          <w:p w:rsidR="00781AD8" w:rsidRPr="00E3331A" w:rsidRDefault="007F46D5" w:rsidP="003A1339">
            <w:pPr>
              <w:spacing w:after="0" w:line="240" w:lineRule="auto"/>
              <w:jc w:val="center"/>
              <w:rPr>
                <w:rFonts w:ascii="Arial Narrow" w:hAnsi="Arial Narrow" w:cs="Calibri"/>
                <w:b/>
                <w:bCs/>
                <w:sz w:val="18"/>
                <w:szCs w:val="20"/>
              </w:rPr>
            </w:pPr>
            <w:r w:rsidRPr="00E3331A">
              <w:rPr>
                <w:rFonts w:ascii="Arial Narrow" w:hAnsi="Arial Narrow" w:cs="Calibri"/>
                <w:b/>
                <w:bCs/>
                <w:sz w:val="18"/>
                <w:szCs w:val="20"/>
              </w:rPr>
              <w:t xml:space="preserve">State, NBA, </w:t>
            </w:r>
            <w:r w:rsidR="00781AD8" w:rsidRPr="00E3331A">
              <w:rPr>
                <w:rFonts w:ascii="Arial Narrow" w:hAnsi="Arial Narrow" w:cs="Calibri"/>
                <w:b/>
                <w:bCs/>
                <w:sz w:val="18"/>
                <w:szCs w:val="20"/>
              </w:rPr>
              <w:t>MBS, PBS proportion of total cost</w:t>
            </w:r>
          </w:p>
        </w:tc>
        <w:tc>
          <w:tcPr>
            <w:tcW w:w="1149" w:type="dxa"/>
            <w:tcBorders>
              <w:top w:val="single" w:sz="4" w:space="0" w:color="auto"/>
              <w:left w:val="nil"/>
              <w:bottom w:val="single" w:sz="4" w:space="0" w:color="auto"/>
              <w:right w:val="single" w:sz="4" w:space="0" w:color="auto"/>
            </w:tcBorders>
            <w:shd w:val="clear" w:color="auto" w:fill="D9D9D9"/>
            <w:vAlign w:val="center"/>
            <w:hideMark/>
          </w:tcPr>
          <w:p w:rsidR="00781AD8" w:rsidRPr="00E3331A" w:rsidRDefault="007F46D5" w:rsidP="003A1339">
            <w:pPr>
              <w:spacing w:after="0" w:line="240" w:lineRule="auto"/>
              <w:jc w:val="center"/>
              <w:rPr>
                <w:rFonts w:ascii="Arial Narrow" w:hAnsi="Arial Narrow" w:cs="Calibri"/>
                <w:b/>
                <w:bCs/>
                <w:sz w:val="18"/>
                <w:szCs w:val="20"/>
              </w:rPr>
            </w:pPr>
            <w:r w:rsidRPr="00E3331A">
              <w:rPr>
                <w:rFonts w:ascii="Arial Narrow" w:hAnsi="Arial Narrow" w:cs="Calibri"/>
                <w:b/>
                <w:bCs/>
                <w:sz w:val="18"/>
                <w:szCs w:val="20"/>
              </w:rPr>
              <w:t>State</w:t>
            </w:r>
            <w:r w:rsidR="00781AD8" w:rsidRPr="00E3331A">
              <w:rPr>
                <w:rFonts w:ascii="Arial Narrow" w:hAnsi="Arial Narrow" w:cs="Calibri"/>
                <w:b/>
                <w:bCs/>
                <w:sz w:val="18"/>
                <w:szCs w:val="20"/>
              </w:rPr>
              <w:t xml:space="preserve">, </w:t>
            </w:r>
            <w:r w:rsidRPr="00E3331A">
              <w:rPr>
                <w:rFonts w:ascii="Arial Narrow" w:hAnsi="Arial Narrow" w:cs="Calibri"/>
                <w:b/>
                <w:bCs/>
                <w:sz w:val="18"/>
                <w:szCs w:val="20"/>
              </w:rPr>
              <w:t xml:space="preserve">NBA, </w:t>
            </w:r>
            <w:r w:rsidR="00781AD8" w:rsidRPr="00E3331A">
              <w:rPr>
                <w:rFonts w:ascii="Arial Narrow" w:hAnsi="Arial Narrow" w:cs="Calibri"/>
                <w:b/>
                <w:bCs/>
                <w:sz w:val="18"/>
                <w:szCs w:val="20"/>
              </w:rPr>
              <w:t>MBS or PBS cost</w:t>
            </w:r>
          </w:p>
        </w:tc>
        <w:tc>
          <w:tcPr>
            <w:tcW w:w="1209" w:type="dxa"/>
            <w:tcBorders>
              <w:top w:val="single" w:sz="4" w:space="0" w:color="auto"/>
              <w:left w:val="nil"/>
              <w:bottom w:val="single" w:sz="4" w:space="0" w:color="auto"/>
              <w:right w:val="single" w:sz="4" w:space="0" w:color="auto"/>
            </w:tcBorders>
            <w:shd w:val="clear" w:color="auto" w:fill="D9D9D9"/>
            <w:vAlign w:val="center"/>
            <w:hideMark/>
          </w:tcPr>
          <w:p w:rsidR="00781AD8" w:rsidRPr="00E3331A" w:rsidRDefault="00781AD8" w:rsidP="003A1339">
            <w:pPr>
              <w:spacing w:after="0" w:line="240" w:lineRule="auto"/>
              <w:jc w:val="center"/>
              <w:rPr>
                <w:rFonts w:ascii="Arial Narrow" w:hAnsi="Arial Narrow" w:cs="Calibri"/>
                <w:b/>
                <w:bCs/>
                <w:sz w:val="18"/>
                <w:szCs w:val="20"/>
              </w:rPr>
            </w:pPr>
            <w:r w:rsidRPr="00E3331A">
              <w:rPr>
                <w:rFonts w:ascii="Arial Narrow" w:hAnsi="Arial Narrow" w:cs="Calibri"/>
                <w:b/>
                <w:bCs/>
                <w:sz w:val="18"/>
                <w:szCs w:val="20"/>
              </w:rPr>
              <w:t>Source</w:t>
            </w:r>
          </w:p>
        </w:tc>
      </w:tr>
      <w:tr w:rsidR="004E1CBF" w:rsidRPr="00E3331A" w:rsidTr="00464E0A">
        <w:trPr>
          <w:trHeight w:val="510"/>
        </w:trPr>
        <w:tc>
          <w:tcPr>
            <w:tcW w:w="1270" w:type="dxa"/>
            <w:tcBorders>
              <w:top w:val="nil"/>
              <w:left w:val="single" w:sz="4" w:space="0" w:color="auto"/>
              <w:bottom w:val="single" w:sz="4" w:space="0" w:color="auto"/>
              <w:right w:val="single" w:sz="4" w:space="0" w:color="auto"/>
            </w:tcBorders>
            <w:shd w:val="clear" w:color="auto" w:fill="auto"/>
            <w:vAlign w:val="center"/>
            <w:hideMark/>
          </w:tcPr>
          <w:p w:rsidR="004E1CBF" w:rsidRPr="00E3331A" w:rsidRDefault="004E1CBF" w:rsidP="004E1CBF">
            <w:pPr>
              <w:spacing w:after="0" w:line="240" w:lineRule="auto"/>
              <w:rPr>
                <w:rFonts w:ascii="Arial Narrow" w:hAnsi="Arial Narrow" w:cs="Calibri"/>
                <w:sz w:val="20"/>
                <w:szCs w:val="20"/>
              </w:rPr>
            </w:pPr>
            <w:r w:rsidRPr="00E3331A">
              <w:rPr>
                <w:rFonts w:ascii="Arial Narrow" w:hAnsi="Arial Narrow" w:cs="Calibri"/>
                <w:sz w:val="20"/>
                <w:szCs w:val="20"/>
              </w:rPr>
              <w:t xml:space="preserve">Antihistamine, Cetirizine hydrochloride 10mg tablet, </w:t>
            </w:r>
          </w:p>
        </w:tc>
        <w:tc>
          <w:tcPr>
            <w:tcW w:w="852" w:type="dxa"/>
            <w:tcBorders>
              <w:top w:val="nil"/>
              <w:left w:val="nil"/>
              <w:bottom w:val="single" w:sz="4" w:space="0" w:color="auto"/>
              <w:right w:val="single" w:sz="4" w:space="0" w:color="auto"/>
            </w:tcBorders>
            <w:shd w:val="clear" w:color="auto" w:fill="auto"/>
            <w:noWrap/>
            <w:vAlign w:val="center"/>
            <w:hideMark/>
          </w:tcPr>
          <w:p w:rsidR="004E1CBF" w:rsidRPr="00E3331A" w:rsidRDefault="004E1CBF" w:rsidP="004E1CBF">
            <w:pPr>
              <w:spacing w:after="0" w:line="240" w:lineRule="auto"/>
              <w:jc w:val="center"/>
              <w:rPr>
                <w:rFonts w:ascii="Arial Narrow" w:hAnsi="Arial Narrow" w:cs="Calibri"/>
                <w:sz w:val="20"/>
                <w:szCs w:val="20"/>
              </w:rPr>
            </w:pPr>
            <w:r w:rsidRPr="00E3331A">
              <w:rPr>
                <w:rFonts w:ascii="Arial Narrow" w:hAnsi="Arial Narrow" w:cs="Calibri"/>
                <w:sz w:val="20"/>
                <w:szCs w:val="20"/>
              </w:rPr>
              <w:t>PBS</w:t>
            </w:r>
          </w:p>
        </w:tc>
        <w:tc>
          <w:tcPr>
            <w:tcW w:w="992" w:type="dxa"/>
            <w:tcBorders>
              <w:top w:val="nil"/>
              <w:left w:val="nil"/>
              <w:bottom w:val="single" w:sz="4" w:space="0" w:color="auto"/>
              <w:right w:val="single" w:sz="4" w:space="0" w:color="auto"/>
            </w:tcBorders>
            <w:shd w:val="clear" w:color="auto" w:fill="auto"/>
            <w:noWrap/>
            <w:vAlign w:val="center"/>
            <w:hideMark/>
          </w:tcPr>
          <w:p w:rsidR="004E1CBF" w:rsidRPr="00E3331A" w:rsidRDefault="004E1CBF" w:rsidP="004E1CBF">
            <w:pPr>
              <w:spacing w:after="0" w:line="240" w:lineRule="auto"/>
              <w:jc w:val="center"/>
              <w:rPr>
                <w:rFonts w:ascii="Arial Narrow" w:hAnsi="Arial Narrow" w:cs="Calibri"/>
                <w:sz w:val="20"/>
                <w:szCs w:val="20"/>
              </w:rPr>
            </w:pPr>
            <w:r w:rsidRPr="00E3331A">
              <w:rPr>
                <w:rFonts w:ascii="Arial Narrow" w:hAnsi="Arial Narrow" w:cs="Calibri"/>
                <w:sz w:val="20"/>
                <w:szCs w:val="20"/>
              </w:rPr>
              <w:t>$0.9</w:t>
            </w:r>
          </w:p>
        </w:tc>
        <w:tc>
          <w:tcPr>
            <w:tcW w:w="709"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13.2</w:t>
            </w:r>
          </w:p>
        </w:tc>
        <w:tc>
          <w:tcPr>
            <w:tcW w:w="850"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w:t>
            </w:r>
          </w:p>
        </w:tc>
        <w:tc>
          <w:tcPr>
            <w:tcW w:w="992"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$1.2</w:t>
            </w:r>
          </w:p>
        </w:tc>
        <w:tc>
          <w:tcPr>
            <w:tcW w:w="993"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149"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$1.2</w:t>
            </w:r>
          </w:p>
        </w:tc>
        <w:tc>
          <w:tcPr>
            <w:tcW w:w="1209" w:type="dxa"/>
            <w:tcBorders>
              <w:top w:val="nil"/>
              <w:left w:val="nil"/>
              <w:bottom w:val="single" w:sz="4" w:space="0" w:color="auto"/>
              <w:right w:val="single" w:sz="4" w:space="0" w:color="auto"/>
            </w:tcBorders>
            <w:shd w:val="clear" w:color="auto" w:fill="auto"/>
            <w:vAlign w:val="center"/>
            <w:hideMark/>
          </w:tcPr>
          <w:p w:rsidR="004E1CBF" w:rsidRPr="00E3331A" w:rsidRDefault="004E1CBF" w:rsidP="004E1CBF">
            <w:pPr>
              <w:spacing w:after="0" w:line="240" w:lineRule="auto"/>
              <w:rPr>
                <w:rFonts w:ascii="Arial Narrow" w:hAnsi="Arial Narrow" w:cs="Calibri"/>
                <w:sz w:val="20"/>
                <w:szCs w:val="20"/>
              </w:rPr>
            </w:pPr>
            <w:r w:rsidRPr="00E3331A">
              <w:rPr>
                <w:rFonts w:ascii="Arial Narrow" w:hAnsi="Arial Narrow" w:cs="Calibri"/>
                <w:sz w:val="20"/>
                <w:szCs w:val="20"/>
              </w:rPr>
              <w:t>PBS website. Pack cost divided by 30</w:t>
            </w:r>
          </w:p>
        </w:tc>
      </w:tr>
      <w:tr w:rsidR="004E1CBF" w:rsidRPr="00E3331A" w:rsidTr="00464E0A">
        <w:trPr>
          <w:trHeight w:val="510"/>
        </w:trPr>
        <w:tc>
          <w:tcPr>
            <w:tcW w:w="1270" w:type="dxa"/>
            <w:tcBorders>
              <w:top w:val="nil"/>
              <w:left w:val="single" w:sz="4" w:space="0" w:color="auto"/>
              <w:bottom w:val="single" w:sz="4" w:space="0" w:color="auto"/>
              <w:right w:val="single" w:sz="4" w:space="0" w:color="auto"/>
            </w:tcBorders>
            <w:shd w:val="clear" w:color="000000" w:fill="FFFFFF"/>
            <w:vAlign w:val="center"/>
            <w:hideMark/>
          </w:tcPr>
          <w:p w:rsidR="004E1CBF" w:rsidRPr="00E3331A" w:rsidRDefault="004E1CBF" w:rsidP="004E1CBF">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Ig product, grams per infusion, domestic unit cost of IVIg excluding plasma, $60.41, </w:t>
            </w:r>
          </w:p>
        </w:tc>
        <w:tc>
          <w:tcPr>
            <w:tcW w:w="852"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NBA</w:t>
            </w:r>
          </w:p>
        </w:tc>
        <w:tc>
          <w:tcPr>
            <w:tcW w:w="992"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$60.4</w:t>
            </w:r>
          </w:p>
        </w:tc>
        <w:tc>
          <w:tcPr>
            <w:tcW w:w="709"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497.0</w:t>
            </w:r>
          </w:p>
        </w:tc>
        <w:tc>
          <w:tcPr>
            <w:tcW w:w="850"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2"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$30,023.8</w:t>
            </w:r>
          </w:p>
        </w:tc>
        <w:tc>
          <w:tcPr>
            <w:tcW w:w="993"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149" w:type="dxa"/>
            <w:tcBorders>
              <w:top w:val="nil"/>
              <w:left w:val="nil"/>
              <w:bottom w:val="single" w:sz="4" w:space="0" w:color="auto"/>
              <w:right w:val="single" w:sz="4" w:space="0" w:color="auto"/>
            </w:tcBorders>
            <w:shd w:val="clear" w:color="auto" w:fill="auto"/>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$30,023.8</w:t>
            </w:r>
          </w:p>
        </w:tc>
        <w:tc>
          <w:tcPr>
            <w:tcW w:w="1209" w:type="dxa"/>
            <w:tcBorders>
              <w:top w:val="nil"/>
              <w:left w:val="nil"/>
              <w:bottom w:val="single" w:sz="4" w:space="0" w:color="auto"/>
              <w:right w:val="single" w:sz="4" w:space="0" w:color="auto"/>
            </w:tcBorders>
            <w:shd w:val="clear" w:color="000000" w:fill="FFFFFF"/>
            <w:vAlign w:val="center"/>
            <w:hideMark/>
          </w:tcPr>
          <w:p w:rsidR="004E1CBF" w:rsidRPr="00E3331A" w:rsidRDefault="004E1CBF" w:rsidP="004E1CBF">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497 g per patient per year from NBA for 2017-18</w:t>
            </w:r>
          </w:p>
        </w:tc>
      </w:tr>
      <w:tr w:rsidR="004E1CBF" w:rsidRPr="00E3331A" w:rsidTr="00464E0A">
        <w:trPr>
          <w:trHeight w:val="765"/>
        </w:trPr>
        <w:tc>
          <w:tcPr>
            <w:tcW w:w="1270" w:type="dxa"/>
            <w:tcBorders>
              <w:top w:val="nil"/>
              <w:left w:val="single" w:sz="4" w:space="0" w:color="auto"/>
              <w:bottom w:val="single" w:sz="4" w:space="0" w:color="auto"/>
              <w:right w:val="single" w:sz="4" w:space="0" w:color="auto"/>
            </w:tcBorders>
            <w:shd w:val="clear" w:color="000000" w:fill="FFFFFF"/>
            <w:vAlign w:val="center"/>
            <w:hideMark/>
          </w:tcPr>
          <w:p w:rsidR="004E1CBF" w:rsidRPr="00E3331A" w:rsidRDefault="004E1CBF" w:rsidP="004E1CBF">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GP Consultations. </w:t>
            </w:r>
          </w:p>
        </w:tc>
        <w:tc>
          <w:tcPr>
            <w:tcW w:w="852"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92"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$34.9</w:t>
            </w:r>
          </w:p>
        </w:tc>
        <w:tc>
          <w:tcPr>
            <w:tcW w:w="709"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3.0</w:t>
            </w:r>
          </w:p>
        </w:tc>
        <w:tc>
          <w:tcPr>
            <w:tcW w:w="850"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2"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$104.7</w:t>
            </w:r>
          </w:p>
        </w:tc>
        <w:tc>
          <w:tcPr>
            <w:tcW w:w="993"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149"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$104.7</w:t>
            </w:r>
          </w:p>
        </w:tc>
        <w:tc>
          <w:tcPr>
            <w:tcW w:w="1209" w:type="dxa"/>
            <w:tcBorders>
              <w:top w:val="nil"/>
              <w:left w:val="nil"/>
              <w:bottom w:val="single" w:sz="4" w:space="0" w:color="auto"/>
              <w:right w:val="single" w:sz="4" w:space="0" w:color="auto"/>
            </w:tcBorders>
            <w:shd w:val="clear" w:color="000000" w:fill="FFFFFF"/>
            <w:vAlign w:val="center"/>
            <w:hideMark/>
          </w:tcPr>
          <w:p w:rsidR="004E1CBF" w:rsidRPr="00E3331A" w:rsidRDefault="004E1CBF" w:rsidP="004E1CBF">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MBS 23. Professional attendance</w:t>
            </w:r>
          </w:p>
        </w:tc>
      </w:tr>
      <w:tr w:rsidR="004E1CBF" w:rsidRPr="00E3331A" w:rsidTr="00464E0A">
        <w:trPr>
          <w:trHeight w:val="765"/>
        </w:trPr>
        <w:tc>
          <w:tcPr>
            <w:tcW w:w="1270" w:type="dxa"/>
            <w:tcBorders>
              <w:top w:val="nil"/>
              <w:left w:val="single" w:sz="4" w:space="0" w:color="auto"/>
              <w:bottom w:val="single" w:sz="4" w:space="0" w:color="auto"/>
              <w:right w:val="single" w:sz="4" w:space="0" w:color="auto"/>
            </w:tcBorders>
            <w:shd w:val="clear" w:color="000000" w:fill="FFFFFF"/>
            <w:vAlign w:val="center"/>
            <w:hideMark/>
          </w:tcPr>
          <w:p w:rsidR="004E1CBF" w:rsidRPr="00E3331A" w:rsidRDefault="004E1CBF" w:rsidP="004E1CBF">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Neurologist Specialist Consultations.</w:t>
            </w:r>
          </w:p>
        </w:tc>
        <w:tc>
          <w:tcPr>
            <w:tcW w:w="852"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92"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$267.9</w:t>
            </w:r>
          </w:p>
        </w:tc>
        <w:tc>
          <w:tcPr>
            <w:tcW w:w="709"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w:t>
            </w:r>
          </w:p>
        </w:tc>
        <w:tc>
          <w:tcPr>
            <w:tcW w:w="850"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2"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$267.9</w:t>
            </w:r>
          </w:p>
        </w:tc>
        <w:tc>
          <w:tcPr>
            <w:tcW w:w="993"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75%</w:t>
            </w:r>
          </w:p>
        </w:tc>
        <w:tc>
          <w:tcPr>
            <w:tcW w:w="1149"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$200.9</w:t>
            </w:r>
          </w:p>
        </w:tc>
        <w:tc>
          <w:tcPr>
            <w:tcW w:w="1209" w:type="dxa"/>
            <w:tcBorders>
              <w:top w:val="nil"/>
              <w:left w:val="nil"/>
              <w:bottom w:val="single" w:sz="4" w:space="0" w:color="auto"/>
              <w:right w:val="single" w:sz="4" w:space="0" w:color="auto"/>
            </w:tcBorders>
            <w:shd w:val="clear" w:color="000000" w:fill="FFFFFF"/>
            <w:vAlign w:val="center"/>
            <w:hideMark/>
          </w:tcPr>
          <w:p w:rsidR="004E1CBF" w:rsidRPr="00E3331A" w:rsidRDefault="004E1CBF" w:rsidP="004E1CBF">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MBS 132. Professional attendance </w:t>
            </w:r>
          </w:p>
        </w:tc>
      </w:tr>
      <w:tr w:rsidR="004E1CBF" w:rsidRPr="00E3331A" w:rsidTr="00464E0A">
        <w:trPr>
          <w:trHeight w:val="765"/>
        </w:trPr>
        <w:tc>
          <w:tcPr>
            <w:tcW w:w="1270" w:type="dxa"/>
            <w:tcBorders>
              <w:top w:val="nil"/>
              <w:left w:val="single" w:sz="4" w:space="0" w:color="auto"/>
              <w:bottom w:val="single" w:sz="4" w:space="0" w:color="auto"/>
              <w:right w:val="single" w:sz="4" w:space="0" w:color="auto"/>
            </w:tcBorders>
            <w:shd w:val="clear" w:color="000000" w:fill="FFFFFF"/>
            <w:vAlign w:val="center"/>
          </w:tcPr>
          <w:p w:rsidR="004E1CBF" w:rsidRPr="00E3331A" w:rsidRDefault="004E1CBF" w:rsidP="004E1CBF">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Neurologist Follow-up Consultations.</w:t>
            </w:r>
          </w:p>
        </w:tc>
        <w:tc>
          <w:tcPr>
            <w:tcW w:w="852" w:type="dxa"/>
            <w:tcBorders>
              <w:top w:val="nil"/>
              <w:left w:val="nil"/>
              <w:bottom w:val="single" w:sz="4" w:space="0" w:color="auto"/>
              <w:right w:val="single" w:sz="4" w:space="0" w:color="auto"/>
            </w:tcBorders>
            <w:shd w:val="clear" w:color="000000" w:fill="FFFFFF"/>
            <w:noWrap/>
            <w:vAlign w:val="center"/>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92" w:type="dxa"/>
            <w:tcBorders>
              <w:top w:val="nil"/>
              <w:left w:val="nil"/>
              <w:bottom w:val="single" w:sz="4" w:space="0" w:color="auto"/>
              <w:right w:val="single" w:sz="4" w:space="0" w:color="auto"/>
            </w:tcBorders>
            <w:shd w:val="clear" w:color="000000" w:fill="FFFFFF"/>
            <w:noWrap/>
            <w:vAlign w:val="center"/>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$136.3</w:t>
            </w:r>
          </w:p>
        </w:tc>
        <w:tc>
          <w:tcPr>
            <w:tcW w:w="709" w:type="dxa"/>
            <w:tcBorders>
              <w:top w:val="nil"/>
              <w:left w:val="nil"/>
              <w:bottom w:val="single" w:sz="4" w:space="0" w:color="auto"/>
              <w:right w:val="single" w:sz="4" w:space="0" w:color="auto"/>
            </w:tcBorders>
            <w:shd w:val="clear" w:color="000000" w:fill="FFFFFF"/>
            <w:noWrap/>
            <w:vAlign w:val="center"/>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w:t>
            </w:r>
          </w:p>
        </w:tc>
        <w:tc>
          <w:tcPr>
            <w:tcW w:w="850" w:type="dxa"/>
            <w:tcBorders>
              <w:top w:val="nil"/>
              <w:left w:val="nil"/>
              <w:bottom w:val="single" w:sz="4" w:space="0" w:color="auto"/>
              <w:right w:val="single" w:sz="4" w:space="0" w:color="auto"/>
            </w:tcBorders>
            <w:shd w:val="clear" w:color="000000" w:fill="FFFFFF"/>
            <w:noWrap/>
            <w:vAlign w:val="center"/>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2" w:type="dxa"/>
            <w:tcBorders>
              <w:top w:val="nil"/>
              <w:left w:val="nil"/>
              <w:bottom w:val="single" w:sz="4" w:space="0" w:color="auto"/>
              <w:right w:val="single" w:sz="4" w:space="0" w:color="auto"/>
            </w:tcBorders>
            <w:shd w:val="clear" w:color="000000" w:fill="FFFFFF"/>
            <w:noWrap/>
            <w:vAlign w:val="center"/>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$136.3</w:t>
            </w:r>
          </w:p>
        </w:tc>
        <w:tc>
          <w:tcPr>
            <w:tcW w:w="993" w:type="dxa"/>
            <w:tcBorders>
              <w:top w:val="nil"/>
              <w:left w:val="nil"/>
              <w:bottom w:val="single" w:sz="4" w:space="0" w:color="auto"/>
              <w:right w:val="single" w:sz="4" w:space="0" w:color="auto"/>
            </w:tcBorders>
            <w:shd w:val="clear" w:color="000000" w:fill="FFFFFF"/>
            <w:noWrap/>
            <w:vAlign w:val="center"/>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75%</w:t>
            </w:r>
          </w:p>
        </w:tc>
        <w:tc>
          <w:tcPr>
            <w:tcW w:w="1149" w:type="dxa"/>
            <w:tcBorders>
              <w:top w:val="nil"/>
              <w:left w:val="nil"/>
              <w:bottom w:val="single" w:sz="4" w:space="0" w:color="auto"/>
              <w:right w:val="single" w:sz="4" w:space="0" w:color="auto"/>
            </w:tcBorders>
            <w:shd w:val="clear" w:color="000000" w:fill="FFFFFF"/>
            <w:noWrap/>
            <w:vAlign w:val="center"/>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$102.2</w:t>
            </w:r>
          </w:p>
        </w:tc>
        <w:tc>
          <w:tcPr>
            <w:tcW w:w="1209" w:type="dxa"/>
            <w:tcBorders>
              <w:top w:val="nil"/>
              <w:left w:val="nil"/>
              <w:bottom w:val="single" w:sz="4" w:space="0" w:color="auto"/>
              <w:right w:val="single" w:sz="4" w:space="0" w:color="auto"/>
            </w:tcBorders>
            <w:shd w:val="clear" w:color="000000" w:fill="FFFFFF"/>
            <w:vAlign w:val="center"/>
          </w:tcPr>
          <w:p w:rsidR="004E1CBF" w:rsidRPr="00E3331A" w:rsidRDefault="004E1CBF" w:rsidP="004E1CBF">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MBS 133. Professional attendance </w:t>
            </w:r>
          </w:p>
        </w:tc>
      </w:tr>
      <w:tr w:rsidR="004E1CBF" w:rsidRPr="00E3331A" w:rsidTr="00464E0A">
        <w:trPr>
          <w:trHeight w:val="510"/>
        </w:trPr>
        <w:tc>
          <w:tcPr>
            <w:tcW w:w="1270" w:type="dxa"/>
            <w:tcBorders>
              <w:top w:val="nil"/>
              <w:left w:val="single" w:sz="4" w:space="0" w:color="auto"/>
              <w:bottom w:val="single" w:sz="4" w:space="0" w:color="auto"/>
              <w:right w:val="single" w:sz="4" w:space="0" w:color="auto"/>
            </w:tcBorders>
            <w:shd w:val="clear" w:color="000000" w:fill="FFFFFF"/>
            <w:vAlign w:val="center"/>
            <w:hideMark/>
          </w:tcPr>
          <w:p w:rsidR="004E1CBF" w:rsidRPr="00E3331A" w:rsidRDefault="004E1CBF" w:rsidP="004E1CBF">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Liver function tests, Urea, Electrolytes, Creatinine</w:t>
            </w:r>
          </w:p>
        </w:tc>
        <w:tc>
          <w:tcPr>
            <w:tcW w:w="852"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92"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$17.1</w:t>
            </w:r>
          </w:p>
        </w:tc>
        <w:tc>
          <w:tcPr>
            <w:tcW w:w="709"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w:t>
            </w:r>
          </w:p>
        </w:tc>
        <w:tc>
          <w:tcPr>
            <w:tcW w:w="850"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2"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$17.1</w:t>
            </w:r>
          </w:p>
        </w:tc>
        <w:tc>
          <w:tcPr>
            <w:tcW w:w="993"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75%</w:t>
            </w:r>
          </w:p>
        </w:tc>
        <w:tc>
          <w:tcPr>
            <w:tcW w:w="1149"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$12.8</w:t>
            </w:r>
          </w:p>
        </w:tc>
        <w:tc>
          <w:tcPr>
            <w:tcW w:w="1209" w:type="dxa"/>
            <w:tcBorders>
              <w:top w:val="nil"/>
              <w:left w:val="nil"/>
              <w:bottom w:val="single" w:sz="4" w:space="0" w:color="auto"/>
              <w:right w:val="single" w:sz="4" w:space="0" w:color="auto"/>
            </w:tcBorders>
            <w:shd w:val="clear" w:color="000000" w:fill="FFFFFF"/>
            <w:vAlign w:val="center"/>
            <w:hideMark/>
          </w:tcPr>
          <w:p w:rsidR="004E1CBF" w:rsidRPr="00E3331A" w:rsidRDefault="004E1CBF" w:rsidP="004E1CBF">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MBS 66512. </w:t>
            </w:r>
          </w:p>
        </w:tc>
      </w:tr>
      <w:tr w:rsidR="004E1CBF" w:rsidRPr="00E3331A" w:rsidTr="00464E0A">
        <w:trPr>
          <w:trHeight w:val="765"/>
        </w:trPr>
        <w:tc>
          <w:tcPr>
            <w:tcW w:w="1270" w:type="dxa"/>
            <w:tcBorders>
              <w:top w:val="nil"/>
              <w:left w:val="single" w:sz="4" w:space="0" w:color="auto"/>
              <w:bottom w:val="single" w:sz="4" w:space="0" w:color="auto"/>
              <w:right w:val="single" w:sz="4" w:space="0" w:color="auto"/>
            </w:tcBorders>
            <w:shd w:val="clear" w:color="000000" w:fill="FFFFFF"/>
            <w:vAlign w:val="center"/>
            <w:hideMark/>
          </w:tcPr>
          <w:p w:rsidR="004E1CBF" w:rsidRPr="00E3331A" w:rsidRDefault="004E1CBF" w:rsidP="004E1CBF">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Full Blood Examination</w:t>
            </w:r>
          </w:p>
        </w:tc>
        <w:tc>
          <w:tcPr>
            <w:tcW w:w="852"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92"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$17.0</w:t>
            </w:r>
          </w:p>
        </w:tc>
        <w:tc>
          <w:tcPr>
            <w:tcW w:w="709"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w:t>
            </w:r>
          </w:p>
        </w:tc>
        <w:tc>
          <w:tcPr>
            <w:tcW w:w="850"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2"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$17.0</w:t>
            </w:r>
          </w:p>
        </w:tc>
        <w:tc>
          <w:tcPr>
            <w:tcW w:w="993"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75%</w:t>
            </w:r>
          </w:p>
        </w:tc>
        <w:tc>
          <w:tcPr>
            <w:tcW w:w="1149"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$12.7</w:t>
            </w:r>
          </w:p>
        </w:tc>
        <w:tc>
          <w:tcPr>
            <w:tcW w:w="1209" w:type="dxa"/>
            <w:tcBorders>
              <w:top w:val="nil"/>
              <w:left w:val="nil"/>
              <w:bottom w:val="single" w:sz="4" w:space="0" w:color="auto"/>
              <w:right w:val="single" w:sz="4" w:space="0" w:color="auto"/>
            </w:tcBorders>
            <w:shd w:val="clear" w:color="000000" w:fill="FFFFFF"/>
            <w:vAlign w:val="center"/>
            <w:hideMark/>
          </w:tcPr>
          <w:p w:rsidR="004E1CBF" w:rsidRPr="00E3331A" w:rsidRDefault="004E1CBF" w:rsidP="004E1CBF">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MBS 65070. </w:t>
            </w:r>
          </w:p>
        </w:tc>
      </w:tr>
      <w:tr w:rsidR="004E1CBF" w:rsidRPr="00E3331A" w:rsidTr="00464E0A">
        <w:trPr>
          <w:trHeight w:val="255"/>
        </w:trPr>
        <w:tc>
          <w:tcPr>
            <w:tcW w:w="1270" w:type="dxa"/>
            <w:tcBorders>
              <w:top w:val="nil"/>
              <w:left w:val="single" w:sz="4" w:space="0" w:color="auto"/>
              <w:bottom w:val="single" w:sz="4" w:space="0" w:color="auto"/>
              <w:right w:val="single" w:sz="4" w:space="0" w:color="auto"/>
            </w:tcBorders>
            <w:shd w:val="clear" w:color="000000" w:fill="FFFFFF"/>
            <w:vAlign w:val="center"/>
            <w:hideMark/>
          </w:tcPr>
          <w:p w:rsidR="004E1CBF" w:rsidRPr="00E3331A" w:rsidRDefault="004E1CBF" w:rsidP="004E1CBF">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Neuro muscular electro diagnosis</w:t>
            </w:r>
          </w:p>
        </w:tc>
        <w:tc>
          <w:tcPr>
            <w:tcW w:w="852"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992"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$227.6</w:t>
            </w:r>
          </w:p>
        </w:tc>
        <w:tc>
          <w:tcPr>
            <w:tcW w:w="709"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2.0</w:t>
            </w:r>
          </w:p>
        </w:tc>
        <w:tc>
          <w:tcPr>
            <w:tcW w:w="850"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2"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$455.1</w:t>
            </w:r>
          </w:p>
        </w:tc>
        <w:tc>
          <w:tcPr>
            <w:tcW w:w="993"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75%</w:t>
            </w:r>
          </w:p>
        </w:tc>
        <w:tc>
          <w:tcPr>
            <w:tcW w:w="1149" w:type="dxa"/>
            <w:tcBorders>
              <w:top w:val="nil"/>
              <w:left w:val="nil"/>
              <w:bottom w:val="single" w:sz="4" w:space="0" w:color="auto"/>
              <w:right w:val="single" w:sz="4" w:space="0" w:color="auto"/>
            </w:tcBorders>
            <w:shd w:val="clear" w:color="000000" w:fill="FFFFFF"/>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$341.3</w:t>
            </w:r>
          </w:p>
        </w:tc>
        <w:tc>
          <w:tcPr>
            <w:tcW w:w="1209" w:type="dxa"/>
            <w:tcBorders>
              <w:top w:val="nil"/>
              <w:left w:val="nil"/>
              <w:bottom w:val="single" w:sz="4" w:space="0" w:color="auto"/>
              <w:right w:val="single" w:sz="4" w:space="0" w:color="auto"/>
            </w:tcBorders>
            <w:shd w:val="clear" w:color="000000" w:fill="FFFFFF"/>
            <w:vAlign w:val="center"/>
            <w:hideMark/>
          </w:tcPr>
          <w:p w:rsidR="004E1CBF" w:rsidRPr="00E3331A" w:rsidRDefault="004E1CBF" w:rsidP="004E1CBF">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MBS 11018, 4 or more nerves. </w:t>
            </w:r>
          </w:p>
        </w:tc>
      </w:tr>
      <w:tr w:rsidR="004E1CBF" w:rsidRPr="00E3331A" w:rsidTr="00464E0A">
        <w:trPr>
          <w:trHeight w:val="255"/>
        </w:trPr>
        <w:tc>
          <w:tcPr>
            <w:tcW w:w="1270" w:type="dxa"/>
            <w:tcBorders>
              <w:top w:val="nil"/>
              <w:left w:val="single" w:sz="4" w:space="0" w:color="auto"/>
              <w:bottom w:val="single" w:sz="4" w:space="0" w:color="auto"/>
              <w:right w:val="single" w:sz="4" w:space="0" w:color="auto"/>
            </w:tcBorders>
            <w:shd w:val="clear" w:color="000000" w:fill="FFFFFF"/>
            <w:vAlign w:val="center"/>
          </w:tcPr>
          <w:p w:rsidR="004E1CBF" w:rsidRPr="00E3331A" w:rsidRDefault="004E1CBF" w:rsidP="004E1CBF">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Hospital admission and consumables for IV </w:t>
            </w:r>
          </w:p>
        </w:tc>
        <w:tc>
          <w:tcPr>
            <w:tcW w:w="852" w:type="dxa"/>
            <w:tcBorders>
              <w:top w:val="nil"/>
              <w:left w:val="nil"/>
              <w:bottom w:val="single" w:sz="4" w:space="0" w:color="auto"/>
              <w:right w:val="single" w:sz="4" w:space="0" w:color="auto"/>
            </w:tcBorders>
            <w:shd w:val="clear" w:color="000000" w:fill="FFFFFF"/>
            <w:noWrap/>
            <w:vAlign w:val="center"/>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State Hospital</w:t>
            </w:r>
          </w:p>
        </w:tc>
        <w:tc>
          <w:tcPr>
            <w:tcW w:w="992" w:type="dxa"/>
            <w:tcBorders>
              <w:top w:val="nil"/>
              <w:left w:val="nil"/>
              <w:bottom w:val="single" w:sz="4" w:space="0" w:color="auto"/>
              <w:right w:val="single" w:sz="4" w:space="0" w:color="auto"/>
            </w:tcBorders>
            <w:shd w:val="clear" w:color="000000" w:fill="FFFFFF"/>
            <w:noWrap/>
            <w:vAlign w:val="center"/>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$100.0</w:t>
            </w:r>
          </w:p>
        </w:tc>
        <w:tc>
          <w:tcPr>
            <w:tcW w:w="709" w:type="dxa"/>
            <w:tcBorders>
              <w:top w:val="nil"/>
              <w:left w:val="nil"/>
              <w:bottom w:val="single" w:sz="4" w:space="0" w:color="auto"/>
              <w:right w:val="single" w:sz="4" w:space="0" w:color="auto"/>
            </w:tcBorders>
            <w:shd w:val="clear" w:color="000000" w:fill="FFFFFF"/>
            <w:noWrap/>
            <w:vAlign w:val="center"/>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26.4</w:t>
            </w:r>
          </w:p>
        </w:tc>
        <w:tc>
          <w:tcPr>
            <w:tcW w:w="850" w:type="dxa"/>
            <w:tcBorders>
              <w:top w:val="nil"/>
              <w:left w:val="nil"/>
              <w:bottom w:val="single" w:sz="4" w:space="0" w:color="auto"/>
              <w:right w:val="single" w:sz="4" w:space="0" w:color="auto"/>
            </w:tcBorders>
            <w:shd w:val="clear" w:color="000000" w:fill="FFFFFF"/>
            <w:noWrap/>
            <w:vAlign w:val="center"/>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2" w:type="dxa"/>
            <w:tcBorders>
              <w:top w:val="nil"/>
              <w:left w:val="nil"/>
              <w:bottom w:val="single" w:sz="4" w:space="0" w:color="auto"/>
              <w:right w:val="single" w:sz="4" w:space="0" w:color="auto"/>
            </w:tcBorders>
            <w:shd w:val="clear" w:color="000000" w:fill="FFFFFF"/>
            <w:noWrap/>
            <w:vAlign w:val="center"/>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$2,640.0</w:t>
            </w:r>
          </w:p>
        </w:tc>
        <w:tc>
          <w:tcPr>
            <w:tcW w:w="993" w:type="dxa"/>
            <w:tcBorders>
              <w:top w:val="nil"/>
              <w:left w:val="nil"/>
              <w:bottom w:val="single" w:sz="4" w:space="0" w:color="auto"/>
              <w:right w:val="single" w:sz="4" w:space="0" w:color="auto"/>
            </w:tcBorders>
            <w:shd w:val="clear" w:color="000000" w:fill="FFFFFF"/>
            <w:noWrap/>
            <w:vAlign w:val="center"/>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149" w:type="dxa"/>
            <w:tcBorders>
              <w:top w:val="nil"/>
              <w:left w:val="nil"/>
              <w:bottom w:val="single" w:sz="4" w:space="0" w:color="auto"/>
              <w:right w:val="single" w:sz="4" w:space="0" w:color="auto"/>
            </w:tcBorders>
            <w:shd w:val="clear" w:color="000000" w:fill="FFFFFF"/>
            <w:noWrap/>
            <w:vAlign w:val="center"/>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$2,640.0</w:t>
            </w:r>
          </w:p>
        </w:tc>
        <w:tc>
          <w:tcPr>
            <w:tcW w:w="1209" w:type="dxa"/>
            <w:tcBorders>
              <w:top w:val="nil"/>
              <w:left w:val="nil"/>
              <w:bottom w:val="single" w:sz="4" w:space="0" w:color="auto"/>
              <w:right w:val="single" w:sz="4" w:space="0" w:color="auto"/>
            </w:tcBorders>
            <w:shd w:val="clear" w:color="000000" w:fill="FFFFFF"/>
            <w:vAlign w:val="center"/>
          </w:tcPr>
          <w:p w:rsidR="004E1CBF" w:rsidRPr="00E3331A" w:rsidRDefault="004E1CBF" w:rsidP="004E1CBF">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13.2 x 2 hour for IV Ig</w:t>
            </w:r>
          </w:p>
        </w:tc>
      </w:tr>
      <w:tr w:rsidR="004E1CBF" w:rsidRPr="00E3331A" w:rsidTr="00464E0A">
        <w:trPr>
          <w:trHeight w:val="255"/>
        </w:trPr>
        <w:tc>
          <w:tcPr>
            <w:tcW w:w="1270" w:type="dxa"/>
            <w:tcBorders>
              <w:top w:val="nil"/>
              <w:left w:val="single" w:sz="4" w:space="0" w:color="auto"/>
              <w:bottom w:val="single" w:sz="4" w:space="0" w:color="auto"/>
              <w:right w:val="single" w:sz="4" w:space="0" w:color="auto"/>
            </w:tcBorders>
            <w:shd w:val="clear" w:color="000000" w:fill="FFFFFF"/>
            <w:vAlign w:val="center"/>
          </w:tcPr>
          <w:p w:rsidR="004E1CBF" w:rsidRPr="00E3331A" w:rsidRDefault="004E1CBF" w:rsidP="004E1CBF">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Nurse time for infusion. </w:t>
            </w:r>
          </w:p>
        </w:tc>
        <w:tc>
          <w:tcPr>
            <w:tcW w:w="852" w:type="dxa"/>
            <w:tcBorders>
              <w:top w:val="nil"/>
              <w:left w:val="nil"/>
              <w:bottom w:val="single" w:sz="4" w:space="0" w:color="auto"/>
              <w:right w:val="single" w:sz="4" w:space="0" w:color="auto"/>
            </w:tcBorders>
            <w:shd w:val="clear" w:color="000000" w:fill="FFFFFF"/>
            <w:noWrap/>
            <w:vAlign w:val="center"/>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State Hospital</w:t>
            </w:r>
          </w:p>
        </w:tc>
        <w:tc>
          <w:tcPr>
            <w:tcW w:w="992" w:type="dxa"/>
            <w:tcBorders>
              <w:top w:val="nil"/>
              <w:left w:val="nil"/>
              <w:bottom w:val="single" w:sz="4" w:space="0" w:color="auto"/>
              <w:right w:val="single" w:sz="4" w:space="0" w:color="auto"/>
            </w:tcBorders>
            <w:shd w:val="clear" w:color="000000" w:fill="FFFFFF"/>
            <w:noWrap/>
            <w:vAlign w:val="center"/>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$85.5</w:t>
            </w:r>
          </w:p>
        </w:tc>
        <w:tc>
          <w:tcPr>
            <w:tcW w:w="709" w:type="dxa"/>
            <w:tcBorders>
              <w:top w:val="nil"/>
              <w:left w:val="nil"/>
              <w:bottom w:val="single" w:sz="4" w:space="0" w:color="auto"/>
              <w:right w:val="single" w:sz="4" w:space="0" w:color="auto"/>
            </w:tcBorders>
            <w:shd w:val="clear" w:color="000000" w:fill="FFFFFF"/>
            <w:noWrap/>
            <w:vAlign w:val="center"/>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26.4</w:t>
            </w:r>
          </w:p>
        </w:tc>
        <w:tc>
          <w:tcPr>
            <w:tcW w:w="850" w:type="dxa"/>
            <w:tcBorders>
              <w:top w:val="nil"/>
              <w:left w:val="nil"/>
              <w:bottom w:val="single" w:sz="4" w:space="0" w:color="auto"/>
              <w:right w:val="single" w:sz="4" w:space="0" w:color="auto"/>
            </w:tcBorders>
            <w:shd w:val="clear" w:color="000000" w:fill="FFFFFF"/>
            <w:noWrap/>
            <w:vAlign w:val="center"/>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992" w:type="dxa"/>
            <w:tcBorders>
              <w:top w:val="nil"/>
              <w:left w:val="nil"/>
              <w:bottom w:val="single" w:sz="4" w:space="0" w:color="auto"/>
              <w:right w:val="single" w:sz="4" w:space="0" w:color="auto"/>
            </w:tcBorders>
            <w:shd w:val="clear" w:color="000000" w:fill="FFFFFF"/>
            <w:noWrap/>
            <w:vAlign w:val="center"/>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$2,257.7</w:t>
            </w:r>
          </w:p>
        </w:tc>
        <w:tc>
          <w:tcPr>
            <w:tcW w:w="993" w:type="dxa"/>
            <w:tcBorders>
              <w:top w:val="nil"/>
              <w:left w:val="nil"/>
              <w:bottom w:val="single" w:sz="4" w:space="0" w:color="auto"/>
              <w:right w:val="single" w:sz="4" w:space="0" w:color="auto"/>
            </w:tcBorders>
            <w:shd w:val="clear" w:color="000000" w:fill="FFFFFF"/>
            <w:noWrap/>
            <w:vAlign w:val="center"/>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1149" w:type="dxa"/>
            <w:tcBorders>
              <w:top w:val="nil"/>
              <w:left w:val="nil"/>
              <w:bottom w:val="single" w:sz="4" w:space="0" w:color="auto"/>
              <w:right w:val="single" w:sz="4" w:space="0" w:color="auto"/>
            </w:tcBorders>
            <w:shd w:val="clear" w:color="000000" w:fill="FFFFFF"/>
            <w:noWrap/>
            <w:vAlign w:val="center"/>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$2,257.7</w:t>
            </w:r>
          </w:p>
        </w:tc>
        <w:tc>
          <w:tcPr>
            <w:tcW w:w="1209" w:type="dxa"/>
            <w:tcBorders>
              <w:top w:val="nil"/>
              <w:left w:val="nil"/>
              <w:bottom w:val="single" w:sz="4" w:space="0" w:color="auto"/>
              <w:right w:val="single" w:sz="4" w:space="0" w:color="auto"/>
            </w:tcBorders>
            <w:shd w:val="clear" w:color="000000" w:fill="FFFFFF"/>
            <w:vAlign w:val="center"/>
          </w:tcPr>
          <w:p w:rsidR="004E1CBF" w:rsidRPr="00E3331A" w:rsidRDefault="004E1CBF" w:rsidP="004E1CBF">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13.2 x 2 hour for IV Ig</w:t>
            </w:r>
          </w:p>
        </w:tc>
      </w:tr>
      <w:tr w:rsidR="003663F1" w:rsidRPr="00E3331A" w:rsidTr="00D72F68">
        <w:trPr>
          <w:trHeight w:val="255"/>
        </w:trPr>
        <w:tc>
          <w:tcPr>
            <w:tcW w:w="1270" w:type="dxa"/>
            <w:tcBorders>
              <w:top w:val="nil"/>
              <w:left w:val="single" w:sz="4" w:space="0" w:color="auto"/>
              <w:bottom w:val="single" w:sz="4" w:space="0" w:color="auto"/>
              <w:right w:val="single" w:sz="4" w:space="0" w:color="auto"/>
            </w:tcBorders>
            <w:shd w:val="clear" w:color="000000" w:fill="FFFFFF"/>
            <w:vAlign w:val="center"/>
          </w:tcPr>
          <w:p w:rsidR="003663F1" w:rsidRPr="00D45B1D" w:rsidRDefault="003663F1" w:rsidP="003663F1">
            <w:pPr>
              <w:rPr>
                <w:sz w:val="16"/>
                <w:szCs w:val="16"/>
              </w:rPr>
            </w:pPr>
            <w:r w:rsidRPr="00D45B1D">
              <w:rPr>
                <w:sz w:val="16"/>
                <w:szCs w:val="16"/>
              </w:rPr>
              <w:t>REDACTED</w:t>
            </w:r>
          </w:p>
          <w:p w:rsidR="003663F1" w:rsidRPr="002A602E" w:rsidRDefault="003663F1" w:rsidP="003663F1">
            <w:pPr>
              <w:spacing w:after="0" w:line="240" w:lineRule="auto"/>
              <w:rPr>
                <w:rFonts w:ascii="Arial Narrow" w:hAnsi="Arial Narrow" w:cs="Calibri"/>
                <w:color w:val="000000"/>
                <w:sz w:val="20"/>
                <w:szCs w:val="20"/>
                <w:highlight w:val="black"/>
              </w:rPr>
            </w:pPr>
          </w:p>
        </w:tc>
        <w:tc>
          <w:tcPr>
            <w:tcW w:w="852" w:type="dxa"/>
            <w:tcBorders>
              <w:top w:val="nil"/>
              <w:left w:val="nil"/>
              <w:bottom w:val="single" w:sz="4" w:space="0" w:color="auto"/>
              <w:right w:val="single" w:sz="4" w:space="0" w:color="auto"/>
            </w:tcBorders>
            <w:shd w:val="clear" w:color="000000" w:fill="FFFFFF"/>
            <w:noWrap/>
          </w:tcPr>
          <w:p w:rsidR="003663F1" w:rsidRDefault="003663F1" w:rsidP="003663F1">
            <w:r w:rsidRPr="00EC36DA">
              <w:rPr>
                <w:sz w:val="14"/>
                <w:szCs w:val="14"/>
              </w:rPr>
              <w:t>REDACTED</w:t>
            </w:r>
          </w:p>
        </w:tc>
        <w:tc>
          <w:tcPr>
            <w:tcW w:w="992" w:type="dxa"/>
            <w:tcBorders>
              <w:top w:val="nil"/>
              <w:left w:val="nil"/>
              <w:bottom w:val="single" w:sz="4" w:space="0" w:color="auto"/>
              <w:right w:val="single" w:sz="4" w:space="0" w:color="auto"/>
            </w:tcBorders>
            <w:shd w:val="clear" w:color="000000" w:fill="FFFFFF"/>
            <w:noWrap/>
          </w:tcPr>
          <w:p w:rsidR="003663F1" w:rsidRDefault="003663F1" w:rsidP="003663F1">
            <w:r w:rsidRPr="00EC36DA">
              <w:rPr>
                <w:sz w:val="14"/>
                <w:szCs w:val="14"/>
              </w:rPr>
              <w:t>REDACTED</w:t>
            </w:r>
          </w:p>
        </w:tc>
        <w:tc>
          <w:tcPr>
            <w:tcW w:w="709" w:type="dxa"/>
            <w:tcBorders>
              <w:top w:val="nil"/>
              <w:left w:val="nil"/>
              <w:bottom w:val="single" w:sz="4" w:space="0" w:color="auto"/>
              <w:right w:val="single" w:sz="4" w:space="0" w:color="auto"/>
            </w:tcBorders>
            <w:shd w:val="clear" w:color="000000" w:fill="FFFFFF"/>
            <w:noWrap/>
          </w:tcPr>
          <w:p w:rsidR="003663F1" w:rsidRDefault="003663F1" w:rsidP="003663F1">
            <w:r w:rsidRPr="00EC36DA">
              <w:rPr>
                <w:sz w:val="14"/>
                <w:szCs w:val="14"/>
              </w:rPr>
              <w:t>REDACTED</w:t>
            </w:r>
          </w:p>
        </w:tc>
        <w:tc>
          <w:tcPr>
            <w:tcW w:w="850" w:type="dxa"/>
            <w:tcBorders>
              <w:top w:val="nil"/>
              <w:left w:val="nil"/>
              <w:bottom w:val="single" w:sz="4" w:space="0" w:color="auto"/>
              <w:right w:val="single" w:sz="4" w:space="0" w:color="auto"/>
            </w:tcBorders>
            <w:shd w:val="clear" w:color="000000" w:fill="FFFFFF"/>
            <w:noWrap/>
          </w:tcPr>
          <w:p w:rsidR="003663F1" w:rsidRDefault="003663F1" w:rsidP="003663F1">
            <w:r w:rsidRPr="00EC36DA">
              <w:rPr>
                <w:sz w:val="14"/>
                <w:szCs w:val="14"/>
              </w:rPr>
              <w:t>REDACTED</w:t>
            </w:r>
          </w:p>
        </w:tc>
        <w:tc>
          <w:tcPr>
            <w:tcW w:w="992" w:type="dxa"/>
            <w:tcBorders>
              <w:top w:val="nil"/>
              <w:left w:val="nil"/>
              <w:bottom w:val="single" w:sz="4" w:space="0" w:color="auto"/>
              <w:right w:val="single" w:sz="4" w:space="0" w:color="auto"/>
            </w:tcBorders>
            <w:shd w:val="clear" w:color="000000" w:fill="FFFFFF"/>
            <w:noWrap/>
          </w:tcPr>
          <w:p w:rsidR="003663F1" w:rsidRDefault="003663F1" w:rsidP="003663F1">
            <w:r w:rsidRPr="00EC36DA">
              <w:rPr>
                <w:sz w:val="14"/>
                <w:szCs w:val="14"/>
              </w:rPr>
              <w:t>REDACTED</w:t>
            </w:r>
          </w:p>
        </w:tc>
        <w:tc>
          <w:tcPr>
            <w:tcW w:w="993" w:type="dxa"/>
            <w:tcBorders>
              <w:top w:val="nil"/>
              <w:left w:val="nil"/>
              <w:bottom w:val="single" w:sz="4" w:space="0" w:color="auto"/>
              <w:right w:val="single" w:sz="4" w:space="0" w:color="auto"/>
            </w:tcBorders>
            <w:shd w:val="clear" w:color="000000" w:fill="FFFFFF"/>
            <w:noWrap/>
          </w:tcPr>
          <w:p w:rsidR="003663F1" w:rsidRDefault="003663F1" w:rsidP="003663F1">
            <w:r w:rsidRPr="00EC36DA">
              <w:rPr>
                <w:sz w:val="14"/>
                <w:szCs w:val="14"/>
              </w:rPr>
              <w:t>REDACTED</w:t>
            </w:r>
          </w:p>
        </w:tc>
        <w:tc>
          <w:tcPr>
            <w:tcW w:w="1149" w:type="dxa"/>
            <w:tcBorders>
              <w:top w:val="nil"/>
              <w:left w:val="nil"/>
              <w:bottom w:val="single" w:sz="4" w:space="0" w:color="auto"/>
              <w:right w:val="single" w:sz="4" w:space="0" w:color="auto"/>
            </w:tcBorders>
            <w:shd w:val="clear" w:color="000000" w:fill="FFFFFF"/>
            <w:noWrap/>
          </w:tcPr>
          <w:p w:rsidR="003663F1" w:rsidRDefault="003663F1" w:rsidP="003663F1">
            <w:r w:rsidRPr="00EC36DA">
              <w:rPr>
                <w:sz w:val="14"/>
                <w:szCs w:val="14"/>
              </w:rPr>
              <w:t>REDACTED</w:t>
            </w:r>
          </w:p>
        </w:tc>
        <w:tc>
          <w:tcPr>
            <w:tcW w:w="1209" w:type="dxa"/>
            <w:tcBorders>
              <w:top w:val="nil"/>
              <w:left w:val="nil"/>
              <w:bottom w:val="single" w:sz="4" w:space="0" w:color="auto"/>
              <w:right w:val="single" w:sz="4" w:space="0" w:color="auto"/>
            </w:tcBorders>
            <w:shd w:val="clear" w:color="000000" w:fill="FFFFFF"/>
          </w:tcPr>
          <w:p w:rsidR="003663F1" w:rsidRDefault="003663F1" w:rsidP="003663F1">
            <w:r w:rsidRPr="00D0118B">
              <w:rPr>
                <w:sz w:val="16"/>
                <w:szCs w:val="16"/>
              </w:rPr>
              <w:t>REDACTED</w:t>
            </w:r>
          </w:p>
        </w:tc>
      </w:tr>
      <w:tr w:rsidR="004E1CBF" w:rsidRPr="00E3331A" w:rsidTr="00464E0A">
        <w:trPr>
          <w:trHeight w:val="255"/>
        </w:trPr>
        <w:tc>
          <w:tcPr>
            <w:tcW w:w="1270" w:type="dxa"/>
            <w:tcBorders>
              <w:top w:val="nil"/>
              <w:left w:val="single" w:sz="4" w:space="0" w:color="auto"/>
              <w:bottom w:val="single" w:sz="4" w:space="0" w:color="auto"/>
              <w:right w:val="single" w:sz="4" w:space="0" w:color="auto"/>
            </w:tcBorders>
            <w:shd w:val="clear" w:color="auto" w:fill="D9D9D9"/>
            <w:vAlign w:val="center"/>
            <w:hideMark/>
          </w:tcPr>
          <w:p w:rsidR="004E1CBF" w:rsidRPr="00E3331A" w:rsidRDefault="004E1CBF" w:rsidP="004E1CBF">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Total</w:t>
            </w:r>
          </w:p>
        </w:tc>
        <w:tc>
          <w:tcPr>
            <w:tcW w:w="852" w:type="dxa"/>
            <w:tcBorders>
              <w:top w:val="nil"/>
              <w:left w:val="nil"/>
              <w:bottom w:val="single" w:sz="4" w:space="0" w:color="auto"/>
              <w:right w:val="single" w:sz="4" w:space="0" w:color="auto"/>
            </w:tcBorders>
            <w:shd w:val="clear" w:color="auto" w:fill="D9D9D9"/>
            <w:noWrap/>
            <w:vAlign w:val="center"/>
            <w:hideMark/>
          </w:tcPr>
          <w:p w:rsidR="004E1CBF" w:rsidRPr="00E3331A" w:rsidRDefault="004E1CBF" w:rsidP="004E1CBF">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92" w:type="dxa"/>
            <w:tcBorders>
              <w:top w:val="nil"/>
              <w:left w:val="nil"/>
              <w:bottom w:val="single" w:sz="4" w:space="0" w:color="auto"/>
              <w:right w:val="single" w:sz="4" w:space="0" w:color="auto"/>
            </w:tcBorders>
            <w:shd w:val="clear" w:color="auto" w:fill="D9D9D9"/>
            <w:noWrap/>
            <w:vAlign w:val="center"/>
            <w:hideMark/>
          </w:tcPr>
          <w:p w:rsidR="004E1CBF" w:rsidRPr="00E3331A" w:rsidRDefault="004E1CBF" w:rsidP="004E1CBF">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709" w:type="dxa"/>
            <w:tcBorders>
              <w:top w:val="nil"/>
              <w:left w:val="nil"/>
              <w:bottom w:val="single" w:sz="4" w:space="0" w:color="auto"/>
              <w:right w:val="single" w:sz="4" w:space="0" w:color="auto"/>
            </w:tcBorders>
            <w:shd w:val="clear" w:color="auto" w:fill="D9D9D9"/>
            <w:noWrap/>
            <w:vAlign w:val="center"/>
            <w:hideMark/>
          </w:tcPr>
          <w:p w:rsidR="004E1CBF" w:rsidRPr="00E3331A" w:rsidRDefault="004E1CBF" w:rsidP="004E1CBF">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850" w:type="dxa"/>
            <w:tcBorders>
              <w:top w:val="nil"/>
              <w:left w:val="nil"/>
              <w:bottom w:val="single" w:sz="4" w:space="0" w:color="auto"/>
              <w:right w:val="single" w:sz="4" w:space="0" w:color="auto"/>
            </w:tcBorders>
            <w:shd w:val="clear" w:color="auto" w:fill="D9D9D9"/>
            <w:noWrap/>
            <w:vAlign w:val="center"/>
            <w:hideMark/>
          </w:tcPr>
          <w:p w:rsidR="004E1CBF" w:rsidRPr="00E3331A" w:rsidRDefault="004E1CBF" w:rsidP="004E1CBF">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992" w:type="dxa"/>
            <w:tcBorders>
              <w:top w:val="nil"/>
              <w:left w:val="nil"/>
              <w:bottom w:val="single" w:sz="4" w:space="0" w:color="auto"/>
              <w:right w:val="single" w:sz="4" w:space="0" w:color="auto"/>
            </w:tcBorders>
            <w:shd w:val="clear" w:color="auto" w:fill="D9D9D9"/>
            <w:noWrap/>
            <w:vAlign w:val="center"/>
            <w:hideMark/>
          </w:tcPr>
          <w:p w:rsidR="004E1CBF" w:rsidRPr="00E3331A" w:rsidRDefault="004E1CBF" w:rsidP="004E1CBF">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$37,223.9</w:t>
            </w:r>
          </w:p>
        </w:tc>
        <w:tc>
          <w:tcPr>
            <w:tcW w:w="993" w:type="dxa"/>
            <w:tcBorders>
              <w:top w:val="nil"/>
              <w:left w:val="nil"/>
              <w:bottom w:val="single" w:sz="4" w:space="0" w:color="auto"/>
              <w:right w:val="single" w:sz="4" w:space="0" w:color="auto"/>
            </w:tcBorders>
            <w:shd w:val="clear" w:color="auto" w:fill="D9D9D9"/>
            <w:noWrap/>
            <w:vAlign w:val="center"/>
            <w:hideMark/>
          </w:tcPr>
          <w:p w:rsidR="004E1CBF" w:rsidRPr="00E3331A" w:rsidRDefault="004E1CBF" w:rsidP="004E1CBF">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 </w:t>
            </w:r>
          </w:p>
        </w:tc>
        <w:tc>
          <w:tcPr>
            <w:tcW w:w="1149" w:type="dxa"/>
            <w:tcBorders>
              <w:top w:val="nil"/>
              <w:left w:val="nil"/>
              <w:bottom w:val="single" w:sz="4" w:space="0" w:color="auto"/>
              <w:right w:val="single" w:sz="4" w:space="0" w:color="auto"/>
            </w:tcBorders>
            <w:shd w:val="clear" w:color="auto" w:fill="D9D9D9"/>
            <w:noWrap/>
            <w:vAlign w:val="center"/>
            <w:hideMark/>
          </w:tcPr>
          <w:p w:rsidR="004E1CBF" w:rsidRPr="00E3331A" w:rsidRDefault="004E1CBF" w:rsidP="004E1CBF">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$37,000.6</w:t>
            </w:r>
          </w:p>
        </w:tc>
        <w:tc>
          <w:tcPr>
            <w:tcW w:w="1209" w:type="dxa"/>
            <w:tcBorders>
              <w:top w:val="nil"/>
              <w:left w:val="nil"/>
              <w:bottom w:val="single" w:sz="4" w:space="0" w:color="auto"/>
              <w:right w:val="single" w:sz="4" w:space="0" w:color="auto"/>
            </w:tcBorders>
            <w:shd w:val="clear" w:color="auto" w:fill="D9D9D9"/>
            <w:vAlign w:val="center"/>
            <w:hideMark/>
          </w:tcPr>
          <w:p w:rsidR="004E1CBF" w:rsidRPr="00E3331A" w:rsidRDefault="004E1CBF" w:rsidP="004E1CBF">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w:t>
            </w:r>
          </w:p>
        </w:tc>
      </w:tr>
    </w:tbl>
    <w:p w:rsidR="00781AD8" w:rsidRDefault="00781AD8" w:rsidP="00B85C75">
      <w:pPr>
        <w:pStyle w:val="Tablenotes1"/>
      </w:pPr>
      <w:r w:rsidRPr="00E3331A">
        <w:lastRenderedPageBreak/>
        <w:t xml:space="preserve">Abbreviations: CIDP= Chronic Inflammatory Demyelinating Polyneuropathy: </w:t>
      </w:r>
      <w:r w:rsidR="000679D8" w:rsidRPr="00E3331A">
        <w:t>MBS =</w:t>
      </w:r>
      <w:r w:rsidR="00B85C75">
        <w:t xml:space="preserve"> Medicare Benefits Schedule; </w:t>
      </w:r>
      <w:r w:rsidR="000679D8" w:rsidRPr="00E3331A">
        <w:t xml:space="preserve">PBS= </w:t>
      </w:r>
      <w:r w:rsidR="00B85C75">
        <w:t>Pharmaceutical Benefits Schedule.</w:t>
      </w:r>
    </w:p>
    <w:p w:rsidR="00781AD8" w:rsidRPr="00E3331A" w:rsidRDefault="004E1CBF" w:rsidP="00781AD8">
      <w:pPr>
        <w:jc w:val="both"/>
      </w:pPr>
      <w:r w:rsidRPr="00E3331A">
        <w:t xml:space="preserve">It is </w:t>
      </w:r>
      <w:r w:rsidR="00820286" w:rsidRPr="00E3331A">
        <w:t>evident</w:t>
      </w:r>
      <w:r w:rsidRPr="00E3331A">
        <w:t xml:space="preserve"> that Ig accounts for more than 80% of overall treatment costs. </w:t>
      </w:r>
      <w:r w:rsidR="00781AD8" w:rsidRPr="00E3331A">
        <w:t xml:space="preserve">MBS costs are estimated assuming services are delivered on an inpatient basis. </w:t>
      </w:r>
      <w:r w:rsidRPr="00E3331A">
        <w:t>S</w:t>
      </w:r>
      <w:r w:rsidR="00781AD8" w:rsidRPr="00E3331A">
        <w:t xml:space="preserve">tate level hospital costs </w:t>
      </w:r>
      <w:r w:rsidRPr="00E3331A">
        <w:t>include hospital, nurse and infection control costs</w:t>
      </w:r>
      <w:r w:rsidR="00781AD8" w:rsidRPr="00E3331A">
        <w:t>.</w:t>
      </w:r>
      <w:r w:rsidRPr="00E3331A">
        <w:t xml:space="preserve"> These costs are included in the impact analysis where overall government health budget impacts are estimated.</w:t>
      </w:r>
    </w:p>
    <w:p w:rsidR="00781AD8" w:rsidRPr="00E3331A" w:rsidRDefault="00781AD8" w:rsidP="00781AD8">
      <w:pPr>
        <w:pStyle w:val="Heading3"/>
      </w:pPr>
      <w:bookmarkStart w:id="504" w:name="_Toc24103526"/>
      <w:r w:rsidRPr="00E3331A">
        <w:t>E.2.5.</w:t>
      </w:r>
      <w:r w:rsidRPr="00E3331A">
        <w:tab/>
      </w:r>
      <w:r w:rsidR="000679D8" w:rsidRPr="00E3331A">
        <w:t xml:space="preserve">Projected </w:t>
      </w:r>
      <w:r w:rsidRPr="00E3331A">
        <w:t>Cost of Ig for CIDP</w:t>
      </w:r>
      <w:r w:rsidR="000679D8" w:rsidRPr="00E3331A">
        <w:t>, 2020-2024</w:t>
      </w:r>
      <w:bookmarkEnd w:id="504"/>
    </w:p>
    <w:p w:rsidR="00781AD8" w:rsidRPr="00E3331A" w:rsidRDefault="00781AD8" w:rsidP="00781AD8">
      <w:pPr>
        <w:pStyle w:val="BodyTextSTD"/>
      </w:pPr>
      <w:r w:rsidRPr="00E3331A">
        <w:t>Projected Ig costs for CIDP are presented in</w:t>
      </w:r>
      <w:r w:rsidR="00820286">
        <w:t xml:space="preserve"> </w:t>
      </w:r>
      <w:r w:rsidR="00B85C75" w:rsidRPr="00E3331A">
        <w:t xml:space="preserve">Table </w:t>
      </w:r>
      <w:r w:rsidR="00B85C75">
        <w:rPr>
          <w:noProof/>
        </w:rPr>
        <w:t>89</w:t>
      </w:r>
      <w:r w:rsidRPr="00E3331A">
        <w:t xml:space="preserve">. </w:t>
      </w:r>
      <w:r w:rsidR="007F46D5" w:rsidRPr="00E3331A">
        <w:t xml:space="preserve">The projected number of patients, average Ig grams per patient and base Ig price are combined to estimate projected </w:t>
      </w:r>
      <w:r w:rsidR="00D92C37" w:rsidRPr="00E3331A">
        <w:t xml:space="preserve">total Ig </w:t>
      </w:r>
      <w:r w:rsidR="007F46D5" w:rsidRPr="00E3331A">
        <w:t>costs. Ig c</w:t>
      </w:r>
      <w:r w:rsidRPr="00E3331A">
        <w:t xml:space="preserve">osts </w:t>
      </w:r>
      <w:r w:rsidR="007F46D5" w:rsidRPr="00E3331A">
        <w:t xml:space="preserve">for CIDP </w:t>
      </w:r>
      <w:r w:rsidRPr="00E3331A">
        <w:t xml:space="preserve">are estimated to be $88.1 million in 2020, increasing to $108.8 million in 2024. </w:t>
      </w:r>
    </w:p>
    <w:p w:rsidR="00781AD8" w:rsidRPr="00E3331A" w:rsidRDefault="00781AD8" w:rsidP="00781AD8">
      <w:pPr>
        <w:pStyle w:val="Caption"/>
        <w:rPr>
          <w:noProof/>
          <w:szCs w:val="20"/>
        </w:rPr>
      </w:pPr>
      <w:bookmarkStart w:id="505" w:name="_Ref23766681"/>
      <w:bookmarkStart w:id="506" w:name="_Toc24103395"/>
      <w:r w:rsidRPr="00E3331A">
        <w:t xml:space="preserve">Table </w:t>
      </w:r>
      <w:r w:rsidR="006F35B9">
        <w:rPr>
          <w:noProof/>
        </w:rPr>
        <w:t>89</w:t>
      </w:r>
      <w:bookmarkEnd w:id="505"/>
      <w:r w:rsidRPr="00E3331A">
        <w:tab/>
      </w:r>
      <w:r w:rsidRPr="00E3331A">
        <w:rPr>
          <w:noProof/>
          <w:szCs w:val="20"/>
        </w:rPr>
        <w:t>Estimated costs of Ig for CIDP, 2020-2024</w:t>
      </w:r>
      <w:bookmarkEnd w:id="506"/>
    </w:p>
    <w:tbl>
      <w:tblPr>
        <w:tblW w:w="0" w:type="auto"/>
        <w:tblLayout w:type="fixed"/>
        <w:tblLook w:val="04A0" w:firstRow="1" w:lastRow="0" w:firstColumn="1" w:lastColumn="0" w:noHBand="0" w:noVBand="1"/>
      </w:tblPr>
      <w:tblGrid>
        <w:gridCol w:w="988"/>
        <w:gridCol w:w="850"/>
        <w:gridCol w:w="1162"/>
        <w:gridCol w:w="1162"/>
        <w:gridCol w:w="1163"/>
        <w:gridCol w:w="1162"/>
        <w:gridCol w:w="1163"/>
        <w:gridCol w:w="1366"/>
      </w:tblGrid>
      <w:tr w:rsidR="00781AD8" w:rsidRPr="00E3331A" w:rsidTr="003A1339">
        <w:trPr>
          <w:trHeight w:val="255"/>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81AD8" w:rsidRPr="00E3331A" w:rsidRDefault="00781AD8" w:rsidP="003A1339">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81AD8" w:rsidRPr="00E3331A" w:rsidRDefault="00781AD8"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Unit</w:t>
            </w:r>
          </w:p>
        </w:tc>
        <w:tc>
          <w:tcPr>
            <w:tcW w:w="116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81AD8" w:rsidRPr="00E3331A" w:rsidRDefault="00781AD8"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2020</w:t>
            </w:r>
          </w:p>
        </w:tc>
        <w:tc>
          <w:tcPr>
            <w:tcW w:w="116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81AD8" w:rsidRPr="00E3331A" w:rsidRDefault="00781AD8"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2021</w:t>
            </w:r>
          </w:p>
        </w:tc>
        <w:tc>
          <w:tcPr>
            <w:tcW w:w="11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81AD8" w:rsidRPr="00E3331A" w:rsidRDefault="00781AD8"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2022</w:t>
            </w:r>
          </w:p>
        </w:tc>
        <w:tc>
          <w:tcPr>
            <w:tcW w:w="116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81AD8" w:rsidRPr="00E3331A" w:rsidRDefault="00781AD8"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2023</w:t>
            </w:r>
          </w:p>
        </w:tc>
        <w:tc>
          <w:tcPr>
            <w:tcW w:w="11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81AD8" w:rsidRPr="00E3331A" w:rsidRDefault="00781AD8"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2024</w:t>
            </w:r>
          </w:p>
        </w:tc>
        <w:tc>
          <w:tcPr>
            <w:tcW w:w="136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81AD8" w:rsidRPr="00E3331A" w:rsidRDefault="00781AD8"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Source</w:t>
            </w:r>
          </w:p>
        </w:tc>
      </w:tr>
      <w:tr w:rsidR="00781AD8" w:rsidRPr="00E3331A" w:rsidTr="003A1339">
        <w:trPr>
          <w:trHeight w:val="25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Projected Ig patients</w:t>
            </w:r>
          </w:p>
        </w:tc>
        <w:tc>
          <w:tcPr>
            <w:tcW w:w="850"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Number</w:t>
            </w:r>
          </w:p>
        </w:tc>
        <w:tc>
          <w:tcPr>
            <w:tcW w:w="1162"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2,936</w:t>
            </w:r>
          </w:p>
        </w:tc>
        <w:tc>
          <w:tcPr>
            <w:tcW w:w="1162"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3,108</w:t>
            </w:r>
          </w:p>
        </w:tc>
        <w:tc>
          <w:tcPr>
            <w:tcW w:w="1163"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3,280</w:t>
            </w:r>
          </w:p>
        </w:tc>
        <w:tc>
          <w:tcPr>
            <w:tcW w:w="1162"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3,452</w:t>
            </w:r>
          </w:p>
        </w:tc>
        <w:tc>
          <w:tcPr>
            <w:tcW w:w="1163"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3,624</w:t>
            </w:r>
          </w:p>
        </w:tc>
        <w:tc>
          <w:tcPr>
            <w:tcW w:w="1366"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Projected using 2012-2018 trend</w:t>
            </w:r>
          </w:p>
        </w:tc>
      </w:tr>
      <w:tr w:rsidR="00781AD8" w:rsidRPr="00E3331A" w:rsidTr="003A1339">
        <w:trPr>
          <w:trHeight w:val="25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Grams Ig per patient per year</w:t>
            </w:r>
          </w:p>
        </w:tc>
        <w:tc>
          <w:tcPr>
            <w:tcW w:w="850"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grams</w:t>
            </w:r>
          </w:p>
        </w:tc>
        <w:tc>
          <w:tcPr>
            <w:tcW w:w="1162"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497</w:t>
            </w:r>
          </w:p>
        </w:tc>
        <w:tc>
          <w:tcPr>
            <w:tcW w:w="1162"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497</w:t>
            </w:r>
          </w:p>
        </w:tc>
        <w:tc>
          <w:tcPr>
            <w:tcW w:w="1163"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497</w:t>
            </w:r>
          </w:p>
        </w:tc>
        <w:tc>
          <w:tcPr>
            <w:tcW w:w="1162"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497</w:t>
            </w:r>
          </w:p>
        </w:tc>
        <w:tc>
          <w:tcPr>
            <w:tcW w:w="1163"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497</w:t>
            </w:r>
          </w:p>
        </w:tc>
        <w:tc>
          <w:tcPr>
            <w:tcW w:w="1366"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Current Ig per patient per year</w:t>
            </w:r>
          </w:p>
        </w:tc>
      </w:tr>
      <w:tr w:rsidR="00781AD8" w:rsidRPr="00E3331A" w:rsidTr="003A1339">
        <w:trPr>
          <w:trHeight w:val="25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Total projected Ig grams per year</w:t>
            </w:r>
          </w:p>
        </w:tc>
        <w:tc>
          <w:tcPr>
            <w:tcW w:w="850"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grams</w:t>
            </w:r>
          </w:p>
        </w:tc>
        <w:tc>
          <w:tcPr>
            <w:tcW w:w="1162"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1,459,121</w:t>
            </w:r>
          </w:p>
        </w:tc>
        <w:tc>
          <w:tcPr>
            <w:tcW w:w="1162"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1,544,641</w:t>
            </w:r>
          </w:p>
        </w:tc>
        <w:tc>
          <w:tcPr>
            <w:tcW w:w="1163"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1,630,160</w:t>
            </w:r>
          </w:p>
        </w:tc>
        <w:tc>
          <w:tcPr>
            <w:tcW w:w="1162"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1,715,680</w:t>
            </w:r>
          </w:p>
        </w:tc>
        <w:tc>
          <w:tcPr>
            <w:tcW w:w="1163"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1,801,199</w:t>
            </w:r>
          </w:p>
        </w:tc>
        <w:tc>
          <w:tcPr>
            <w:tcW w:w="1366"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 based on Ig patient numbers</w:t>
            </w:r>
          </w:p>
        </w:tc>
      </w:tr>
      <w:tr w:rsidR="00781AD8" w:rsidRPr="00E3331A" w:rsidTr="003A1339">
        <w:trPr>
          <w:trHeight w:val="25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Ig cost per gram</w:t>
            </w:r>
          </w:p>
        </w:tc>
        <w:tc>
          <w:tcPr>
            <w:tcW w:w="850"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 per gram</w:t>
            </w:r>
          </w:p>
        </w:tc>
        <w:tc>
          <w:tcPr>
            <w:tcW w:w="1162"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60.41</w:t>
            </w:r>
          </w:p>
        </w:tc>
        <w:tc>
          <w:tcPr>
            <w:tcW w:w="1162"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60.41</w:t>
            </w:r>
          </w:p>
        </w:tc>
        <w:tc>
          <w:tcPr>
            <w:tcW w:w="1163"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60.41</w:t>
            </w:r>
          </w:p>
        </w:tc>
        <w:tc>
          <w:tcPr>
            <w:tcW w:w="1162"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60.41</w:t>
            </w:r>
          </w:p>
        </w:tc>
        <w:tc>
          <w:tcPr>
            <w:tcW w:w="1163"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60.41</w:t>
            </w:r>
          </w:p>
        </w:tc>
        <w:tc>
          <w:tcPr>
            <w:tcW w:w="1366"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NBA price list</w:t>
            </w:r>
          </w:p>
        </w:tc>
      </w:tr>
      <w:tr w:rsidR="00781AD8" w:rsidRPr="00E3331A" w:rsidTr="00464E0A">
        <w:trPr>
          <w:trHeight w:val="255"/>
        </w:trPr>
        <w:tc>
          <w:tcPr>
            <w:tcW w:w="98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81AD8" w:rsidRPr="00E3331A" w:rsidRDefault="00781AD8" w:rsidP="003A1339">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Total Ig product costs</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781AD8" w:rsidRPr="00E3331A" w:rsidRDefault="00781AD8"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w:t>
            </w:r>
          </w:p>
        </w:tc>
        <w:tc>
          <w:tcPr>
            <w:tcW w:w="1162" w:type="dxa"/>
            <w:tcBorders>
              <w:top w:val="nil"/>
              <w:left w:val="nil"/>
              <w:bottom w:val="single" w:sz="4" w:space="0" w:color="auto"/>
              <w:right w:val="single" w:sz="4" w:space="0" w:color="auto"/>
            </w:tcBorders>
            <w:shd w:val="clear" w:color="auto" w:fill="D9D9D9" w:themeFill="background1" w:themeFillShade="D9"/>
            <w:noWrap/>
            <w:vAlign w:val="center"/>
            <w:hideMark/>
          </w:tcPr>
          <w:p w:rsidR="00781AD8" w:rsidRPr="00E3331A" w:rsidRDefault="00781AD8"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88,145,500</w:t>
            </w:r>
          </w:p>
        </w:tc>
        <w:tc>
          <w:tcPr>
            <w:tcW w:w="1162" w:type="dxa"/>
            <w:tcBorders>
              <w:top w:val="nil"/>
              <w:left w:val="nil"/>
              <w:bottom w:val="single" w:sz="4" w:space="0" w:color="auto"/>
              <w:right w:val="single" w:sz="4" w:space="0" w:color="auto"/>
            </w:tcBorders>
            <w:shd w:val="clear" w:color="auto" w:fill="D9D9D9" w:themeFill="background1" w:themeFillShade="D9"/>
            <w:noWrap/>
            <w:vAlign w:val="center"/>
            <w:hideMark/>
          </w:tcPr>
          <w:p w:rsidR="00781AD8" w:rsidRPr="00E3331A" w:rsidRDefault="00781AD8"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93,311,733</w:t>
            </w:r>
          </w:p>
        </w:tc>
        <w:tc>
          <w:tcPr>
            <w:tcW w:w="1163" w:type="dxa"/>
            <w:tcBorders>
              <w:top w:val="nil"/>
              <w:left w:val="nil"/>
              <w:bottom w:val="single" w:sz="4" w:space="0" w:color="auto"/>
              <w:right w:val="single" w:sz="4" w:space="0" w:color="auto"/>
            </w:tcBorders>
            <w:shd w:val="clear" w:color="auto" w:fill="D9D9D9" w:themeFill="background1" w:themeFillShade="D9"/>
            <w:noWrap/>
            <w:vAlign w:val="center"/>
            <w:hideMark/>
          </w:tcPr>
          <w:p w:rsidR="00781AD8" w:rsidRPr="00E3331A" w:rsidRDefault="00781AD8"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98,477,966</w:t>
            </w:r>
          </w:p>
        </w:tc>
        <w:tc>
          <w:tcPr>
            <w:tcW w:w="1162" w:type="dxa"/>
            <w:tcBorders>
              <w:top w:val="nil"/>
              <w:left w:val="nil"/>
              <w:bottom w:val="single" w:sz="4" w:space="0" w:color="auto"/>
              <w:right w:val="single" w:sz="4" w:space="0" w:color="auto"/>
            </w:tcBorders>
            <w:shd w:val="clear" w:color="auto" w:fill="D9D9D9" w:themeFill="background1" w:themeFillShade="D9"/>
            <w:noWrap/>
            <w:vAlign w:val="center"/>
            <w:hideMark/>
          </w:tcPr>
          <w:p w:rsidR="00781AD8" w:rsidRPr="00E3331A" w:rsidRDefault="00781AD8"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103,644,199</w:t>
            </w:r>
          </w:p>
        </w:tc>
        <w:tc>
          <w:tcPr>
            <w:tcW w:w="1163" w:type="dxa"/>
            <w:tcBorders>
              <w:top w:val="nil"/>
              <w:left w:val="nil"/>
              <w:bottom w:val="single" w:sz="4" w:space="0" w:color="auto"/>
              <w:right w:val="single" w:sz="4" w:space="0" w:color="auto"/>
            </w:tcBorders>
            <w:shd w:val="clear" w:color="auto" w:fill="D9D9D9" w:themeFill="background1" w:themeFillShade="D9"/>
            <w:noWrap/>
            <w:vAlign w:val="center"/>
            <w:hideMark/>
          </w:tcPr>
          <w:p w:rsidR="00781AD8" w:rsidRPr="00E3331A" w:rsidRDefault="00781AD8"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108,810,432</w:t>
            </w:r>
          </w:p>
        </w:tc>
        <w:tc>
          <w:tcPr>
            <w:tcW w:w="1366" w:type="dxa"/>
            <w:tcBorders>
              <w:top w:val="nil"/>
              <w:left w:val="nil"/>
              <w:bottom w:val="single" w:sz="4" w:space="0" w:color="auto"/>
              <w:right w:val="single" w:sz="4" w:space="0" w:color="auto"/>
            </w:tcBorders>
            <w:shd w:val="clear" w:color="auto" w:fill="D9D9D9" w:themeFill="background1" w:themeFillShade="D9"/>
            <w:noWrap/>
            <w:vAlign w:val="center"/>
            <w:hideMark/>
          </w:tcPr>
          <w:p w:rsidR="00781AD8" w:rsidRPr="00E3331A" w:rsidRDefault="00781AD8" w:rsidP="003A1339">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Unit cost multiplied by Ig patients</w:t>
            </w:r>
          </w:p>
        </w:tc>
      </w:tr>
      <w:tr w:rsidR="00781AD8" w:rsidRPr="00E3331A" w:rsidTr="003A1339">
        <w:trPr>
          <w:trHeight w:val="25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Common</w:t>
            </w:r>
            <w:r w:rsidR="00417823">
              <w:rPr>
                <w:rFonts w:ascii="Arial Narrow" w:hAnsi="Arial Narrow" w:cs="Calibri"/>
                <w:color w:val="000000"/>
                <w:sz w:val="20"/>
                <w:szCs w:val="20"/>
              </w:rPr>
              <w:t>wealth</w:t>
            </w:r>
            <w:r w:rsidRPr="00E3331A">
              <w:rPr>
                <w:rFonts w:ascii="Arial Narrow" w:hAnsi="Arial Narrow" w:cs="Calibri"/>
                <w:color w:val="000000"/>
                <w:sz w:val="20"/>
                <w:szCs w:val="20"/>
              </w:rPr>
              <w:t xml:space="preserve"> Ig costs</w:t>
            </w:r>
          </w:p>
        </w:tc>
        <w:tc>
          <w:tcPr>
            <w:tcW w:w="850"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162"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55,531,665</w:t>
            </w:r>
          </w:p>
        </w:tc>
        <w:tc>
          <w:tcPr>
            <w:tcW w:w="1162"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58,786,392</w:t>
            </w:r>
          </w:p>
        </w:tc>
        <w:tc>
          <w:tcPr>
            <w:tcW w:w="1163"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62,041,118</w:t>
            </w:r>
          </w:p>
        </w:tc>
        <w:tc>
          <w:tcPr>
            <w:tcW w:w="1162"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65,295,845</w:t>
            </w:r>
          </w:p>
        </w:tc>
        <w:tc>
          <w:tcPr>
            <w:tcW w:w="1163"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68,550,572</w:t>
            </w:r>
          </w:p>
        </w:tc>
        <w:tc>
          <w:tcPr>
            <w:tcW w:w="1366"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63% funded by Commonwealth</w:t>
            </w:r>
          </w:p>
        </w:tc>
      </w:tr>
      <w:tr w:rsidR="00781AD8" w:rsidRPr="00E3331A" w:rsidTr="003A1339">
        <w:trPr>
          <w:trHeight w:val="25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State Ig costs</w:t>
            </w:r>
          </w:p>
        </w:tc>
        <w:tc>
          <w:tcPr>
            <w:tcW w:w="850"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162"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32,613,835</w:t>
            </w:r>
          </w:p>
        </w:tc>
        <w:tc>
          <w:tcPr>
            <w:tcW w:w="1162"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34,525,341</w:t>
            </w:r>
          </w:p>
        </w:tc>
        <w:tc>
          <w:tcPr>
            <w:tcW w:w="1163"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36,436,847</w:t>
            </w:r>
          </w:p>
        </w:tc>
        <w:tc>
          <w:tcPr>
            <w:tcW w:w="1162"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38,348,353</w:t>
            </w:r>
          </w:p>
        </w:tc>
        <w:tc>
          <w:tcPr>
            <w:tcW w:w="1163"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40,259,860</w:t>
            </w:r>
          </w:p>
        </w:tc>
        <w:tc>
          <w:tcPr>
            <w:tcW w:w="1366" w:type="dxa"/>
            <w:tcBorders>
              <w:top w:val="nil"/>
              <w:left w:val="nil"/>
              <w:bottom w:val="single" w:sz="4" w:space="0" w:color="auto"/>
              <w:right w:val="single" w:sz="4" w:space="0" w:color="auto"/>
            </w:tcBorders>
            <w:shd w:val="clear" w:color="auto" w:fill="auto"/>
            <w:noWrap/>
            <w:vAlign w:val="center"/>
            <w:hideMark/>
          </w:tcPr>
          <w:p w:rsidR="00781AD8" w:rsidRPr="00E3331A" w:rsidRDefault="00781AD8"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37% funded by states and territories</w:t>
            </w:r>
          </w:p>
        </w:tc>
      </w:tr>
    </w:tbl>
    <w:p w:rsidR="00781AD8" w:rsidRPr="00E3331A" w:rsidRDefault="00781AD8" w:rsidP="00781AD8">
      <w:pPr>
        <w:spacing w:after="0" w:line="240" w:lineRule="auto"/>
        <w:rPr>
          <w:rFonts w:ascii="Arial Narrow" w:hAnsi="Arial Narrow"/>
          <w:sz w:val="18"/>
          <w:szCs w:val="18"/>
        </w:rPr>
      </w:pPr>
      <w:r w:rsidRPr="00E3331A">
        <w:rPr>
          <w:rFonts w:ascii="Arial Narrow" w:hAnsi="Arial Narrow"/>
          <w:sz w:val="18"/>
          <w:szCs w:val="18"/>
        </w:rPr>
        <w:t>CIDP= Chronic Inflammatory Demyelinating Polyneuropathy. Ig = immunoglobulin;</w:t>
      </w:r>
    </w:p>
    <w:p w:rsidR="00781AD8" w:rsidRPr="00E3331A" w:rsidRDefault="00781AD8" w:rsidP="00781AD8">
      <w:pPr>
        <w:spacing w:after="0" w:line="240" w:lineRule="auto"/>
        <w:rPr>
          <w:rFonts w:ascii="Arial Narrow" w:hAnsi="Arial Narrow"/>
          <w:sz w:val="18"/>
          <w:szCs w:val="18"/>
        </w:rPr>
      </w:pPr>
      <w:r w:rsidRPr="00E3331A">
        <w:rPr>
          <w:rFonts w:ascii="Arial Narrow" w:hAnsi="Arial Narrow"/>
          <w:sz w:val="18"/>
          <w:szCs w:val="18"/>
        </w:rPr>
        <w:t>Under the National Blood Agreement, products are funded 63% by the Commonwealth and 37% by the states and territories</w:t>
      </w:r>
    </w:p>
    <w:p w:rsidR="009615CF" w:rsidRPr="00E3331A" w:rsidRDefault="009615CF">
      <w:pPr>
        <w:jc w:val="both"/>
      </w:pPr>
    </w:p>
    <w:p w:rsidR="001F5B33" w:rsidRPr="00E3331A" w:rsidRDefault="000D3AD2" w:rsidP="003E4E1F">
      <w:pPr>
        <w:pStyle w:val="Heading2"/>
      </w:pPr>
      <w:bookmarkStart w:id="507" w:name="_Toc24103527"/>
      <w:r w:rsidRPr="00E3331A">
        <w:t>E.3.</w:t>
      </w:r>
      <w:r w:rsidRPr="00E3331A">
        <w:tab/>
      </w:r>
      <w:r w:rsidR="001F5B33" w:rsidRPr="00E3331A">
        <w:t>Changes in Use and Cost of Other Medical Services</w:t>
      </w:r>
      <w:bookmarkEnd w:id="507"/>
      <w:r w:rsidR="001F5B33" w:rsidRPr="00E3331A">
        <w:t xml:space="preserve"> </w:t>
      </w:r>
    </w:p>
    <w:p w:rsidR="000679D8" w:rsidRPr="00E3331A" w:rsidRDefault="003A1339" w:rsidP="00464E0A">
      <w:pPr>
        <w:pStyle w:val="BodyTextSTD"/>
      </w:pPr>
      <w:r w:rsidRPr="00E3331A">
        <w:t xml:space="preserve">The </w:t>
      </w:r>
      <w:r w:rsidR="00D92C37" w:rsidRPr="00E3331A">
        <w:t>uptake</w:t>
      </w:r>
      <w:r w:rsidRPr="00E3331A">
        <w:t xml:space="preserve"> of Ig incurs additional costs associated with service delivery. These costs are projects for MBS, PBS and state budgets. Ig </w:t>
      </w:r>
      <w:r w:rsidR="00D92C37" w:rsidRPr="00E3331A">
        <w:t xml:space="preserve">use among CIDP patients </w:t>
      </w:r>
      <w:r w:rsidRPr="00E3331A">
        <w:t xml:space="preserve">substitutes for other CIDP treatments </w:t>
      </w:r>
      <w:r w:rsidR="00D92C37" w:rsidRPr="00E3331A">
        <w:t>that otherwise would have been utilised</w:t>
      </w:r>
      <w:r w:rsidRPr="00E3331A">
        <w:t xml:space="preserve">. These costs are included in the budget impact as cost </w:t>
      </w:r>
      <w:r w:rsidR="00D92C37" w:rsidRPr="00E3331A">
        <w:t>offsets</w:t>
      </w:r>
      <w:r w:rsidRPr="00E3331A">
        <w:t>. The analysis assumes Ig substitutes for steroids.</w:t>
      </w:r>
    </w:p>
    <w:p w:rsidR="000679D8" w:rsidRPr="00E3331A" w:rsidRDefault="000679D8" w:rsidP="000679D8">
      <w:pPr>
        <w:pStyle w:val="Heading3"/>
      </w:pPr>
      <w:bookmarkStart w:id="508" w:name="_Toc24103528"/>
      <w:r w:rsidRPr="00E3331A">
        <w:lastRenderedPageBreak/>
        <w:t>E.3.1.</w:t>
      </w:r>
      <w:r w:rsidRPr="00E3331A">
        <w:tab/>
        <w:t xml:space="preserve">Estimated Cost per </w:t>
      </w:r>
      <w:r w:rsidR="005416DA" w:rsidRPr="00E3331A">
        <w:t xml:space="preserve">CIDP </w:t>
      </w:r>
      <w:r w:rsidRPr="00E3331A">
        <w:t xml:space="preserve">Patient for </w:t>
      </w:r>
      <w:r w:rsidR="00820286" w:rsidRPr="00E3331A">
        <w:t>Cort</w:t>
      </w:r>
      <w:r w:rsidR="00820286">
        <w:t>ic</w:t>
      </w:r>
      <w:r w:rsidR="00820286" w:rsidRPr="00E3331A">
        <w:t>osteroids</w:t>
      </w:r>
      <w:bookmarkEnd w:id="508"/>
    </w:p>
    <w:p w:rsidR="000D3AD2" w:rsidRPr="00E3331A" w:rsidRDefault="000D3AD2" w:rsidP="000D3AD2">
      <w:pPr>
        <w:jc w:val="both"/>
      </w:pPr>
      <w:r w:rsidRPr="00E3331A">
        <w:t>The cost of steroid treatment (prednisone) is estimated in</w:t>
      </w:r>
      <w:r w:rsidR="00B85C75">
        <w:rPr>
          <w:b/>
          <w:bCs/>
          <w:lang w:val="en-US"/>
        </w:rPr>
        <w:t xml:space="preserve"> </w:t>
      </w:r>
      <w:r w:rsidR="00B85C75" w:rsidRPr="00E3331A">
        <w:t xml:space="preserve">Table </w:t>
      </w:r>
      <w:r w:rsidR="00B85C75">
        <w:rPr>
          <w:noProof/>
        </w:rPr>
        <w:t>90</w:t>
      </w:r>
      <w:r w:rsidRPr="00E3331A">
        <w:t xml:space="preserve">. Medicine costs are taken from the </w:t>
      </w:r>
      <w:r w:rsidR="003A1339" w:rsidRPr="00E3331A">
        <w:t xml:space="preserve">PBS </w:t>
      </w:r>
      <w:r w:rsidRPr="00E3331A">
        <w:t>website</w:t>
      </w:r>
      <w:r w:rsidR="007F410E" w:rsidRPr="00E3331A">
        <w:t xml:space="preserve"> and included a</w:t>
      </w:r>
      <w:r w:rsidRPr="00E3331A">
        <w:t>t the longer-term dose of 5mg per day the total cost per year is $1,</w:t>
      </w:r>
      <w:r w:rsidR="003A1339" w:rsidRPr="00E3331A">
        <w:t>701</w:t>
      </w:r>
      <w:r w:rsidRPr="00E3331A">
        <w:t>.</w:t>
      </w:r>
      <w:r w:rsidR="007F410E" w:rsidRPr="00E3331A">
        <w:t xml:space="preserve"> Delivery costs which include doctor visits and tests are also included.</w:t>
      </w:r>
    </w:p>
    <w:p w:rsidR="000D3AD2" w:rsidRPr="00E3331A" w:rsidRDefault="000D3AD2" w:rsidP="000D3AD2">
      <w:pPr>
        <w:pStyle w:val="Caption"/>
      </w:pPr>
      <w:bookmarkStart w:id="509" w:name="_Ref19028359"/>
      <w:bookmarkStart w:id="510" w:name="_Toc24103396"/>
      <w:r w:rsidRPr="00E3331A">
        <w:t xml:space="preserve">Table </w:t>
      </w:r>
      <w:r w:rsidR="006F35B9">
        <w:rPr>
          <w:noProof/>
        </w:rPr>
        <w:t>90</w:t>
      </w:r>
      <w:bookmarkEnd w:id="509"/>
      <w:r w:rsidRPr="00E3331A">
        <w:tab/>
      </w:r>
      <w:r w:rsidR="000679D8" w:rsidRPr="00E3331A">
        <w:t>Unit</w:t>
      </w:r>
      <w:r w:rsidRPr="00E3331A">
        <w:t xml:space="preserve"> costs of steroids</w:t>
      </w:r>
      <w:r w:rsidR="000679D8" w:rsidRPr="00E3331A">
        <w:t xml:space="preserve"> delivery</w:t>
      </w:r>
      <w:bookmarkEnd w:id="510"/>
    </w:p>
    <w:tbl>
      <w:tblPr>
        <w:tblW w:w="5000" w:type="pct"/>
        <w:tblLook w:val="04A0" w:firstRow="1" w:lastRow="0" w:firstColumn="1" w:lastColumn="0" w:noHBand="0" w:noVBand="1"/>
      </w:tblPr>
      <w:tblGrid>
        <w:gridCol w:w="1238"/>
        <w:gridCol w:w="909"/>
        <w:gridCol w:w="846"/>
        <w:gridCol w:w="858"/>
        <w:gridCol w:w="1055"/>
        <w:gridCol w:w="972"/>
        <w:gridCol w:w="1046"/>
        <w:gridCol w:w="972"/>
        <w:gridCol w:w="1120"/>
      </w:tblGrid>
      <w:tr w:rsidR="007F46D5" w:rsidRPr="00E3331A" w:rsidTr="003A1339">
        <w:trPr>
          <w:trHeight w:val="765"/>
        </w:trPr>
        <w:tc>
          <w:tcPr>
            <w:tcW w:w="68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D3AD2" w:rsidRPr="00E3331A" w:rsidRDefault="000D3AD2" w:rsidP="009615CF">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MBS Item</w:t>
            </w:r>
          </w:p>
        </w:tc>
        <w:tc>
          <w:tcPr>
            <w:tcW w:w="504" w:type="pct"/>
            <w:tcBorders>
              <w:top w:val="single" w:sz="4" w:space="0" w:color="auto"/>
              <w:left w:val="nil"/>
              <w:bottom w:val="single" w:sz="4" w:space="0" w:color="auto"/>
              <w:right w:val="single" w:sz="4" w:space="0" w:color="auto"/>
            </w:tcBorders>
            <w:shd w:val="clear" w:color="auto" w:fill="D9D9D9"/>
            <w:vAlign w:val="center"/>
            <w:hideMark/>
          </w:tcPr>
          <w:p w:rsidR="000D3AD2" w:rsidRPr="00E3331A" w:rsidRDefault="000D3AD2" w:rsidP="009615CF">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Provider of resource</w:t>
            </w:r>
          </w:p>
        </w:tc>
        <w:tc>
          <w:tcPr>
            <w:tcW w:w="469" w:type="pct"/>
            <w:tcBorders>
              <w:top w:val="single" w:sz="4" w:space="0" w:color="auto"/>
              <w:left w:val="nil"/>
              <w:bottom w:val="single" w:sz="4" w:space="0" w:color="auto"/>
              <w:right w:val="single" w:sz="4" w:space="0" w:color="auto"/>
            </w:tcBorders>
            <w:shd w:val="clear" w:color="auto" w:fill="D9D9D9"/>
            <w:vAlign w:val="center"/>
            <w:hideMark/>
          </w:tcPr>
          <w:p w:rsidR="000D3AD2" w:rsidRPr="00E3331A" w:rsidRDefault="000D3AD2" w:rsidP="009615CF">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 xml:space="preserve">Price per unit </w:t>
            </w:r>
          </w:p>
        </w:tc>
        <w:tc>
          <w:tcPr>
            <w:tcW w:w="476" w:type="pct"/>
            <w:tcBorders>
              <w:top w:val="single" w:sz="4" w:space="0" w:color="auto"/>
              <w:left w:val="nil"/>
              <w:bottom w:val="single" w:sz="4" w:space="0" w:color="auto"/>
              <w:right w:val="single" w:sz="4" w:space="0" w:color="auto"/>
            </w:tcBorders>
            <w:shd w:val="clear" w:color="auto" w:fill="D9D9D9"/>
            <w:vAlign w:val="center"/>
            <w:hideMark/>
          </w:tcPr>
          <w:p w:rsidR="000D3AD2" w:rsidRPr="00E3331A" w:rsidRDefault="000D3AD2" w:rsidP="009615CF">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Number per year</w:t>
            </w:r>
          </w:p>
        </w:tc>
        <w:tc>
          <w:tcPr>
            <w:tcW w:w="585" w:type="pct"/>
            <w:tcBorders>
              <w:top w:val="single" w:sz="4" w:space="0" w:color="auto"/>
              <w:left w:val="nil"/>
              <w:bottom w:val="single" w:sz="4" w:space="0" w:color="auto"/>
              <w:right w:val="single" w:sz="4" w:space="0" w:color="auto"/>
            </w:tcBorders>
            <w:shd w:val="clear" w:color="auto" w:fill="D9D9D9"/>
            <w:vAlign w:val="center"/>
            <w:hideMark/>
          </w:tcPr>
          <w:p w:rsidR="000D3AD2" w:rsidRPr="00E3331A" w:rsidRDefault="000D3AD2" w:rsidP="009615CF">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Proportion</w:t>
            </w:r>
            <w:r w:rsidR="007F46D5" w:rsidRPr="00E3331A">
              <w:rPr>
                <w:rFonts w:ascii="Arial Narrow" w:hAnsi="Arial Narrow" w:cs="Calibri"/>
                <w:b/>
                <w:bCs/>
                <w:sz w:val="20"/>
                <w:szCs w:val="20"/>
              </w:rPr>
              <w:t xml:space="preserve"> of patients</w:t>
            </w:r>
          </w:p>
        </w:tc>
        <w:tc>
          <w:tcPr>
            <w:tcW w:w="539" w:type="pct"/>
            <w:tcBorders>
              <w:top w:val="single" w:sz="4" w:space="0" w:color="auto"/>
              <w:left w:val="nil"/>
              <w:bottom w:val="single" w:sz="4" w:space="0" w:color="auto"/>
              <w:right w:val="single" w:sz="4" w:space="0" w:color="auto"/>
            </w:tcBorders>
            <w:shd w:val="clear" w:color="auto" w:fill="D9D9D9"/>
            <w:vAlign w:val="center"/>
            <w:hideMark/>
          </w:tcPr>
          <w:p w:rsidR="000D3AD2" w:rsidRPr="00E3331A" w:rsidRDefault="000D3AD2" w:rsidP="009615CF">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Total cost</w:t>
            </w:r>
          </w:p>
        </w:tc>
        <w:tc>
          <w:tcPr>
            <w:tcW w:w="580" w:type="pct"/>
            <w:tcBorders>
              <w:top w:val="single" w:sz="4" w:space="0" w:color="auto"/>
              <w:left w:val="nil"/>
              <w:bottom w:val="single" w:sz="4" w:space="0" w:color="auto"/>
              <w:right w:val="single" w:sz="4" w:space="0" w:color="auto"/>
            </w:tcBorders>
            <w:shd w:val="clear" w:color="auto" w:fill="D9D9D9"/>
            <w:vAlign w:val="center"/>
            <w:hideMark/>
          </w:tcPr>
          <w:p w:rsidR="000D3AD2" w:rsidRPr="00E3331A" w:rsidRDefault="007F46D5" w:rsidP="009615CF">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 xml:space="preserve">State, </w:t>
            </w:r>
            <w:r w:rsidR="000D3AD2" w:rsidRPr="00E3331A">
              <w:rPr>
                <w:rFonts w:ascii="Arial Narrow" w:hAnsi="Arial Narrow" w:cs="Calibri"/>
                <w:b/>
                <w:bCs/>
                <w:sz w:val="20"/>
                <w:szCs w:val="20"/>
              </w:rPr>
              <w:t>MBS, PBS proportion of total cost</w:t>
            </w:r>
          </w:p>
        </w:tc>
        <w:tc>
          <w:tcPr>
            <w:tcW w:w="539" w:type="pct"/>
            <w:tcBorders>
              <w:top w:val="single" w:sz="4" w:space="0" w:color="auto"/>
              <w:left w:val="nil"/>
              <w:bottom w:val="single" w:sz="4" w:space="0" w:color="auto"/>
              <w:right w:val="single" w:sz="4" w:space="0" w:color="auto"/>
            </w:tcBorders>
            <w:shd w:val="clear" w:color="auto" w:fill="D9D9D9"/>
            <w:vAlign w:val="center"/>
            <w:hideMark/>
          </w:tcPr>
          <w:p w:rsidR="000D3AD2" w:rsidRPr="00E3331A" w:rsidRDefault="007F46D5" w:rsidP="009615CF">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 xml:space="preserve">State, </w:t>
            </w:r>
            <w:r w:rsidR="000D3AD2" w:rsidRPr="00E3331A">
              <w:rPr>
                <w:rFonts w:ascii="Arial Narrow" w:hAnsi="Arial Narrow" w:cs="Calibri"/>
                <w:b/>
                <w:bCs/>
                <w:sz w:val="20"/>
                <w:szCs w:val="20"/>
              </w:rPr>
              <w:t>MBS or PBS cost</w:t>
            </w:r>
          </w:p>
        </w:tc>
        <w:tc>
          <w:tcPr>
            <w:tcW w:w="621" w:type="pct"/>
            <w:tcBorders>
              <w:top w:val="single" w:sz="4" w:space="0" w:color="auto"/>
              <w:left w:val="nil"/>
              <w:bottom w:val="single" w:sz="4" w:space="0" w:color="auto"/>
              <w:right w:val="single" w:sz="4" w:space="0" w:color="auto"/>
            </w:tcBorders>
            <w:shd w:val="clear" w:color="auto" w:fill="D9D9D9"/>
            <w:vAlign w:val="center"/>
            <w:hideMark/>
          </w:tcPr>
          <w:p w:rsidR="000D3AD2" w:rsidRPr="00E3331A" w:rsidRDefault="000D3AD2" w:rsidP="009615CF">
            <w:pPr>
              <w:spacing w:after="0" w:line="240" w:lineRule="auto"/>
              <w:jc w:val="center"/>
              <w:rPr>
                <w:rFonts w:ascii="Arial Narrow" w:hAnsi="Arial Narrow" w:cs="Calibri"/>
                <w:b/>
                <w:bCs/>
                <w:sz w:val="20"/>
                <w:szCs w:val="20"/>
              </w:rPr>
            </w:pPr>
            <w:r w:rsidRPr="00E3331A">
              <w:rPr>
                <w:rFonts w:ascii="Arial Narrow" w:hAnsi="Arial Narrow" w:cs="Calibri"/>
                <w:b/>
                <w:bCs/>
                <w:sz w:val="20"/>
                <w:szCs w:val="20"/>
              </w:rPr>
              <w:t>Source</w:t>
            </w:r>
          </w:p>
        </w:tc>
      </w:tr>
      <w:tr w:rsidR="003A1339" w:rsidRPr="00E3331A" w:rsidTr="003A1339">
        <w:trPr>
          <w:trHeight w:val="255"/>
        </w:trPr>
        <w:tc>
          <w:tcPr>
            <w:tcW w:w="687" w:type="pct"/>
            <w:tcBorders>
              <w:top w:val="nil"/>
              <w:left w:val="single" w:sz="4" w:space="0" w:color="auto"/>
              <w:bottom w:val="single" w:sz="4" w:space="0" w:color="auto"/>
              <w:right w:val="single" w:sz="4" w:space="0" w:color="auto"/>
            </w:tcBorders>
            <w:shd w:val="clear" w:color="auto" w:fill="auto"/>
            <w:vAlign w:val="center"/>
            <w:hideMark/>
          </w:tcPr>
          <w:p w:rsidR="003A1339" w:rsidRPr="00E3331A" w:rsidRDefault="003A1339" w:rsidP="003A1339">
            <w:pPr>
              <w:spacing w:after="0" w:line="240" w:lineRule="auto"/>
              <w:rPr>
                <w:rFonts w:ascii="Arial Narrow" w:hAnsi="Arial Narrow" w:cs="Calibri"/>
                <w:sz w:val="20"/>
                <w:szCs w:val="20"/>
              </w:rPr>
            </w:pPr>
            <w:r w:rsidRPr="00E3331A">
              <w:rPr>
                <w:rFonts w:ascii="Arial Narrow" w:hAnsi="Arial Narrow" w:cs="Calibri"/>
                <w:sz w:val="20"/>
                <w:szCs w:val="20"/>
              </w:rPr>
              <w:t xml:space="preserve">Pantoprazole 40mg </w:t>
            </w:r>
            <w:r w:rsidR="003F3EEE" w:rsidRPr="00E3331A">
              <w:rPr>
                <w:rFonts w:ascii="Arial Narrow" w:hAnsi="Arial Narrow" w:cs="Calibri"/>
                <w:sz w:val="20"/>
                <w:szCs w:val="20"/>
              </w:rPr>
              <w:t>per day</w:t>
            </w:r>
          </w:p>
        </w:tc>
        <w:tc>
          <w:tcPr>
            <w:tcW w:w="504" w:type="pct"/>
            <w:tcBorders>
              <w:top w:val="nil"/>
              <w:left w:val="nil"/>
              <w:bottom w:val="single" w:sz="4" w:space="0" w:color="auto"/>
              <w:right w:val="single" w:sz="4" w:space="0" w:color="auto"/>
            </w:tcBorders>
            <w:shd w:val="clear" w:color="000000" w:fill="FFFFFF"/>
            <w:vAlign w:val="center"/>
            <w:hideMark/>
          </w:tcPr>
          <w:p w:rsidR="003A1339" w:rsidRPr="00E3331A" w:rsidRDefault="003A1339" w:rsidP="003A1339">
            <w:pPr>
              <w:spacing w:after="0" w:line="240" w:lineRule="auto"/>
              <w:jc w:val="center"/>
              <w:rPr>
                <w:rFonts w:ascii="Arial Narrow" w:hAnsi="Arial Narrow" w:cs="Calibri"/>
                <w:sz w:val="20"/>
                <w:szCs w:val="20"/>
              </w:rPr>
            </w:pPr>
            <w:r w:rsidRPr="00E3331A">
              <w:rPr>
                <w:rFonts w:ascii="Arial Narrow" w:hAnsi="Arial Narrow" w:cs="Calibri"/>
                <w:sz w:val="20"/>
                <w:szCs w:val="20"/>
              </w:rPr>
              <w:t>PBS</w:t>
            </w:r>
          </w:p>
        </w:tc>
        <w:tc>
          <w:tcPr>
            <w:tcW w:w="469" w:type="pct"/>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sz w:val="20"/>
                <w:szCs w:val="20"/>
              </w:rPr>
            </w:pPr>
            <w:r w:rsidRPr="00E3331A">
              <w:rPr>
                <w:rFonts w:ascii="Arial Narrow" w:hAnsi="Arial Narrow" w:cs="Calibri"/>
                <w:sz w:val="20"/>
                <w:szCs w:val="20"/>
              </w:rPr>
              <w:t>$13.9</w:t>
            </w:r>
          </w:p>
        </w:tc>
        <w:tc>
          <w:tcPr>
            <w:tcW w:w="476" w:type="pct"/>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sz w:val="20"/>
                <w:szCs w:val="20"/>
              </w:rPr>
            </w:pPr>
            <w:r w:rsidRPr="00E3331A">
              <w:rPr>
                <w:rFonts w:ascii="Arial Narrow" w:hAnsi="Arial Narrow" w:cs="Calibri"/>
                <w:sz w:val="20"/>
                <w:szCs w:val="20"/>
              </w:rPr>
              <w:t>365</w:t>
            </w:r>
          </w:p>
        </w:tc>
        <w:tc>
          <w:tcPr>
            <w:tcW w:w="585"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$168.9</w:t>
            </w:r>
          </w:p>
        </w:tc>
        <w:tc>
          <w:tcPr>
            <w:tcW w:w="580"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$168.9</w:t>
            </w:r>
          </w:p>
        </w:tc>
        <w:tc>
          <w:tcPr>
            <w:tcW w:w="621" w:type="pct"/>
            <w:tcBorders>
              <w:top w:val="nil"/>
              <w:left w:val="nil"/>
              <w:bottom w:val="single" w:sz="4" w:space="0" w:color="auto"/>
              <w:right w:val="single" w:sz="4" w:space="0" w:color="auto"/>
            </w:tcBorders>
            <w:shd w:val="clear" w:color="auto" w:fill="auto"/>
            <w:vAlign w:val="center"/>
            <w:hideMark/>
          </w:tcPr>
          <w:p w:rsidR="003A1339" w:rsidRPr="00E3331A" w:rsidRDefault="003A1339" w:rsidP="003A1339">
            <w:pPr>
              <w:spacing w:after="0" w:line="240" w:lineRule="auto"/>
              <w:rPr>
                <w:rFonts w:ascii="Arial Narrow" w:hAnsi="Arial Narrow" w:cs="Calibri"/>
                <w:sz w:val="20"/>
                <w:szCs w:val="20"/>
              </w:rPr>
            </w:pPr>
            <w:r w:rsidRPr="00E3331A">
              <w:rPr>
                <w:rFonts w:ascii="Arial Narrow" w:hAnsi="Arial Narrow" w:cs="Calibri"/>
                <w:sz w:val="20"/>
                <w:szCs w:val="20"/>
              </w:rPr>
              <w:t>PBS website</w:t>
            </w:r>
          </w:p>
        </w:tc>
      </w:tr>
      <w:tr w:rsidR="007F46D5" w:rsidRPr="00E3331A" w:rsidTr="003A1339">
        <w:trPr>
          <w:trHeight w:val="510"/>
        </w:trPr>
        <w:tc>
          <w:tcPr>
            <w:tcW w:w="687" w:type="pct"/>
            <w:tcBorders>
              <w:top w:val="nil"/>
              <w:left w:val="single" w:sz="4" w:space="0" w:color="auto"/>
              <w:bottom w:val="single" w:sz="4" w:space="0" w:color="auto"/>
              <w:right w:val="single" w:sz="4" w:space="0" w:color="auto"/>
            </w:tcBorders>
            <w:shd w:val="clear" w:color="000000" w:fill="FFFFFF"/>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Prednisolone 5mg </w:t>
            </w:r>
            <w:r w:rsidR="007F46D5" w:rsidRPr="00E3331A">
              <w:rPr>
                <w:rFonts w:ascii="Arial Narrow" w:hAnsi="Arial Narrow" w:cs="Calibri"/>
                <w:color w:val="000000"/>
                <w:sz w:val="20"/>
                <w:szCs w:val="20"/>
              </w:rPr>
              <w:t>day</w:t>
            </w:r>
            <w:r w:rsidRPr="00E3331A">
              <w:rPr>
                <w:rFonts w:ascii="Arial Narrow" w:hAnsi="Arial Narrow" w:cs="Calibri"/>
                <w:color w:val="000000"/>
                <w:sz w:val="20"/>
                <w:szCs w:val="20"/>
              </w:rPr>
              <w:t xml:space="preserve">. </w:t>
            </w:r>
          </w:p>
        </w:tc>
        <w:tc>
          <w:tcPr>
            <w:tcW w:w="504"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sz w:val="20"/>
                <w:szCs w:val="20"/>
              </w:rPr>
              <w:t>PBS</w:t>
            </w:r>
          </w:p>
        </w:tc>
        <w:tc>
          <w:tcPr>
            <w:tcW w:w="46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$14.3</w:t>
            </w:r>
          </w:p>
        </w:tc>
        <w:tc>
          <w:tcPr>
            <w:tcW w:w="476"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365</w:t>
            </w:r>
          </w:p>
        </w:tc>
        <w:tc>
          <w:tcPr>
            <w:tcW w:w="585"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$87.2</w:t>
            </w:r>
          </w:p>
        </w:tc>
        <w:tc>
          <w:tcPr>
            <w:tcW w:w="580"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$87.2</w:t>
            </w:r>
          </w:p>
        </w:tc>
        <w:tc>
          <w:tcPr>
            <w:tcW w:w="621" w:type="pct"/>
            <w:tcBorders>
              <w:top w:val="nil"/>
              <w:left w:val="nil"/>
              <w:bottom w:val="single" w:sz="4" w:space="0" w:color="auto"/>
              <w:right w:val="single" w:sz="4" w:space="0" w:color="auto"/>
            </w:tcBorders>
            <w:shd w:val="clear" w:color="auto" w:fill="auto"/>
            <w:vAlign w:val="center"/>
            <w:hideMark/>
          </w:tcPr>
          <w:p w:rsidR="003A1339" w:rsidRPr="00E3331A" w:rsidRDefault="003A1339" w:rsidP="003A1339">
            <w:pPr>
              <w:spacing w:after="0" w:line="240" w:lineRule="auto"/>
              <w:rPr>
                <w:rFonts w:ascii="Arial Narrow" w:hAnsi="Arial Narrow" w:cs="Calibri"/>
                <w:sz w:val="20"/>
                <w:szCs w:val="20"/>
              </w:rPr>
            </w:pPr>
            <w:r w:rsidRPr="00E3331A">
              <w:rPr>
                <w:rFonts w:ascii="Arial Narrow" w:hAnsi="Arial Narrow" w:cs="Calibri"/>
                <w:sz w:val="20"/>
                <w:szCs w:val="20"/>
              </w:rPr>
              <w:t>PBS website</w:t>
            </w:r>
          </w:p>
        </w:tc>
      </w:tr>
      <w:tr w:rsidR="007F46D5" w:rsidRPr="00E3331A" w:rsidTr="003A1339">
        <w:trPr>
          <w:trHeight w:val="510"/>
        </w:trPr>
        <w:tc>
          <w:tcPr>
            <w:tcW w:w="687" w:type="pct"/>
            <w:tcBorders>
              <w:top w:val="nil"/>
              <w:left w:val="single" w:sz="4" w:space="0" w:color="auto"/>
              <w:bottom w:val="single" w:sz="4" w:space="0" w:color="auto"/>
              <w:right w:val="single" w:sz="4" w:space="0" w:color="auto"/>
            </w:tcBorders>
            <w:shd w:val="clear" w:color="000000" w:fill="FFFFFF"/>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Alendronate </w:t>
            </w:r>
            <w:r w:rsidR="003F3EEE" w:rsidRPr="00E3331A">
              <w:rPr>
                <w:rFonts w:ascii="Arial Narrow" w:hAnsi="Arial Narrow" w:cs="Calibri"/>
                <w:color w:val="000000"/>
                <w:sz w:val="20"/>
                <w:szCs w:val="20"/>
              </w:rPr>
              <w:t>colecalciferol</w:t>
            </w:r>
          </w:p>
        </w:tc>
        <w:tc>
          <w:tcPr>
            <w:tcW w:w="504"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sz w:val="20"/>
                <w:szCs w:val="20"/>
              </w:rPr>
              <w:t>PBS</w:t>
            </w:r>
          </w:p>
        </w:tc>
        <w:tc>
          <w:tcPr>
            <w:tcW w:w="46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$18.2</w:t>
            </w:r>
          </w:p>
        </w:tc>
        <w:tc>
          <w:tcPr>
            <w:tcW w:w="476"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52.00</w:t>
            </w:r>
          </w:p>
        </w:tc>
        <w:tc>
          <w:tcPr>
            <w:tcW w:w="585"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$236.3</w:t>
            </w:r>
          </w:p>
        </w:tc>
        <w:tc>
          <w:tcPr>
            <w:tcW w:w="580"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$236.3</w:t>
            </w:r>
          </w:p>
        </w:tc>
        <w:tc>
          <w:tcPr>
            <w:tcW w:w="621" w:type="pct"/>
            <w:tcBorders>
              <w:top w:val="nil"/>
              <w:left w:val="nil"/>
              <w:bottom w:val="single" w:sz="4" w:space="0" w:color="auto"/>
              <w:right w:val="single" w:sz="4" w:space="0" w:color="auto"/>
            </w:tcBorders>
            <w:shd w:val="clear" w:color="auto" w:fill="auto"/>
            <w:vAlign w:val="center"/>
            <w:hideMark/>
          </w:tcPr>
          <w:p w:rsidR="003A1339" w:rsidRPr="00E3331A" w:rsidRDefault="003A1339" w:rsidP="003A1339">
            <w:pPr>
              <w:spacing w:after="0" w:line="240" w:lineRule="auto"/>
              <w:rPr>
                <w:rFonts w:ascii="Arial Narrow" w:hAnsi="Arial Narrow" w:cs="Calibri"/>
                <w:sz w:val="20"/>
                <w:szCs w:val="20"/>
              </w:rPr>
            </w:pPr>
            <w:r w:rsidRPr="00E3331A">
              <w:rPr>
                <w:rFonts w:ascii="Arial Narrow" w:hAnsi="Arial Narrow" w:cs="Calibri"/>
                <w:sz w:val="20"/>
                <w:szCs w:val="20"/>
              </w:rPr>
              <w:t>PBS website</w:t>
            </w:r>
          </w:p>
        </w:tc>
      </w:tr>
      <w:tr w:rsidR="007F46D5" w:rsidRPr="00E3331A" w:rsidTr="003A1339">
        <w:trPr>
          <w:trHeight w:val="255"/>
        </w:trPr>
        <w:tc>
          <w:tcPr>
            <w:tcW w:w="687" w:type="pct"/>
            <w:tcBorders>
              <w:top w:val="nil"/>
              <w:left w:val="single" w:sz="4" w:space="0" w:color="auto"/>
              <w:bottom w:val="single" w:sz="4" w:space="0" w:color="auto"/>
              <w:right w:val="single" w:sz="4" w:space="0" w:color="auto"/>
            </w:tcBorders>
            <w:shd w:val="clear" w:color="000000" w:fill="FFFFFF"/>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GP Consultations</w:t>
            </w:r>
          </w:p>
        </w:tc>
        <w:tc>
          <w:tcPr>
            <w:tcW w:w="504"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46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$34.9</w:t>
            </w:r>
          </w:p>
        </w:tc>
        <w:tc>
          <w:tcPr>
            <w:tcW w:w="476"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8.00</w:t>
            </w:r>
          </w:p>
        </w:tc>
        <w:tc>
          <w:tcPr>
            <w:tcW w:w="585"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$279.2</w:t>
            </w:r>
          </w:p>
        </w:tc>
        <w:tc>
          <w:tcPr>
            <w:tcW w:w="580"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$279.2</w:t>
            </w:r>
          </w:p>
        </w:tc>
        <w:tc>
          <w:tcPr>
            <w:tcW w:w="621" w:type="pct"/>
            <w:tcBorders>
              <w:top w:val="nil"/>
              <w:left w:val="nil"/>
              <w:bottom w:val="single" w:sz="4" w:space="0" w:color="auto"/>
              <w:right w:val="single" w:sz="4" w:space="0" w:color="auto"/>
            </w:tcBorders>
            <w:shd w:val="clear" w:color="000000" w:fill="FFFFFF"/>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MBS 23. general practitioner </w:t>
            </w:r>
          </w:p>
        </w:tc>
      </w:tr>
      <w:tr w:rsidR="007F46D5" w:rsidRPr="00E3331A" w:rsidTr="003A1339">
        <w:trPr>
          <w:trHeight w:val="255"/>
        </w:trPr>
        <w:tc>
          <w:tcPr>
            <w:tcW w:w="687" w:type="pct"/>
            <w:tcBorders>
              <w:top w:val="nil"/>
              <w:left w:val="single" w:sz="4" w:space="0" w:color="auto"/>
              <w:bottom w:val="single" w:sz="4" w:space="0" w:color="auto"/>
              <w:right w:val="single" w:sz="4" w:space="0" w:color="auto"/>
            </w:tcBorders>
            <w:shd w:val="clear" w:color="000000" w:fill="FFFFFF"/>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Neurologist Specialist Consultations </w:t>
            </w:r>
          </w:p>
        </w:tc>
        <w:tc>
          <w:tcPr>
            <w:tcW w:w="504"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46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$267.9</w:t>
            </w:r>
          </w:p>
        </w:tc>
        <w:tc>
          <w:tcPr>
            <w:tcW w:w="476"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85"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$267.9</w:t>
            </w:r>
          </w:p>
        </w:tc>
        <w:tc>
          <w:tcPr>
            <w:tcW w:w="580"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75%</w:t>
            </w:r>
          </w:p>
        </w:tc>
        <w:tc>
          <w:tcPr>
            <w:tcW w:w="53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$200.9</w:t>
            </w:r>
          </w:p>
        </w:tc>
        <w:tc>
          <w:tcPr>
            <w:tcW w:w="621" w:type="pct"/>
            <w:tcBorders>
              <w:top w:val="nil"/>
              <w:left w:val="nil"/>
              <w:bottom w:val="single" w:sz="4" w:space="0" w:color="auto"/>
              <w:right w:val="single" w:sz="4" w:space="0" w:color="auto"/>
            </w:tcBorders>
            <w:shd w:val="clear" w:color="000000" w:fill="FFFFFF"/>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MBS 132. Professional attendance </w:t>
            </w:r>
          </w:p>
        </w:tc>
      </w:tr>
      <w:tr w:rsidR="007F46D5" w:rsidRPr="00E3331A" w:rsidTr="003A1339">
        <w:trPr>
          <w:trHeight w:val="255"/>
        </w:trPr>
        <w:tc>
          <w:tcPr>
            <w:tcW w:w="687" w:type="pct"/>
            <w:tcBorders>
              <w:top w:val="nil"/>
              <w:left w:val="single" w:sz="4" w:space="0" w:color="auto"/>
              <w:bottom w:val="single" w:sz="4" w:space="0" w:color="auto"/>
              <w:right w:val="single" w:sz="4" w:space="0" w:color="auto"/>
            </w:tcBorders>
            <w:shd w:val="clear" w:color="000000" w:fill="FFFFFF"/>
            <w:vAlign w:val="center"/>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Neurologist Follow-on Consultations </w:t>
            </w:r>
          </w:p>
        </w:tc>
        <w:tc>
          <w:tcPr>
            <w:tcW w:w="504" w:type="pct"/>
            <w:tcBorders>
              <w:top w:val="nil"/>
              <w:left w:val="nil"/>
              <w:bottom w:val="single" w:sz="4" w:space="0" w:color="auto"/>
              <w:right w:val="single" w:sz="4" w:space="0" w:color="auto"/>
            </w:tcBorders>
            <w:shd w:val="clear" w:color="000000" w:fill="FFFFFF"/>
            <w:noWrap/>
            <w:vAlign w:val="center"/>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469" w:type="pct"/>
            <w:tcBorders>
              <w:top w:val="nil"/>
              <w:left w:val="nil"/>
              <w:bottom w:val="single" w:sz="4" w:space="0" w:color="auto"/>
              <w:right w:val="single" w:sz="4" w:space="0" w:color="auto"/>
            </w:tcBorders>
            <w:shd w:val="clear" w:color="000000" w:fill="FFFFFF"/>
            <w:noWrap/>
            <w:vAlign w:val="center"/>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$136.3</w:t>
            </w:r>
          </w:p>
        </w:tc>
        <w:tc>
          <w:tcPr>
            <w:tcW w:w="476" w:type="pct"/>
            <w:tcBorders>
              <w:top w:val="nil"/>
              <w:left w:val="nil"/>
              <w:bottom w:val="single" w:sz="4" w:space="0" w:color="auto"/>
              <w:right w:val="single" w:sz="4" w:space="0" w:color="auto"/>
            </w:tcBorders>
            <w:shd w:val="clear" w:color="000000" w:fill="FFFFFF"/>
            <w:noWrap/>
            <w:vAlign w:val="center"/>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2.00</w:t>
            </w:r>
          </w:p>
        </w:tc>
        <w:tc>
          <w:tcPr>
            <w:tcW w:w="585" w:type="pct"/>
            <w:tcBorders>
              <w:top w:val="nil"/>
              <w:left w:val="nil"/>
              <w:bottom w:val="single" w:sz="4" w:space="0" w:color="auto"/>
              <w:right w:val="single" w:sz="4" w:space="0" w:color="auto"/>
            </w:tcBorders>
            <w:shd w:val="clear" w:color="000000" w:fill="FFFFFF"/>
            <w:noWrap/>
            <w:vAlign w:val="center"/>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9" w:type="pct"/>
            <w:tcBorders>
              <w:top w:val="nil"/>
              <w:left w:val="nil"/>
              <w:bottom w:val="single" w:sz="4" w:space="0" w:color="auto"/>
              <w:right w:val="single" w:sz="4" w:space="0" w:color="auto"/>
            </w:tcBorders>
            <w:shd w:val="clear" w:color="000000" w:fill="FFFFFF"/>
            <w:noWrap/>
            <w:vAlign w:val="center"/>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$272.5</w:t>
            </w:r>
          </w:p>
        </w:tc>
        <w:tc>
          <w:tcPr>
            <w:tcW w:w="580" w:type="pct"/>
            <w:tcBorders>
              <w:top w:val="nil"/>
              <w:left w:val="nil"/>
              <w:bottom w:val="single" w:sz="4" w:space="0" w:color="auto"/>
              <w:right w:val="single" w:sz="4" w:space="0" w:color="auto"/>
            </w:tcBorders>
            <w:shd w:val="clear" w:color="000000" w:fill="FFFFFF"/>
            <w:noWrap/>
            <w:vAlign w:val="center"/>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75%</w:t>
            </w:r>
          </w:p>
        </w:tc>
        <w:tc>
          <w:tcPr>
            <w:tcW w:w="539" w:type="pct"/>
            <w:tcBorders>
              <w:top w:val="nil"/>
              <w:left w:val="nil"/>
              <w:bottom w:val="single" w:sz="4" w:space="0" w:color="auto"/>
              <w:right w:val="single" w:sz="4" w:space="0" w:color="auto"/>
            </w:tcBorders>
            <w:shd w:val="clear" w:color="000000" w:fill="FFFFFF"/>
            <w:noWrap/>
            <w:vAlign w:val="center"/>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$204.4</w:t>
            </w:r>
          </w:p>
        </w:tc>
        <w:tc>
          <w:tcPr>
            <w:tcW w:w="621" w:type="pct"/>
            <w:tcBorders>
              <w:top w:val="nil"/>
              <w:left w:val="nil"/>
              <w:bottom w:val="single" w:sz="4" w:space="0" w:color="auto"/>
              <w:right w:val="single" w:sz="4" w:space="0" w:color="auto"/>
            </w:tcBorders>
            <w:shd w:val="clear" w:color="000000" w:fill="FFFFFF"/>
            <w:vAlign w:val="center"/>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MBS 133. Professional attendance </w:t>
            </w:r>
          </w:p>
        </w:tc>
      </w:tr>
      <w:tr w:rsidR="007F46D5" w:rsidRPr="00E3331A" w:rsidTr="003A1339">
        <w:trPr>
          <w:trHeight w:val="255"/>
        </w:trPr>
        <w:tc>
          <w:tcPr>
            <w:tcW w:w="687" w:type="pct"/>
            <w:tcBorders>
              <w:top w:val="nil"/>
              <w:left w:val="single" w:sz="4" w:space="0" w:color="auto"/>
              <w:bottom w:val="single" w:sz="4" w:space="0" w:color="auto"/>
              <w:right w:val="single" w:sz="4" w:space="0" w:color="auto"/>
            </w:tcBorders>
            <w:shd w:val="clear" w:color="000000" w:fill="FFFFFF"/>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DEXA Scan</w:t>
            </w:r>
          </w:p>
        </w:tc>
        <w:tc>
          <w:tcPr>
            <w:tcW w:w="504"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46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$102.4</w:t>
            </w:r>
          </w:p>
        </w:tc>
        <w:tc>
          <w:tcPr>
            <w:tcW w:w="476"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85"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$102.4</w:t>
            </w:r>
          </w:p>
        </w:tc>
        <w:tc>
          <w:tcPr>
            <w:tcW w:w="580"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75%</w:t>
            </w:r>
          </w:p>
        </w:tc>
        <w:tc>
          <w:tcPr>
            <w:tcW w:w="53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$76.8</w:t>
            </w:r>
          </w:p>
        </w:tc>
        <w:tc>
          <w:tcPr>
            <w:tcW w:w="621" w:type="pct"/>
            <w:tcBorders>
              <w:top w:val="nil"/>
              <w:left w:val="nil"/>
              <w:bottom w:val="single" w:sz="4" w:space="0" w:color="auto"/>
              <w:right w:val="single" w:sz="4" w:space="0" w:color="auto"/>
            </w:tcBorders>
            <w:shd w:val="clear" w:color="000000" w:fill="FFFFFF"/>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MBS 12321. </w:t>
            </w:r>
          </w:p>
        </w:tc>
      </w:tr>
      <w:tr w:rsidR="007F46D5" w:rsidRPr="00E3331A" w:rsidTr="003A1339">
        <w:trPr>
          <w:trHeight w:val="510"/>
        </w:trPr>
        <w:tc>
          <w:tcPr>
            <w:tcW w:w="687" w:type="pct"/>
            <w:tcBorders>
              <w:top w:val="nil"/>
              <w:left w:val="single" w:sz="4" w:space="0" w:color="auto"/>
              <w:bottom w:val="single" w:sz="4" w:space="0" w:color="auto"/>
              <w:right w:val="single" w:sz="4" w:space="0" w:color="auto"/>
            </w:tcBorders>
            <w:shd w:val="clear" w:color="000000" w:fill="FFFFFF"/>
            <w:vAlign w:val="center"/>
            <w:hideMark/>
          </w:tcPr>
          <w:p w:rsidR="003A1339" w:rsidRPr="00E3331A" w:rsidRDefault="007F46D5"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Liver Function Test</w:t>
            </w:r>
          </w:p>
        </w:tc>
        <w:tc>
          <w:tcPr>
            <w:tcW w:w="504"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46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$17.1</w:t>
            </w:r>
          </w:p>
        </w:tc>
        <w:tc>
          <w:tcPr>
            <w:tcW w:w="476"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4.00</w:t>
            </w:r>
          </w:p>
        </w:tc>
        <w:tc>
          <w:tcPr>
            <w:tcW w:w="585"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$68.4</w:t>
            </w:r>
          </w:p>
        </w:tc>
        <w:tc>
          <w:tcPr>
            <w:tcW w:w="580"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75%</w:t>
            </w:r>
          </w:p>
        </w:tc>
        <w:tc>
          <w:tcPr>
            <w:tcW w:w="53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$51.3</w:t>
            </w:r>
          </w:p>
        </w:tc>
        <w:tc>
          <w:tcPr>
            <w:tcW w:w="621" w:type="pct"/>
            <w:tcBorders>
              <w:top w:val="nil"/>
              <w:left w:val="nil"/>
              <w:bottom w:val="single" w:sz="4" w:space="0" w:color="auto"/>
              <w:right w:val="single" w:sz="4" w:space="0" w:color="auto"/>
            </w:tcBorders>
            <w:shd w:val="clear" w:color="000000" w:fill="FFFFFF"/>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MBS 66512. </w:t>
            </w:r>
          </w:p>
        </w:tc>
      </w:tr>
      <w:tr w:rsidR="007F46D5" w:rsidRPr="00E3331A" w:rsidTr="003A1339">
        <w:trPr>
          <w:trHeight w:val="255"/>
        </w:trPr>
        <w:tc>
          <w:tcPr>
            <w:tcW w:w="687" w:type="pct"/>
            <w:tcBorders>
              <w:top w:val="nil"/>
              <w:left w:val="single" w:sz="4" w:space="0" w:color="auto"/>
              <w:bottom w:val="single" w:sz="4" w:space="0" w:color="auto"/>
              <w:right w:val="single" w:sz="4" w:space="0" w:color="auto"/>
            </w:tcBorders>
            <w:shd w:val="clear" w:color="000000" w:fill="FFFFFF"/>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Full Blood Examination</w:t>
            </w:r>
          </w:p>
        </w:tc>
        <w:tc>
          <w:tcPr>
            <w:tcW w:w="504"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46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$17.0</w:t>
            </w:r>
          </w:p>
        </w:tc>
        <w:tc>
          <w:tcPr>
            <w:tcW w:w="476"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4.00</w:t>
            </w:r>
          </w:p>
        </w:tc>
        <w:tc>
          <w:tcPr>
            <w:tcW w:w="585"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$67.8</w:t>
            </w:r>
          </w:p>
        </w:tc>
        <w:tc>
          <w:tcPr>
            <w:tcW w:w="580"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75%</w:t>
            </w:r>
          </w:p>
        </w:tc>
        <w:tc>
          <w:tcPr>
            <w:tcW w:w="53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$50.9</w:t>
            </w:r>
          </w:p>
        </w:tc>
        <w:tc>
          <w:tcPr>
            <w:tcW w:w="621" w:type="pct"/>
            <w:tcBorders>
              <w:top w:val="nil"/>
              <w:left w:val="nil"/>
              <w:bottom w:val="single" w:sz="4" w:space="0" w:color="auto"/>
              <w:right w:val="single" w:sz="4" w:space="0" w:color="auto"/>
            </w:tcBorders>
            <w:shd w:val="clear" w:color="000000" w:fill="FFFFFF"/>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MBS 65070.</w:t>
            </w:r>
          </w:p>
        </w:tc>
      </w:tr>
      <w:tr w:rsidR="007F46D5" w:rsidRPr="00E3331A" w:rsidTr="003A1339">
        <w:trPr>
          <w:trHeight w:val="255"/>
        </w:trPr>
        <w:tc>
          <w:tcPr>
            <w:tcW w:w="687" w:type="pct"/>
            <w:tcBorders>
              <w:top w:val="nil"/>
              <w:left w:val="single" w:sz="4" w:space="0" w:color="auto"/>
              <w:bottom w:val="single" w:sz="4" w:space="0" w:color="auto"/>
              <w:right w:val="single" w:sz="4" w:space="0" w:color="auto"/>
            </w:tcBorders>
            <w:shd w:val="clear" w:color="000000" w:fill="FFFFFF"/>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Test for Open Angle Glaucoma</w:t>
            </w:r>
          </w:p>
        </w:tc>
        <w:tc>
          <w:tcPr>
            <w:tcW w:w="504"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46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$40.8</w:t>
            </w:r>
          </w:p>
        </w:tc>
        <w:tc>
          <w:tcPr>
            <w:tcW w:w="476"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85"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5%</w:t>
            </w:r>
          </w:p>
        </w:tc>
        <w:tc>
          <w:tcPr>
            <w:tcW w:w="53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$2.0</w:t>
            </w:r>
          </w:p>
        </w:tc>
        <w:tc>
          <w:tcPr>
            <w:tcW w:w="580"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75%</w:t>
            </w:r>
          </w:p>
        </w:tc>
        <w:tc>
          <w:tcPr>
            <w:tcW w:w="53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$1.5</w:t>
            </w:r>
          </w:p>
        </w:tc>
        <w:tc>
          <w:tcPr>
            <w:tcW w:w="621" w:type="pct"/>
            <w:tcBorders>
              <w:top w:val="nil"/>
              <w:left w:val="nil"/>
              <w:bottom w:val="single" w:sz="4" w:space="0" w:color="auto"/>
              <w:right w:val="single" w:sz="4" w:space="0" w:color="auto"/>
            </w:tcBorders>
            <w:shd w:val="clear" w:color="000000" w:fill="FFFFFF"/>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MBS 11200. Glaucoma test</w:t>
            </w:r>
          </w:p>
        </w:tc>
      </w:tr>
      <w:tr w:rsidR="007F46D5" w:rsidRPr="00E3331A" w:rsidTr="003A1339">
        <w:trPr>
          <w:trHeight w:val="255"/>
        </w:trPr>
        <w:tc>
          <w:tcPr>
            <w:tcW w:w="687" w:type="pct"/>
            <w:tcBorders>
              <w:top w:val="nil"/>
              <w:left w:val="single" w:sz="4" w:space="0" w:color="auto"/>
              <w:bottom w:val="single" w:sz="4" w:space="0" w:color="auto"/>
              <w:right w:val="single" w:sz="4" w:space="0" w:color="auto"/>
            </w:tcBorders>
            <w:shd w:val="clear" w:color="000000" w:fill="FFFFFF"/>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Test for Diabetes</w:t>
            </w:r>
          </w:p>
        </w:tc>
        <w:tc>
          <w:tcPr>
            <w:tcW w:w="504"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46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$16.8</w:t>
            </w:r>
          </w:p>
        </w:tc>
        <w:tc>
          <w:tcPr>
            <w:tcW w:w="476"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4.00</w:t>
            </w:r>
          </w:p>
        </w:tc>
        <w:tc>
          <w:tcPr>
            <w:tcW w:w="585"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5%</w:t>
            </w:r>
          </w:p>
        </w:tc>
        <w:tc>
          <w:tcPr>
            <w:tcW w:w="53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$3.4</w:t>
            </w:r>
          </w:p>
        </w:tc>
        <w:tc>
          <w:tcPr>
            <w:tcW w:w="580"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75%</w:t>
            </w:r>
          </w:p>
        </w:tc>
        <w:tc>
          <w:tcPr>
            <w:tcW w:w="53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$2.5</w:t>
            </w:r>
          </w:p>
        </w:tc>
        <w:tc>
          <w:tcPr>
            <w:tcW w:w="621" w:type="pct"/>
            <w:tcBorders>
              <w:top w:val="nil"/>
              <w:left w:val="nil"/>
              <w:bottom w:val="single" w:sz="4" w:space="0" w:color="auto"/>
              <w:right w:val="single" w:sz="4" w:space="0" w:color="auto"/>
            </w:tcBorders>
            <w:shd w:val="clear" w:color="000000" w:fill="FFFFFF"/>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MBS 66841.</w:t>
            </w:r>
          </w:p>
        </w:tc>
      </w:tr>
      <w:tr w:rsidR="007F46D5" w:rsidRPr="00E3331A" w:rsidTr="003A1339">
        <w:trPr>
          <w:trHeight w:val="255"/>
        </w:trPr>
        <w:tc>
          <w:tcPr>
            <w:tcW w:w="687" w:type="pct"/>
            <w:tcBorders>
              <w:top w:val="nil"/>
              <w:left w:val="single" w:sz="4" w:space="0" w:color="auto"/>
              <w:bottom w:val="single" w:sz="4" w:space="0" w:color="auto"/>
              <w:right w:val="single" w:sz="4" w:space="0" w:color="auto"/>
            </w:tcBorders>
            <w:shd w:val="clear" w:color="000000" w:fill="FFFFFF"/>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Neuro Muscular Electro Diagnosis</w:t>
            </w:r>
          </w:p>
        </w:tc>
        <w:tc>
          <w:tcPr>
            <w:tcW w:w="504"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MBS</w:t>
            </w:r>
          </w:p>
        </w:tc>
        <w:tc>
          <w:tcPr>
            <w:tcW w:w="46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$227.6</w:t>
            </w:r>
          </w:p>
        </w:tc>
        <w:tc>
          <w:tcPr>
            <w:tcW w:w="476"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2.00</w:t>
            </w:r>
          </w:p>
        </w:tc>
        <w:tc>
          <w:tcPr>
            <w:tcW w:w="585"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w:t>
            </w:r>
          </w:p>
        </w:tc>
        <w:tc>
          <w:tcPr>
            <w:tcW w:w="53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$455.1</w:t>
            </w:r>
          </w:p>
        </w:tc>
        <w:tc>
          <w:tcPr>
            <w:tcW w:w="580"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75%</w:t>
            </w:r>
          </w:p>
        </w:tc>
        <w:tc>
          <w:tcPr>
            <w:tcW w:w="539" w:type="pct"/>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$341.3</w:t>
            </w:r>
          </w:p>
        </w:tc>
        <w:tc>
          <w:tcPr>
            <w:tcW w:w="621" w:type="pct"/>
            <w:tcBorders>
              <w:top w:val="nil"/>
              <w:left w:val="nil"/>
              <w:bottom w:val="single" w:sz="4" w:space="0" w:color="auto"/>
              <w:right w:val="single" w:sz="4" w:space="0" w:color="auto"/>
            </w:tcBorders>
            <w:shd w:val="clear" w:color="000000" w:fill="FFFFFF"/>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MBS 11018.</w:t>
            </w:r>
          </w:p>
        </w:tc>
      </w:tr>
      <w:tr w:rsidR="007F46D5" w:rsidRPr="00E3331A" w:rsidTr="003A1339">
        <w:trPr>
          <w:trHeight w:val="255"/>
        </w:trPr>
        <w:tc>
          <w:tcPr>
            <w:tcW w:w="687" w:type="pct"/>
            <w:tcBorders>
              <w:top w:val="nil"/>
              <w:left w:val="single" w:sz="4" w:space="0" w:color="auto"/>
              <w:bottom w:val="single" w:sz="4" w:space="0" w:color="auto"/>
              <w:right w:val="single" w:sz="4" w:space="0" w:color="auto"/>
            </w:tcBorders>
            <w:shd w:val="clear" w:color="auto" w:fill="D9D9D9"/>
            <w:vAlign w:val="center"/>
            <w:hideMark/>
          </w:tcPr>
          <w:p w:rsidR="003A1339" w:rsidRPr="00E3331A" w:rsidRDefault="003A1339" w:rsidP="003A1339">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Subtotal</w:t>
            </w:r>
          </w:p>
        </w:tc>
        <w:tc>
          <w:tcPr>
            <w:tcW w:w="504" w:type="pct"/>
            <w:tcBorders>
              <w:top w:val="nil"/>
              <w:left w:val="nil"/>
              <w:bottom w:val="single" w:sz="4" w:space="0" w:color="auto"/>
              <w:right w:val="single" w:sz="4" w:space="0" w:color="auto"/>
            </w:tcBorders>
            <w:shd w:val="clear" w:color="auto" w:fill="D9D9D9"/>
            <w:noWrap/>
            <w:vAlign w:val="center"/>
            <w:hideMark/>
          </w:tcPr>
          <w:p w:rsidR="003A1339" w:rsidRPr="00E3331A" w:rsidRDefault="003A1339"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469" w:type="pct"/>
            <w:tcBorders>
              <w:top w:val="nil"/>
              <w:left w:val="nil"/>
              <w:bottom w:val="single" w:sz="4" w:space="0" w:color="auto"/>
              <w:right w:val="single" w:sz="4" w:space="0" w:color="auto"/>
            </w:tcBorders>
            <w:shd w:val="clear" w:color="auto" w:fill="D9D9D9"/>
            <w:noWrap/>
            <w:vAlign w:val="center"/>
            <w:hideMark/>
          </w:tcPr>
          <w:p w:rsidR="003A1339" w:rsidRPr="00E3331A" w:rsidRDefault="003A1339"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476" w:type="pct"/>
            <w:tcBorders>
              <w:top w:val="nil"/>
              <w:left w:val="nil"/>
              <w:bottom w:val="single" w:sz="4" w:space="0" w:color="auto"/>
              <w:right w:val="single" w:sz="4" w:space="0" w:color="auto"/>
            </w:tcBorders>
            <w:shd w:val="clear" w:color="auto" w:fill="D9D9D9"/>
            <w:noWrap/>
            <w:vAlign w:val="center"/>
            <w:hideMark/>
          </w:tcPr>
          <w:p w:rsidR="003A1339" w:rsidRPr="00E3331A" w:rsidRDefault="003A1339"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85" w:type="pct"/>
            <w:tcBorders>
              <w:top w:val="nil"/>
              <w:left w:val="nil"/>
              <w:bottom w:val="single" w:sz="4" w:space="0" w:color="auto"/>
              <w:right w:val="single" w:sz="4" w:space="0" w:color="auto"/>
            </w:tcBorders>
            <w:shd w:val="clear" w:color="auto" w:fill="D9D9D9"/>
            <w:noWrap/>
            <w:vAlign w:val="center"/>
            <w:hideMark/>
          </w:tcPr>
          <w:p w:rsidR="003A1339" w:rsidRPr="00E3331A" w:rsidRDefault="003A1339"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39" w:type="pct"/>
            <w:tcBorders>
              <w:top w:val="nil"/>
              <w:left w:val="nil"/>
              <w:bottom w:val="single" w:sz="4" w:space="0" w:color="auto"/>
              <w:right w:val="single" w:sz="4" w:space="0" w:color="auto"/>
            </w:tcBorders>
            <w:shd w:val="clear" w:color="auto" w:fill="D9D9D9"/>
            <w:noWrap/>
            <w:vAlign w:val="center"/>
            <w:hideMark/>
          </w:tcPr>
          <w:p w:rsidR="003A1339" w:rsidRPr="00E3331A" w:rsidRDefault="003A1339"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$2,011.0</w:t>
            </w:r>
          </w:p>
        </w:tc>
        <w:tc>
          <w:tcPr>
            <w:tcW w:w="580" w:type="pct"/>
            <w:tcBorders>
              <w:top w:val="nil"/>
              <w:left w:val="nil"/>
              <w:bottom w:val="single" w:sz="4" w:space="0" w:color="auto"/>
              <w:right w:val="single" w:sz="4" w:space="0" w:color="auto"/>
            </w:tcBorders>
            <w:shd w:val="clear" w:color="auto" w:fill="D9D9D9"/>
            <w:noWrap/>
            <w:vAlign w:val="center"/>
            <w:hideMark/>
          </w:tcPr>
          <w:p w:rsidR="003A1339" w:rsidRPr="00E3331A" w:rsidRDefault="003A1339"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39" w:type="pct"/>
            <w:tcBorders>
              <w:top w:val="nil"/>
              <w:left w:val="nil"/>
              <w:bottom w:val="single" w:sz="4" w:space="0" w:color="auto"/>
              <w:right w:val="single" w:sz="4" w:space="0" w:color="auto"/>
            </w:tcBorders>
            <w:shd w:val="clear" w:color="auto" w:fill="D9D9D9"/>
            <w:noWrap/>
            <w:vAlign w:val="center"/>
            <w:hideMark/>
          </w:tcPr>
          <w:p w:rsidR="003A1339" w:rsidRPr="00E3331A" w:rsidRDefault="003A1339"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$1,701.2</w:t>
            </w:r>
          </w:p>
        </w:tc>
        <w:tc>
          <w:tcPr>
            <w:tcW w:w="621" w:type="pct"/>
            <w:tcBorders>
              <w:top w:val="nil"/>
              <w:left w:val="nil"/>
              <w:bottom w:val="single" w:sz="4" w:space="0" w:color="auto"/>
              <w:right w:val="single" w:sz="4" w:space="0" w:color="auto"/>
            </w:tcBorders>
            <w:shd w:val="clear" w:color="auto" w:fill="D9D9D9"/>
            <w:vAlign w:val="center"/>
            <w:hideMark/>
          </w:tcPr>
          <w:p w:rsidR="003A1339" w:rsidRPr="00E3331A" w:rsidRDefault="003A1339" w:rsidP="003A1339">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 </w:t>
            </w:r>
          </w:p>
        </w:tc>
      </w:tr>
    </w:tbl>
    <w:p w:rsidR="000D3AD2" w:rsidRPr="00E3331A" w:rsidRDefault="000D3AD2" w:rsidP="000D3AD2">
      <w:pPr>
        <w:spacing w:after="0" w:line="240" w:lineRule="auto"/>
        <w:rPr>
          <w:rFonts w:ascii="Arial Narrow" w:hAnsi="Arial Narrow"/>
          <w:sz w:val="18"/>
          <w:szCs w:val="18"/>
        </w:rPr>
      </w:pPr>
      <w:r w:rsidRPr="00E3331A">
        <w:rPr>
          <w:rFonts w:ascii="Arial Narrow" w:hAnsi="Arial Narrow"/>
          <w:sz w:val="18"/>
        </w:rPr>
        <w:t>CIDP= Chronic Inflammatory Demyelinating Polyneuropathy</w:t>
      </w:r>
      <w:r w:rsidR="003A1339" w:rsidRPr="00E3331A">
        <w:rPr>
          <w:rFonts w:ascii="Arial Narrow" w:hAnsi="Arial Narrow"/>
          <w:sz w:val="18"/>
        </w:rPr>
        <w:t xml:space="preserve">. MBS = </w:t>
      </w:r>
      <w:r w:rsidR="0076301E" w:rsidRPr="00E3331A">
        <w:rPr>
          <w:rFonts w:ascii="Arial Narrow" w:hAnsi="Arial Narrow"/>
          <w:sz w:val="18"/>
        </w:rPr>
        <w:t>Medicare Benefits Schedule</w:t>
      </w:r>
      <w:r w:rsidR="003A1339" w:rsidRPr="00E3331A">
        <w:rPr>
          <w:rFonts w:ascii="Arial Narrow" w:hAnsi="Arial Narrow"/>
          <w:sz w:val="18"/>
        </w:rPr>
        <w:t xml:space="preserve">, PBS= </w:t>
      </w:r>
      <w:r w:rsidR="0076301E" w:rsidRPr="00E3331A">
        <w:rPr>
          <w:rFonts w:ascii="Arial Narrow" w:hAnsi="Arial Narrow"/>
          <w:sz w:val="18"/>
        </w:rPr>
        <w:t>Pharmaceutical Benefits Scheme</w:t>
      </w:r>
    </w:p>
    <w:p w:rsidR="003A1339" w:rsidRPr="00E3331A" w:rsidRDefault="003A1339" w:rsidP="003A1339">
      <w:pPr>
        <w:pStyle w:val="Heading3"/>
      </w:pPr>
      <w:bookmarkStart w:id="511" w:name="_Toc24103529"/>
      <w:r w:rsidRPr="00E3331A">
        <w:t>E</w:t>
      </w:r>
      <w:r w:rsidR="005416DA" w:rsidRPr="00E3331A">
        <w:t>.3.2</w:t>
      </w:r>
      <w:r w:rsidRPr="00E3331A">
        <w:t>.</w:t>
      </w:r>
      <w:r w:rsidRPr="00E3331A">
        <w:tab/>
        <w:t xml:space="preserve"> Projected Costs of MBS Services</w:t>
      </w:r>
      <w:bookmarkEnd w:id="511"/>
    </w:p>
    <w:p w:rsidR="001F5B33" w:rsidRPr="00E3331A" w:rsidRDefault="00CE23FE" w:rsidP="001F5B33">
      <w:pPr>
        <w:jc w:val="both"/>
      </w:pPr>
      <w:r w:rsidRPr="00E3331A">
        <w:t xml:space="preserve">Increases </w:t>
      </w:r>
      <w:r w:rsidR="001F5B33" w:rsidRPr="00E3331A">
        <w:t xml:space="preserve">in MBS-funded medical services </w:t>
      </w:r>
      <w:r w:rsidRPr="00E3331A">
        <w:t>are projected for CIDP patients availing</w:t>
      </w:r>
      <w:r w:rsidR="001F5B33" w:rsidRPr="00E3331A">
        <w:t xml:space="preserve"> Ig</w:t>
      </w:r>
      <w:r w:rsidR="000C0E99">
        <w:t xml:space="preserve"> </w:t>
      </w:r>
      <w:r w:rsidRPr="00E3331A">
        <w:t xml:space="preserve">and </w:t>
      </w:r>
      <w:r w:rsidR="00C55367" w:rsidRPr="00E3331A">
        <w:t xml:space="preserve">cost </w:t>
      </w:r>
      <w:r w:rsidR="00820286" w:rsidRPr="00E3331A">
        <w:t>offsets</w:t>
      </w:r>
      <w:r w:rsidR="00C55367" w:rsidRPr="00E3331A">
        <w:t xml:space="preserve"> included </w:t>
      </w:r>
      <w:r w:rsidRPr="00E3331A">
        <w:t xml:space="preserve">for </w:t>
      </w:r>
      <w:r w:rsidR="00C55367" w:rsidRPr="00E3331A">
        <w:t xml:space="preserve">services that otherwise </w:t>
      </w:r>
      <w:r w:rsidRPr="00E3331A">
        <w:t xml:space="preserve">would have </w:t>
      </w:r>
      <w:r w:rsidR="00C55367" w:rsidRPr="00E3331A">
        <w:t xml:space="preserve">been </w:t>
      </w:r>
      <w:r w:rsidRPr="00E3331A">
        <w:t xml:space="preserve">availed </w:t>
      </w:r>
      <w:r w:rsidR="00C55367" w:rsidRPr="00E3331A">
        <w:t xml:space="preserve">with </w:t>
      </w:r>
      <w:r w:rsidRPr="00E3331A">
        <w:t xml:space="preserve">steroids. The unit costs are outlined in </w:t>
      </w:r>
      <w:r w:rsidR="006F35B9" w:rsidRPr="00E3331A">
        <w:t xml:space="preserve">Table </w:t>
      </w:r>
      <w:r w:rsidR="006F35B9">
        <w:rPr>
          <w:noProof/>
        </w:rPr>
        <w:t>88</w:t>
      </w:r>
      <w:r w:rsidRPr="00E3331A">
        <w:t xml:space="preserve"> for Ig and </w:t>
      </w:r>
      <w:r w:rsidR="006F35B9" w:rsidRPr="00E3331A">
        <w:t xml:space="preserve">Table </w:t>
      </w:r>
      <w:r w:rsidR="006F35B9">
        <w:rPr>
          <w:noProof/>
        </w:rPr>
        <w:t>90</w:t>
      </w:r>
      <w:r w:rsidRPr="00E3331A">
        <w:t xml:space="preserve"> for steroids. They are multiplied by projected </w:t>
      </w:r>
      <w:r w:rsidR="005416DA" w:rsidRPr="00E3331A">
        <w:t xml:space="preserve">Ig </w:t>
      </w:r>
      <w:r w:rsidRPr="00E3331A">
        <w:t xml:space="preserve">patient numbers </w:t>
      </w:r>
      <w:r w:rsidR="001E6B99">
        <w:t>to generate</w:t>
      </w:r>
      <w:r w:rsidR="005416DA" w:rsidRPr="00E3331A">
        <w:t xml:space="preserve"> the</w:t>
      </w:r>
      <w:r w:rsidRPr="00E3331A">
        <w:t xml:space="preserve"> total costs </w:t>
      </w:r>
      <w:r w:rsidR="001F5B33" w:rsidRPr="00E3331A">
        <w:t>outlined in</w:t>
      </w:r>
      <w:r w:rsidR="00574A22" w:rsidRPr="00E3331A">
        <w:t xml:space="preserve"> </w:t>
      </w:r>
      <w:r w:rsidR="006F35B9" w:rsidRPr="00E3331A">
        <w:t xml:space="preserve">Table </w:t>
      </w:r>
      <w:r w:rsidR="006F35B9">
        <w:rPr>
          <w:noProof/>
        </w:rPr>
        <w:t>91</w:t>
      </w:r>
      <w:r w:rsidR="001F5B33" w:rsidRPr="00E3331A">
        <w:t>.</w:t>
      </w:r>
    </w:p>
    <w:p w:rsidR="001F5B33" w:rsidRPr="00E3331A" w:rsidRDefault="001F5B33" w:rsidP="001E6B99">
      <w:pPr>
        <w:pStyle w:val="Caption"/>
        <w:keepLines/>
        <w:rPr>
          <w:noProof/>
          <w:szCs w:val="20"/>
        </w:rPr>
      </w:pPr>
      <w:bookmarkStart w:id="512" w:name="_Ref10202430"/>
      <w:bookmarkStart w:id="513" w:name="_Toc24103397"/>
      <w:r w:rsidRPr="00E3331A">
        <w:lastRenderedPageBreak/>
        <w:t xml:space="preserve">Table </w:t>
      </w:r>
      <w:r w:rsidR="006F35B9">
        <w:rPr>
          <w:noProof/>
        </w:rPr>
        <w:t>91</w:t>
      </w:r>
      <w:bookmarkEnd w:id="512"/>
      <w:r w:rsidR="000F166F" w:rsidRPr="00E3331A">
        <w:tab/>
      </w:r>
      <w:r w:rsidR="005416DA" w:rsidRPr="00E3331A">
        <w:rPr>
          <w:noProof/>
          <w:szCs w:val="20"/>
        </w:rPr>
        <w:t>Projected cost changes for the</w:t>
      </w:r>
      <w:r w:rsidRPr="00E3331A">
        <w:rPr>
          <w:noProof/>
          <w:szCs w:val="20"/>
        </w:rPr>
        <w:t xml:space="preserve"> MBS</w:t>
      </w:r>
      <w:r w:rsidR="005416DA" w:rsidRPr="00E3331A">
        <w:rPr>
          <w:noProof/>
          <w:szCs w:val="20"/>
        </w:rPr>
        <w:t>, 2020-2024</w:t>
      </w:r>
      <w:bookmarkEnd w:id="513"/>
    </w:p>
    <w:tbl>
      <w:tblPr>
        <w:tblW w:w="0" w:type="auto"/>
        <w:tblLayout w:type="fixed"/>
        <w:tblLook w:val="04A0" w:firstRow="1" w:lastRow="0" w:firstColumn="1" w:lastColumn="0" w:noHBand="0" w:noVBand="1"/>
      </w:tblPr>
      <w:tblGrid>
        <w:gridCol w:w="1555"/>
        <w:gridCol w:w="850"/>
        <w:gridCol w:w="1077"/>
        <w:gridCol w:w="1077"/>
        <w:gridCol w:w="1078"/>
        <w:gridCol w:w="1077"/>
        <w:gridCol w:w="1078"/>
        <w:gridCol w:w="1224"/>
      </w:tblGrid>
      <w:tr w:rsidR="00CE23FE" w:rsidRPr="00E3331A" w:rsidTr="00464E0A">
        <w:trPr>
          <w:trHeight w:val="255"/>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A1339" w:rsidRPr="00E3331A" w:rsidRDefault="003A1339" w:rsidP="001E6B99">
            <w:pPr>
              <w:keepNext/>
              <w:keepLines/>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A1339" w:rsidRPr="00E3331A" w:rsidRDefault="003A1339" w:rsidP="001E6B99">
            <w:pPr>
              <w:keepNext/>
              <w:keepLines/>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Unit</w:t>
            </w:r>
          </w:p>
        </w:tc>
        <w:tc>
          <w:tcPr>
            <w:tcW w:w="107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A1339" w:rsidRPr="00E3331A" w:rsidRDefault="003A1339" w:rsidP="001E6B99">
            <w:pPr>
              <w:keepNext/>
              <w:keepLines/>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2020</w:t>
            </w:r>
          </w:p>
        </w:tc>
        <w:tc>
          <w:tcPr>
            <w:tcW w:w="107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A1339" w:rsidRPr="00E3331A" w:rsidRDefault="003A1339" w:rsidP="001E6B99">
            <w:pPr>
              <w:keepNext/>
              <w:keepLines/>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2021</w:t>
            </w:r>
          </w:p>
        </w:tc>
        <w:tc>
          <w:tcPr>
            <w:tcW w:w="107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A1339" w:rsidRPr="00E3331A" w:rsidRDefault="003A1339" w:rsidP="001E6B99">
            <w:pPr>
              <w:keepNext/>
              <w:keepLines/>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2022</w:t>
            </w:r>
          </w:p>
        </w:tc>
        <w:tc>
          <w:tcPr>
            <w:tcW w:w="107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A1339" w:rsidRPr="00E3331A" w:rsidRDefault="003A1339" w:rsidP="001E6B99">
            <w:pPr>
              <w:keepNext/>
              <w:keepLines/>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2023</w:t>
            </w:r>
          </w:p>
        </w:tc>
        <w:tc>
          <w:tcPr>
            <w:tcW w:w="107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A1339" w:rsidRPr="00E3331A" w:rsidRDefault="003A1339" w:rsidP="001E6B99">
            <w:pPr>
              <w:keepNext/>
              <w:keepLines/>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2024</w:t>
            </w:r>
          </w:p>
        </w:tc>
        <w:tc>
          <w:tcPr>
            <w:tcW w:w="12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A1339" w:rsidRPr="00E3331A" w:rsidRDefault="003A1339" w:rsidP="001E6B99">
            <w:pPr>
              <w:keepNext/>
              <w:keepLines/>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Source</w:t>
            </w:r>
          </w:p>
        </w:tc>
      </w:tr>
      <w:tr w:rsidR="001E6B99" w:rsidRPr="00E3331A" w:rsidTr="00F0719B">
        <w:trPr>
          <w:trHeight w:val="255"/>
        </w:trPr>
        <w:tc>
          <w:tcPr>
            <w:tcW w:w="9016" w:type="dxa"/>
            <w:gridSpan w:val="8"/>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E6B99" w:rsidRPr="00E3331A" w:rsidRDefault="001E6B99" w:rsidP="001E6B99">
            <w:pPr>
              <w:keepNext/>
              <w:keepLines/>
              <w:spacing w:after="0" w:line="240" w:lineRule="auto"/>
              <w:rPr>
                <w:rFonts w:ascii="Arial Narrow" w:hAnsi="Arial Narrow" w:cs="Calibri"/>
                <w:color w:val="000000"/>
                <w:sz w:val="20"/>
                <w:szCs w:val="20"/>
              </w:rPr>
            </w:pPr>
            <w:r w:rsidRPr="00E3331A">
              <w:rPr>
                <w:rFonts w:ascii="Arial Narrow" w:hAnsi="Arial Narrow" w:cs="Calibri"/>
                <w:b/>
                <w:bCs/>
                <w:sz w:val="20"/>
                <w:szCs w:val="20"/>
              </w:rPr>
              <w:t>Ig MBS-related services</w:t>
            </w:r>
            <w:r w:rsidRPr="00E3331A">
              <w:rPr>
                <w:rFonts w:ascii="Arial Narrow" w:hAnsi="Arial Narrow" w:cs="Calibri"/>
                <w:color w:val="000000"/>
                <w:sz w:val="20"/>
                <w:szCs w:val="20"/>
              </w:rPr>
              <w:t> </w:t>
            </w:r>
          </w:p>
        </w:tc>
      </w:tr>
      <w:tr w:rsidR="00CE23FE" w:rsidRPr="00E3331A" w:rsidTr="00CE23FE">
        <w:trPr>
          <w:trHeight w:val="25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A1339" w:rsidRPr="00E3331A" w:rsidRDefault="003A1339" w:rsidP="001E6B99">
            <w:pPr>
              <w:keepNext/>
              <w:keepLines/>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Projected Ig patients</w:t>
            </w:r>
          </w:p>
        </w:tc>
        <w:tc>
          <w:tcPr>
            <w:tcW w:w="850" w:type="dxa"/>
            <w:tcBorders>
              <w:top w:val="nil"/>
              <w:left w:val="nil"/>
              <w:bottom w:val="single" w:sz="4" w:space="0" w:color="auto"/>
              <w:right w:val="single" w:sz="4" w:space="0" w:color="auto"/>
            </w:tcBorders>
            <w:shd w:val="clear" w:color="auto" w:fill="auto"/>
            <w:noWrap/>
            <w:vAlign w:val="center"/>
            <w:hideMark/>
          </w:tcPr>
          <w:p w:rsidR="003A1339" w:rsidRPr="00E3331A" w:rsidRDefault="00CE23FE" w:rsidP="001E6B99">
            <w:pPr>
              <w:keepNext/>
              <w:keepLines/>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No.</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1E6B99">
            <w:pPr>
              <w:keepNext/>
              <w:keepLines/>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2,936</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1E6B99">
            <w:pPr>
              <w:keepNext/>
              <w:keepLines/>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3,108</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1E6B99">
            <w:pPr>
              <w:keepNext/>
              <w:keepLines/>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3,280</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1E6B99">
            <w:pPr>
              <w:keepNext/>
              <w:keepLines/>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3,452</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1E6B99">
            <w:pPr>
              <w:keepNext/>
              <w:keepLines/>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3,624</w:t>
            </w:r>
          </w:p>
        </w:tc>
        <w:tc>
          <w:tcPr>
            <w:tcW w:w="1224"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1E6B99">
            <w:pPr>
              <w:keepNext/>
              <w:keepLines/>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Projected using 2012-2018 trend</w:t>
            </w:r>
          </w:p>
        </w:tc>
      </w:tr>
      <w:tr w:rsidR="00CE23FE" w:rsidRPr="00E3331A" w:rsidTr="00CE23FE">
        <w:trPr>
          <w:trHeight w:val="25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sz w:val="20"/>
                <w:szCs w:val="20"/>
              </w:rPr>
            </w:pPr>
            <w:r w:rsidRPr="00E3331A">
              <w:rPr>
                <w:rFonts w:ascii="Arial Narrow" w:hAnsi="Arial Narrow" w:cs="Calibri"/>
                <w:sz w:val="20"/>
                <w:szCs w:val="20"/>
              </w:rPr>
              <w:t xml:space="preserve">GP Consultations </w:t>
            </w:r>
          </w:p>
          <w:p w:rsidR="003A1339" w:rsidRPr="00E3331A" w:rsidRDefault="003A1339" w:rsidP="003A1339">
            <w:pPr>
              <w:spacing w:after="0" w:line="240" w:lineRule="auto"/>
              <w:rPr>
                <w:rFonts w:ascii="Arial Narrow" w:hAnsi="Arial Narrow" w:cs="Calibri"/>
                <w:sz w:val="20"/>
                <w:szCs w:val="20"/>
              </w:rPr>
            </w:pPr>
            <w:r w:rsidRPr="00E3331A">
              <w:rPr>
                <w:rFonts w:ascii="Arial Narrow" w:hAnsi="Arial Narrow" w:cs="Calibri"/>
                <w:sz w:val="20"/>
                <w:szCs w:val="20"/>
              </w:rPr>
              <w:t>(3 x MBS 23), $69.80 yr</w:t>
            </w:r>
          </w:p>
        </w:tc>
        <w:tc>
          <w:tcPr>
            <w:tcW w:w="850" w:type="dxa"/>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307,384</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325,400</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343,416</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361,432</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379,448</w:t>
            </w:r>
          </w:p>
        </w:tc>
        <w:tc>
          <w:tcPr>
            <w:tcW w:w="1224"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 based on Ig patient numbers</w:t>
            </w:r>
          </w:p>
        </w:tc>
      </w:tr>
      <w:tr w:rsidR="00CE23FE" w:rsidRPr="00E3331A" w:rsidTr="00CE23FE">
        <w:trPr>
          <w:trHeight w:val="25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sz w:val="20"/>
                <w:szCs w:val="20"/>
              </w:rPr>
            </w:pPr>
            <w:r w:rsidRPr="00E3331A">
              <w:rPr>
                <w:rFonts w:ascii="Arial Narrow" w:hAnsi="Arial Narrow" w:cs="Calibri"/>
                <w:sz w:val="20"/>
                <w:szCs w:val="20"/>
              </w:rPr>
              <w:t xml:space="preserve">Neurologist Consultations </w:t>
            </w:r>
          </w:p>
          <w:p w:rsidR="003A1339" w:rsidRPr="00E3331A" w:rsidRDefault="003A1339" w:rsidP="003A1339">
            <w:pPr>
              <w:spacing w:after="0" w:line="240" w:lineRule="auto"/>
              <w:rPr>
                <w:rFonts w:ascii="Arial Narrow" w:hAnsi="Arial Narrow" w:cs="Calibri"/>
                <w:sz w:val="20"/>
                <w:szCs w:val="20"/>
              </w:rPr>
            </w:pPr>
            <w:r w:rsidRPr="00E3331A">
              <w:rPr>
                <w:rFonts w:ascii="Arial Narrow" w:hAnsi="Arial Narrow" w:cs="Calibri"/>
                <w:sz w:val="20"/>
                <w:szCs w:val="20"/>
              </w:rPr>
              <w:t>(1 x MBS 132 + 1 x MBS 133, $303.08 yr</w:t>
            </w:r>
            <w:r w:rsidR="001B576E">
              <w:rPr>
                <w:rFonts w:ascii="Arial Narrow" w:hAnsi="Arial Narrow" w:cs="Calibri"/>
                <w:sz w:val="20"/>
                <w:szCs w:val="20"/>
              </w:rPr>
              <w:t>)</w:t>
            </w:r>
          </w:p>
        </w:tc>
        <w:tc>
          <w:tcPr>
            <w:tcW w:w="850" w:type="dxa"/>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889,785</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941,935</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994,086</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1,046,237</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1,098,387</w:t>
            </w:r>
          </w:p>
        </w:tc>
        <w:tc>
          <w:tcPr>
            <w:tcW w:w="1224"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 based on Ig patient numbers</w:t>
            </w:r>
          </w:p>
        </w:tc>
      </w:tr>
      <w:tr w:rsidR="00CE23FE" w:rsidRPr="00E3331A" w:rsidTr="00CE23FE">
        <w:trPr>
          <w:trHeight w:val="2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sz w:val="20"/>
                <w:szCs w:val="20"/>
              </w:rPr>
            </w:pPr>
            <w:r w:rsidRPr="00E3331A">
              <w:rPr>
                <w:rFonts w:ascii="Arial Narrow" w:hAnsi="Arial Narrow" w:cs="Calibri"/>
                <w:sz w:val="20"/>
                <w:szCs w:val="20"/>
              </w:rPr>
              <w:t>Liver function &amp; other tests (1 x MBS 66512), $12.83 yr</w:t>
            </w:r>
          </w:p>
        </w:tc>
        <w:tc>
          <w:tcPr>
            <w:tcW w:w="850" w:type="dxa"/>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37,652</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39,859</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42,066</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44,273</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46,480</w:t>
            </w:r>
          </w:p>
        </w:tc>
        <w:tc>
          <w:tcPr>
            <w:tcW w:w="1224"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 based on Ig patient numbers</w:t>
            </w:r>
          </w:p>
        </w:tc>
      </w:tr>
      <w:tr w:rsidR="00CE23FE" w:rsidRPr="00E3331A" w:rsidTr="00CE23FE">
        <w:trPr>
          <w:trHeight w:val="25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sz w:val="20"/>
                <w:szCs w:val="20"/>
              </w:rPr>
            </w:pPr>
            <w:r w:rsidRPr="00E3331A">
              <w:rPr>
                <w:rFonts w:ascii="Arial Narrow" w:hAnsi="Arial Narrow" w:cs="Calibri"/>
                <w:sz w:val="20"/>
                <w:szCs w:val="20"/>
              </w:rPr>
              <w:t xml:space="preserve">Full Blood Examination </w:t>
            </w:r>
          </w:p>
          <w:p w:rsidR="003A1339" w:rsidRPr="00E3331A" w:rsidRDefault="003A1339" w:rsidP="003A1339">
            <w:pPr>
              <w:spacing w:after="0" w:line="240" w:lineRule="auto"/>
              <w:rPr>
                <w:rFonts w:ascii="Arial Narrow" w:hAnsi="Arial Narrow" w:cs="Calibri"/>
                <w:sz w:val="20"/>
                <w:szCs w:val="20"/>
              </w:rPr>
            </w:pPr>
            <w:r w:rsidRPr="00E3331A">
              <w:rPr>
                <w:rFonts w:ascii="Arial Narrow" w:hAnsi="Arial Narrow" w:cs="Calibri"/>
                <w:sz w:val="20"/>
                <w:szCs w:val="20"/>
              </w:rPr>
              <w:t>(1 x MBS 65070), $12.71 yr</w:t>
            </w:r>
          </w:p>
        </w:tc>
        <w:tc>
          <w:tcPr>
            <w:tcW w:w="850" w:type="dxa"/>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37,322</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39,510</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41,697</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43,884</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46,072</w:t>
            </w:r>
          </w:p>
        </w:tc>
        <w:tc>
          <w:tcPr>
            <w:tcW w:w="1224"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 based on Ig patient numbers</w:t>
            </w:r>
          </w:p>
        </w:tc>
      </w:tr>
      <w:tr w:rsidR="00CE23FE" w:rsidRPr="00E3331A" w:rsidTr="00CE23FE">
        <w:trPr>
          <w:trHeight w:val="25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sz w:val="20"/>
                <w:szCs w:val="20"/>
              </w:rPr>
            </w:pPr>
            <w:r w:rsidRPr="00E3331A">
              <w:rPr>
                <w:rFonts w:ascii="Arial Narrow" w:hAnsi="Arial Narrow" w:cs="Calibri"/>
                <w:sz w:val="20"/>
                <w:szCs w:val="20"/>
              </w:rPr>
              <w:t xml:space="preserve">Neuro muscular electro diagnosis </w:t>
            </w:r>
          </w:p>
          <w:p w:rsidR="003A1339" w:rsidRPr="00E3331A" w:rsidRDefault="003A1339" w:rsidP="003A1339">
            <w:pPr>
              <w:spacing w:after="0" w:line="240" w:lineRule="auto"/>
              <w:rPr>
                <w:rFonts w:ascii="Arial Narrow" w:hAnsi="Arial Narrow" w:cs="Calibri"/>
                <w:sz w:val="20"/>
                <w:szCs w:val="20"/>
              </w:rPr>
            </w:pPr>
            <w:r w:rsidRPr="00E3331A">
              <w:rPr>
                <w:rFonts w:ascii="Arial Narrow" w:hAnsi="Arial Narrow" w:cs="Calibri"/>
                <w:sz w:val="20"/>
                <w:szCs w:val="20"/>
              </w:rPr>
              <w:t>(2 x MBS 11018), $341.33 yr</w:t>
            </w:r>
          </w:p>
        </w:tc>
        <w:tc>
          <w:tcPr>
            <w:tcW w:w="850" w:type="dxa"/>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1,002,081</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1,060,814</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1,119,546</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1,178,278</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1,237,011</w:t>
            </w:r>
          </w:p>
        </w:tc>
        <w:tc>
          <w:tcPr>
            <w:tcW w:w="1224"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 based on Ig patient numbers</w:t>
            </w:r>
          </w:p>
        </w:tc>
      </w:tr>
      <w:tr w:rsidR="00CE23FE" w:rsidRPr="00E3331A" w:rsidTr="00CE23FE">
        <w:trPr>
          <w:trHeight w:val="25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right"/>
              <w:rPr>
                <w:rFonts w:ascii="Arial Narrow" w:hAnsi="Arial Narrow" w:cs="Calibri"/>
                <w:b/>
                <w:bCs/>
                <w:sz w:val="20"/>
                <w:szCs w:val="20"/>
              </w:rPr>
            </w:pPr>
            <w:r w:rsidRPr="00E3331A">
              <w:rPr>
                <w:rFonts w:ascii="Arial Narrow" w:hAnsi="Arial Narrow" w:cs="Calibri"/>
                <w:b/>
                <w:bCs/>
                <w:sz w:val="20"/>
                <w:szCs w:val="20"/>
              </w:rPr>
              <w:t>Subtotal</w:t>
            </w:r>
          </w:p>
        </w:tc>
        <w:tc>
          <w:tcPr>
            <w:tcW w:w="850" w:type="dxa"/>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2,274,225</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2,407,518</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2,540,811</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2,674,104</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2,807,397</w:t>
            </w:r>
          </w:p>
        </w:tc>
        <w:tc>
          <w:tcPr>
            <w:tcW w:w="1224"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w:t>
            </w:r>
          </w:p>
        </w:tc>
      </w:tr>
      <w:tr w:rsidR="001E6B99" w:rsidRPr="00E3331A" w:rsidTr="00F0719B">
        <w:trPr>
          <w:trHeight w:val="255"/>
        </w:trPr>
        <w:tc>
          <w:tcPr>
            <w:tcW w:w="9016" w:type="dxa"/>
            <w:gridSpan w:val="8"/>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E6B99" w:rsidRPr="00E3331A" w:rsidRDefault="001E6B99" w:rsidP="001E6B99">
            <w:pPr>
              <w:spacing w:after="0" w:line="240" w:lineRule="auto"/>
              <w:rPr>
                <w:rFonts w:ascii="Arial Narrow" w:hAnsi="Arial Narrow" w:cs="Calibri"/>
                <w:color w:val="000000"/>
                <w:sz w:val="20"/>
                <w:szCs w:val="20"/>
              </w:rPr>
            </w:pPr>
            <w:r w:rsidRPr="00E3331A">
              <w:rPr>
                <w:rFonts w:ascii="Arial Narrow" w:hAnsi="Arial Narrow" w:cs="Calibri"/>
                <w:b/>
                <w:bCs/>
                <w:sz w:val="20"/>
                <w:szCs w:val="20"/>
              </w:rPr>
              <w:t>Steroid MBS-related services</w:t>
            </w:r>
            <w:r w:rsidRPr="00E3331A">
              <w:rPr>
                <w:rFonts w:ascii="Arial Narrow" w:hAnsi="Arial Narrow" w:cs="Calibri"/>
                <w:color w:val="000000"/>
                <w:sz w:val="20"/>
                <w:szCs w:val="20"/>
              </w:rPr>
              <w:t> </w:t>
            </w:r>
          </w:p>
        </w:tc>
      </w:tr>
      <w:tr w:rsidR="00CE23FE" w:rsidRPr="00E3331A" w:rsidTr="00CE23FE">
        <w:trPr>
          <w:trHeight w:val="25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sz w:val="20"/>
                <w:szCs w:val="20"/>
              </w:rPr>
            </w:pPr>
            <w:r w:rsidRPr="00E3331A">
              <w:rPr>
                <w:rFonts w:ascii="Arial Narrow" w:hAnsi="Arial Narrow" w:cs="Calibri"/>
                <w:sz w:val="20"/>
                <w:szCs w:val="20"/>
              </w:rPr>
              <w:t>GP Consultations (8 x MBS 23, $279.2 yr)</w:t>
            </w:r>
          </w:p>
        </w:tc>
        <w:tc>
          <w:tcPr>
            <w:tcW w:w="850" w:type="dxa"/>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-819,691</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-867,734</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-915,776</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-963,818</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-1,011,861</w:t>
            </w:r>
          </w:p>
        </w:tc>
        <w:tc>
          <w:tcPr>
            <w:tcW w:w="1224"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 based on less steroid patients</w:t>
            </w:r>
          </w:p>
        </w:tc>
      </w:tr>
      <w:tr w:rsidR="00CE23FE" w:rsidRPr="00E3331A" w:rsidTr="00CE23FE">
        <w:trPr>
          <w:trHeight w:val="25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5416DA" w:rsidRPr="00E3331A" w:rsidRDefault="003A1339" w:rsidP="003A1339">
            <w:pPr>
              <w:spacing w:after="0" w:line="240" w:lineRule="auto"/>
              <w:rPr>
                <w:rFonts w:ascii="Arial Narrow" w:hAnsi="Arial Narrow" w:cs="Calibri"/>
                <w:sz w:val="20"/>
                <w:szCs w:val="20"/>
              </w:rPr>
            </w:pPr>
            <w:r w:rsidRPr="00E3331A">
              <w:rPr>
                <w:rFonts w:ascii="Arial Narrow" w:hAnsi="Arial Narrow" w:cs="Calibri"/>
                <w:sz w:val="20"/>
                <w:szCs w:val="20"/>
              </w:rPr>
              <w:t xml:space="preserve">Neurologist Specialist Consultations </w:t>
            </w:r>
          </w:p>
          <w:p w:rsidR="003A1339" w:rsidRPr="00E3331A" w:rsidRDefault="003A1339" w:rsidP="003A1339">
            <w:pPr>
              <w:spacing w:after="0" w:line="240" w:lineRule="auto"/>
              <w:rPr>
                <w:rFonts w:ascii="Arial Narrow" w:hAnsi="Arial Narrow" w:cs="Calibri"/>
                <w:sz w:val="20"/>
                <w:szCs w:val="20"/>
              </w:rPr>
            </w:pPr>
            <w:r w:rsidRPr="00E3331A">
              <w:rPr>
                <w:rFonts w:ascii="Arial Narrow" w:hAnsi="Arial Narrow" w:cs="Calibri"/>
                <w:sz w:val="20"/>
                <w:szCs w:val="20"/>
              </w:rPr>
              <w:t>(1 x MBS 132 + 2 x MBS 133, $405.26 yr)</w:t>
            </w:r>
          </w:p>
        </w:tc>
        <w:tc>
          <w:tcPr>
            <w:tcW w:w="850" w:type="dxa"/>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-1,189,793</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-1,259,527</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-1,329,261</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-1,398,995</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-1,468,729</w:t>
            </w:r>
          </w:p>
        </w:tc>
        <w:tc>
          <w:tcPr>
            <w:tcW w:w="1224"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 based on less steroid patients</w:t>
            </w:r>
          </w:p>
        </w:tc>
      </w:tr>
      <w:tr w:rsidR="00CE23FE" w:rsidRPr="00E3331A" w:rsidTr="00CE23FE">
        <w:trPr>
          <w:trHeight w:val="25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sz w:val="20"/>
                <w:szCs w:val="20"/>
              </w:rPr>
            </w:pPr>
            <w:r w:rsidRPr="00E3331A">
              <w:rPr>
                <w:rFonts w:ascii="Arial Narrow" w:hAnsi="Arial Narrow" w:cs="Calibri"/>
                <w:sz w:val="20"/>
                <w:szCs w:val="20"/>
              </w:rPr>
              <w:t>DEXA Scan (1 x MBS 12321, $76.8 yr)</w:t>
            </w:r>
          </w:p>
        </w:tc>
        <w:tc>
          <w:tcPr>
            <w:tcW w:w="850" w:type="dxa"/>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-225,474</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-238,689</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-251,904</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-265,119</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-278,334</w:t>
            </w:r>
          </w:p>
        </w:tc>
        <w:tc>
          <w:tcPr>
            <w:tcW w:w="1224"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 based on less steroid patients</w:t>
            </w:r>
          </w:p>
        </w:tc>
      </w:tr>
      <w:tr w:rsidR="00CE23FE" w:rsidRPr="00E3331A" w:rsidTr="00CE23FE">
        <w:trPr>
          <w:trHeight w:val="25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sz w:val="20"/>
                <w:szCs w:val="20"/>
              </w:rPr>
            </w:pPr>
            <w:r w:rsidRPr="00E3331A">
              <w:rPr>
                <w:rFonts w:ascii="Arial Narrow" w:hAnsi="Arial Narrow" w:cs="Calibri"/>
                <w:sz w:val="20"/>
                <w:szCs w:val="20"/>
              </w:rPr>
              <w:t>Liver function &amp; other tests (4 x MBS 66512), $51.3 yr</w:t>
            </w:r>
          </w:p>
        </w:tc>
        <w:tc>
          <w:tcPr>
            <w:tcW w:w="850" w:type="dxa"/>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-150,609</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-159,437</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-168,264</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-177,091</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-185,919</w:t>
            </w:r>
          </w:p>
        </w:tc>
        <w:tc>
          <w:tcPr>
            <w:tcW w:w="1224"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 based on less steroid patients</w:t>
            </w:r>
          </w:p>
        </w:tc>
      </w:tr>
      <w:tr w:rsidR="00CE23FE" w:rsidRPr="00E3331A" w:rsidTr="00CE23FE">
        <w:trPr>
          <w:trHeight w:val="25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sz w:val="20"/>
                <w:szCs w:val="20"/>
              </w:rPr>
            </w:pPr>
            <w:r w:rsidRPr="00E3331A">
              <w:rPr>
                <w:rFonts w:ascii="Arial Narrow" w:hAnsi="Arial Narrow" w:cs="Calibri"/>
                <w:sz w:val="20"/>
                <w:szCs w:val="20"/>
              </w:rPr>
              <w:t>Full Blood Examination (4 x MBS 65070), $50.85 yr</w:t>
            </w:r>
          </w:p>
        </w:tc>
        <w:tc>
          <w:tcPr>
            <w:tcW w:w="850" w:type="dxa"/>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-149,288</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-158,038</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-166,788</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-175,538</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-184,288</w:t>
            </w:r>
          </w:p>
        </w:tc>
        <w:tc>
          <w:tcPr>
            <w:tcW w:w="1224"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 based on less steroid patients</w:t>
            </w:r>
          </w:p>
        </w:tc>
      </w:tr>
      <w:tr w:rsidR="00CE23FE" w:rsidRPr="00E3331A" w:rsidTr="00CE23FE">
        <w:trPr>
          <w:trHeight w:val="25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sz w:val="20"/>
                <w:szCs w:val="20"/>
              </w:rPr>
            </w:pPr>
            <w:r w:rsidRPr="00E3331A">
              <w:rPr>
                <w:rFonts w:ascii="Arial Narrow" w:hAnsi="Arial Narrow" w:cs="Calibri"/>
                <w:sz w:val="20"/>
                <w:szCs w:val="20"/>
              </w:rPr>
              <w:t>Test for Open Angle Glaucoma (1 x MBS 11200, $1.53 yr)</w:t>
            </w:r>
          </w:p>
        </w:tc>
        <w:tc>
          <w:tcPr>
            <w:tcW w:w="850" w:type="dxa"/>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-4,492</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-4,755</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-5,018</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-5,282</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-5,545</w:t>
            </w:r>
          </w:p>
        </w:tc>
        <w:tc>
          <w:tcPr>
            <w:tcW w:w="1224"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 based on less steroid patients</w:t>
            </w:r>
          </w:p>
        </w:tc>
      </w:tr>
      <w:tr w:rsidR="00CE23FE" w:rsidRPr="00E3331A" w:rsidTr="00CE23FE">
        <w:trPr>
          <w:trHeight w:val="25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sz w:val="20"/>
                <w:szCs w:val="20"/>
              </w:rPr>
            </w:pPr>
            <w:r w:rsidRPr="00E3331A">
              <w:rPr>
                <w:rFonts w:ascii="Arial Narrow" w:hAnsi="Arial Narrow" w:cs="Calibri"/>
                <w:sz w:val="20"/>
                <w:szCs w:val="20"/>
              </w:rPr>
              <w:t>Test for Diabetes (1 x MBS 66841, $2.52 yr)</w:t>
            </w:r>
          </w:p>
        </w:tc>
        <w:tc>
          <w:tcPr>
            <w:tcW w:w="850" w:type="dxa"/>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-7,398</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-7,832</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-8,266</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-8,699</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-9,133</w:t>
            </w:r>
          </w:p>
        </w:tc>
        <w:tc>
          <w:tcPr>
            <w:tcW w:w="1224"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 based on less steroid patients</w:t>
            </w:r>
          </w:p>
        </w:tc>
      </w:tr>
      <w:tr w:rsidR="00CE23FE" w:rsidRPr="00E3331A" w:rsidTr="00CE23FE">
        <w:trPr>
          <w:trHeight w:val="25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sz w:val="20"/>
                <w:szCs w:val="20"/>
              </w:rPr>
            </w:pPr>
            <w:r w:rsidRPr="00E3331A">
              <w:rPr>
                <w:rFonts w:ascii="Arial Narrow" w:hAnsi="Arial Narrow" w:cs="Calibri"/>
                <w:sz w:val="20"/>
                <w:szCs w:val="20"/>
              </w:rPr>
              <w:lastRenderedPageBreak/>
              <w:t>Neuro muscular electro diagnosis (2 x MBS 11018), $341.33 yr</w:t>
            </w:r>
          </w:p>
        </w:tc>
        <w:tc>
          <w:tcPr>
            <w:tcW w:w="850" w:type="dxa"/>
            <w:tcBorders>
              <w:top w:val="nil"/>
              <w:left w:val="nil"/>
              <w:bottom w:val="single" w:sz="4" w:space="0" w:color="auto"/>
              <w:right w:val="single" w:sz="4" w:space="0" w:color="auto"/>
            </w:tcBorders>
            <w:shd w:val="clear" w:color="000000" w:fill="FFFFFF"/>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-1,002,081</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-1,060,814</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-1,119,546</w:t>
            </w:r>
          </w:p>
        </w:tc>
        <w:tc>
          <w:tcPr>
            <w:tcW w:w="1077"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-1,178,278</w:t>
            </w:r>
          </w:p>
        </w:tc>
        <w:tc>
          <w:tcPr>
            <w:tcW w:w="1078"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-1,237,011</w:t>
            </w:r>
          </w:p>
        </w:tc>
        <w:tc>
          <w:tcPr>
            <w:tcW w:w="1224" w:type="dxa"/>
            <w:tcBorders>
              <w:top w:val="nil"/>
              <w:left w:val="nil"/>
              <w:bottom w:val="single" w:sz="4" w:space="0" w:color="auto"/>
              <w:right w:val="single" w:sz="4" w:space="0" w:color="auto"/>
            </w:tcBorders>
            <w:shd w:val="clear" w:color="auto" w:fill="auto"/>
            <w:noWrap/>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 based on less steroid patients</w:t>
            </w:r>
          </w:p>
        </w:tc>
      </w:tr>
      <w:tr w:rsidR="00CE23FE" w:rsidRPr="00E3331A" w:rsidTr="00464E0A">
        <w:trPr>
          <w:trHeight w:val="255"/>
        </w:trPr>
        <w:tc>
          <w:tcPr>
            <w:tcW w:w="155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A1339" w:rsidRPr="00E3331A" w:rsidRDefault="003A1339" w:rsidP="003A1339">
            <w:pPr>
              <w:spacing w:after="0" w:line="240" w:lineRule="auto"/>
              <w:jc w:val="right"/>
              <w:rPr>
                <w:rFonts w:ascii="Arial Narrow" w:hAnsi="Arial Narrow" w:cs="Calibri"/>
                <w:b/>
                <w:bCs/>
                <w:sz w:val="20"/>
                <w:szCs w:val="20"/>
              </w:rPr>
            </w:pPr>
            <w:r w:rsidRPr="00E3331A">
              <w:rPr>
                <w:rFonts w:ascii="Arial Narrow" w:hAnsi="Arial Narrow" w:cs="Calibri"/>
                <w:b/>
                <w:bCs/>
                <w:sz w:val="20"/>
                <w:szCs w:val="20"/>
              </w:rPr>
              <w:t>Subtotal</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rsidR="003A1339" w:rsidRPr="00E3331A" w:rsidRDefault="003A1339"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-3,548,827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rsidR="003A1339" w:rsidRPr="00E3331A" w:rsidRDefault="003A1339"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-3,756,825 </w:t>
            </w:r>
          </w:p>
        </w:tc>
        <w:tc>
          <w:tcPr>
            <w:tcW w:w="1078" w:type="dxa"/>
            <w:tcBorders>
              <w:top w:val="nil"/>
              <w:left w:val="nil"/>
              <w:bottom w:val="single" w:sz="4" w:space="0" w:color="auto"/>
              <w:right w:val="single" w:sz="4" w:space="0" w:color="auto"/>
            </w:tcBorders>
            <w:shd w:val="clear" w:color="auto" w:fill="FFFFFF" w:themeFill="background1"/>
            <w:noWrap/>
            <w:vAlign w:val="center"/>
            <w:hideMark/>
          </w:tcPr>
          <w:p w:rsidR="003A1339" w:rsidRPr="00E3331A" w:rsidRDefault="003A1339"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-3,964,823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rsidR="003A1339" w:rsidRPr="00E3331A" w:rsidRDefault="003A1339"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-4,172,821 </w:t>
            </w:r>
          </w:p>
        </w:tc>
        <w:tc>
          <w:tcPr>
            <w:tcW w:w="1078" w:type="dxa"/>
            <w:tcBorders>
              <w:top w:val="nil"/>
              <w:left w:val="nil"/>
              <w:bottom w:val="single" w:sz="4" w:space="0" w:color="auto"/>
              <w:right w:val="single" w:sz="4" w:space="0" w:color="auto"/>
            </w:tcBorders>
            <w:shd w:val="clear" w:color="auto" w:fill="FFFFFF" w:themeFill="background1"/>
            <w:noWrap/>
            <w:vAlign w:val="center"/>
            <w:hideMark/>
          </w:tcPr>
          <w:p w:rsidR="003A1339" w:rsidRPr="00E3331A" w:rsidRDefault="003A1339"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-4,380,819 </w:t>
            </w:r>
          </w:p>
        </w:tc>
        <w:tc>
          <w:tcPr>
            <w:tcW w:w="1224" w:type="dxa"/>
            <w:tcBorders>
              <w:top w:val="nil"/>
              <w:left w:val="nil"/>
              <w:bottom w:val="single" w:sz="4" w:space="0" w:color="auto"/>
              <w:right w:val="single" w:sz="4" w:space="0" w:color="auto"/>
            </w:tcBorders>
            <w:shd w:val="clear" w:color="auto" w:fill="FFFFFF" w:themeFill="background1"/>
            <w:noWrap/>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w:t>
            </w:r>
          </w:p>
        </w:tc>
      </w:tr>
      <w:tr w:rsidR="00CE23FE" w:rsidRPr="00E3331A" w:rsidTr="00464E0A">
        <w:trPr>
          <w:trHeight w:val="255"/>
        </w:trPr>
        <w:tc>
          <w:tcPr>
            <w:tcW w:w="155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A1339" w:rsidRPr="00E3331A" w:rsidRDefault="003A1339" w:rsidP="003A1339">
            <w:pPr>
              <w:spacing w:after="0" w:line="240" w:lineRule="auto"/>
              <w:jc w:val="right"/>
              <w:rPr>
                <w:rFonts w:ascii="Arial Narrow" w:hAnsi="Arial Narrow" w:cs="Calibri"/>
                <w:b/>
                <w:bCs/>
                <w:sz w:val="20"/>
                <w:szCs w:val="20"/>
              </w:rPr>
            </w:pPr>
            <w:r w:rsidRPr="00E3331A">
              <w:rPr>
                <w:rFonts w:ascii="Arial Narrow" w:hAnsi="Arial Narrow" w:cs="Calibri"/>
                <w:b/>
                <w:bCs/>
                <w:sz w:val="20"/>
                <w:szCs w:val="20"/>
              </w:rPr>
              <w:t>Net cost offset</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3A1339" w:rsidRPr="00E3331A" w:rsidRDefault="003A1339" w:rsidP="003A1339">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rsidR="003A1339" w:rsidRPr="00E3331A" w:rsidRDefault="003A1339"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-1,274,602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rsidR="003A1339" w:rsidRPr="00E3331A" w:rsidRDefault="003A1339"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-1,349,307 </w:t>
            </w:r>
          </w:p>
        </w:tc>
        <w:tc>
          <w:tcPr>
            <w:tcW w:w="1078" w:type="dxa"/>
            <w:tcBorders>
              <w:top w:val="nil"/>
              <w:left w:val="nil"/>
              <w:bottom w:val="single" w:sz="4" w:space="0" w:color="auto"/>
              <w:right w:val="single" w:sz="4" w:space="0" w:color="auto"/>
            </w:tcBorders>
            <w:shd w:val="clear" w:color="auto" w:fill="FFFFFF" w:themeFill="background1"/>
            <w:noWrap/>
            <w:vAlign w:val="center"/>
            <w:hideMark/>
          </w:tcPr>
          <w:p w:rsidR="003A1339" w:rsidRPr="00E3331A" w:rsidRDefault="003A1339"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-1,424,012 </w:t>
            </w:r>
          </w:p>
        </w:tc>
        <w:tc>
          <w:tcPr>
            <w:tcW w:w="1077" w:type="dxa"/>
            <w:tcBorders>
              <w:top w:val="nil"/>
              <w:left w:val="nil"/>
              <w:bottom w:val="single" w:sz="4" w:space="0" w:color="auto"/>
              <w:right w:val="single" w:sz="4" w:space="0" w:color="auto"/>
            </w:tcBorders>
            <w:shd w:val="clear" w:color="auto" w:fill="FFFFFF" w:themeFill="background1"/>
            <w:noWrap/>
            <w:vAlign w:val="center"/>
            <w:hideMark/>
          </w:tcPr>
          <w:p w:rsidR="003A1339" w:rsidRPr="00E3331A" w:rsidRDefault="003A1339"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-1,498,717 </w:t>
            </w:r>
          </w:p>
        </w:tc>
        <w:tc>
          <w:tcPr>
            <w:tcW w:w="1078" w:type="dxa"/>
            <w:tcBorders>
              <w:top w:val="nil"/>
              <w:left w:val="nil"/>
              <w:bottom w:val="single" w:sz="4" w:space="0" w:color="auto"/>
              <w:right w:val="single" w:sz="4" w:space="0" w:color="auto"/>
            </w:tcBorders>
            <w:shd w:val="clear" w:color="auto" w:fill="FFFFFF" w:themeFill="background1"/>
            <w:noWrap/>
            <w:vAlign w:val="center"/>
            <w:hideMark/>
          </w:tcPr>
          <w:p w:rsidR="003A1339" w:rsidRPr="00E3331A" w:rsidRDefault="003A1339" w:rsidP="003A1339">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-1,573,422 </w:t>
            </w:r>
          </w:p>
        </w:tc>
        <w:tc>
          <w:tcPr>
            <w:tcW w:w="1224" w:type="dxa"/>
            <w:tcBorders>
              <w:top w:val="nil"/>
              <w:left w:val="nil"/>
              <w:bottom w:val="single" w:sz="4" w:space="0" w:color="auto"/>
              <w:right w:val="single" w:sz="4" w:space="0" w:color="auto"/>
            </w:tcBorders>
            <w:shd w:val="clear" w:color="auto" w:fill="FFFFFF" w:themeFill="background1"/>
            <w:noWrap/>
            <w:vAlign w:val="center"/>
            <w:hideMark/>
          </w:tcPr>
          <w:p w:rsidR="003A1339" w:rsidRPr="00E3331A" w:rsidRDefault="003A1339" w:rsidP="003A1339">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w:t>
            </w:r>
          </w:p>
        </w:tc>
      </w:tr>
    </w:tbl>
    <w:p w:rsidR="003A1339" w:rsidRPr="00E3331A" w:rsidRDefault="006536A7" w:rsidP="00464E0A">
      <w:r w:rsidRPr="00E3331A">
        <w:rPr>
          <w:rFonts w:ascii="Arial Narrow" w:hAnsi="Arial Narrow"/>
          <w:sz w:val="18"/>
        </w:rPr>
        <w:t xml:space="preserve">CIDP= Chronic Inflammatory Demyelinating Polyneuropathy. </w:t>
      </w:r>
      <w:r w:rsidR="00C55367" w:rsidRPr="00E3331A">
        <w:rPr>
          <w:rFonts w:ascii="Arial Narrow" w:hAnsi="Arial Narrow"/>
          <w:sz w:val="18"/>
        </w:rPr>
        <w:t>MBS = Medicare Benefits Schedule, PBS= Pharmaceutical Benefits Scheme</w:t>
      </w:r>
    </w:p>
    <w:p w:rsidR="005416DA" w:rsidRPr="00E3331A" w:rsidRDefault="005416DA" w:rsidP="005416DA">
      <w:pPr>
        <w:pStyle w:val="Heading3"/>
      </w:pPr>
      <w:bookmarkStart w:id="514" w:name="_Toc24103530"/>
      <w:r w:rsidRPr="00E3331A">
        <w:t>E.3.3.</w:t>
      </w:r>
      <w:r w:rsidRPr="00E3331A">
        <w:tab/>
        <w:t xml:space="preserve"> Projected Costs of PBS Medicines</w:t>
      </w:r>
      <w:bookmarkEnd w:id="514"/>
    </w:p>
    <w:p w:rsidR="001F5B33" w:rsidRPr="00E3331A" w:rsidRDefault="001F5B33" w:rsidP="00BB6E4C">
      <w:pPr>
        <w:pStyle w:val="BodyTextSTD"/>
      </w:pPr>
      <w:r w:rsidRPr="00E3331A">
        <w:t xml:space="preserve">The PICO noted </w:t>
      </w:r>
      <w:r w:rsidR="000F166F" w:rsidRPr="00E3331A">
        <w:t xml:space="preserve">that </w:t>
      </w:r>
      <w:r w:rsidRPr="00E3331A">
        <w:t>around 50</w:t>
      </w:r>
      <w:r w:rsidR="000F166F" w:rsidRPr="00E3331A">
        <w:t>%</w:t>
      </w:r>
      <w:r w:rsidRPr="00E3331A">
        <w:t xml:space="preserve"> of Australian patients not receiving Ig therapy will receive corticosteroid</w:t>
      </w:r>
      <w:r w:rsidR="000F166F" w:rsidRPr="00E3331A">
        <w:t>s</w:t>
      </w:r>
      <w:r w:rsidRPr="00E3331A">
        <w:t xml:space="preserve">. </w:t>
      </w:r>
      <w:r w:rsidR="005416DA" w:rsidRPr="00E3331A">
        <w:t xml:space="preserve">In the absence of Ig, </w:t>
      </w:r>
      <w:r w:rsidR="006536A7" w:rsidRPr="00E3331A">
        <w:t>steroid</w:t>
      </w:r>
      <w:r w:rsidRPr="00E3331A">
        <w:t xml:space="preserve"> use would </w:t>
      </w:r>
      <w:r w:rsidR="00C55367" w:rsidRPr="00E3331A">
        <w:t xml:space="preserve">have </w:t>
      </w:r>
      <w:r w:rsidRPr="00E3331A">
        <w:t>increase</w:t>
      </w:r>
      <w:r w:rsidR="00C55367" w:rsidRPr="00E3331A">
        <w:t>d</w:t>
      </w:r>
      <w:r w:rsidR="005416DA" w:rsidRPr="00E3331A">
        <w:t xml:space="preserve">. These costs </w:t>
      </w:r>
      <w:r w:rsidR="00820286" w:rsidRPr="00E3331A">
        <w:t>offsets</w:t>
      </w:r>
      <w:r w:rsidR="005416DA" w:rsidRPr="00E3331A">
        <w:t xml:space="preserve"> </w:t>
      </w:r>
      <w:r w:rsidRPr="00E3331A">
        <w:t xml:space="preserve">are outlined in </w:t>
      </w:r>
      <w:r w:rsidR="006F35B9" w:rsidRPr="00E3331A">
        <w:t xml:space="preserve">Table </w:t>
      </w:r>
      <w:r w:rsidR="006F35B9">
        <w:rPr>
          <w:noProof/>
        </w:rPr>
        <w:t>92</w:t>
      </w:r>
      <w:r w:rsidRPr="00E3331A">
        <w:t>.</w:t>
      </w:r>
    </w:p>
    <w:p w:rsidR="001F5B33" w:rsidRPr="00E3331A" w:rsidRDefault="001F5B33" w:rsidP="00D91084">
      <w:pPr>
        <w:pStyle w:val="Caption"/>
        <w:rPr>
          <w:noProof/>
          <w:szCs w:val="20"/>
        </w:rPr>
      </w:pPr>
      <w:bookmarkStart w:id="515" w:name="_Ref8916453"/>
      <w:bookmarkStart w:id="516" w:name="_Toc24103398"/>
      <w:r w:rsidRPr="00E3331A">
        <w:t xml:space="preserve">Table </w:t>
      </w:r>
      <w:r w:rsidR="006F35B9">
        <w:rPr>
          <w:noProof/>
        </w:rPr>
        <w:t>92</w:t>
      </w:r>
      <w:bookmarkEnd w:id="515"/>
      <w:r w:rsidR="006D426E" w:rsidRPr="00E3331A">
        <w:tab/>
      </w:r>
      <w:r w:rsidR="005416DA" w:rsidRPr="00E3331A">
        <w:t>Projected cost changes for PBS medicines, 2020-2024</w:t>
      </w:r>
      <w:bookmarkEnd w:id="516"/>
    </w:p>
    <w:tbl>
      <w:tblPr>
        <w:tblW w:w="0" w:type="auto"/>
        <w:tblLayout w:type="fixed"/>
        <w:tblLook w:val="04A0" w:firstRow="1" w:lastRow="0" w:firstColumn="1" w:lastColumn="0" w:noHBand="0" w:noVBand="1"/>
      </w:tblPr>
      <w:tblGrid>
        <w:gridCol w:w="1838"/>
        <w:gridCol w:w="567"/>
        <w:gridCol w:w="1020"/>
        <w:gridCol w:w="1021"/>
        <w:gridCol w:w="1020"/>
        <w:gridCol w:w="1021"/>
        <w:gridCol w:w="1021"/>
        <w:gridCol w:w="1508"/>
      </w:tblGrid>
      <w:tr w:rsidR="00986AF7" w:rsidRPr="00E3331A" w:rsidTr="005416DA">
        <w:trPr>
          <w:trHeight w:val="255"/>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416DA" w:rsidRPr="00E3331A" w:rsidRDefault="005416DA" w:rsidP="005416DA">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416DA" w:rsidRPr="00E3331A" w:rsidRDefault="005416DA" w:rsidP="005416DA">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Unit</w:t>
            </w:r>
          </w:p>
        </w:tc>
        <w:tc>
          <w:tcPr>
            <w:tcW w:w="10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416DA" w:rsidRPr="00E3331A" w:rsidRDefault="005416DA" w:rsidP="005416DA">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2020</w:t>
            </w:r>
          </w:p>
        </w:tc>
        <w:tc>
          <w:tcPr>
            <w:tcW w:w="102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416DA" w:rsidRPr="00E3331A" w:rsidRDefault="005416DA" w:rsidP="005416DA">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2021</w:t>
            </w:r>
          </w:p>
        </w:tc>
        <w:tc>
          <w:tcPr>
            <w:tcW w:w="10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416DA" w:rsidRPr="00E3331A" w:rsidRDefault="005416DA" w:rsidP="005416DA">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2022</w:t>
            </w:r>
          </w:p>
        </w:tc>
        <w:tc>
          <w:tcPr>
            <w:tcW w:w="102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416DA" w:rsidRPr="00E3331A" w:rsidRDefault="005416DA" w:rsidP="005416DA">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2023</w:t>
            </w:r>
          </w:p>
        </w:tc>
        <w:tc>
          <w:tcPr>
            <w:tcW w:w="102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416DA" w:rsidRPr="00E3331A" w:rsidRDefault="005416DA" w:rsidP="005416DA">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2024</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416DA" w:rsidRPr="00E3331A" w:rsidRDefault="005416DA" w:rsidP="005416DA">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Source</w:t>
            </w:r>
          </w:p>
        </w:tc>
      </w:tr>
      <w:tr w:rsidR="005416DA" w:rsidRPr="00E3331A" w:rsidTr="00464E0A">
        <w:trPr>
          <w:trHeight w:val="25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Projected Ig patients</w:t>
            </w:r>
          </w:p>
        </w:tc>
        <w:tc>
          <w:tcPr>
            <w:tcW w:w="567"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No.</w:t>
            </w:r>
          </w:p>
        </w:tc>
        <w:tc>
          <w:tcPr>
            <w:tcW w:w="1020"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2,936</w:t>
            </w:r>
          </w:p>
        </w:tc>
        <w:tc>
          <w:tcPr>
            <w:tcW w:w="1021"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3,108</w:t>
            </w:r>
          </w:p>
        </w:tc>
        <w:tc>
          <w:tcPr>
            <w:tcW w:w="1020"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3,280</w:t>
            </w:r>
          </w:p>
        </w:tc>
        <w:tc>
          <w:tcPr>
            <w:tcW w:w="1021"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3,452</w:t>
            </w:r>
          </w:p>
        </w:tc>
        <w:tc>
          <w:tcPr>
            <w:tcW w:w="1021"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3,624</w:t>
            </w:r>
          </w:p>
        </w:tc>
        <w:tc>
          <w:tcPr>
            <w:tcW w:w="1508"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Projected using 2012-2018 trend</w:t>
            </w:r>
          </w:p>
        </w:tc>
      </w:tr>
      <w:tr w:rsidR="005416DA" w:rsidRPr="00E3331A" w:rsidTr="00464E0A">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5416DA" w:rsidRPr="00E3331A" w:rsidRDefault="005416DA" w:rsidP="005416DA">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Ig IV Pre</w:t>
            </w:r>
            <w:r w:rsidR="00417823">
              <w:rPr>
                <w:rFonts w:ascii="Arial Narrow" w:hAnsi="Arial Narrow" w:cs="Calibri"/>
                <w:color w:val="000000"/>
                <w:sz w:val="20"/>
                <w:szCs w:val="20"/>
              </w:rPr>
              <w:t>-medication</w:t>
            </w:r>
            <w:r w:rsidRPr="00E3331A">
              <w:rPr>
                <w:rFonts w:ascii="Arial Narrow" w:hAnsi="Arial Narrow" w:cs="Calibri"/>
                <w:color w:val="000000"/>
                <w:sz w:val="20"/>
                <w:szCs w:val="20"/>
              </w:rPr>
              <w:t xml:space="preserve">, Cetirizine hydrochloride 10 mg </w:t>
            </w:r>
          </w:p>
        </w:tc>
        <w:tc>
          <w:tcPr>
            <w:tcW w:w="567"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20"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3,656</w:t>
            </w:r>
          </w:p>
        </w:tc>
        <w:tc>
          <w:tcPr>
            <w:tcW w:w="1021"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3,870</w:t>
            </w:r>
          </w:p>
        </w:tc>
        <w:tc>
          <w:tcPr>
            <w:tcW w:w="1020"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4,084</w:t>
            </w:r>
          </w:p>
        </w:tc>
        <w:tc>
          <w:tcPr>
            <w:tcW w:w="1021"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4,299</w:t>
            </w:r>
          </w:p>
        </w:tc>
        <w:tc>
          <w:tcPr>
            <w:tcW w:w="1021"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4,513</w:t>
            </w:r>
          </w:p>
        </w:tc>
        <w:tc>
          <w:tcPr>
            <w:tcW w:w="1508"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 based on Ig patient numbers</w:t>
            </w:r>
          </w:p>
        </w:tc>
      </w:tr>
      <w:tr w:rsidR="005416DA" w:rsidRPr="00E3331A" w:rsidTr="00464E0A">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5416DA" w:rsidRPr="00E3331A" w:rsidRDefault="005416DA" w:rsidP="005416DA">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Prednisolone, 5mg per day</w:t>
            </w:r>
          </w:p>
        </w:tc>
        <w:tc>
          <w:tcPr>
            <w:tcW w:w="567"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20"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-255,931</w:t>
            </w:r>
          </w:p>
        </w:tc>
        <w:tc>
          <w:tcPr>
            <w:tcW w:w="1021"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-270,931</w:t>
            </w:r>
          </w:p>
        </w:tc>
        <w:tc>
          <w:tcPr>
            <w:tcW w:w="1020"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-285,931</w:t>
            </w:r>
          </w:p>
        </w:tc>
        <w:tc>
          <w:tcPr>
            <w:tcW w:w="1021"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-300,931</w:t>
            </w:r>
          </w:p>
        </w:tc>
        <w:tc>
          <w:tcPr>
            <w:tcW w:w="1021"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-315,932</w:t>
            </w:r>
          </w:p>
        </w:tc>
        <w:tc>
          <w:tcPr>
            <w:tcW w:w="1508"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 based on less steroid patients</w:t>
            </w:r>
          </w:p>
        </w:tc>
      </w:tr>
      <w:tr w:rsidR="005416DA" w:rsidRPr="00E3331A" w:rsidTr="00464E0A">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5416DA" w:rsidRPr="00E3331A" w:rsidRDefault="005416DA" w:rsidP="005416DA">
            <w:pPr>
              <w:spacing w:after="0" w:line="240" w:lineRule="auto"/>
              <w:rPr>
                <w:rFonts w:ascii="Arial Narrow" w:hAnsi="Arial Narrow" w:cs="Calibri"/>
                <w:sz w:val="20"/>
                <w:szCs w:val="20"/>
              </w:rPr>
            </w:pPr>
            <w:r w:rsidRPr="00E3331A">
              <w:rPr>
                <w:rFonts w:ascii="Arial Narrow" w:hAnsi="Arial Narrow" w:cs="Calibri"/>
                <w:sz w:val="20"/>
                <w:szCs w:val="20"/>
              </w:rPr>
              <w:t xml:space="preserve">Pantoprazole 40 mg </w:t>
            </w:r>
          </w:p>
        </w:tc>
        <w:tc>
          <w:tcPr>
            <w:tcW w:w="567"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20"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-495,788</w:t>
            </w:r>
          </w:p>
        </w:tc>
        <w:tc>
          <w:tcPr>
            <w:tcW w:w="1021"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-524,846</w:t>
            </w:r>
          </w:p>
        </w:tc>
        <w:tc>
          <w:tcPr>
            <w:tcW w:w="1020"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-553,905</w:t>
            </w:r>
          </w:p>
        </w:tc>
        <w:tc>
          <w:tcPr>
            <w:tcW w:w="1021"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-582,963</w:t>
            </w:r>
          </w:p>
        </w:tc>
        <w:tc>
          <w:tcPr>
            <w:tcW w:w="1021"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-612,021</w:t>
            </w:r>
          </w:p>
        </w:tc>
        <w:tc>
          <w:tcPr>
            <w:tcW w:w="1508"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 based on less steroid patients</w:t>
            </w:r>
          </w:p>
        </w:tc>
      </w:tr>
      <w:tr w:rsidR="005416DA" w:rsidRPr="00E3331A" w:rsidTr="00464E0A">
        <w:trPr>
          <w:trHeight w:val="28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5416DA" w:rsidRPr="00E3331A" w:rsidRDefault="005416DA" w:rsidP="005416DA">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Alendronate 70 mg + colecalciferol 140 microgram </w:t>
            </w:r>
          </w:p>
        </w:tc>
        <w:tc>
          <w:tcPr>
            <w:tcW w:w="567"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20"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-693,860</w:t>
            </w:r>
          </w:p>
        </w:tc>
        <w:tc>
          <w:tcPr>
            <w:tcW w:w="1021"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-734,528</w:t>
            </w:r>
          </w:p>
        </w:tc>
        <w:tc>
          <w:tcPr>
            <w:tcW w:w="1020"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-775,195</w:t>
            </w:r>
          </w:p>
        </w:tc>
        <w:tc>
          <w:tcPr>
            <w:tcW w:w="1021"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-815,863</w:t>
            </w:r>
          </w:p>
        </w:tc>
        <w:tc>
          <w:tcPr>
            <w:tcW w:w="1021"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-856,530</w:t>
            </w:r>
          </w:p>
        </w:tc>
        <w:tc>
          <w:tcPr>
            <w:tcW w:w="1508"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 based on less steroid patients</w:t>
            </w:r>
          </w:p>
        </w:tc>
      </w:tr>
      <w:tr w:rsidR="005416DA" w:rsidRPr="00E3331A" w:rsidTr="00464E0A">
        <w:trPr>
          <w:trHeight w:val="25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right"/>
              <w:rPr>
                <w:rFonts w:ascii="Arial Narrow" w:hAnsi="Arial Narrow" w:cs="Calibri"/>
                <w:b/>
                <w:bCs/>
                <w:sz w:val="20"/>
                <w:szCs w:val="20"/>
              </w:rPr>
            </w:pPr>
            <w:r w:rsidRPr="00E3331A">
              <w:rPr>
                <w:rFonts w:ascii="Arial Narrow" w:hAnsi="Arial Narrow" w:cs="Calibri"/>
                <w:b/>
                <w:bCs/>
                <w:sz w:val="20"/>
                <w:szCs w:val="20"/>
              </w:rPr>
              <w:t>Net cost offset</w:t>
            </w:r>
          </w:p>
        </w:tc>
        <w:tc>
          <w:tcPr>
            <w:tcW w:w="567" w:type="dxa"/>
            <w:tcBorders>
              <w:top w:val="nil"/>
              <w:left w:val="nil"/>
              <w:bottom w:val="single" w:sz="4" w:space="0" w:color="auto"/>
              <w:right w:val="single" w:sz="4" w:space="0" w:color="auto"/>
            </w:tcBorders>
            <w:shd w:val="clear" w:color="auto" w:fill="auto"/>
            <w:noWrap/>
            <w:vAlign w:val="center"/>
            <w:hideMark/>
          </w:tcPr>
          <w:p w:rsidR="005416DA" w:rsidRPr="00E3331A" w:rsidRDefault="005416DA" w:rsidP="005416DA">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20" w:type="dxa"/>
            <w:tcBorders>
              <w:top w:val="nil"/>
              <w:left w:val="nil"/>
              <w:bottom w:val="single" w:sz="4" w:space="0" w:color="auto"/>
              <w:right w:val="single" w:sz="4" w:space="0" w:color="auto"/>
            </w:tcBorders>
            <w:shd w:val="clear" w:color="auto" w:fill="auto"/>
            <w:noWrap/>
            <w:vAlign w:val="bottom"/>
            <w:hideMark/>
          </w:tcPr>
          <w:p w:rsidR="005416DA" w:rsidRPr="00E3331A" w:rsidRDefault="005416DA" w:rsidP="005416DA">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-1,441,924 </w:t>
            </w:r>
          </w:p>
        </w:tc>
        <w:tc>
          <w:tcPr>
            <w:tcW w:w="1021" w:type="dxa"/>
            <w:tcBorders>
              <w:top w:val="nil"/>
              <w:left w:val="nil"/>
              <w:bottom w:val="single" w:sz="4" w:space="0" w:color="auto"/>
              <w:right w:val="single" w:sz="4" w:space="0" w:color="auto"/>
            </w:tcBorders>
            <w:shd w:val="clear" w:color="auto" w:fill="auto"/>
            <w:noWrap/>
            <w:vAlign w:val="bottom"/>
            <w:hideMark/>
          </w:tcPr>
          <w:p w:rsidR="005416DA" w:rsidRPr="00E3331A" w:rsidRDefault="005416DA" w:rsidP="005416DA">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-1,526,435 </w:t>
            </w:r>
          </w:p>
        </w:tc>
        <w:tc>
          <w:tcPr>
            <w:tcW w:w="1020" w:type="dxa"/>
            <w:tcBorders>
              <w:top w:val="nil"/>
              <w:left w:val="nil"/>
              <w:bottom w:val="single" w:sz="4" w:space="0" w:color="auto"/>
              <w:right w:val="single" w:sz="4" w:space="0" w:color="auto"/>
            </w:tcBorders>
            <w:shd w:val="clear" w:color="auto" w:fill="auto"/>
            <w:noWrap/>
            <w:vAlign w:val="bottom"/>
            <w:hideMark/>
          </w:tcPr>
          <w:p w:rsidR="005416DA" w:rsidRPr="00E3331A" w:rsidRDefault="005416DA" w:rsidP="005416DA">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-1,610,947 </w:t>
            </w:r>
          </w:p>
        </w:tc>
        <w:tc>
          <w:tcPr>
            <w:tcW w:w="1021" w:type="dxa"/>
            <w:tcBorders>
              <w:top w:val="nil"/>
              <w:left w:val="nil"/>
              <w:bottom w:val="single" w:sz="4" w:space="0" w:color="auto"/>
              <w:right w:val="single" w:sz="4" w:space="0" w:color="auto"/>
            </w:tcBorders>
            <w:shd w:val="clear" w:color="auto" w:fill="auto"/>
            <w:noWrap/>
            <w:vAlign w:val="bottom"/>
            <w:hideMark/>
          </w:tcPr>
          <w:p w:rsidR="005416DA" w:rsidRPr="00E3331A" w:rsidRDefault="005416DA" w:rsidP="005416DA">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-1,695,458 </w:t>
            </w:r>
          </w:p>
        </w:tc>
        <w:tc>
          <w:tcPr>
            <w:tcW w:w="1021" w:type="dxa"/>
            <w:tcBorders>
              <w:top w:val="nil"/>
              <w:left w:val="nil"/>
              <w:bottom w:val="single" w:sz="4" w:space="0" w:color="auto"/>
              <w:right w:val="single" w:sz="4" w:space="0" w:color="auto"/>
            </w:tcBorders>
            <w:shd w:val="clear" w:color="auto" w:fill="auto"/>
            <w:noWrap/>
            <w:vAlign w:val="bottom"/>
            <w:hideMark/>
          </w:tcPr>
          <w:p w:rsidR="005416DA" w:rsidRPr="00E3331A" w:rsidRDefault="005416DA" w:rsidP="005416DA">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-1,779,970 </w:t>
            </w:r>
          </w:p>
        </w:tc>
        <w:tc>
          <w:tcPr>
            <w:tcW w:w="1508" w:type="dxa"/>
            <w:tcBorders>
              <w:top w:val="nil"/>
              <w:left w:val="nil"/>
              <w:bottom w:val="single" w:sz="4" w:space="0" w:color="auto"/>
              <w:right w:val="single" w:sz="4" w:space="0" w:color="auto"/>
            </w:tcBorders>
            <w:shd w:val="clear" w:color="auto" w:fill="auto"/>
            <w:noWrap/>
            <w:vAlign w:val="bottom"/>
            <w:hideMark/>
          </w:tcPr>
          <w:p w:rsidR="005416DA" w:rsidRPr="00E3331A" w:rsidRDefault="005416DA" w:rsidP="005416DA">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w:t>
            </w:r>
            <w:r w:rsidR="00C1719A">
              <w:rPr>
                <w:rFonts w:ascii="Arial Narrow" w:hAnsi="Arial Narrow" w:cs="Calibri"/>
                <w:color w:val="000000"/>
                <w:sz w:val="20"/>
                <w:szCs w:val="20"/>
              </w:rPr>
              <w:t>NA</w:t>
            </w:r>
          </w:p>
        </w:tc>
      </w:tr>
    </w:tbl>
    <w:p w:rsidR="00C55367" w:rsidRPr="00E3331A" w:rsidRDefault="00C55367" w:rsidP="00C55367">
      <w:pPr>
        <w:spacing w:after="0" w:line="240" w:lineRule="auto"/>
        <w:rPr>
          <w:rFonts w:ascii="Arial Narrow" w:hAnsi="Arial Narrow"/>
          <w:sz w:val="18"/>
          <w:szCs w:val="18"/>
        </w:rPr>
      </w:pPr>
      <w:r w:rsidRPr="00E3331A">
        <w:rPr>
          <w:rFonts w:ascii="Arial Narrow" w:hAnsi="Arial Narrow"/>
          <w:sz w:val="18"/>
        </w:rPr>
        <w:t xml:space="preserve">CIDP= Chronic Inflammatory Demyelinating Polyneuropathy. </w:t>
      </w:r>
      <w:r w:rsidR="00B70D4C" w:rsidRPr="00E3331A">
        <w:rPr>
          <w:rFonts w:ascii="Arial Narrow" w:hAnsi="Arial Narrow"/>
          <w:sz w:val="18"/>
        </w:rPr>
        <w:t>Ig =</w:t>
      </w:r>
      <w:r w:rsidR="00820286" w:rsidRPr="00E3331A">
        <w:rPr>
          <w:rFonts w:ascii="Arial Narrow" w:hAnsi="Arial Narrow"/>
          <w:sz w:val="18"/>
        </w:rPr>
        <w:t>Immunoglobin</w:t>
      </w:r>
      <w:r w:rsidR="00B70D4C" w:rsidRPr="00E3331A">
        <w:rPr>
          <w:rFonts w:ascii="Arial Narrow" w:hAnsi="Arial Narrow"/>
          <w:sz w:val="18"/>
        </w:rPr>
        <w:t xml:space="preserve">, IV= Intravenous, </w:t>
      </w:r>
      <w:r w:rsidRPr="00E3331A">
        <w:rPr>
          <w:rFonts w:ascii="Arial Narrow" w:hAnsi="Arial Narrow"/>
          <w:sz w:val="18"/>
        </w:rPr>
        <w:t>MBS = Medicare Benefits Schedule, PBS= Pharmaceutical Benefits Scheme</w:t>
      </w:r>
    </w:p>
    <w:p w:rsidR="00172D93" w:rsidRPr="00E3331A" w:rsidRDefault="00172D93" w:rsidP="001F5B33">
      <w:pPr>
        <w:spacing w:after="0" w:line="240" w:lineRule="auto"/>
        <w:rPr>
          <w:rFonts w:ascii="Arial Narrow" w:hAnsi="Arial Narrow"/>
          <w:sz w:val="18"/>
          <w:szCs w:val="18"/>
        </w:rPr>
      </w:pPr>
    </w:p>
    <w:p w:rsidR="00172D93" w:rsidRPr="00E3331A" w:rsidRDefault="00172D93" w:rsidP="00172D93">
      <w:pPr>
        <w:pStyle w:val="Heading3"/>
      </w:pPr>
      <w:bookmarkStart w:id="517" w:name="_Toc24103531"/>
      <w:r w:rsidRPr="00E3331A">
        <w:t>E.3.4.</w:t>
      </w:r>
      <w:r w:rsidRPr="00E3331A">
        <w:tab/>
        <w:t xml:space="preserve"> Projected State </w:t>
      </w:r>
      <w:r w:rsidR="00820286" w:rsidRPr="00E3331A">
        <w:t>Hospital</w:t>
      </w:r>
      <w:r w:rsidRPr="00E3331A">
        <w:t xml:space="preserve"> Costs of Ig IV Delivery</w:t>
      </w:r>
      <w:bookmarkEnd w:id="517"/>
    </w:p>
    <w:p w:rsidR="00172D93" w:rsidRPr="00E3331A" w:rsidRDefault="006536A7" w:rsidP="00172D93">
      <w:pPr>
        <w:pStyle w:val="BodyTextSTD"/>
      </w:pPr>
      <w:r w:rsidRPr="00E3331A">
        <w:t>Ig is typically delivered intravenously in</w:t>
      </w:r>
      <w:r w:rsidR="000C0E99">
        <w:t xml:space="preserve"> hospital</w:t>
      </w:r>
      <w:r w:rsidRPr="00E3331A">
        <w:t xml:space="preserve"> settings. Costs of hospital admission and nurse time</w:t>
      </w:r>
      <w:r w:rsidR="007B4841" w:rsidRPr="00E3331A">
        <w:t>, along with the costs of treating</w:t>
      </w:r>
      <w:r w:rsidRPr="00E3331A">
        <w:t xml:space="preserve"> infection are assumed to be borne by state hospital budg</w:t>
      </w:r>
      <w:r w:rsidR="00C55367" w:rsidRPr="00E3331A">
        <w:t>e</w:t>
      </w:r>
      <w:r w:rsidRPr="00E3331A">
        <w:t xml:space="preserve">ts. </w:t>
      </w:r>
      <w:r w:rsidR="00172D93" w:rsidRPr="00E3331A">
        <w:t xml:space="preserve">These costs are </w:t>
      </w:r>
      <w:r w:rsidRPr="00E3331A">
        <w:t xml:space="preserve">projected </w:t>
      </w:r>
      <w:r w:rsidR="00172D93" w:rsidRPr="00E3331A">
        <w:t xml:space="preserve">in </w:t>
      </w:r>
      <w:r w:rsidR="006F35B9" w:rsidRPr="00E3331A">
        <w:t xml:space="preserve">Table </w:t>
      </w:r>
      <w:r w:rsidR="006F35B9">
        <w:rPr>
          <w:noProof/>
        </w:rPr>
        <w:t>93</w:t>
      </w:r>
      <w:r w:rsidRPr="00E3331A">
        <w:t xml:space="preserve"> based on unit costs presented in Section D (See </w:t>
      </w:r>
      <w:r w:rsidR="006F35B9" w:rsidRPr="00E3331A">
        <w:t xml:space="preserve">Table </w:t>
      </w:r>
      <w:r w:rsidR="006F35B9">
        <w:rPr>
          <w:noProof/>
        </w:rPr>
        <w:t>77</w:t>
      </w:r>
      <w:r w:rsidR="007B4841" w:rsidRPr="00E3331A">
        <w:t xml:space="preserve">) and projected </w:t>
      </w:r>
      <w:r w:rsidRPr="00E3331A">
        <w:t>Ig patient numbers</w:t>
      </w:r>
      <w:r w:rsidR="007B4841" w:rsidRPr="00E3331A">
        <w:t xml:space="preserve"> </w:t>
      </w:r>
      <w:r w:rsidR="00C55367" w:rsidRPr="00E3331A">
        <w:t>over</w:t>
      </w:r>
      <w:r w:rsidR="007B4841" w:rsidRPr="00E3331A">
        <w:t xml:space="preserve"> 2020-2024</w:t>
      </w:r>
      <w:r w:rsidRPr="00E3331A">
        <w:t>.</w:t>
      </w:r>
    </w:p>
    <w:p w:rsidR="00172D93" w:rsidRPr="00E3331A" w:rsidRDefault="00172D93" w:rsidP="00464E0A">
      <w:pPr>
        <w:pStyle w:val="Caption"/>
      </w:pPr>
      <w:bookmarkStart w:id="518" w:name="_Ref19029215"/>
      <w:bookmarkStart w:id="519" w:name="_Toc24103399"/>
      <w:r w:rsidRPr="00E3331A">
        <w:t xml:space="preserve">Table </w:t>
      </w:r>
      <w:r w:rsidR="006F35B9">
        <w:rPr>
          <w:noProof/>
        </w:rPr>
        <w:t>93</w:t>
      </w:r>
      <w:bookmarkEnd w:id="518"/>
      <w:r w:rsidRPr="00E3331A">
        <w:t>: Projected cost changes for state hospital delivery of Ig, 2020-2024</w:t>
      </w:r>
      <w:bookmarkEnd w:id="519"/>
    </w:p>
    <w:tbl>
      <w:tblPr>
        <w:tblW w:w="0" w:type="auto"/>
        <w:tblLayout w:type="fixed"/>
        <w:tblLook w:val="04A0" w:firstRow="1" w:lastRow="0" w:firstColumn="1" w:lastColumn="0" w:noHBand="0" w:noVBand="1"/>
      </w:tblPr>
      <w:tblGrid>
        <w:gridCol w:w="1696"/>
        <w:gridCol w:w="567"/>
        <w:gridCol w:w="1077"/>
        <w:gridCol w:w="1077"/>
        <w:gridCol w:w="1078"/>
        <w:gridCol w:w="1077"/>
        <w:gridCol w:w="1078"/>
        <w:gridCol w:w="1366"/>
      </w:tblGrid>
      <w:tr w:rsidR="00986AF7" w:rsidRPr="00E3331A" w:rsidTr="00172D93">
        <w:trPr>
          <w:trHeight w:val="255"/>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72D93" w:rsidRPr="00E3331A" w:rsidRDefault="00172D93" w:rsidP="00172D93">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 </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2D93" w:rsidRPr="00E3331A" w:rsidRDefault="00172D93" w:rsidP="00172D93">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Unit</w:t>
            </w:r>
          </w:p>
        </w:tc>
        <w:tc>
          <w:tcPr>
            <w:tcW w:w="107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2D93" w:rsidRPr="00E3331A" w:rsidRDefault="00172D93" w:rsidP="00172D93">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2020</w:t>
            </w:r>
          </w:p>
        </w:tc>
        <w:tc>
          <w:tcPr>
            <w:tcW w:w="107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2D93" w:rsidRPr="00E3331A" w:rsidRDefault="00172D93" w:rsidP="00172D93">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2021</w:t>
            </w:r>
          </w:p>
        </w:tc>
        <w:tc>
          <w:tcPr>
            <w:tcW w:w="107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2D93" w:rsidRPr="00E3331A" w:rsidRDefault="00172D93" w:rsidP="00172D93">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2022</w:t>
            </w:r>
          </w:p>
        </w:tc>
        <w:tc>
          <w:tcPr>
            <w:tcW w:w="107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2D93" w:rsidRPr="00E3331A" w:rsidRDefault="00172D93" w:rsidP="00172D93">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2023</w:t>
            </w:r>
          </w:p>
        </w:tc>
        <w:tc>
          <w:tcPr>
            <w:tcW w:w="107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2D93" w:rsidRPr="00E3331A" w:rsidRDefault="00172D93" w:rsidP="00172D93">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2024</w:t>
            </w:r>
          </w:p>
        </w:tc>
        <w:tc>
          <w:tcPr>
            <w:tcW w:w="136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2D93" w:rsidRPr="00E3331A" w:rsidRDefault="00172D93" w:rsidP="00172D93">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Source</w:t>
            </w:r>
          </w:p>
        </w:tc>
      </w:tr>
      <w:tr w:rsidR="00172D93" w:rsidRPr="00E3331A" w:rsidTr="00464E0A">
        <w:trPr>
          <w:trHeight w:val="25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Projected Ig patients</w:t>
            </w:r>
          </w:p>
        </w:tc>
        <w:tc>
          <w:tcPr>
            <w:tcW w:w="567"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No.</w:t>
            </w:r>
          </w:p>
        </w:tc>
        <w:tc>
          <w:tcPr>
            <w:tcW w:w="1077"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2,936</w:t>
            </w:r>
          </w:p>
        </w:tc>
        <w:tc>
          <w:tcPr>
            <w:tcW w:w="1077"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3,108</w:t>
            </w:r>
          </w:p>
        </w:tc>
        <w:tc>
          <w:tcPr>
            <w:tcW w:w="1078"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3,280</w:t>
            </w:r>
          </w:p>
        </w:tc>
        <w:tc>
          <w:tcPr>
            <w:tcW w:w="1077"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3,452</w:t>
            </w:r>
          </w:p>
        </w:tc>
        <w:tc>
          <w:tcPr>
            <w:tcW w:w="1078"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3,624</w:t>
            </w:r>
          </w:p>
        </w:tc>
        <w:tc>
          <w:tcPr>
            <w:tcW w:w="1366"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Projected using 2012-2018 trend</w:t>
            </w:r>
          </w:p>
        </w:tc>
      </w:tr>
      <w:tr w:rsidR="00172D93" w:rsidRPr="00E3331A" w:rsidTr="00464E0A">
        <w:trPr>
          <w:trHeight w:val="255"/>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172D93" w:rsidRPr="00E3331A" w:rsidRDefault="00172D93" w:rsidP="00172D93">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Hospital admission and consumables (13.2 IV administrations), $2,640 yr</w:t>
            </w:r>
          </w:p>
        </w:tc>
        <w:tc>
          <w:tcPr>
            <w:tcW w:w="567" w:type="dxa"/>
            <w:tcBorders>
              <w:top w:val="nil"/>
              <w:left w:val="nil"/>
              <w:bottom w:val="single" w:sz="4" w:space="0" w:color="auto"/>
              <w:right w:val="single" w:sz="4" w:space="0" w:color="auto"/>
            </w:tcBorders>
            <w:shd w:val="clear" w:color="000000" w:fill="FFFFFF"/>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7,750,663</w:t>
            </w:r>
          </w:p>
        </w:tc>
        <w:tc>
          <w:tcPr>
            <w:tcW w:w="1077"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8,204,931</w:t>
            </w:r>
          </w:p>
        </w:tc>
        <w:tc>
          <w:tcPr>
            <w:tcW w:w="1078"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8,659,200</w:t>
            </w:r>
          </w:p>
        </w:tc>
        <w:tc>
          <w:tcPr>
            <w:tcW w:w="1077"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9,113,469</w:t>
            </w:r>
          </w:p>
        </w:tc>
        <w:tc>
          <w:tcPr>
            <w:tcW w:w="1078"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9,567,737</w:t>
            </w:r>
          </w:p>
        </w:tc>
        <w:tc>
          <w:tcPr>
            <w:tcW w:w="1366"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 based on Ig patient numbers</w:t>
            </w:r>
          </w:p>
        </w:tc>
      </w:tr>
      <w:tr w:rsidR="00172D93" w:rsidRPr="00E3331A" w:rsidTr="00464E0A">
        <w:trPr>
          <w:trHeight w:val="255"/>
        </w:trPr>
        <w:tc>
          <w:tcPr>
            <w:tcW w:w="1696" w:type="dxa"/>
            <w:tcBorders>
              <w:top w:val="nil"/>
              <w:left w:val="single" w:sz="4" w:space="0" w:color="auto"/>
              <w:bottom w:val="single" w:sz="4" w:space="0" w:color="auto"/>
              <w:right w:val="single" w:sz="4" w:space="0" w:color="auto"/>
            </w:tcBorders>
            <w:shd w:val="clear" w:color="000000" w:fill="FFFFFF"/>
            <w:vAlign w:val="center"/>
            <w:hideMark/>
          </w:tcPr>
          <w:p w:rsidR="00172D93" w:rsidRPr="00E3331A" w:rsidRDefault="00172D93" w:rsidP="00172D93">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Nurse time for infusion (13.2 IV </w:t>
            </w:r>
            <w:r w:rsidRPr="00E3331A">
              <w:rPr>
                <w:rFonts w:ascii="Arial Narrow" w:hAnsi="Arial Narrow" w:cs="Calibri"/>
                <w:color w:val="000000"/>
                <w:sz w:val="20"/>
                <w:szCs w:val="20"/>
              </w:rPr>
              <w:lastRenderedPageBreak/>
              <w:t>administrations), $2,258 yr</w:t>
            </w:r>
          </w:p>
        </w:tc>
        <w:tc>
          <w:tcPr>
            <w:tcW w:w="567" w:type="dxa"/>
            <w:tcBorders>
              <w:top w:val="nil"/>
              <w:left w:val="nil"/>
              <w:bottom w:val="single" w:sz="4" w:space="0" w:color="auto"/>
              <w:right w:val="single" w:sz="4" w:space="0" w:color="auto"/>
            </w:tcBorders>
            <w:shd w:val="clear" w:color="000000" w:fill="FFFFFF"/>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lastRenderedPageBreak/>
              <w:t>$</w:t>
            </w:r>
          </w:p>
        </w:tc>
        <w:tc>
          <w:tcPr>
            <w:tcW w:w="1077"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6,628,367</w:t>
            </w:r>
          </w:p>
        </w:tc>
        <w:tc>
          <w:tcPr>
            <w:tcW w:w="1077"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7,016,857</w:t>
            </w:r>
          </w:p>
        </w:tc>
        <w:tc>
          <w:tcPr>
            <w:tcW w:w="1078"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7,405,348</w:t>
            </w:r>
          </w:p>
        </w:tc>
        <w:tc>
          <w:tcPr>
            <w:tcW w:w="1077"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7,793,838</w:t>
            </w:r>
          </w:p>
        </w:tc>
        <w:tc>
          <w:tcPr>
            <w:tcW w:w="1078"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8,182,329</w:t>
            </w:r>
          </w:p>
        </w:tc>
        <w:tc>
          <w:tcPr>
            <w:tcW w:w="1366"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xml:space="preserve">Calculated, based on Ig </w:t>
            </w:r>
            <w:r w:rsidRPr="00E3331A">
              <w:rPr>
                <w:rFonts w:ascii="Arial Narrow" w:hAnsi="Arial Narrow" w:cs="Calibri"/>
                <w:color w:val="000000"/>
                <w:sz w:val="20"/>
                <w:szCs w:val="20"/>
              </w:rPr>
              <w:lastRenderedPageBreak/>
              <w:t>patient numbers</w:t>
            </w:r>
          </w:p>
        </w:tc>
      </w:tr>
      <w:tr w:rsidR="00172D93" w:rsidRPr="00E3331A" w:rsidTr="0006587B">
        <w:trPr>
          <w:trHeight w:val="285"/>
        </w:trPr>
        <w:tc>
          <w:tcPr>
            <w:tcW w:w="1696" w:type="dxa"/>
            <w:tcBorders>
              <w:top w:val="nil"/>
              <w:left w:val="single" w:sz="4" w:space="0" w:color="auto"/>
              <w:bottom w:val="single" w:sz="4" w:space="0" w:color="auto"/>
              <w:right w:val="single" w:sz="4" w:space="0" w:color="auto"/>
            </w:tcBorders>
            <w:shd w:val="clear" w:color="auto" w:fill="auto"/>
            <w:vAlign w:val="center"/>
          </w:tcPr>
          <w:p w:rsidR="0006587B" w:rsidRPr="00D45B1D" w:rsidRDefault="0006587B" w:rsidP="0006587B">
            <w:r w:rsidRPr="00D45B1D">
              <w:lastRenderedPageBreak/>
              <w:t>REDACTED</w:t>
            </w:r>
          </w:p>
          <w:p w:rsidR="00172D93" w:rsidRPr="002A602E" w:rsidRDefault="00172D93" w:rsidP="00172D93">
            <w:pPr>
              <w:spacing w:after="0" w:line="240" w:lineRule="auto"/>
              <w:rPr>
                <w:rFonts w:ascii="Arial Narrow" w:hAnsi="Arial Narrow" w:cs="Calibri"/>
                <w:sz w:val="20"/>
                <w:szCs w:val="20"/>
                <w:highlight w:val="black"/>
              </w:rPr>
            </w:pPr>
          </w:p>
        </w:tc>
        <w:tc>
          <w:tcPr>
            <w:tcW w:w="567" w:type="dxa"/>
            <w:tcBorders>
              <w:top w:val="nil"/>
              <w:left w:val="nil"/>
              <w:bottom w:val="single" w:sz="4" w:space="0" w:color="auto"/>
              <w:right w:val="single" w:sz="4" w:space="0" w:color="auto"/>
            </w:tcBorders>
            <w:shd w:val="clear" w:color="000000" w:fill="FFFFFF"/>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3,826,009</w:t>
            </w:r>
          </w:p>
        </w:tc>
        <w:tc>
          <w:tcPr>
            <w:tcW w:w="1077"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4,050,253</w:t>
            </w:r>
          </w:p>
        </w:tc>
        <w:tc>
          <w:tcPr>
            <w:tcW w:w="1078"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4,274,496</w:t>
            </w:r>
          </w:p>
        </w:tc>
        <w:tc>
          <w:tcPr>
            <w:tcW w:w="1077"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4,498,739</w:t>
            </w:r>
          </w:p>
        </w:tc>
        <w:tc>
          <w:tcPr>
            <w:tcW w:w="1078"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4,722,983</w:t>
            </w:r>
          </w:p>
        </w:tc>
        <w:tc>
          <w:tcPr>
            <w:tcW w:w="1366"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 based on Ig patient numbers</w:t>
            </w:r>
          </w:p>
        </w:tc>
      </w:tr>
      <w:tr w:rsidR="00172D93" w:rsidRPr="00E3331A" w:rsidTr="00464E0A">
        <w:trPr>
          <w:trHeight w:val="25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right"/>
              <w:rPr>
                <w:rFonts w:ascii="Arial Narrow" w:hAnsi="Arial Narrow" w:cs="Calibri"/>
                <w:b/>
                <w:bCs/>
                <w:sz w:val="20"/>
                <w:szCs w:val="20"/>
              </w:rPr>
            </w:pPr>
            <w:r w:rsidRPr="00E3331A">
              <w:rPr>
                <w:rFonts w:ascii="Arial Narrow" w:hAnsi="Arial Narrow" w:cs="Calibri"/>
                <w:b/>
                <w:bCs/>
                <w:sz w:val="20"/>
                <w:szCs w:val="20"/>
              </w:rPr>
              <w:t>State costs</w:t>
            </w:r>
          </w:p>
        </w:tc>
        <w:tc>
          <w:tcPr>
            <w:tcW w:w="567" w:type="dxa"/>
            <w:tcBorders>
              <w:top w:val="nil"/>
              <w:left w:val="nil"/>
              <w:bottom w:val="single" w:sz="4" w:space="0" w:color="auto"/>
              <w:right w:val="single" w:sz="4" w:space="0" w:color="auto"/>
            </w:tcBorders>
            <w:shd w:val="clear" w:color="000000" w:fill="FFFFFF"/>
            <w:noWrap/>
            <w:vAlign w:val="center"/>
            <w:hideMark/>
          </w:tcPr>
          <w:p w:rsidR="00172D93" w:rsidRPr="00E3331A" w:rsidRDefault="00172D93" w:rsidP="00172D93">
            <w:pPr>
              <w:spacing w:after="0" w:line="240" w:lineRule="auto"/>
              <w:jc w:val="center"/>
              <w:rPr>
                <w:rFonts w:ascii="Arial Narrow" w:hAnsi="Arial Narrow" w:cs="Calibri"/>
                <w:color w:val="000000"/>
                <w:sz w:val="20"/>
                <w:szCs w:val="20"/>
              </w:rPr>
            </w:pPr>
            <w:r w:rsidRPr="00E3331A">
              <w:rPr>
                <w:rFonts w:ascii="Arial Narrow" w:hAnsi="Arial Narrow" w:cs="Calibri"/>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18,205,039 </w:t>
            </w:r>
          </w:p>
        </w:tc>
        <w:tc>
          <w:tcPr>
            <w:tcW w:w="1077"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19,272,041 </w:t>
            </w:r>
          </w:p>
        </w:tc>
        <w:tc>
          <w:tcPr>
            <w:tcW w:w="1078"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20,339,044 </w:t>
            </w:r>
          </w:p>
        </w:tc>
        <w:tc>
          <w:tcPr>
            <w:tcW w:w="1077"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21,406,046 </w:t>
            </w:r>
          </w:p>
        </w:tc>
        <w:tc>
          <w:tcPr>
            <w:tcW w:w="1078"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jc w:val="center"/>
              <w:rPr>
                <w:rFonts w:ascii="Arial Narrow" w:hAnsi="Arial Narrow" w:cs="Calibri"/>
                <w:b/>
                <w:bCs/>
                <w:color w:val="000000"/>
                <w:sz w:val="20"/>
                <w:szCs w:val="20"/>
              </w:rPr>
            </w:pPr>
            <w:r w:rsidRPr="00E3331A">
              <w:rPr>
                <w:rFonts w:ascii="Arial Narrow" w:hAnsi="Arial Narrow" w:cs="Calibri"/>
                <w:b/>
                <w:bCs/>
                <w:color w:val="000000"/>
                <w:sz w:val="20"/>
                <w:szCs w:val="20"/>
              </w:rPr>
              <w:t xml:space="preserve">22,473,049 </w:t>
            </w:r>
          </w:p>
        </w:tc>
        <w:tc>
          <w:tcPr>
            <w:tcW w:w="1366" w:type="dxa"/>
            <w:tcBorders>
              <w:top w:val="nil"/>
              <w:left w:val="nil"/>
              <w:bottom w:val="single" w:sz="4" w:space="0" w:color="auto"/>
              <w:right w:val="single" w:sz="4" w:space="0" w:color="auto"/>
            </w:tcBorders>
            <w:shd w:val="clear" w:color="auto" w:fill="auto"/>
            <w:noWrap/>
            <w:vAlign w:val="center"/>
            <w:hideMark/>
          </w:tcPr>
          <w:p w:rsidR="00172D93" w:rsidRPr="00E3331A" w:rsidRDefault="00172D93" w:rsidP="00172D93">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w:t>
            </w:r>
          </w:p>
        </w:tc>
      </w:tr>
    </w:tbl>
    <w:p w:rsidR="00172D93" w:rsidRPr="00E3331A" w:rsidRDefault="00172D93" w:rsidP="00172D93">
      <w:pPr>
        <w:spacing w:after="0" w:line="240" w:lineRule="auto"/>
        <w:rPr>
          <w:rFonts w:ascii="Arial Narrow" w:hAnsi="Arial Narrow"/>
          <w:sz w:val="18"/>
        </w:rPr>
      </w:pPr>
      <w:r w:rsidRPr="00E3331A">
        <w:rPr>
          <w:rFonts w:ascii="Arial Narrow" w:hAnsi="Arial Narrow"/>
          <w:sz w:val="18"/>
          <w:szCs w:val="18"/>
        </w:rPr>
        <w:t>Abbreviations:</w:t>
      </w:r>
      <w:r w:rsidRPr="00E3331A">
        <w:rPr>
          <w:rFonts w:ascii="Arial Narrow" w:hAnsi="Arial Narrow"/>
          <w:sz w:val="18"/>
        </w:rPr>
        <w:t xml:space="preserve"> Ig =</w:t>
      </w:r>
      <w:r w:rsidR="00820286" w:rsidRPr="00E3331A">
        <w:rPr>
          <w:rFonts w:ascii="Arial Narrow" w:hAnsi="Arial Narrow"/>
          <w:sz w:val="18"/>
        </w:rPr>
        <w:t>Immunoglobin</w:t>
      </w:r>
      <w:r w:rsidR="00E337C2" w:rsidRPr="00E3331A">
        <w:rPr>
          <w:rFonts w:ascii="Arial Narrow" w:hAnsi="Arial Narrow"/>
          <w:sz w:val="18"/>
        </w:rPr>
        <w:t>, IV</w:t>
      </w:r>
      <w:r w:rsidRPr="00E3331A">
        <w:rPr>
          <w:rFonts w:ascii="Arial Narrow" w:hAnsi="Arial Narrow"/>
          <w:sz w:val="18"/>
        </w:rPr>
        <w:t xml:space="preserve">= </w:t>
      </w:r>
      <w:r w:rsidR="00E337C2" w:rsidRPr="00E3331A">
        <w:rPr>
          <w:rFonts w:ascii="Arial Narrow" w:hAnsi="Arial Narrow"/>
          <w:sz w:val="18"/>
        </w:rPr>
        <w:t>Intravenous</w:t>
      </w:r>
    </w:p>
    <w:p w:rsidR="00172D93" w:rsidRPr="00E3331A" w:rsidRDefault="00172D93" w:rsidP="001F5B33">
      <w:pPr>
        <w:spacing w:after="0" w:line="240" w:lineRule="auto"/>
        <w:rPr>
          <w:rFonts w:ascii="Arial Narrow" w:hAnsi="Arial Narrow"/>
          <w:sz w:val="18"/>
          <w:szCs w:val="18"/>
        </w:rPr>
      </w:pPr>
    </w:p>
    <w:p w:rsidR="001F5B33" w:rsidRPr="00E3331A" w:rsidRDefault="009615CF" w:rsidP="00464E0A">
      <w:pPr>
        <w:pStyle w:val="Heading2"/>
      </w:pPr>
      <w:bookmarkStart w:id="520" w:name="_Toc24103532"/>
      <w:r w:rsidRPr="00E3331A">
        <w:t xml:space="preserve">E.4. </w:t>
      </w:r>
      <w:r w:rsidR="001F5B33" w:rsidRPr="00E3331A">
        <w:t xml:space="preserve">Financial Implications </w:t>
      </w:r>
      <w:r w:rsidRPr="00E3331A">
        <w:t>For Government Health Budgets</w:t>
      </w:r>
      <w:bookmarkEnd w:id="520"/>
    </w:p>
    <w:p w:rsidR="001F5B33" w:rsidRPr="00E3331A" w:rsidRDefault="006F35B9" w:rsidP="00BB6E4C">
      <w:pPr>
        <w:pStyle w:val="BodyTextSTD"/>
      </w:pPr>
      <w:r w:rsidRPr="00E3331A">
        <w:t xml:space="preserve">Table </w:t>
      </w:r>
      <w:r>
        <w:rPr>
          <w:noProof/>
        </w:rPr>
        <w:t>94</w:t>
      </w:r>
      <w:r w:rsidR="006D426E" w:rsidRPr="00E3331A">
        <w:t xml:space="preserve"> shows t</w:t>
      </w:r>
      <w:r w:rsidR="001F5B33" w:rsidRPr="00E3331A">
        <w:t>he 5-year budget impact underpinned by the assumptions above</w:t>
      </w:r>
      <w:r w:rsidR="006D426E" w:rsidRPr="00E3331A">
        <w:t>.</w:t>
      </w:r>
      <w:r w:rsidR="001F5B33" w:rsidRPr="00E3331A">
        <w:t xml:space="preserve"> </w:t>
      </w:r>
      <w:r w:rsidR="007B4841" w:rsidRPr="00E3331A">
        <w:t xml:space="preserve">Net costs </w:t>
      </w:r>
      <w:r w:rsidR="001F5B33" w:rsidRPr="00E3331A">
        <w:t>increase from $</w:t>
      </w:r>
      <w:r w:rsidR="007B4841" w:rsidRPr="00E3331A">
        <w:t>103.4</w:t>
      </w:r>
      <w:r w:rsidR="001F5B33" w:rsidRPr="00E3331A">
        <w:t xml:space="preserve"> million in 2020 to $</w:t>
      </w:r>
      <w:r w:rsidR="007B4841" w:rsidRPr="00E3331A">
        <w:t>127.9</w:t>
      </w:r>
      <w:r w:rsidR="001F5B33" w:rsidRPr="00E3331A">
        <w:t xml:space="preserve"> million in 2024. </w:t>
      </w:r>
    </w:p>
    <w:p w:rsidR="000B1D2B" w:rsidRPr="00E3331A" w:rsidRDefault="001F5B33" w:rsidP="001F5B33">
      <w:pPr>
        <w:pStyle w:val="Caption"/>
        <w:jc w:val="both"/>
        <w:rPr>
          <w:noProof/>
          <w:szCs w:val="20"/>
        </w:rPr>
      </w:pPr>
      <w:bookmarkStart w:id="521" w:name="_Ref519434284"/>
      <w:bookmarkStart w:id="522" w:name="_Toc24103400"/>
      <w:r w:rsidRPr="00E3331A">
        <w:t xml:space="preserve">Table </w:t>
      </w:r>
      <w:r w:rsidR="006F35B9">
        <w:rPr>
          <w:noProof/>
        </w:rPr>
        <w:t>94</w:t>
      </w:r>
      <w:bookmarkEnd w:id="521"/>
      <w:r w:rsidR="006D426E" w:rsidRPr="00E3331A">
        <w:tab/>
      </w:r>
      <w:r w:rsidRPr="00E3331A">
        <w:rPr>
          <w:noProof/>
          <w:szCs w:val="20"/>
        </w:rPr>
        <w:t xml:space="preserve">Estimated </w:t>
      </w:r>
      <w:r w:rsidR="007B4841" w:rsidRPr="00E3331A">
        <w:rPr>
          <w:noProof/>
          <w:szCs w:val="20"/>
        </w:rPr>
        <w:t>net costs</w:t>
      </w:r>
      <w:r w:rsidRPr="00E3331A">
        <w:rPr>
          <w:noProof/>
          <w:szCs w:val="20"/>
        </w:rPr>
        <w:t xml:space="preserve"> to government</w:t>
      </w:r>
      <w:r w:rsidR="007B4841" w:rsidRPr="00E3331A">
        <w:rPr>
          <w:noProof/>
          <w:szCs w:val="20"/>
        </w:rPr>
        <w:t>, 2020-2024</w:t>
      </w:r>
      <w:bookmarkEnd w:id="5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566"/>
        <w:gridCol w:w="1163"/>
        <w:gridCol w:w="1163"/>
        <w:gridCol w:w="1163"/>
        <w:gridCol w:w="1163"/>
        <w:gridCol w:w="1165"/>
        <w:gridCol w:w="1078"/>
      </w:tblGrid>
      <w:tr w:rsidR="000B1D2B" w:rsidRPr="00E3331A" w:rsidTr="00576726">
        <w:trPr>
          <w:trHeight w:val="255"/>
        </w:trPr>
        <w:tc>
          <w:tcPr>
            <w:tcW w:w="862" w:type="pct"/>
            <w:shd w:val="clear" w:color="auto" w:fill="D9D9D9" w:themeFill="background1" w:themeFillShade="D9"/>
            <w:noWrap/>
            <w:vAlign w:val="center"/>
            <w:hideMark/>
          </w:tcPr>
          <w:p w:rsidR="000B1D2B" w:rsidRPr="00E3331A" w:rsidRDefault="000B1D2B" w:rsidP="00576726">
            <w:pPr>
              <w:spacing w:after="0" w:line="240" w:lineRule="auto"/>
              <w:rPr>
                <w:rFonts w:ascii="Arial Narrow" w:hAnsi="Arial Narrow" w:cs="Calibri"/>
                <w:b/>
                <w:bCs/>
                <w:color w:val="000000"/>
                <w:sz w:val="20"/>
                <w:szCs w:val="20"/>
              </w:rPr>
            </w:pPr>
            <w:r w:rsidRPr="00E3331A">
              <w:rPr>
                <w:rFonts w:ascii="Arial Narrow" w:hAnsi="Arial Narrow" w:cs="Calibri"/>
                <w:b/>
                <w:bCs/>
                <w:color w:val="000000"/>
                <w:sz w:val="20"/>
                <w:szCs w:val="20"/>
              </w:rPr>
              <w:t>Total net government costs</w:t>
            </w:r>
          </w:p>
        </w:tc>
        <w:tc>
          <w:tcPr>
            <w:tcW w:w="314" w:type="pct"/>
            <w:shd w:val="clear" w:color="auto" w:fill="D9D9D9" w:themeFill="background1" w:themeFillShade="D9"/>
            <w:noWrap/>
            <w:vAlign w:val="center"/>
            <w:hideMark/>
          </w:tcPr>
          <w:p w:rsidR="000B1D2B" w:rsidRPr="00CD4AAC" w:rsidRDefault="000B1D2B" w:rsidP="00576726">
            <w:pPr>
              <w:spacing w:after="0" w:line="240" w:lineRule="auto"/>
              <w:rPr>
                <w:rFonts w:ascii="Arial Narrow" w:hAnsi="Arial Narrow" w:cs="Calibri"/>
                <w:b/>
                <w:color w:val="000000"/>
                <w:sz w:val="20"/>
                <w:szCs w:val="20"/>
              </w:rPr>
            </w:pPr>
            <w:r w:rsidRPr="00CD4AAC">
              <w:rPr>
                <w:rFonts w:ascii="Arial Narrow" w:hAnsi="Arial Narrow" w:cs="Calibri"/>
                <w:b/>
                <w:color w:val="000000"/>
                <w:sz w:val="20"/>
                <w:szCs w:val="20"/>
              </w:rPr>
              <w:t>Unit</w:t>
            </w:r>
          </w:p>
        </w:tc>
        <w:tc>
          <w:tcPr>
            <w:tcW w:w="645" w:type="pct"/>
            <w:shd w:val="clear" w:color="auto" w:fill="D9D9D9" w:themeFill="background1" w:themeFillShade="D9"/>
            <w:noWrap/>
            <w:vAlign w:val="center"/>
            <w:hideMark/>
          </w:tcPr>
          <w:p w:rsidR="000B1D2B" w:rsidRPr="00CD4AAC" w:rsidRDefault="000B1D2B" w:rsidP="00576726">
            <w:pPr>
              <w:spacing w:after="0" w:line="240" w:lineRule="auto"/>
              <w:rPr>
                <w:rFonts w:ascii="Arial Narrow" w:hAnsi="Arial Narrow" w:cs="Calibri"/>
                <w:b/>
                <w:bCs/>
                <w:color w:val="000000"/>
                <w:sz w:val="20"/>
                <w:szCs w:val="20"/>
              </w:rPr>
            </w:pPr>
            <w:r w:rsidRPr="00CD4AAC">
              <w:rPr>
                <w:rFonts w:ascii="Arial Narrow" w:hAnsi="Arial Narrow" w:cs="Calibri"/>
                <w:b/>
                <w:bCs/>
                <w:color w:val="000000"/>
                <w:sz w:val="20"/>
                <w:szCs w:val="20"/>
              </w:rPr>
              <w:t>2020</w:t>
            </w:r>
          </w:p>
        </w:tc>
        <w:tc>
          <w:tcPr>
            <w:tcW w:w="645" w:type="pct"/>
            <w:shd w:val="clear" w:color="auto" w:fill="D9D9D9" w:themeFill="background1" w:themeFillShade="D9"/>
            <w:noWrap/>
            <w:vAlign w:val="center"/>
            <w:hideMark/>
          </w:tcPr>
          <w:p w:rsidR="000B1D2B" w:rsidRPr="00CD4AAC" w:rsidRDefault="000B1D2B" w:rsidP="00576726">
            <w:pPr>
              <w:spacing w:after="0" w:line="240" w:lineRule="auto"/>
              <w:rPr>
                <w:rFonts w:ascii="Arial Narrow" w:hAnsi="Arial Narrow" w:cs="Calibri"/>
                <w:b/>
                <w:bCs/>
                <w:color w:val="000000"/>
                <w:sz w:val="20"/>
                <w:szCs w:val="20"/>
              </w:rPr>
            </w:pPr>
            <w:r w:rsidRPr="00CD4AAC">
              <w:rPr>
                <w:rFonts w:ascii="Arial Narrow" w:hAnsi="Arial Narrow" w:cs="Calibri"/>
                <w:b/>
                <w:bCs/>
                <w:color w:val="000000"/>
                <w:sz w:val="20"/>
                <w:szCs w:val="20"/>
              </w:rPr>
              <w:t>2021</w:t>
            </w:r>
          </w:p>
        </w:tc>
        <w:tc>
          <w:tcPr>
            <w:tcW w:w="645" w:type="pct"/>
            <w:shd w:val="clear" w:color="auto" w:fill="D9D9D9" w:themeFill="background1" w:themeFillShade="D9"/>
            <w:noWrap/>
            <w:vAlign w:val="center"/>
            <w:hideMark/>
          </w:tcPr>
          <w:p w:rsidR="000B1D2B" w:rsidRPr="00CD4AAC" w:rsidRDefault="000B1D2B" w:rsidP="00576726">
            <w:pPr>
              <w:spacing w:after="0" w:line="240" w:lineRule="auto"/>
              <w:rPr>
                <w:rFonts w:ascii="Arial Narrow" w:hAnsi="Arial Narrow" w:cs="Calibri"/>
                <w:b/>
                <w:bCs/>
                <w:color w:val="000000"/>
                <w:sz w:val="20"/>
                <w:szCs w:val="20"/>
              </w:rPr>
            </w:pPr>
            <w:r w:rsidRPr="00CD4AAC">
              <w:rPr>
                <w:rFonts w:ascii="Arial Narrow" w:hAnsi="Arial Narrow" w:cs="Calibri"/>
                <w:b/>
                <w:bCs/>
                <w:color w:val="000000"/>
                <w:sz w:val="20"/>
                <w:szCs w:val="20"/>
              </w:rPr>
              <w:t>2022</w:t>
            </w:r>
          </w:p>
        </w:tc>
        <w:tc>
          <w:tcPr>
            <w:tcW w:w="645" w:type="pct"/>
            <w:shd w:val="clear" w:color="auto" w:fill="D9D9D9" w:themeFill="background1" w:themeFillShade="D9"/>
            <w:noWrap/>
            <w:vAlign w:val="center"/>
            <w:hideMark/>
          </w:tcPr>
          <w:p w:rsidR="000B1D2B" w:rsidRPr="00CD4AAC" w:rsidRDefault="000B1D2B" w:rsidP="00576726">
            <w:pPr>
              <w:spacing w:after="0" w:line="240" w:lineRule="auto"/>
              <w:rPr>
                <w:rFonts w:ascii="Arial Narrow" w:hAnsi="Arial Narrow" w:cs="Calibri"/>
                <w:b/>
                <w:bCs/>
                <w:color w:val="000000"/>
                <w:sz w:val="20"/>
                <w:szCs w:val="20"/>
              </w:rPr>
            </w:pPr>
            <w:r w:rsidRPr="00CD4AAC">
              <w:rPr>
                <w:rFonts w:ascii="Arial Narrow" w:hAnsi="Arial Narrow" w:cs="Calibri"/>
                <w:b/>
                <w:bCs/>
                <w:color w:val="000000"/>
                <w:sz w:val="20"/>
                <w:szCs w:val="20"/>
              </w:rPr>
              <w:t>2023</w:t>
            </w:r>
          </w:p>
        </w:tc>
        <w:tc>
          <w:tcPr>
            <w:tcW w:w="646" w:type="pct"/>
            <w:shd w:val="clear" w:color="auto" w:fill="D9D9D9" w:themeFill="background1" w:themeFillShade="D9"/>
            <w:noWrap/>
            <w:vAlign w:val="center"/>
            <w:hideMark/>
          </w:tcPr>
          <w:p w:rsidR="000B1D2B" w:rsidRPr="00CD4AAC" w:rsidRDefault="000B1D2B" w:rsidP="00576726">
            <w:pPr>
              <w:spacing w:after="0" w:line="240" w:lineRule="auto"/>
              <w:rPr>
                <w:rFonts w:ascii="Arial Narrow" w:hAnsi="Arial Narrow" w:cs="Calibri"/>
                <w:b/>
                <w:bCs/>
                <w:color w:val="000000"/>
                <w:sz w:val="20"/>
                <w:szCs w:val="20"/>
              </w:rPr>
            </w:pPr>
            <w:r w:rsidRPr="00CD4AAC">
              <w:rPr>
                <w:rFonts w:ascii="Arial Narrow" w:hAnsi="Arial Narrow" w:cs="Calibri"/>
                <w:b/>
                <w:bCs/>
                <w:color w:val="000000"/>
                <w:sz w:val="20"/>
                <w:szCs w:val="20"/>
              </w:rPr>
              <w:t>2024</w:t>
            </w:r>
          </w:p>
        </w:tc>
        <w:tc>
          <w:tcPr>
            <w:tcW w:w="598" w:type="pct"/>
            <w:shd w:val="clear" w:color="auto" w:fill="D9D9D9" w:themeFill="background1" w:themeFillShade="D9"/>
            <w:noWrap/>
            <w:vAlign w:val="center"/>
            <w:hideMark/>
          </w:tcPr>
          <w:p w:rsidR="000B1D2B" w:rsidRPr="00CD4AAC" w:rsidRDefault="000B1D2B" w:rsidP="00576726">
            <w:pPr>
              <w:spacing w:after="0" w:line="240" w:lineRule="auto"/>
              <w:rPr>
                <w:rFonts w:ascii="Arial Narrow" w:hAnsi="Arial Narrow" w:cs="Calibri"/>
                <w:b/>
                <w:color w:val="000000"/>
                <w:sz w:val="20"/>
                <w:szCs w:val="20"/>
              </w:rPr>
            </w:pPr>
            <w:r w:rsidRPr="00CD4AAC">
              <w:rPr>
                <w:rFonts w:ascii="Arial Narrow" w:hAnsi="Arial Narrow" w:cs="Calibri"/>
                <w:b/>
                <w:color w:val="000000"/>
                <w:sz w:val="20"/>
                <w:szCs w:val="20"/>
              </w:rPr>
              <w:t>Source</w:t>
            </w:r>
          </w:p>
        </w:tc>
      </w:tr>
      <w:tr w:rsidR="000B1D2B" w:rsidRPr="00E3331A" w:rsidTr="00576726">
        <w:trPr>
          <w:trHeight w:val="255"/>
        </w:trPr>
        <w:tc>
          <w:tcPr>
            <w:tcW w:w="862"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Projected Ig patients</w:t>
            </w:r>
          </w:p>
        </w:tc>
        <w:tc>
          <w:tcPr>
            <w:tcW w:w="314"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No.</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2,936</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3,108</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3,280</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3,452</w:t>
            </w:r>
          </w:p>
        </w:tc>
        <w:tc>
          <w:tcPr>
            <w:tcW w:w="646"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3,624</w:t>
            </w:r>
          </w:p>
        </w:tc>
        <w:tc>
          <w:tcPr>
            <w:tcW w:w="598"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w:t>
            </w:r>
          </w:p>
        </w:tc>
      </w:tr>
      <w:tr w:rsidR="00CD4AAC" w:rsidRPr="00E3331A" w:rsidTr="00CD4AAC">
        <w:trPr>
          <w:trHeight w:val="255"/>
        </w:trPr>
        <w:tc>
          <w:tcPr>
            <w:tcW w:w="5000" w:type="pct"/>
            <w:gridSpan w:val="8"/>
            <w:shd w:val="clear" w:color="auto" w:fill="D9D9D9" w:themeFill="background1" w:themeFillShade="D9"/>
            <w:noWrap/>
            <w:vAlign w:val="center"/>
            <w:hideMark/>
          </w:tcPr>
          <w:p w:rsidR="00CD4AAC" w:rsidRPr="00E3331A" w:rsidRDefault="00CD4AAC" w:rsidP="00CD4AAC">
            <w:pPr>
              <w:spacing w:after="0" w:line="240" w:lineRule="auto"/>
              <w:rPr>
                <w:rFonts w:ascii="Arial Narrow" w:hAnsi="Arial Narrow" w:cs="Calibri"/>
                <w:color w:val="000000"/>
                <w:sz w:val="20"/>
                <w:szCs w:val="20"/>
              </w:rPr>
            </w:pPr>
            <w:r w:rsidRPr="00E3331A">
              <w:rPr>
                <w:rFonts w:ascii="Arial Narrow" w:hAnsi="Arial Narrow" w:cs="Calibri"/>
                <w:b/>
                <w:bCs/>
                <w:color w:val="000000"/>
                <w:sz w:val="20"/>
                <w:szCs w:val="20"/>
              </w:rPr>
              <w:t xml:space="preserve">Ig costs for </w:t>
            </w:r>
            <w:r>
              <w:rPr>
                <w:rFonts w:ascii="Arial Narrow" w:hAnsi="Arial Narrow" w:cs="Calibri"/>
                <w:b/>
                <w:bCs/>
                <w:color w:val="000000"/>
                <w:sz w:val="20"/>
                <w:szCs w:val="20"/>
              </w:rPr>
              <w:t>CIDP</w:t>
            </w:r>
            <w:r w:rsidRPr="00E3331A">
              <w:rPr>
                <w:rFonts w:ascii="Arial Narrow" w:hAnsi="Arial Narrow" w:cs="Calibri"/>
                <w:color w:val="000000"/>
                <w:sz w:val="20"/>
                <w:szCs w:val="20"/>
              </w:rPr>
              <w:t> </w:t>
            </w:r>
          </w:p>
        </w:tc>
      </w:tr>
      <w:tr w:rsidR="000B1D2B" w:rsidRPr="00E3331A" w:rsidTr="00576726">
        <w:trPr>
          <w:trHeight w:val="255"/>
        </w:trPr>
        <w:tc>
          <w:tcPr>
            <w:tcW w:w="862"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Commonwealth Ig costs</w:t>
            </w:r>
          </w:p>
        </w:tc>
        <w:tc>
          <w:tcPr>
            <w:tcW w:w="314"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55,531,665</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58,786,392</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62,041,118</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65,295,845</w:t>
            </w:r>
          </w:p>
        </w:tc>
        <w:tc>
          <w:tcPr>
            <w:tcW w:w="646"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68,550,572</w:t>
            </w:r>
          </w:p>
        </w:tc>
        <w:tc>
          <w:tcPr>
            <w:tcW w:w="598"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w:t>
            </w:r>
          </w:p>
        </w:tc>
      </w:tr>
      <w:tr w:rsidR="000B1D2B" w:rsidRPr="00E3331A" w:rsidTr="00576726">
        <w:trPr>
          <w:trHeight w:val="255"/>
        </w:trPr>
        <w:tc>
          <w:tcPr>
            <w:tcW w:w="862"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State Ig costs</w:t>
            </w:r>
          </w:p>
        </w:tc>
        <w:tc>
          <w:tcPr>
            <w:tcW w:w="314"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32,613,835</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34,525,341</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36,436,847</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38,348,353</w:t>
            </w:r>
          </w:p>
        </w:tc>
        <w:tc>
          <w:tcPr>
            <w:tcW w:w="646"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40,259,860</w:t>
            </w:r>
          </w:p>
        </w:tc>
        <w:tc>
          <w:tcPr>
            <w:tcW w:w="598"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w:t>
            </w:r>
          </w:p>
        </w:tc>
      </w:tr>
      <w:tr w:rsidR="00CD4AAC" w:rsidRPr="00E3331A" w:rsidTr="00CD4AAC">
        <w:trPr>
          <w:trHeight w:val="255"/>
        </w:trPr>
        <w:tc>
          <w:tcPr>
            <w:tcW w:w="5000" w:type="pct"/>
            <w:gridSpan w:val="8"/>
            <w:shd w:val="clear" w:color="auto" w:fill="D9D9D9" w:themeFill="background1" w:themeFillShade="D9"/>
            <w:noWrap/>
            <w:vAlign w:val="center"/>
            <w:hideMark/>
          </w:tcPr>
          <w:p w:rsidR="00CD4AAC" w:rsidRPr="00E3331A" w:rsidRDefault="00CD4AAC" w:rsidP="00576726">
            <w:pPr>
              <w:spacing w:after="0" w:line="240" w:lineRule="auto"/>
              <w:rPr>
                <w:rFonts w:ascii="Arial Narrow" w:hAnsi="Arial Narrow" w:cs="Calibri"/>
                <w:bCs/>
                <w:color w:val="000000"/>
                <w:sz w:val="20"/>
                <w:szCs w:val="20"/>
              </w:rPr>
            </w:pPr>
            <w:r w:rsidRPr="00E3331A">
              <w:rPr>
                <w:rFonts w:ascii="Arial Narrow" w:hAnsi="Arial Narrow" w:cs="Calibri"/>
                <w:b/>
                <w:bCs/>
                <w:color w:val="000000"/>
                <w:sz w:val="20"/>
                <w:szCs w:val="20"/>
              </w:rPr>
              <w:t>Commonwealth MBS and PBS Costs</w:t>
            </w:r>
          </w:p>
          <w:p w:rsidR="00CD4AAC" w:rsidRPr="00E3331A" w:rsidRDefault="00CD4AAC"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w:t>
            </w:r>
          </w:p>
        </w:tc>
      </w:tr>
      <w:tr w:rsidR="000B1D2B" w:rsidRPr="00E3331A" w:rsidTr="00576726">
        <w:trPr>
          <w:trHeight w:val="255"/>
        </w:trPr>
        <w:tc>
          <w:tcPr>
            <w:tcW w:w="862"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MBS-supported service delivery</w:t>
            </w:r>
          </w:p>
        </w:tc>
        <w:tc>
          <w:tcPr>
            <w:tcW w:w="314"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-1,274,602</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-1,349,307</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-1,424,012</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-1,498,717</w:t>
            </w:r>
          </w:p>
        </w:tc>
        <w:tc>
          <w:tcPr>
            <w:tcW w:w="646"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-1,573,422</w:t>
            </w:r>
          </w:p>
        </w:tc>
        <w:tc>
          <w:tcPr>
            <w:tcW w:w="598"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w:t>
            </w:r>
          </w:p>
        </w:tc>
      </w:tr>
      <w:tr w:rsidR="000B1D2B" w:rsidRPr="00E3331A" w:rsidTr="00576726">
        <w:trPr>
          <w:trHeight w:val="255"/>
        </w:trPr>
        <w:tc>
          <w:tcPr>
            <w:tcW w:w="862"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PBS costs</w:t>
            </w:r>
          </w:p>
        </w:tc>
        <w:tc>
          <w:tcPr>
            <w:tcW w:w="314"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-1,441,924</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-1,526,435</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-1,610,947</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-1,695,458</w:t>
            </w:r>
          </w:p>
        </w:tc>
        <w:tc>
          <w:tcPr>
            <w:tcW w:w="646"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-1,779,970</w:t>
            </w:r>
          </w:p>
        </w:tc>
        <w:tc>
          <w:tcPr>
            <w:tcW w:w="598"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w:t>
            </w:r>
          </w:p>
        </w:tc>
      </w:tr>
      <w:tr w:rsidR="00CD4AAC" w:rsidRPr="00E3331A" w:rsidTr="00CD4AAC">
        <w:trPr>
          <w:trHeight w:val="255"/>
        </w:trPr>
        <w:tc>
          <w:tcPr>
            <w:tcW w:w="5000" w:type="pct"/>
            <w:gridSpan w:val="8"/>
            <w:shd w:val="clear" w:color="auto" w:fill="D9D9D9" w:themeFill="background1" w:themeFillShade="D9"/>
            <w:noWrap/>
            <w:vAlign w:val="center"/>
            <w:hideMark/>
          </w:tcPr>
          <w:p w:rsidR="00CD4AAC" w:rsidRPr="00E3331A" w:rsidRDefault="00CD4AAC" w:rsidP="00CD4AAC">
            <w:pPr>
              <w:spacing w:after="0" w:line="240" w:lineRule="auto"/>
              <w:rPr>
                <w:rFonts w:ascii="Arial Narrow" w:hAnsi="Arial Narrow" w:cs="Calibri"/>
                <w:color w:val="000000"/>
                <w:sz w:val="20"/>
                <w:szCs w:val="20"/>
              </w:rPr>
            </w:pPr>
            <w:r w:rsidRPr="00E3331A">
              <w:rPr>
                <w:rFonts w:ascii="Arial Narrow" w:hAnsi="Arial Narrow" w:cs="Calibri"/>
                <w:b/>
                <w:bCs/>
                <w:color w:val="000000"/>
                <w:sz w:val="20"/>
                <w:szCs w:val="20"/>
              </w:rPr>
              <w:t>State Hospital Costs</w:t>
            </w:r>
            <w:r w:rsidRPr="00E3331A">
              <w:rPr>
                <w:rFonts w:ascii="Arial Narrow" w:hAnsi="Arial Narrow" w:cs="Calibri"/>
                <w:color w:val="000000"/>
                <w:sz w:val="20"/>
                <w:szCs w:val="20"/>
              </w:rPr>
              <w:t> </w:t>
            </w:r>
          </w:p>
        </w:tc>
      </w:tr>
      <w:tr w:rsidR="000B1D2B" w:rsidRPr="00E3331A" w:rsidTr="00576726">
        <w:trPr>
          <w:trHeight w:val="255"/>
        </w:trPr>
        <w:tc>
          <w:tcPr>
            <w:tcW w:w="862"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Ig delivery, nurse and adverse events</w:t>
            </w:r>
          </w:p>
        </w:tc>
        <w:tc>
          <w:tcPr>
            <w:tcW w:w="314"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18,205,039</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19,272,041</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20,339,044</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21,406,046</w:t>
            </w:r>
          </w:p>
        </w:tc>
        <w:tc>
          <w:tcPr>
            <w:tcW w:w="646"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22,473,049</w:t>
            </w:r>
          </w:p>
        </w:tc>
        <w:tc>
          <w:tcPr>
            <w:tcW w:w="598"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w:t>
            </w:r>
          </w:p>
        </w:tc>
      </w:tr>
      <w:tr w:rsidR="00CD4AAC" w:rsidRPr="00E3331A" w:rsidTr="00CD4AAC">
        <w:trPr>
          <w:trHeight w:val="255"/>
        </w:trPr>
        <w:tc>
          <w:tcPr>
            <w:tcW w:w="5000" w:type="pct"/>
            <w:gridSpan w:val="8"/>
            <w:shd w:val="clear" w:color="auto" w:fill="D9D9D9" w:themeFill="background1" w:themeFillShade="D9"/>
            <w:noWrap/>
            <w:vAlign w:val="center"/>
            <w:hideMark/>
          </w:tcPr>
          <w:p w:rsidR="00CD4AAC" w:rsidRPr="00E3331A" w:rsidRDefault="00CD4AAC" w:rsidP="00576726">
            <w:pPr>
              <w:spacing w:after="0" w:line="240" w:lineRule="auto"/>
              <w:rPr>
                <w:rFonts w:ascii="Arial Narrow" w:hAnsi="Arial Narrow" w:cs="Calibri"/>
                <w:bCs/>
                <w:color w:val="000000"/>
                <w:sz w:val="20"/>
                <w:szCs w:val="20"/>
              </w:rPr>
            </w:pPr>
            <w:r w:rsidRPr="00E3331A">
              <w:rPr>
                <w:rFonts w:ascii="Arial Narrow" w:hAnsi="Arial Narrow" w:cs="Calibri"/>
                <w:b/>
                <w:bCs/>
                <w:color w:val="000000"/>
                <w:sz w:val="20"/>
                <w:szCs w:val="20"/>
              </w:rPr>
              <w:t>Net Government Costs</w:t>
            </w:r>
          </w:p>
          <w:p w:rsidR="00CD4AAC" w:rsidRPr="00E3331A" w:rsidRDefault="00CD4AAC"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 </w:t>
            </w:r>
          </w:p>
        </w:tc>
      </w:tr>
      <w:tr w:rsidR="000B1D2B" w:rsidRPr="00E3331A" w:rsidTr="00576726">
        <w:trPr>
          <w:trHeight w:val="255"/>
        </w:trPr>
        <w:tc>
          <w:tcPr>
            <w:tcW w:w="862" w:type="pct"/>
            <w:shd w:val="clear" w:color="auto" w:fill="FFFFFF" w:themeFill="background1"/>
            <w:noWrap/>
            <w:vAlign w:val="center"/>
            <w:hideMark/>
          </w:tcPr>
          <w:p w:rsidR="000B1D2B" w:rsidRPr="00CD4AAC" w:rsidRDefault="000B1D2B" w:rsidP="00576726">
            <w:pPr>
              <w:spacing w:after="0" w:line="240" w:lineRule="auto"/>
              <w:rPr>
                <w:rFonts w:ascii="Arial Narrow" w:hAnsi="Arial Narrow" w:cs="Calibri"/>
                <w:bCs/>
                <w:color w:val="000000"/>
                <w:sz w:val="20"/>
                <w:szCs w:val="20"/>
              </w:rPr>
            </w:pPr>
            <w:r w:rsidRPr="00CD4AAC">
              <w:rPr>
                <w:rFonts w:ascii="Arial Narrow" w:hAnsi="Arial Narrow" w:cs="Calibri"/>
                <w:bCs/>
                <w:color w:val="000000"/>
                <w:sz w:val="20"/>
                <w:szCs w:val="20"/>
              </w:rPr>
              <w:t>Commonwealth costs</w:t>
            </w:r>
          </w:p>
        </w:tc>
        <w:tc>
          <w:tcPr>
            <w:tcW w:w="314"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52,815,139</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55,910,649</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59,006,160</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62,101,670</w:t>
            </w:r>
          </w:p>
        </w:tc>
        <w:tc>
          <w:tcPr>
            <w:tcW w:w="646"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65,197,180</w:t>
            </w:r>
          </w:p>
        </w:tc>
        <w:tc>
          <w:tcPr>
            <w:tcW w:w="598"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w:t>
            </w:r>
          </w:p>
        </w:tc>
      </w:tr>
      <w:tr w:rsidR="000B1D2B" w:rsidRPr="00E3331A" w:rsidTr="00576726">
        <w:trPr>
          <w:trHeight w:val="255"/>
        </w:trPr>
        <w:tc>
          <w:tcPr>
            <w:tcW w:w="862"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State costs</w:t>
            </w:r>
          </w:p>
        </w:tc>
        <w:tc>
          <w:tcPr>
            <w:tcW w:w="314"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50,818,874</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53,797,382</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56,775,891</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59,754,400</w:t>
            </w:r>
          </w:p>
        </w:tc>
        <w:tc>
          <w:tcPr>
            <w:tcW w:w="646"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62,732,909</w:t>
            </w:r>
          </w:p>
        </w:tc>
        <w:tc>
          <w:tcPr>
            <w:tcW w:w="598"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w:t>
            </w:r>
          </w:p>
        </w:tc>
      </w:tr>
      <w:tr w:rsidR="000B1D2B" w:rsidRPr="00E3331A" w:rsidTr="00576726">
        <w:trPr>
          <w:trHeight w:val="255"/>
        </w:trPr>
        <w:tc>
          <w:tcPr>
            <w:tcW w:w="862"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Total costs to government</w:t>
            </w:r>
          </w:p>
        </w:tc>
        <w:tc>
          <w:tcPr>
            <w:tcW w:w="314"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103,634,012</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109,708,032</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115,782,051</w:t>
            </w:r>
          </w:p>
        </w:tc>
        <w:tc>
          <w:tcPr>
            <w:tcW w:w="645"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121,856,070</w:t>
            </w:r>
          </w:p>
        </w:tc>
        <w:tc>
          <w:tcPr>
            <w:tcW w:w="646"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bCs/>
                <w:color w:val="000000"/>
                <w:sz w:val="20"/>
                <w:szCs w:val="20"/>
              </w:rPr>
            </w:pPr>
            <w:r w:rsidRPr="00E3331A">
              <w:rPr>
                <w:rFonts w:ascii="Arial Narrow" w:hAnsi="Arial Narrow" w:cs="Calibri"/>
                <w:bCs/>
                <w:color w:val="000000"/>
                <w:sz w:val="20"/>
                <w:szCs w:val="20"/>
              </w:rPr>
              <w:t>127,930,089</w:t>
            </w:r>
          </w:p>
        </w:tc>
        <w:tc>
          <w:tcPr>
            <w:tcW w:w="598" w:type="pct"/>
            <w:shd w:val="clear" w:color="auto" w:fill="FFFFFF" w:themeFill="background1"/>
            <w:noWrap/>
            <w:vAlign w:val="center"/>
            <w:hideMark/>
          </w:tcPr>
          <w:p w:rsidR="000B1D2B" w:rsidRPr="00E3331A" w:rsidRDefault="000B1D2B" w:rsidP="00576726">
            <w:pPr>
              <w:spacing w:after="0" w:line="240" w:lineRule="auto"/>
              <w:rPr>
                <w:rFonts w:ascii="Arial Narrow" w:hAnsi="Arial Narrow" w:cs="Calibri"/>
                <w:color w:val="000000"/>
                <w:sz w:val="20"/>
                <w:szCs w:val="20"/>
              </w:rPr>
            </w:pPr>
            <w:r w:rsidRPr="00E3331A">
              <w:rPr>
                <w:rFonts w:ascii="Arial Narrow" w:hAnsi="Arial Narrow" w:cs="Calibri"/>
                <w:color w:val="000000"/>
                <w:sz w:val="20"/>
                <w:szCs w:val="20"/>
              </w:rPr>
              <w:t>Calculated</w:t>
            </w:r>
          </w:p>
        </w:tc>
      </w:tr>
    </w:tbl>
    <w:p w:rsidR="000B1D2B" w:rsidRPr="00E3331A" w:rsidRDefault="000B1D2B" w:rsidP="000B1D2B">
      <w:r w:rsidRPr="00E3331A">
        <w:rPr>
          <w:rFonts w:ascii="Arial Narrow" w:hAnsi="Arial Narrow"/>
          <w:sz w:val="18"/>
        </w:rPr>
        <w:t>CIDP= Chronic Inflammatory Demyelinating Polyneuropathy. MBS = Medicare Benefits Schedule, PBS= Pharmaceutical Benefits Scheme</w:t>
      </w:r>
    </w:p>
    <w:p w:rsidR="001F5B33" w:rsidRPr="00E3331A" w:rsidRDefault="007F46D5" w:rsidP="00464E0A">
      <w:pPr>
        <w:pStyle w:val="Heading2"/>
      </w:pPr>
      <w:bookmarkStart w:id="523" w:name="_Toc24103533"/>
      <w:r w:rsidRPr="00E3331A">
        <w:t>E.5.</w:t>
      </w:r>
      <w:r w:rsidRPr="00E3331A">
        <w:tab/>
      </w:r>
      <w:r w:rsidR="001F5B33" w:rsidRPr="00E3331A">
        <w:t>Identification, Estimation and Reduction of Uncertainty</w:t>
      </w:r>
      <w:bookmarkEnd w:id="523"/>
    </w:p>
    <w:p w:rsidR="001F5B33" w:rsidRPr="00E3331A" w:rsidRDefault="001F5B33" w:rsidP="00BB6E4C">
      <w:pPr>
        <w:pStyle w:val="BodyTextSTD"/>
      </w:pPr>
      <w:r w:rsidRPr="00E3331A">
        <w:t xml:space="preserve">The budget impact model presented in this </w:t>
      </w:r>
      <w:r w:rsidR="005541CA" w:rsidRPr="00E3331A">
        <w:t>S</w:t>
      </w:r>
      <w:r w:rsidRPr="00E3331A">
        <w:t>ection provided a base case.</w:t>
      </w:r>
      <w:r w:rsidR="00345C95" w:rsidRPr="00E3331A">
        <w:t xml:space="preserve"> </w:t>
      </w:r>
      <w:r w:rsidRPr="00E3331A">
        <w:t>Key base assumptions are included in a sensitivity analys</w:t>
      </w:r>
      <w:r w:rsidR="006D426E" w:rsidRPr="00E3331A">
        <w:t>i</w:t>
      </w:r>
      <w:r w:rsidRPr="00E3331A">
        <w:t xml:space="preserve">s in </w:t>
      </w:r>
      <w:r w:rsidR="006F35B9" w:rsidRPr="00E3331A">
        <w:t xml:space="preserve">Table </w:t>
      </w:r>
      <w:r w:rsidR="006F35B9">
        <w:t>95</w:t>
      </w:r>
      <w:r w:rsidRPr="00E3331A">
        <w:t xml:space="preserve">. The budget impact </w:t>
      </w:r>
      <w:r w:rsidR="007F46D5" w:rsidRPr="00E3331A">
        <w:t xml:space="preserve">is </w:t>
      </w:r>
      <w:r w:rsidRPr="00E3331A">
        <w:t xml:space="preserve">most sensitive to the assumed price for Ig. Financial impact is also sensitive to varying the prevalence rates by Rajabally et al. (2009). </w:t>
      </w:r>
      <w:r w:rsidR="0006587B">
        <w:t>REDACTED.</w:t>
      </w:r>
      <w:r w:rsidRPr="00E3331A">
        <w:t xml:space="preserve"> </w:t>
      </w:r>
    </w:p>
    <w:p w:rsidR="001F5B33" w:rsidRPr="00E3331A" w:rsidRDefault="001F5B33" w:rsidP="001F5B33">
      <w:pPr>
        <w:pStyle w:val="Caption"/>
        <w:rPr>
          <w:noProof/>
          <w:szCs w:val="20"/>
        </w:rPr>
      </w:pPr>
      <w:bookmarkStart w:id="524" w:name="_Ref493500706"/>
      <w:bookmarkStart w:id="525" w:name="_Toc442872206"/>
      <w:bookmarkStart w:id="526" w:name="_Toc492753473"/>
      <w:bookmarkStart w:id="527" w:name="_Toc24103401"/>
      <w:r w:rsidRPr="00E3331A">
        <w:lastRenderedPageBreak/>
        <w:t xml:space="preserve">Table </w:t>
      </w:r>
      <w:r w:rsidR="006F35B9">
        <w:rPr>
          <w:noProof/>
        </w:rPr>
        <w:t>95</w:t>
      </w:r>
      <w:bookmarkEnd w:id="524"/>
      <w:r w:rsidR="006D426E" w:rsidRPr="00E3331A">
        <w:tab/>
      </w:r>
      <w:r w:rsidRPr="00E3331A">
        <w:t>Net government cost s</w:t>
      </w:r>
      <w:r w:rsidRPr="00E3331A">
        <w:rPr>
          <w:noProof/>
          <w:szCs w:val="20"/>
        </w:rPr>
        <w:t>ensitivity analysis</w:t>
      </w:r>
      <w:bookmarkEnd w:id="525"/>
      <w:bookmarkEnd w:id="526"/>
      <w:bookmarkEnd w:id="5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151"/>
        <w:gridCol w:w="1152"/>
        <w:gridCol w:w="1150"/>
        <w:gridCol w:w="1152"/>
        <w:gridCol w:w="1152"/>
      </w:tblGrid>
      <w:tr w:rsidR="00281EC2" w:rsidRPr="00E3331A" w:rsidTr="0007007F">
        <w:trPr>
          <w:trHeight w:val="267"/>
        </w:trPr>
        <w:tc>
          <w:tcPr>
            <w:tcW w:w="1807" w:type="pct"/>
            <w:shd w:val="clear" w:color="auto" w:fill="auto"/>
            <w:vAlign w:val="center"/>
          </w:tcPr>
          <w:p w:rsidR="001F5B33" w:rsidRPr="00E3331A" w:rsidRDefault="001F5B33" w:rsidP="0007007F">
            <w:pPr>
              <w:keepNext/>
              <w:spacing w:before="40" w:after="0"/>
              <w:jc w:val="center"/>
              <w:rPr>
                <w:rFonts w:ascii="Arial Narrow" w:hAnsi="Arial Narrow" w:cs="Arial"/>
                <w:b/>
                <w:bCs/>
                <w:noProof/>
                <w:sz w:val="20"/>
                <w:szCs w:val="20"/>
              </w:rPr>
            </w:pPr>
          </w:p>
        </w:tc>
        <w:tc>
          <w:tcPr>
            <w:tcW w:w="638" w:type="pct"/>
            <w:shd w:val="clear" w:color="auto" w:fill="auto"/>
            <w:vAlign w:val="bottom"/>
          </w:tcPr>
          <w:p w:rsidR="001F5B33" w:rsidRPr="00E3331A" w:rsidRDefault="001F5B33" w:rsidP="0007007F">
            <w:pPr>
              <w:keepNext/>
              <w:spacing w:before="40" w:after="0"/>
              <w:jc w:val="center"/>
              <w:rPr>
                <w:rFonts w:ascii="Arial Narrow" w:hAnsi="Arial Narrow" w:cs="Arial"/>
                <w:b/>
                <w:noProof/>
                <w:sz w:val="20"/>
                <w:szCs w:val="20"/>
              </w:rPr>
            </w:pPr>
            <w:r w:rsidRPr="00E3331A">
              <w:rPr>
                <w:rFonts w:ascii="Arial Narrow" w:hAnsi="Arial Narrow" w:cs="Calibri"/>
                <w:b/>
                <w:bCs/>
                <w:color w:val="000000"/>
                <w:sz w:val="20"/>
                <w:szCs w:val="20"/>
              </w:rPr>
              <w:t>2020</w:t>
            </w:r>
          </w:p>
        </w:tc>
        <w:tc>
          <w:tcPr>
            <w:tcW w:w="639" w:type="pct"/>
            <w:shd w:val="clear" w:color="auto" w:fill="auto"/>
            <w:vAlign w:val="bottom"/>
          </w:tcPr>
          <w:p w:rsidR="001F5B33" w:rsidRPr="00E3331A" w:rsidRDefault="001F5B33" w:rsidP="0007007F">
            <w:pPr>
              <w:keepNext/>
              <w:spacing w:before="40" w:after="0"/>
              <w:jc w:val="center"/>
              <w:rPr>
                <w:rFonts w:ascii="Arial Narrow" w:hAnsi="Arial Narrow" w:cs="Arial"/>
                <w:b/>
                <w:noProof/>
                <w:sz w:val="20"/>
                <w:szCs w:val="20"/>
              </w:rPr>
            </w:pPr>
            <w:r w:rsidRPr="00E3331A">
              <w:rPr>
                <w:rFonts w:ascii="Arial Narrow" w:hAnsi="Arial Narrow" w:cs="Calibri"/>
                <w:b/>
                <w:bCs/>
                <w:color w:val="000000"/>
                <w:sz w:val="20"/>
                <w:szCs w:val="20"/>
              </w:rPr>
              <w:t>2021</w:t>
            </w:r>
          </w:p>
        </w:tc>
        <w:tc>
          <w:tcPr>
            <w:tcW w:w="638" w:type="pct"/>
            <w:shd w:val="clear" w:color="auto" w:fill="auto"/>
            <w:vAlign w:val="bottom"/>
          </w:tcPr>
          <w:p w:rsidR="001F5B33" w:rsidRPr="00E3331A" w:rsidRDefault="001F5B33" w:rsidP="0007007F">
            <w:pPr>
              <w:keepNext/>
              <w:spacing w:before="40" w:after="0"/>
              <w:jc w:val="center"/>
              <w:rPr>
                <w:rFonts w:ascii="Arial Narrow" w:hAnsi="Arial Narrow" w:cs="Arial"/>
                <w:b/>
                <w:noProof/>
                <w:sz w:val="20"/>
                <w:szCs w:val="20"/>
              </w:rPr>
            </w:pPr>
            <w:r w:rsidRPr="00E3331A">
              <w:rPr>
                <w:rFonts w:ascii="Arial Narrow" w:hAnsi="Arial Narrow" w:cs="Calibri"/>
                <w:b/>
                <w:bCs/>
                <w:color w:val="000000"/>
                <w:sz w:val="20"/>
                <w:szCs w:val="20"/>
              </w:rPr>
              <w:t>2022</w:t>
            </w:r>
          </w:p>
        </w:tc>
        <w:tc>
          <w:tcPr>
            <w:tcW w:w="639" w:type="pct"/>
            <w:shd w:val="clear" w:color="auto" w:fill="auto"/>
            <w:vAlign w:val="bottom"/>
          </w:tcPr>
          <w:p w:rsidR="001F5B33" w:rsidRPr="00E3331A" w:rsidRDefault="001F5B33" w:rsidP="0007007F">
            <w:pPr>
              <w:keepNext/>
              <w:spacing w:before="40" w:after="0"/>
              <w:jc w:val="center"/>
              <w:rPr>
                <w:rFonts w:ascii="Arial Narrow" w:hAnsi="Arial Narrow" w:cs="Arial"/>
                <w:b/>
                <w:noProof/>
                <w:sz w:val="20"/>
                <w:szCs w:val="20"/>
              </w:rPr>
            </w:pPr>
            <w:r w:rsidRPr="00E3331A">
              <w:rPr>
                <w:rFonts w:ascii="Arial Narrow" w:hAnsi="Arial Narrow" w:cs="Calibri"/>
                <w:b/>
                <w:bCs/>
                <w:color w:val="000000"/>
                <w:sz w:val="20"/>
                <w:szCs w:val="20"/>
              </w:rPr>
              <w:t>2023</w:t>
            </w:r>
          </w:p>
        </w:tc>
        <w:tc>
          <w:tcPr>
            <w:tcW w:w="639" w:type="pct"/>
            <w:shd w:val="clear" w:color="auto" w:fill="auto"/>
            <w:vAlign w:val="bottom"/>
          </w:tcPr>
          <w:p w:rsidR="001F5B33" w:rsidRPr="00E3331A" w:rsidRDefault="001F5B33" w:rsidP="0007007F">
            <w:pPr>
              <w:keepNext/>
              <w:spacing w:before="40" w:after="0"/>
              <w:jc w:val="center"/>
              <w:rPr>
                <w:rFonts w:ascii="Arial Narrow" w:hAnsi="Arial Narrow" w:cs="Arial"/>
                <w:b/>
                <w:noProof/>
                <w:sz w:val="20"/>
                <w:szCs w:val="20"/>
              </w:rPr>
            </w:pPr>
            <w:r w:rsidRPr="00E3331A">
              <w:rPr>
                <w:rFonts w:ascii="Arial Narrow" w:hAnsi="Arial Narrow" w:cs="Calibri"/>
                <w:b/>
                <w:bCs/>
                <w:color w:val="000000"/>
                <w:sz w:val="20"/>
                <w:szCs w:val="20"/>
              </w:rPr>
              <w:t>2024</w:t>
            </w:r>
          </w:p>
        </w:tc>
      </w:tr>
      <w:tr w:rsidR="00E337C2" w:rsidRPr="00E3331A" w:rsidTr="00464E0A">
        <w:trPr>
          <w:trHeight w:val="267"/>
        </w:trPr>
        <w:tc>
          <w:tcPr>
            <w:tcW w:w="1807" w:type="pct"/>
            <w:shd w:val="clear" w:color="auto" w:fill="D9D9D9"/>
          </w:tcPr>
          <w:p w:rsidR="00E337C2" w:rsidRPr="00E3331A" w:rsidRDefault="00E337C2" w:rsidP="00E337C2">
            <w:pPr>
              <w:keepNext/>
              <w:spacing w:before="40" w:after="0"/>
              <w:jc w:val="both"/>
              <w:rPr>
                <w:rFonts w:ascii="Arial Narrow" w:hAnsi="Arial Narrow" w:cs="Arial"/>
                <w:b/>
                <w:bCs/>
                <w:noProof/>
                <w:sz w:val="20"/>
                <w:szCs w:val="20"/>
              </w:rPr>
            </w:pPr>
            <w:r w:rsidRPr="00E3331A">
              <w:rPr>
                <w:rFonts w:ascii="Arial Narrow" w:hAnsi="Arial Narrow" w:cs="Calibri"/>
                <w:b/>
                <w:bCs/>
                <w:sz w:val="20"/>
                <w:szCs w:val="20"/>
              </w:rPr>
              <w:t xml:space="preserve">Base-case net cost </w:t>
            </w:r>
          </w:p>
        </w:tc>
        <w:tc>
          <w:tcPr>
            <w:tcW w:w="638" w:type="pct"/>
            <w:shd w:val="clear" w:color="auto" w:fill="D9D9D9"/>
          </w:tcPr>
          <w:p w:rsidR="00E337C2" w:rsidRPr="00E3331A" w:rsidRDefault="00E337C2" w:rsidP="00E337C2">
            <w:pPr>
              <w:keepNext/>
              <w:spacing w:after="0" w:line="240" w:lineRule="auto"/>
              <w:jc w:val="center"/>
              <w:rPr>
                <w:rFonts w:ascii="Arial Narrow" w:hAnsi="Arial Narrow" w:cs="Arial"/>
                <w:b/>
                <w:noProof/>
                <w:sz w:val="20"/>
                <w:szCs w:val="20"/>
              </w:rPr>
            </w:pPr>
            <w:r w:rsidRPr="00E3331A">
              <w:rPr>
                <w:rFonts w:ascii="Arial Narrow" w:hAnsi="Arial Narrow" w:cs="Calibri"/>
                <w:sz w:val="20"/>
                <w:szCs w:val="20"/>
              </w:rPr>
              <w:t>103,634,012</w:t>
            </w:r>
          </w:p>
        </w:tc>
        <w:tc>
          <w:tcPr>
            <w:tcW w:w="639" w:type="pct"/>
            <w:shd w:val="clear" w:color="auto" w:fill="D9D9D9"/>
          </w:tcPr>
          <w:p w:rsidR="00E337C2" w:rsidRPr="00E3331A" w:rsidRDefault="00E337C2" w:rsidP="00E337C2">
            <w:pPr>
              <w:keepNext/>
              <w:spacing w:after="0" w:line="240" w:lineRule="auto"/>
              <w:jc w:val="center"/>
              <w:rPr>
                <w:rFonts w:ascii="Arial Narrow" w:hAnsi="Arial Narrow" w:cs="Arial"/>
                <w:b/>
                <w:noProof/>
                <w:sz w:val="20"/>
                <w:szCs w:val="20"/>
              </w:rPr>
            </w:pPr>
            <w:r w:rsidRPr="00E3331A">
              <w:rPr>
                <w:rFonts w:ascii="Arial Narrow" w:hAnsi="Arial Narrow" w:cs="Calibri"/>
                <w:sz w:val="20"/>
                <w:szCs w:val="20"/>
              </w:rPr>
              <w:t>109,708,032</w:t>
            </w:r>
          </w:p>
        </w:tc>
        <w:tc>
          <w:tcPr>
            <w:tcW w:w="638" w:type="pct"/>
            <w:shd w:val="clear" w:color="auto" w:fill="D9D9D9"/>
          </w:tcPr>
          <w:p w:rsidR="00E337C2" w:rsidRPr="00E3331A" w:rsidRDefault="00E337C2" w:rsidP="00E337C2">
            <w:pPr>
              <w:keepNext/>
              <w:spacing w:after="0" w:line="240" w:lineRule="auto"/>
              <w:jc w:val="center"/>
              <w:rPr>
                <w:rFonts w:ascii="Arial Narrow" w:hAnsi="Arial Narrow" w:cs="Arial"/>
                <w:b/>
                <w:noProof/>
                <w:sz w:val="20"/>
                <w:szCs w:val="20"/>
              </w:rPr>
            </w:pPr>
            <w:r w:rsidRPr="00E3331A">
              <w:rPr>
                <w:rFonts w:ascii="Arial Narrow" w:hAnsi="Arial Narrow" w:cs="Calibri"/>
                <w:sz w:val="20"/>
                <w:szCs w:val="20"/>
              </w:rPr>
              <w:t>115,782,051</w:t>
            </w:r>
          </w:p>
        </w:tc>
        <w:tc>
          <w:tcPr>
            <w:tcW w:w="639" w:type="pct"/>
            <w:shd w:val="clear" w:color="auto" w:fill="D9D9D9"/>
          </w:tcPr>
          <w:p w:rsidR="00E337C2" w:rsidRPr="00E3331A" w:rsidRDefault="00E337C2" w:rsidP="00E337C2">
            <w:pPr>
              <w:keepNext/>
              <w:spacing w:after="0" w:line="240" w:lineRule="auto"/>
              <w:jc w:val="center"/>
              <w:rPr>
                <w:rFonts w:ascii="Arial Narrow" w:hAnsi="Arial Narrow" w:cs="Arial"/>
                <w:b/>
                <w:noProof/>
                <w:sz w:val="20"/>
                <w:szCs w:val="20"/>
              </w:rPr>
            </w:pPr>
            <w:r w:rsidRPr="00E3331A">
              <w:rPr>
                <w:rFonts w:ascii="Arial Narrow" w:hAnsi="Arial Narrow" w:cs="Calibri"/>
                <w:sz w:val="20"/>
                <w:szCs w:val="20"/>
              </w:rPr>
              <w:t>121,856,070</w:t>
            </w:r>
          </w:p>
        </w:tc>
        <w:tc>
          <w:tcPr>
            <w:tcW w:w="639" w:type="pct"/>
            <w:shd w:val="clear" w:color="auto" w:fill="D9D9D9"/>
          </w:tcPr>
          <w:p w:rsidR="00E337C2" w:rsidRPr="00E3331A" w:rsidRDefault="00E337C2" w:rsidP="00E337C2">
            <w:pPr>
              <w:keepNext/>
              <w:spacing w:after="0" w:line="240" w:lineRule="auto"/>
              <w:jc w:val="center"/>
              <w:rPr>
                <w:rFonts w:ascii="Arial Narrow" w:hAnsi="Arial Narrow" w:cs="Arial"/>
                <w:b/>
                <w:noProof/>
                <w:sz w:val="20"/>
                <w:szCs w:val="20"/>
              </w:rPr>
            </w:pPr>
            <w:r w:rsidRPr="00E3331A">
              <w:rPr>
                <w:rFonts w:ascii="Arial Narrow" w:hAnsi="Arial Narrow" w:cs="Calibri"/>
                <w:sz w:val="20"/>
                <w:szCs w:val="20"/>
              </w:rPr>
              <w:t>127,930,089</w:t>
            </w:r>
          </w:p>
        </w:tc>
      </w:tr>
      <w:tr w:rsidR="00E337C2" w:rsidRPr="00E3331A" w:rsidTr="00464E0A">
        <w:trPr>
          <w:trHeight w:val="175"/>
        </w:trPr>
        <w:tc>
          <w:tcPr>
            <w:tcW w:w="1807" w:type="pct"/>
            <w:shd w:val="clear" w:color="auto" w:fill="auto"/>
          </w:tcPr>
          <w:p w:rsidR="00E337C2" w:rsidRPr="00E3331A" w:rsidRDefault="00E337C2" w:rsidP="00E337C2">
            <w:pPr>
              <w:keepNext/>
              <w:spacing w:before="40" w:after="0"/>
              <w:jc w:val="both"/>
              <w:rPr>
                <w:rFonts w:ascii="Arial Narrow" w:hAnsi="Arial Narrow" w:cs="Calibri"/>
                <w:sz w:val="20"/>
                <w:szCs w:val="20"/>
              </w:rPr>
            </w:pPr>
            <w:r w:rsidRPr="00E3331A">
              <w:rPr>
                <w:rFonts w:ascii="Arial Narrow" w:hAnsi="Arial Narrow" w:cs="Calibri"/>
                <w:sz w:val="20"/>
                <w:szCs w:val="20"/>
              </w:rPr>
              <w:t>Rajabally et al. (2009) estimated patient numbers using EFNS/PNS criteria of 4.77 per 100,000</w:t>
            </w:r>
          </w:p>
        </w:tc>
        <w:tc>
          <w:tcPr>
            <w:tcW w:w="638" w:type="pct"/>
            <w:shd w:val="clear" w:color="auto" w:fill="auto"/>
          </w:tcPr>
          <w:p w:rsidR="00E337C2" w:rsidRPr="00E3331A" w:rsidRDefault="00E337C2" w:rsidP="00E337C2">
            <w:pPr>
              <w:keepNext/>
              <w:spacing w:before="40" w:after="0" w:line="240" w:lineRule="auto"/>
              <w:jc w:val="center"/>
              <w:rPr>
                <w:rFonts w:ascii="Arial Narrow" w:hAnsi="Arial Narrow" w:cs="Arial"/>
                <w:noProof/>
                <w:sz w:val="20"/>
                <w:szCs w:val="20"/>
              </w:rPr>
            </w:pPr>
            <w:r w:rsidRPr="00E3331A">
              <w:rPr>
                <w:rFonts w:ascii="Arial Narrow" w:hAnsi="Arial Narrow" w:cs="Calibri"/>
                <w:sz w:val="20"/>
                <w:szCs w:val="20"/>
              </w:rPr>
              <w:t>43,837,187</w:t>
            </w:r>
          </w:p>
        </w:tc>
        <w:tc>
          <w:tcPr>
            <w:tcW w:w="639" w:type="pct"/>
            <w:shd w:val="clear" w:color="auto" w:fill="auto"/>
          </w:tcPr>
          <w:p w:rsidR="00E337C2" w:rsidRPr="00E3331A" w:rsidRDefault="00E337C2" w:rsidP="00E337C2">
            <w:pPr>
              <w:keepNext/>
              <w:spacing w:before="40" w:after="0" w:line="240" w:lineRule="auto"/>
              <w:jc w:val="center"/>
              <w:rPr>
                <w:rFonts w:ascii="Arial Narrow" w:hAnsi="Arial Narrow" w:cs="Arial"/>
                <w:noProof/>
                <w:sz w:val="20"/>
                <w:szCs w:val="20"/>
              </w:rPr>
            </w:pPr>
            <w:r w:rsidRPr="00E3331A">
              <w:rPr>
                <w:rFonts w:ascii="Arial Narrow" w:hAnsi="Arial Narrow" w:cs="Calibri"/>
                <w:sz w:val="20"/>
                <w:szCs w:val="20"/>
              </w:rPr>
              <w:t>46,406,497</w:t>
            </w:r>
          </w:p>
        </w:tc>
        <w:tc>
          <w:tcPr>
            <w:tcW w:w="638" w:type="pct"/>
            <w:shd w:val="clear" w:color="auto" w:fill="auto"/>
          </w:tcPr>
          <w:p w:rsidR="00E337C2" w:rsidRPr="00E3331A" w:rsidRDefault="00E337C2" w:rsidP="00E337C2">
            <w:pPr>
              <w:keepNext/>
              <w:spacing w:before="40" w:after="0" w:line="240" w:lineRule="auto"/>
              <w:jc w:val="center"/>
              <w:rPr>
                <w:rFonts w:ascii="Arial Narrow" w:hAnsi="Arial Narrow" w:cs="Arial"/>
                <w:noProof/>
                <w:sz w:val="20"/>
                <w:szCs w:val="20"/>
              </w:rPr>
            </w:pPr>
            <w:r w:rsidRPr="00E3331A">
              <w:rPr>
                <w:rFonts w:ascii="Arial Narrow" w:hAnsi="Arial Narrow" w:cs="Calibri"/>
                <w:sz w:val="20"/>
                <w:szCs w:val="20"/>
              </w:rPr>
              <w:t>48,975,807</w:t>
            </w:r>
          </w:p>
        </w:tc>
        <w:tc>
          <w:tcPr>
            <w:tcW w:w="639" w:type="pct"/>
            <w:shd w:val="clear" w:color="auto" w:fill="auto"/>
          </w:tcPr>
          <w:p w:rsidR="00E337C2" w:rsidRPr="00E3331A" w:rsidRDefault="00E337C2" w:rsidP="00E337C2">
            <w:pPr>
              <w:keepNext/>
              <w:spacing w:before="40" w:after="0" w:line="240" w:lineRule="auto"/>
              <w:jc w:val="center"/>
              <w:rPr>
                <w:rFonts w:ascii="Arial Narrow" w:hAnsi="Arial Narrow" w:cs="Arial"/>
                <w:noProof/>
                <w:sz w:val="20"/>
                <w:szCs w:val="20"/>
              </w:rPr>
            </w:pPr>
            <w:r w:rsidRPr="00E3331A">
              <w:rPr>
                <w:rFonts w:ascii="Arial Narrow" w:hAnsi="Arial Narrow" w:cs="Calibri"/>
                <w:sz w:val="20"/>
                <w:szCs w:val="20"/>
              </w:rPr>
              <w:t>51,545,118</w:t>
            </w:r>
          </w:p>
        </w:tc>
        <w:tc>
          <w:tcPr>
            <w:tcW w:w="639" w:type="pct"/>
            <w:shd w:val="clear" w:color="auto" w:fill="auto"/>
          </w:tcPr>
          <w:p w:rsidR="00E337C2" w:rsidRPr="00E3331A" w:rsidRDefault="00E337C2" w:rsidP="00E337C2">
            <w:pPr>
              <w:keepNext/>
              <w:spacing w:before="40" w:after="0" w:line="240" w:lineRule="auto"/>
              <w:jc w:val="center"/>
              <w:rPr>
                <w:rFonts w:ascii="Arial Narrow" w:hAnsi="Arial Narrow" w:cs="Arial"/>
                <w:noProof/>
                <w:sz w:val="20"/>
                <w:szCs w:val="20"/>
              </w:rPr>
            </w:pPr>
            <w:r w:rsidRPr="00E3331A">
              <w:rPr>
                <w:rFonts w:ascii="Arial Narrow" w:hAnsi="Arial Narrow" w:cs="Calibri"/>
                <w:sz w:val="20"/>
                <w:szCs w:val="20"/>
              </w:rPr>
              <w:t>54,114,428</w:t>
            </w:r>
          </w:p>
        </w:tc>
      </w:tr>
      <w:tr w:rsidR="00E337C2" w:rsidRPr="00E3331A" w:rsidTr="00464E0A">
        <w:trPr>
          <w:trHeight w:val="175"/>
        </w:trPr>
        <w:tc>
          <w:tcPr>
            <w:tcW w:w="1807" w:type="pct"/>
            <w:shd w:val="clear" w:color="auto" w:fill="auto"/>
          </w:tcPr>
          <w:p w:rsidR="00E337C2" w:rsidRPr="00E3331A" w:rsidRDefault="00E337C2" w:rsidP="00E337C2">
            <w:pPr>
              <w:keepNext/>
              <w:spacing w:before="40" w:after="0"/>
              <w:jc w:val="both"/>
              <w:rPr>
                <w:rFonts w:ascii="Arial Narrow" w:hAnsi="Arial Narrow" w:cs="Calibri"/>
                <w:sz w:val="20"/>
                <w:szCs w:val="20"/>
              </w:rPr>
            </w:pPr>
            <w:r w:rsidRPr="00E3331A">
              <w:rPr>
                <w:rFonts w:ascii="Arial Narrow" w:hAnsi="Arial Narrow" w:cs="Calibri"/>
                <w:sz w:val="20"/>
                <w:szCs w:val="20"/>
              </w:rPr>
              <w:t>McLeod et al. (1999) estimated patient numbers using AAN criteria resulting in 1.9 per 100,000</w:t>
            </w:r>
          </w:p>
        </w:tc>
        <w:tc>
          <w:tcPr>
            <w:tcW w:w="638" w:type="pct"/>
            <w:shd w:val="clear" w:color="auto" w:fill="auto"/>
          </w:tcPr>
          <w:p w:rsidR="00E337C2" w:rsidRPr="00E3331A" w:rsidRDefault="00E337C2" w:rsidP="00E337C2">
            <w:pPr>
              <w:keepNext/>
              <w:spacing w:before="40" w:after="0" w:line="240" w:lineRule="auto"/>
              <w:jc w:val="center"/>
              <w:rPr>
                <w:rFonts w:ascii="Arial Narrow" w:hAnsi="Arial Narrow" w:cs="Arial"/>
                <w:noProof/>
                <w:sz w:val="20"/>
                <w:szCs w:val="20"/>
              </w:rPr>
            </w:pPr>
            <w:r w:rsidRPr="00E3331A">
              <w:rPr>
                <w:rFonts w:ascii="Arial Narrow" w:hAnsi="Arial Narrow" w:cs="Calibri"/>
                <w:sz w:val="20"/>
                <w:szCs w:val="20"/>
              </w:rPr>
              <w:t>17,514,148</w:t>
            </w:r>
          </w:p>
        </w:tc>
        <w:tc>
          <w:tcPr>
            <w:tcW w:w="639" w:type="pct"/>
            <w:shd w:val="clear" w:color="auto" w:fill="auto"/>
          </w:tcPr>
          <w:p w:rsidR="00E337C2" w:rsidRPr="00E3331A" w:rsidRDefault="00E337C2" w:rsidP="00E337C2">
            <w:pPr>
              <w:keepNext/>
              <w:spacing w:before="40" w:after="0" w:line="240" w:lineRule="auto"/>
              <w:jc w:val="center"/>
              <w:rPr>
                <w:rFonts w:ascii="Arial Narrow" w:hAnsi="Arial Narrow" w:cs="Arial"/>
                <w:noProof/>
                <w:sz w:val="20"/>
                <w:szCs w:val="20"/>
              </w:rPr>
            </w:pPr>
            <w:r w:rsidRPr="00E3331A">
              <w:rPr>
                <w:rFonts w:ascii="Arial Narrow" w:hAnsi="Arial Narrow" w:cs="Calibri"/>
                <w:sz w:val="20"/>
                <w:szCs w:val="20"/>
              </w:rPr>
              <w:t>18,540,657</w:t>
            </w:r>
          </w:p>
        </w:tc>
        <w:tc>
          <w:tcPr>
            <w:tcW w:w="638" w:type="pct"/>
            <w:shd w:val="clear" w:color="auto" w:fill="auto"/>
          </w:tcPr>
          <w:p w:rsidR="00E337C2" w:rsidRPr="00E3331A" w:rsidRDefault="00E337C2" w:rsidP="00E337C2">
            <w:pPr>
              <w:keepNext/>
              <w:spacing w:before="40" w:after="0" w:line="240" w:lineRule="auto"/>
              <w:jc w:val="center"/>
              <w:rPr>
                <w:rFonts w:ascii="Arial Narrow" w:hAnsi="Arial Narrow" w:cs="Arial"/>
                <w:noProof/>
                <w:sz w:val="20"/>
                <w:szCs w:val="20"/>
              </w:rPr>
            </w:pPr>
            <w:r w:rsidRPr="00E3331A">
              <w:rPr>
                <w:rFonts w:ascii="Arial Narrow" w:hAnsi="Arial Narrow" w:cs="Calibri"/>
                <w:sz w:val="20"/>
                <w:szCs w:val="20"/>
              </w:rPr>
              <w:t>19,567,167</w:t>
            </w:r>
          </w:p>
        </w:tc>
        <w:tc>
          <w:tcPr>
            <w:tcW w:w="639" w:type="pct"/>
            <w:shd w:val="clear" w:color="auto" w:fill="auto"/>
          </w:tcPr>
          <w:p w:rsidR="00E337C2" w:rsidRPr="00E3331A" w:rsidRDefault="00E337C2" w:rsidP="00E337C2">
            <w:pPr>
              <w:keepNext/>
              <w:spacing w:before="40" w:after="0" w:line="240" w:lineRule="auto"/>
              <w:jc w:val="center"/>
              <w:rPr>
                <w:rFonts w:ascii="Arial Narrow" w:hAnsi="Arial Narrow" w:cs="Arial"/>
                <w:noProof/>
                <w:sz w:val="20"/>
                <w:szCs w:val="20"/>
              </w:rPr>
            </w:pPr>
            <w:r w:rsidRPr="00E3331A">
              <w:rPr>
                <w:rFonts w:ascii="Arial Narrow" w:hAnsi="Arial Narrow" w:cs="Calibri"/>
                <w:sz w:val="20"/>
                <w:szCs w:val="20"/>
              </w:rPr>
              <w:t>20,593,676</w:t>
            </w:r>
          </w:p>
        </w:tc>
        <w:tc>
          <w:tcPr>
            <w:tcW w:w="639" w:type="pct"/>
            <w:shd w:val="clear" w:color="auto" w:fill="auto"/>
          </w:tcPr>
          <w:p w:rsidR="00E337C2" w:rsidRPr="00E3331A" w:rsidRDefault="00E337C2" w:rsidP="00E337C2">
            <w:pPr>
              <w:keepNext/>
              <w:spacing w:before="40" w:after="0" w:line="240" w:lineRule="auto"/>
              <w:jc w:val="center"/>
              <w:rPr>
                <w:rFonts w:ascii="Arial Narrow" w:hAnsi="Arial Narrow" w:cs="Arial"/>
                <w:noProof/>
                <w:sz w:val="20"/>
                <w:szCs w:val="20"/>
              </w:rPr>
            </w:pPr>
            <w:r w:rsidRPr="00E3331A">
              <w:rPr>
                <w:rFonts w:ascii="Arial Narrow" w:hAnsi="Arial Narrow" w:cs="Calibri"/>
                <w:sz w:val="20"/>
                <w:szCs w:val="20"/>
              </w:rPr>
              <w:t>21,620,185</w:t>
            </w:r>
          </w:p>
        </w:tc>
      </w:tr>
      <w:tr w:rsidR="00F80CB7" w:rsidRPr="00E3331A" w:rsidTr="00464E0A">
        <w:trPr>
          <w:trHeight w:val="175"/>
        </w:trPr>
        <w:tc>
          <w:tcPr>
            <w:tcW w:w="1807" w:type="pct"/>
            <w:shd w:val="clear" w:color="auto" w:fill="auto"/>
          </w:tcPr>
          <w:p w:rsidR="00F80CB7" w:rsidRPr="00F80CB7" w:rsidRDefault="00F80CB7" w:rsidP="00F80CB7">
            <w:r w:rsidRPr="00D45B1D">
              <w:t>REDACTED</w:t>
            </w:r>
          </w:p>
        </w:tc>
        <w:tc>
          <w:tcPr>
            <w:tcW w:w="638" w:type="pct"/>
            <w:shd w:val="clear" w:color="auto" w:fill="auto"/>
          </w:tcPr>
          <w:p w:rsidR="00F80CB7" w:rsidRPr="00F80CB7" w:rsidRDefault="00F80CB7" w:rsidP="00F80CB7">
            <w:pPr>
              <w:rPr>
                <w:sz w:val="18"/>
                <w:szCs w:val="18"/>
              </w:rPr>
            </w:pPr>
            <w:r w:rsidRPr="00D45B1D">
              <w:rPr>
                <w:sz w:val="18"/>
                <w:szCs w:val="18"/>
              </w:rPr>
              <w:t>REDACTED</w:t>
            </w:r>
          </w:p>
        </w:tc>
        <w:tc>
          <w:tcPr>
            <w:tcW w:w="639" w:type="pct"/>
            <w:shd w:val="clear" w:color="auto" w:fill="auto"/>
          </w:tcPr>
          <w:p w:rsidR="00F80CB7" w:rsidRDefault="00F80CB7" w:rsidP="00F80CB7">
            <w:r w:rsidRPr="00233567">
              <w:rPr>
                <w:sz w:val="18"/>
                <w:szCs w:val="18"/>
              </w:rPr>
              <w:t>REDACTED</w:t>
            </w:r>
          </w:p>
        </w:tc>
        <w:tc>
          <w:tcPr>
            <w:tcW w:w="638" w:type="pct"/>
            <w:shd w:val="clear" w:color="auto" w:fill="auto"/>
          </w:tcPr>
          <w:p w:rsidR="00F80CB7" w:rsidRDefault="00F80CB7" w:rsidP="00F80CB7">
            <w:r w:rsidRPr="00233567">
              <w:rPr>
                <w:sz w:val="18"/>
                <w:szCs w:val="18"/>
              </w:rPr>
              <w:t>REDACTED</w:t>
            </w:r>
          </w:p>
        </w:tc>
        <w:tc>
          <w:tcPr>
            <w:tcW w:w="639" w:type="pct"/>
            <w:shd w:val="clear" w:color="auto" w:fill="auto"/>
          </w:tcPr>
          <w:p w:rsidR="00F80CB7" w:rsidRDefault="00F80CB7" w:rsidP="00F80CB7">
            <w:r w:rsidRPr="00233567">
              <w:rPr>
                <w:sz w:val="18"/>
                <w:szCs w:val="18"/>
              </w:rPr>
              <w:t>REDACTED</w:t>
            </w:r>
          </w:p>
        </w:tc>
        <w:tc>
          <w:tcPr>
            <w:tcW w:w="639" w:type="pct"/>
            <w:shd w:val="clear" w:color="auto" w:fill="auto"/>
          </w:tcPr>
          <w:p w:rsidR="00F80CB7" w:rsidRDefault="00F80CB7" w:rsidP="00F80CB7">
            <w:r w:rsidRPr="00233567">
              <w:rPr>
                <w:sz w:val="18"/>
                <w:szCs w:val="18"/>
              </w:rPr>
              <w:t>REDACTED</w:t>
            </w:r>
          </w:p>
        </w:tc>
      </w:tr>
      <w:tr w:rsidR="00E337C2" w:rsidRPr="00E3331A" w:rsidTr="00464E0A">
        <w:trPr>
          <w:trHeight w:val="175"/>
        </w:trPr>
        <w:tc>
          <w:tcPr>
            <w:tcW w:w="1807" w:type="pct"/>
            <w:shd w:val="clear" w:color="auto" w:fill="auto"/>
          </w:tcPr>
          <w:p w:rsidR="00E337C2" w:rsidRPr="00E3331A" w:rsidRDefault="00E337C2" w:rsidP="00E337C2">
            <w:pPr>
              <w:keepNext/>
              <w:spacing w:before="40" w:after="0"/>
              <w:jc w:val="both"/>
              <w:rPr>
                <w:rFonts w:ascii="Arial Narrow" w:hAnsi="Arial Narrow" w:cs="Arial"/>
                <w:noProof/>
                <w:sz w:val="20"/>
                <w:szCs w:val="20"/>
              </w:rPr>
            </w:pPr>
            <w:r w:rsidRPr="00E3331A">
              <w:rPr>
                <w:rFonts w:ascii="Arial Narrow" w:hAnsi="Arial Narrow" w:cs="Calibri"/>
                <w:color w:val="000000"/>
                <w:sz w:val="20"/>
                <w:szCs w:val="20"/>
              </w:rPr>
              <w:t>Price of Ig product $140.18</w:t>
            </w:r>
          </w:p>
        </w:tc>
        <w:tc>
          <w:tcPr>
            <w:tcW w:w="638" w:type="pct"/>
            <w:shd w:val="clear" w:color="auto" w:fill="auto"/>
          </w:tcPr>
          <w:p w:rsidR="00E337C2" w:rsidRPr="00E3331A" w:rsidRDefault="00E337C2" w:rsidP="00E337C2">
            <w:pPr>
              <w:keepNext/>
              <w:spacing w:after="0" w:line="240" w:lineRule="auto"/>
              <w:jc w:val="center"/>
              <w:rPr>
                <w:rFonts w:ascii="Arial Narrow" w:hAnsi="Arial Narrow" w:cs="Arial"/>
                <w:noProof/>
                <w:sz w:val="20"/>
                <w:szCs w:val="20"/>
              </w:rPr>
            </w:pPr>
            <w:r w:rsidRPr="00E3331A">
              <w:rPr>
                <w:rFonts w:ascii="Arial Narrow" w:hAnsi="Arial Narrow" w:cs="Calibri"/>
                <w:sz w:val="20"/>
                <w:szCs w:val="20"/>
              </w:rPr>
              <w:t>220,028,095</w:t>
            </w:r>
          </w:p>
        </w:tc>
        <w:tc>
          <w:tcPr>
            <w:tcW w:w="639" w:type="pct"/>
            <w:shd w:val="clear" w:color="auto" w:fill="auto"/>
          </w:tcPr>
          <w:p w:rsidR="00E337C2" w:rsidRPr="00E3331A" w:rsidRDefault="00E337C2" w:rsidP="00E337C2">
            <w:pPr>
              <w:keepNext/>
              <w:spacing w:after="0" w:line="240" w:lineRule="auto"/>
              <w:jc w:val="center"/>
              <w:rPr>
                <w:rFonts w:ascii="Arial Narrow" w:hAnsi="Arial Narrow" w:cs="Arial"/>
                <w:noProof/>
                <w:sz w:val="20"/>
                <w:szCs w:val="20"/>
              </w:rPr>
            </w:pPr>
            <w:r w:rsidRPr="00E3331A">
              <w:rPr>
                <w:rFonts w:ascii="Arial Narrow" w:hAnsi="Arial Narrow" w:cs="Calibri"/>
                <w:sz w:val="20"/>
                <w:szCs w:val="20"/>
              </w:rPr>
              <w:t>232,924,004</w:t>
            </w:r>
          </w:p>
        </w:tc>
        <w:tc>
          <w:tcPr>
            <w:tcW w:w="638" w:type="pct"/>
            <w:shd w:val="clear" w:color="auto" w:fill="auto"/>
          </w:tcPr>
          <w:p w:rsidR="00E337C2" w:rsidRPr="00E3331A" w:rsidRDefault="00E337C2" w:rsidP="00E337C2">
            <w:pPr>
              <w:keepNext/>
              <w:spacing w:after="0" w:line="240" w:lineRule="auto"/>
              <w:jc w:val="center"/>
              <w:rPr>
                <w:rFonts w:ascii="Arial Narrow" w:hAnsi="Arial Narrow" w:cs="Arial"/>
                <w:noProof/>
                <w:sz w:val="20"/>
                <w:szCs w:val="20"/>
              </w:rPr>
            </w:pPr>
            <w:r w:rsidRPr="00E3331A">
              <w:rPr>
                <w:rFonts w:ascii="Arial Narrow" w:hAnsi="Arial Narrow" w:cs="Calibri"/>
                <w:sz w:val="20"/>
                <w:szCs w:val="20"/>
              </w:rPr>
              <w:t>245,819,914</w:t>
            </w:r>
          </w:p>
        </w:tc>
        <w:tc>
          <w:tcPr>
            <w:tcW w:w="639" w:type="pct"/>
            <w:shd w:val="clear" w:color="auto" w:fill="auto"/>
          </w:tcPr>
          <w:p w:rsidR="00E337C2" w:rsidRPr="00E3331A" w:rsidRDefault="00E337C2" w:rsidP="00E337C2">
            <w:pPr>
              <w:keepNext/>
              <w:spacing w:after="0" w:line="240" w:lineRule="auto"/>
              <w:jc w:val="center"/>
              <w:rPr>
                <w:rFonts w:ascii="Arial Narrow" w:hAnsi="Arial Narrow" w:cs="Arial"/>
                <w:noProof/>
                <w:sz w:val="20"/>
                <w:szCs w:val="20"/>
              </w:rPr>
            </w:pPr>
            <w:r w:rsidRPr="00E3331A">
              <w:rPr>
                <w:rFonts w:ascii="Arial Narrow" w:hAnsi="Arial Narrow" w:cs="Calibri"/>
                <w:sz w:val="20"/>
                <w:szCs w:val="20"/>
              </w:rPr>
              <w:t>258,715,824</w:t>
            </w:r>
          </w:p>
        </w:tc>
        <w:tc>
          <w:tcPr>
            <w:tcW w:w="639" w:type="pct"/>
            <w:shd w:val="clear" w:color="auto" w:fill="auto"/>
          </w:tcPr>
          <w:p w:rsidR="00E337C2" w:rsidRPr="00E3331A" w:rsidRDefault="00E337C2" w:rsidP="00E337C2">
            <w:pPr>
              <w:keepNext/>
              <w:spacing w:after="0" w:line="240" w:lineRule="auto"/>
              <w:jc w:val="center"/>
              <w:rPr>
                <w:rFonts w:ascii="Arial Narrow" w:hAnsi="Arial Narrow" w:cs="Arial"/>
                <w:noProof/>
                <w:sz w:val="20"/>
                <w:szCs w:val="20"/>
              </w:rPr>
            </w:pPr>
            <w:r w:rsidRPr="00E3331A">
              <w:rPr>
                <w:rFonts w:ascii="Arial Narrow" w:hAnsi="Arial Narrow" w:cs="Calibri"/>
                <w:sz w:val="20"/>
                <w:szCs w:val="20"/>
              </w:rPr>
              <w:t>271,611,733</w:t>
            </w:r>
          </w:p>
        </w:tc>
      </w:tr>
      <w:tr w:rsidR="00E337C2" w:rsidRPr="00E3331A" w:rsidTr="00464E0A">
        <w:trPr>
          <w:trHeight w:val="175"/>
        </w:trPr>
        <w:tc>
          <w:tcPr>
            <w:tcW w:w="1807" w:type="pct"/>
            <w:shd w:val="clear" w:color="auto" w:fill="auto"/>
          </w:tcPr>
          <w:p w:rsidR="00E337C2" w:rsidRPr="00E3331A" w:rsidRDefault="00E337C2" w:rsidP="00E337C2">
            <w:pPr>
              <w:keepNext/>
              <w:spacing w:before="40" w:after="0"/>
              <w:jc w:val="both"/>
              <w:rPr>
                <w:rFonts w:ascii="Arial Narrow" w:hAnsi="Arial Narrow" w:cs="Calibri"/>
                <w:sz w:val="20"/>
                <w:szCs w:val="20"/>
              </w:rPr>
            </w:pPr>
            <w:r w:rsidRPr="00E3331A">
              <w:rPr>
                <w:rFonts w:ascii="Arial Narrow" w:hAnsi="Arial Narrow" w:cs="Calibri"/>
                <w:color w:val="000000"/>
                <w:sz w:val="20"/>
                <w:szCs w:val="20"/>
              </w:rPr>
              <w:t>Price of Ig product $44.94</w:t>
            </w:r>
          </w:p>
        </w:tc>
        <w:tc>
          <w:tcPr>
            <w:tcW w:w="638" w:type="pct"/>
            <w:shd w:val="clear" w:color="auto" w:fill="auto"/>
          </w:tcPr>
          <w:p w:rsidR="00E337C2" w:rsidRPr="00E3331A" w:rsidRDefault="00E337C2" w:rsidP="00E337C2">
            <w:pPr>
              <w:keepNext/>
              <w:spacing w:before="40" w:after="0" w:line="240" w:lineRule="auto"/>
              <w:jc w:val="center"/>
              <w:rPr>
                <w:rFonts w:ascii="Arial Narrow" w:hAnsi="Arial Narrow" w:cs="Arial"/>
                <w:noProof/>
                <w:sz w:val="20"/>
                <w:szCs w:val="20"/>
              </w:rPr>
            </w:pPr>
            <w:r w:rsidRPr="00E3331A">
              <w:rPr>
                <w:rFonts w:ascii="Arial Narrow" w:hAnsi="Arial Narrow" w:cs="Calibri"/>
                <w:sz w:val="20"/>
                <w:szCs w:val="20"/>
              </w:rPr>
              <w:t>81,061,410</w:t>
            </w:r>
          </w:p>
        </w:tc>
        <w:tc>
          <w:tcPr>
            <w:tcW w:w="639" w:type="pct"/>
            <w:shd w:val="clear" w:color="auto" w:fill="auto"/>
          </w:tcPr>
          <w:p w:rsidR="00E337C2" w:rsidRPr="00E3331A" w:rsidRDefault="00E337C2" w:rsidP="00E337C2">
            <w:pPr>
              <w:keepNext/>
              <w:spacing w:before="40" w:after="0" w:line="240" w:lineRule="auto"/>
              <w:jc w:val="center"/>
              <w:rPr>
                <w:rFonts w:ascii="Arial Narrow" w:hAnsi="Arial Narrow" w:cs="Arial"/>
                <w:noProof/>
                <w:sz w:val="20"/>
                <w:szCs w:val="20"/>
              </w:rPr>
            </w:pPr>
            <w:r w:rsidRPr="00E3331A">
              <w:rPr>
                <w:rFonts w:ascii="Arial Narrow" w:hAnsi="Arial Narrow" w:cs="Calibri"/>
                <w:sz w:val="20"/>
                <w:szCs w:val="20"/>
              </w:rPr>
              <w:t>85,812,443</w:t>
            </w:r>
          </w:p>
        </w:tc>
        <w:tc>
          <w:tcPr>
            <w:tcW w:w="638" w:type="pct"/>
            <w:shd w:val="clear" w:color="auto" w:fill="auto"/>
          </w:tcPr>
          <w:p w:rsidR="00E337C2" w:rsidRPr="00E3331A" w:rsidRDefault="00E337C2" w:rsidP="00E337C2">
            <w:pPr>
              <w:keepNext/>
              <w:spacing w:before="40" w:after="0" w:line="240" w:lineRule="auto"/>
              <w:jc w:val="center"/>
              <w:rPr>
                <w:rFonts w:ascii="Arial Narrow" w:hAnsi="Arial Narrow" w:cs="Arial"/>
                <w:noProof/>
                <w:sz w:val="20"/>
                <w:szCs w:val="20"/>
              </w:rPr>
            </w:pPr>
            <w:r w:rsidRPr="00E3331A">
              <w:rPr>
                <w:rFonts w:ascii="Arial Narrow" w:hAnsi="Arial Narrow" w:cs="Calibri"/>
                <w:sz w:val="20"/>
                <w:szCs w:val="20"/>
              </w:rPr>
              <w:t>90,563,475</w:t>
            </w:r>
          </w:p>
        </w:tc>
        <w:tc>
          <w:tcPr>
            <w:tcW w:w="639" w:type="pct"/>
            <w:shd w:val="clear" w:color="auto" w:fill="auto"/>
          </w:tcPr>
          <w:p w:rsidR="00E337C2" w:rsidRPr="00E3331A" w:rsidRDefault="00E337C2" w:rsidP="00E337C2">
            <w:pPr>
              <w:keepNext/>
              <w:spacing w:before="40" w:after="0" w:line="240" w:lineRule="auto"/>
              <w:jc w:val="center"/>
              <w:rPr>
                <w:rFonts w:ascii="Arial Narrow" w:hAnsi="Arial Narrow" w:cs="Arial"/>
                <w:noProof/>
                <w:sz w:val="20"/>
                <w:szCs w:val="20"/>
              </w:rPr>
            </w:pPr>
            <w:r w:rsidRPr="00E3331A">
              <w:rPr>
                <w:rFonts w:ascii="Arial Narrow" w:hAnsi="Arial Narrow" w:cs="Calibri"/>
                <w:sz w:val="20"/>
                <w:szCs w:val="20"/>
              </w:rPr>
              <w:t>95,314,508</w:t>
            </w:r>
          </w:p>
        </w:tc>
        <w:tc>
          <w:tcPr>
            <w:tcW w:w="639" w:type="pct"/>
            <w:shd w:val="clear" w:color="auto" w:fill="auto"/>
          </w:tcPr>
          <w:p w:rsidR="00E337C2" w:rsidRPr="00E3331A" w:rsidRDefault="00E337C2" w:rsidP="00E337C2">
            <w:pPr>
              <w:keepNext/>
              <w:spacing w:before="40" w:after="0" w:line="240" w:lineRule="auto"/>
              <w:jc w:val="center"/>
              <w:rPr>
                <w:rFonts w:ascii="Arial Narrow" w:hAnsi="Arial Narrow" w:cs="Arial"/>
                <w:noProof/>
                <w:sz w:val="20"/>
                <w:szCs w:val="20"/>
              </w:rPr>
            </w:pPr>
            <w:r w:rsidRPr="00E3331A">
              <w:rPr>
                <w:rFonts w:ascii="Arial Narrow" w:hAnsi="Arial Narrow" w:cs="Calibri"/>
                <w:sz w:val="20"/>
                <w:szCs w:val="20"/>
              </w:rPr>
              <w:t>100,065,540</w:t>
            </w:r>
          </w:p>
        </w:tc>
      </w:tr>
      <w:tr w:rsidR="00E337C2" w:rsidRPr="00E3331A" w:rsidTr="00464E0A">
        <w:trPr>
          <w:trHeight w:val="354"/>
        </w:trPr>
        <w:tc>
          <w:tcPr>
            <w:tcW w:w="1807" w:type="pct"/>
            <w:shd w:val="clear" w:color="auto" w:fill="auto"/>
          </w:tcPr>
          <w:p w:rsidR="00E337C2" w:rsidRPr="00E3331A" w:rsidRDefault="00E337C2" w:rsidP="00E337C2">
            <w:pPr>
              <w:keepNext/>
              <w:spacing w:before="40" w:after="0"/>
              <w:jc w:val="both"/>
              <w:rPr>
                <w:rFonts w:ascii="Arial Narrow" w:hAnsi="Arial Narrow" w:cs="Arial"/>
                <w:noProof/>
                <w:sz w:val="20"/>
                <w:szCs w:val="20"/>
              </w:rPr>
            </w:pPr>
            <w:r w:rsidRPr="00E3331A">
              <w:rPr>
                <w:rFonts w:ascii="Arial Narrow" w:hAnsi="Arial Narrow" w:cs="Calibri"/>
                <w:color w:val="000000"/>
                <w:sz w:val="20"/>
                <w:szCs w:val="20"/>
              </w:rPr>
              <w:t>Price of Ig product $94.51</w:t>
            </w:r>
          </w:p>
        </w:tc>
        <w:tc>
          <w:tcPr>
            <w:tcW w:w="638" w:type="pct"/>
            <w:shd w:val="clear" w:color="auto" w:fill="auto"/>
          </w:tcPr>
          <w:p w:rsidR="00E337C2" w:rsidRPr="00E3331A" w:rsidRDefault="00E337C2" w:rsidP="00E337C2">
            <w:pPr>
              <w:keepNext/>
              <w:spacing w:after="0" w:line="240" w:lineRule="auto"/>
              <w:jc w:val="center"/>
              <w:rPr>
                <w:rFonts w:ascii="Arial Narrow" w:hAnsi="Arial Narrow" w:cs="Arial"/>
                <w:noProof/>
                <w:sz w:val="20"/>
                <w:szCs w:val="20"/>
              </w:rPr>
            </w:pPr>
            <w:r w:rsidRPr="00E3331A">
              <w:rPr>
                <w:rFonts w:ascii="Arial Narrow" w:hAnsi="Arial Narrow" w:cs="Calibri"/>
                <w:sz w:val="20"/>
                <w:szCs w:val="20"/>
              </w:rPr>
              <w:t>153,390,038</w:t>
            </w:r>
          </w:p>
        </w:tc>
        <w:tc>
          <w:tcPr>
            <w:tcW w:w="639" w:type="pct"/>
            <w:shd w:val="clear" w:color="auto" w:fill="auto"/>
          </w:tcPr>
          <w:p w:rsidR="00E337C2" w:rsidRPr="00E3331A" w:rsidRDefault="00E337C2" w:rsidP="00E337C2">
            <w:pPr>
              <w:keepNext/>
              <w:spacing w:after="0" w:line="240" w:lineRule="auto"/>
              <w:jc w:val="center"/>
              <w:rPr>
                <w:rFonts w:ascii="Arial Narrow" w:hAnsi="Arial Narrow" w:cs="Arial"/>
                <w:noProof/>
                <w:sz w:val="20"/>
                <w:szCs w:val="20"/>
              </w:rPr>
            </w:pPr>
            <w:r w:rsidRPr="00E3331A">
              <w:rPr>
                <w:rFonts w:ascii="Arial Narrow" w:hAnsi="Arial Narrow" w:cs="Calibri"/>
                <w:sz w:val="20"/>
                <w:szCs w:val="20"/>
              </w:rPr>
              <w:t>162,380,273</w:t>
            </w:r>
          </w:p>
        </w:tc>
        <w:tc>
          <w:tcPr>
            <w:tcW w:w="638" w:type="pct"/>
            <w:shd w:val="clear" w:color="auto" w:fill="auto"/>
          </w:tcPr>
          <w:p w:rsidR="00E337C2" w:rsidRPr="00E3331A" w:rsidRDefault="00E337C2" w:rsidP="00E337C2">
            <w:pPr>
              <w:keepNext/>
              <w:spacing w:after="0" w:line="240" w:lineRule="auto"/>
              <w:jc w:val="center"/>
              <w:rPr>
                <w:rFonts w:ascii="Arial Narrow" w:hAnsi="Arial Narrow" w:cs="Arial"/>
                <w:noProof/>
                <w:sz w:val="20"/>
                <w:szCs w:val="20"/>
              </w:rPr>
            </w:pPr>
            <w:r w:rsidRPr="00E3331A">
              <w:rPr>
                <w:rFonts w:ascii="Arial Narrow" w:hAnsi="Arial Narrow" w:cs="Calibri"/>
                <w:sz w:val="20"/>
                <w:szCs w:val="20"/>
              </w:rPr>
              <w:t>171,370,507</w:t>
            </w:r>
          </w:p>
        </w:tc>
        <w:tc>
          <w:tcPr>
            <w:tcW w:w="639" w:type="pct"/>
            <w:shd w:val="clear" w:color="auto" w:fill="auto"/>
          </w:tcPr>
          <w:p w:rsidR="00E337C2" w:rsidRPr="00E3331A" w:rsidRDefault="00E337C2" w:rsidP="00E337C2">
            <w:pPr>
              <w:keepNext/>
              <w:spacing w:after="0" w:line="240" w:lineRule="auto"/>
              <w:jc w:val="center"/>
              <w:rPr>
                <w:rFonts w:ascii="Arial Narrow" w:hAnsi="Arial Narrow" w:cs="Arial"/>
                <w:noProof/>
                <w:sz w:val="20"/>
                <w:szCs w:val="20"/>
              </w:rPr>
            </w:pPr>
            <w:r w:rsidRPr="00E3331A">
              <w:rPr>
                <w:rFonts w:ascii="Arial Narrow" w:hAnsi="Arial Narrow" w:cs="Calibri"/>
                <w:sz w:val="20"/>
                <w:szCs w:val="20"/>
              </w:rPr>
              <w:t>180,360,741</w:t>
            </w:r>
          </w:p>
        </w:tc>
        <w:tc>
          <w:tcPr>
            <w:tcW w:w="639" w:type="pct"/>
            <w:shd w:val="clear" w:color="auto" w:fill="auto"/>
          </w:tcPr>
          <w:p w:rsidR="00E337C2" w:rsidRPr="00E3331A" w:rsidRDefault="00E337C2" w:rsidP="00E337C2">
            <w:pPr>
              <w:keepNext/>
              <w:spacing w:after="0" w:line="240" w:lineRule="auto"/>
              <w:jc w:val="center"/>
              <w:rPr>
                <w:rFonts w:ascii="Arial Narrow" w:hAnsi="Arial Narrow" w:cs="Arial"/>
                <w:noProof/>
                <w:sz w:val="20"/>
                <w:szCs w:val="20"/>
              </w:rPr>
            </w:pPr>
            <w:r w:rsidRPr="00E3331A">
              <w:rPr>
                <w:rFonts w:ascii="Arial Narrow" w:hAnsi="Arial Narrow" w:cs="Calibri"/>
                <w:sz w:val="20"/>
                <w:szCs w:val="20"/>
              </w:rPr>
              <w:t>189,350,975</w:t>
            </w:r>
          </w:p>
        </w:tc>
      </w:tr>
      <w:tr w:rsidR="00E337C2" w:rsidRPr="00E3331A" w:rsidTr="00464E0A">
        <w:trPr>
          <w:trHeight w:val="354"/>
        </w:trPr>
        <w:tc>
          <w:tcPr>
            <w:tcW w:w="1807" w:type="pct"/>
            <w:shd w:val="clear" w:color="auto" w:fill="auto"/>
          </w:tcPr>
          <w:p w:rsidR="00E337C2" w:rsidRPr="00E3331A" w:rsidRDefault="00E337C2" w:rsidP="00E337C2">
            <w:pPr>
              <w:keepNext/>
              <w:spacing w:before="40" w:after="0"/>
              <w:jc w:val="both"/>
              <w:rPr>
                <w:rFonts w:ascii="Arial Narrow" w:hAnsi="Arial Narrow" w:cs="Calibri"/>
                <w:sz w:val="20"/>
                <w:szCs w:val="20"/>
              </w:rPr>
            </w:pPr>
            <w:r w:rsidRPr="00E3331A">
              <w:rPr>
                <w:rFonts w:ascii="Arial Narrow" w:hAnsi="Arial Narrow" w:cs="Calibri"/>
                <w:color w:val="000000"/>
                <w:sz w:val="20"/>
                <w:szCs w:val="20"/>
              </w:rPr>
              <w:t>Average grams per person 497 (+10%)</w:t>
            </w:r>
          </w:p>
        </w:tc>
        <w:tc>
          <w:tcPr>
            <w:tcW w:w="638" w:type="pct"/>
            <w:shd w:val="clear" w:color="auto" w:fill="auto"/>
          </w:tcPr>
          <w:p w:rsidR="00E337C2" w:rsidRPr="00E3331A" w:rsidDel="00C04E81" w:rsidRDefault="00E337C2" w:rsidP="00E337C2">
            <w:pPr>
              <w:keepNext/>
              <w:spacing w:before="40" w:after="0" w:line="240" w:lineRule="auto"/>
              <w:jc w:val="center"/>
              <w:rPr>
                <w:rFonts w:ascii="Arial Narrow" w:hAnsi="Arial Narrow" w:cs="Calibri"/>
                <w:sz w:val="20"/>
                <w:szCs w:val="20"/>
              </w:rPr>
            </w:pPr>
            <w:r w:rsidRPr="00E3331A">
              <w:rPr>
                <w:rFonts w:ascii="Arial Narrow" w:hAnsi="Arial Narrow" w:cs="Calibri"/>
                <w:sz w:val="20"/>
                <w:szCs w:val="20"/>
              </w:rPr>
              <w:t>112,448,562</w:t>
            </w:r>
          </w:p>
        </w:tc>
        <w:tc>
          <w:tcPr>
            <w:tcW w:w="639" w:type="pct"/>
            <w:shd w:val="clear" w:color="auto" w:fill="auto"/>
          </w:tcPr>
          <w:p w:rsidR="00E337C2" w:rsidRPr="00E3331A" w:rsidDel="00C04E81" w:rsidRDefault="00E337C2" w:rsidP="00E337C2">
            <w:pPr>
              <w:keepNext/>
              <w:spacing w:before="40" w:after="0" w:line="240" w:lineRule="auto"/>
              <w:jc w:val="center"/>
              <w:rPr>
                <w:rFonts w:ascii="Arial Narrow" w:hAnsi="Arial Narrow" w:cs="Calibri"/>
                <w:sz w:val="20"/>
                <w:szCs w:val="20"/>
              </w:rPr>
            </w:pPr>
            <w:r w:rsidRPr="00E3331A">
              <w:rPr>
                <w:rFonts w:ascii="Arial Narrow" w:hAnsi="Arial Narrow" w:cs="Calibri"/>
                <w:sz w:val="20"/>
                <w:szCs w:val="20"/>
              </w:rPr>
              <w:t>119,039,205</w:t>
            </w:r>
          </w:p>
        </w:tc>
        <w:tc>
          <w:tcPr>
            <w:tcW w:w="638" w:type="pct"/>
            <w:shd w:val="clear" w:color="auto" w:fill="auto"/>
          </w:tcPr>
          <w:p w:rsidR="00E337C2" w:rsidRPr="00E3331A" w:rsidDel="00C04E81" w:rsidRDefault="00E337C2" w:rsidP="00E337C2">
            <w:pPr>
              <w:keepNext/>
              <w:spacing w:before="40" w:after="0" w:line="240" w:lineRule="auto"/>
              <w:jc w:val="center"/>
              <w:rPr>
                <w:rFonts w:ascii="Arial Narrow" w:hAnsi="Arial Narrow" w:cs="Calibri"/>
                <w:sz w:val="20"/>
                <w:szCs w:val="20"/>
              </w:rPr>
            </w:pPr>
            <w:r w:rsidRPr="00E3331A">
              <w:rPr>
                <w:rFonts w:ascii="Arial Narrow" w:hAnsi="Arial Narrow" w:cs="Calibri"/>
                <w:sz w:val="20"/>
                <w:szCs w:val="20"/>
              </w:rPr>
              <w:t>125,629,847</w:t>
            </w:r>
          </w:p>
        </w:tc>
        <w:tc>
          <w:tcPr>
            <w:tcW w:w="639" w:type="pct"/>
            <w:shd w:val="clear" w:color="auto" w:fill="auto"/>
          </w:tcPr>
          <w:p w:rsidR="00E337C2" w:rsidRPr="00E3331A" w:rsidDel="00C04E81" w:rsidRDefault="00E337C2" w:rsidP="00E337C2">
            <w:pPr>
              <w:keepNext/>
              <w:spacing w:before="40" w:after="0" w:line="240" w:lineRule="auto"/>
              <w:jc w:val="center"/>
              <w:rPr>
                <w:rFonts w:ascii="Arial Narrow" w:hAnsi="Arial Narrow" w:cs="Calibri"/>
                <w:sz w:val="20"/>
                <w:szCs w:val="20"/>
              </w:rPr>
            </w:pPr>
            <w:r w:rsidRPr="00E3331A">
              <w:rPr>
                <w:rFonts w:ascii="Arial Narrow" w:hAnsi="Arial Narrow" w:cs="Calibri"/>
                <w:sz w:val="20"/>
                <w:szCs w:val="20"/>
              </w:rPr>
              <w:t>132,220,490</w:t>
            </w:r>
          </w:p>
        </w:tc>
        <w:tc>
          <w:tcPr>
            <w:tcW w:w="639" w:type="pct"/>
            <w:shd w:val="clear" w:color="auto" w:fill="auto"/>
          </w:tcPr>
          <w:p w:rsidR="00E337C2" w:rsidRPr="00E3331A" w:rsidDel="00C04E81" w:rsidRDefault="00E337C2" w:rsidP="00E337C2">
            <w:pPr>
              <w:keepNext/>
              <w:spacing w:before="40" w:after="0" w:line="240" w:lineRule="auto"/>
              <w:jc w:val="center"/>
              <w:rPr>
                <w:rFonts w:ascii="Arial Narrow" w:hAnsi="Arial Narrow" w:cs="Calibri"/>
                <w:sz w:val="20"/>
                <w:szCs w:val="20"/>
              </w:rPr>
            </w:pPr>
            <w:r w:rsidRPr="00E3331A">
              <w:rPr>
                <w:rFonts w:ascii="Arial Narrow" w:hAnsi="Arial Narrow" w:cs="Calibri"/>
                <w:sz w:val="20"/>
                <w:szCs w:val="20"/>
              </w:rPr>
              <w:t>138,811,132</w:t>
            </w:r>
          </w:p>
        </w:tc>
      </w:tr>
      <w:tr w:rsidR="00E337C2" w:rsidRPr="00E3331A" w:rsidTr="00464E0A">
        <w:trPr>
          <w:trHeight w:val="354"/>
        </w:trPr>
        <w:tc>
          <w:tcPr>
            <w:tcW w:w="1807" w:type="pct"/>
            <w:shd w:val="clear" w:color="auto" w:fill="auto"/>
          </w:tcPr>
          <w:p w:rsidR="00E337C2" w:rsidRPr="00E3331A" w:rsidRDefault="00E337C2" w:rsidP="00E337C2">
            <w:pPr>
              <w:keepNext/>
              <w:spacing w:before="40" w:after="0"/>
              <w:jc w:val="both"/>
              <w:rPr>
                <w:rFonts w:ascii="Arial Narrow" w:hAnsi="Arial Narrow" w:cs="Calibri"/>
                <w:sz w:val="20"/>
                <w:szCs w:val="20"/>
              </w:rPr>
            </w:pPr>
            <w:r w:rsidRPr="00E3331A">
              <w:rPr>
                <w:rFonts w:ascii="Arial Narrow" w:hAnsi="Arial Narrow" w:cs="Calibri"/>
                <w:color w:val="000000"/>
                <w:sz w:val="20"/>
                <w:szCs w:val="20"/>
              </w:rPr>
              <w:t>Average grams per person 497 (-10%)</w:t>
            </w:r>
          </w:p>
        </w:tc>
        <w:tc>
          <w:tcPr>
            <w:tcW w:w="638" w:type="pct"/>
            <w:shd w:val="clear" w:color="auto" w:fill="auto"/>
          </w:tcPr>
          <w:p w:rsidR="00E337C2" w:rsidRPr="00E3331A" w:rsidRDefault="00E337C2" w:rsidP="00E337C2">
            <w:pPr>
              <w:keepNext/>
              <w:spacing w:before="40" w:after="0" w:line="240" w:lineRule="auto"/>
              <w:jc w:val="center"/>
              <w:rPr>
                <w:rFonts w:ascii="Arial Narrow" w:hAnsi="Arial Narrow" w:cs="Calibri"/>
                <w:sz w:val="20"/>
                <w:szCs w:val="20"/>
              </w:rPr>
            </w:pPr>
            <w:r w:rsidRPr="00E3331A">
              <w:rPr>
                <w:rFonts w:ascii="Arial Narrow" w:hAnsi="Arial Narrow" w:cs="Calibri"/>
                <w:sz w:val="20"/>
                <w:szCs w:val="20"/>
              </w:rPr>
              <w:t>94,819,462</w:t>
            </w:r>
          </w:p>
        </w:tc>
        <w:tc>
          <w:tcPr>
            <w:tcW w:w="639" w:type="pct"/>
            <w:shd w:val="clear" w:color="auto" w:fill="auto"/>
          </w:tcPr>
          <w:p w:rsidR="00E337C2" w:rsidRPr="00E3331A" w:rsidRDefault="00E337C2" w:rsidP="00E337C2">
            <w:pPr>
              <w:keepNext/>
              <w:spacing w:before="40" w:after="0" w:line="240" w:lineRule="auto"/>
              <w:jc w:val="center"/>
              <w:rPr>
                <w:rFonts w:ascii="Arial Narrow" w:hAnsi="Arial Narrow" w:cs="Calibri"/>
                <w:sz w:val="20"/>
                <w:szCs w:val="20"/>
              </w:rPr>
            </w:pPr>
            <w:r w:rsidRPr="00E3331A">
              <w:rPr>
                <w:rFonts w:ascii="Arial Narrow" w:hAnsi="Arial Narrow" w:cs="Calibri"/>
                <w:sz w:val="20"/>
                <w:szCs w:val="20"/>
              </w:rPr>
              <w:t>100,376,858</w:t>
            </w:r>
          </w:p>
        </w:tc>
        <w:tc>
          <w:tcPr>
            <w:tcW w:w="638" w:type="pct"/>
            <w:shd w:val="clear" w:color="auto" w:fill="auto"/>
          </w:tcPr>
          <w:p w:rsidR="00E337C2" w:rsidRPr="00E3331A" w:rsidRDefault="00E337C2" w:rsidP="00E337C2">
            <w:pPr>
              <w:keepNext/>
              <w:spacing w:before="40" w:after="0" w:line="240" w:lineRule="auto"/>
              <w:jc w:val="center"/>
              <w:rPr>
                <w:rFonts w:ascii="Arial Narrow" w:hAnsi="Arial Narrow" w:cs="Calibri"/>
                <w:sz w:val="20"/>
                <w:szCs w:val="20"/>
              </w:rPr>
            </w:pPr>
            <w:r w:rsidRPr="00E3331A">
              <w:rPr>
                <w:rFonts w:ascii="Arial Narrow" w:hAnsi="Arial Narrow" w:cs="Calibri"/>
                <w:sz w:val="20"/>
                <w:szCs w:val="20"/>
              </w:rPr>
              <w:t>105,934,254</w:t>
            </w:r>
          </w:p>
        </w:tc>
        <w:tc>
          <w:tcPr>
            <w:tcW w:w="639" w:type="pct"/>
            <w:shd w:val="clear" w:color="auto" w:fill="auto"/>
          </w:tcPr>
          <w:p w:rsidR="00E337C2" w:rsidRPr="00E3331A" w:rsidRDefault="00E337C2" w:rsidP="00E337C2">
            <w:pPr>
              <w:keepNext/>
              <w:spacing w:before="40" w:after="0" w:line="240" w:lineRule="auto"/>
              <w:jc w:val="center"/>
              <w:rPr>
                <w:rFonts w:ascii="Arial Narrow" w:hAnsi="Arial Narrow" w:cs="Calibri"/>
                <w:sz w:val="20"/>
                <w:szCs w:val="20"/>
              </w:rPr>
            </w:pPr>
            <w:r w:rsidRPr="00E3331A">
              <w:rPr>
                <w:rFonts w:ascii="Arial Narrow" w:hAnsi="Arial Narrow" w:cs="Calibri"/>
                <w:sz w:val="20"/>
                <w:szCs w:val="20"/>
              </w:rPr>
              <w:t>111,491,650</w:t>
            </w:r>
          </w:p>
        </w:tc>
        <w:tc>
          <w:tcPr>
            <w:tcW w:w="639" w:type="pct"/>
            <w:shd w:val="clear" w:color="auto" w:fill="auto"/>
          </w:tcPr>
          <w:p w:rsidR="00E337C2" w:rsidRPr="00E3331A" w:rsidRDefault="00E337C2" w:rsidP="00E337C2">
            <w:pPr>
              <w:keepNext/>
              <w:spacing w:before="40" w:after="0" w:line="240" w:lineRule="auto"/>
              <w:jc w:val="center"/>
              <w:rPr>
                <w:rFonts w:ascii="Arial Narrow" w:hAnsi="Arial Narrow" w:cs="Calibri"/>
                <w:sz w:val="20"/>
                <w:szCs w:val="20"/>
              </w:rPr>
            </w:pPr>
            <w:r w:rsidRPr="00E3331A">
              <w:rPr>
                <w:rFonts w:ascii="Arial Narrow" w:hAnsi="Arial Narrow" w:cs="Calibri"/>
                <w:sz w:val="20"/>
                <w:szCs w:val="20"/>
              </w:rPr>
              <w:t>117,049,046</w:t>
            </w:r>
          </w:p>
        </w:tc>
      </w:tr>
    </w:tbl>
    <w:p w:rsidR="001F5B33" w:rsidRPr="002A602E" w:rsidRDefault="001F5B33" w:rsidP="001F5B33">
      <w:pPr>
        <w:spacing w:after="0" w:line="240" w:lineRule="auto"/>
        <w:rPr>
          <w:rFonts w:ascii="Arial Narrow" w:hAnsi="Arial Narrow"/>
          <w:sz w:val="18"/>
        </w:rPr>
      </w:pPr>
      <w:r w:rsidRPr="00E3331A">
        <w:rPr>
          <w:rFonts w:ascii="Arial Narrow" w:hAnsi="Arial Narrow"/>
          <w:sz w:val="18"/>
          <w:szCs w:val="18"/>
        </w:rPr>
        <w:t>Abbreviations:</w:t>
      </w:r>
      <w:r w:rsidRPr="00E3331A">
        <w:rPr>
          <w:rFonts w:ascii="Arial Narrow" w:hAnsi="Arial Narrow"/>
          <w:sz w:val="18"/>
        </w:rPr>
        <w:t xml:space="preserve"> </w:t>
      </w:r>
      <w:r w:rsidR="00E337C2" w:rsidRPr="00E3331A">
        <w:rPr>
          <w:rFonts w:ascii="Arial Narrow" w:hAnsi="Arial Narrow"/>
          <w:sz w:val="18"/>
        </w:rPr>
        <w:t>Abbreviations: AAN = American Academy of Neurology, CIDP = chronic inflammatory demyelinating polyneuropathy, EFNS/PNS = European Federation of Neurological Societies/Peripheral Nerve Society,</w:t>
      </w:r>
      <w:r w:rsidR="00F80CB7">
        <w:rPr>
          <w:rFonts w:ascii="Arial Narrow" w:hAnsi="Arial Narrow"/>
          <w:sz w:val="18"/>
        </w:rPr>
        <w:t xml:space="preserve"> Ig= Immunoglobulin. REDACTED.</w:t>
      </w:r>
    </w:p>
    <w:p w:rsidR="0077418B" w:rsidRPr="00E3331A" w:rsidRDefault="0077418B" w:rsidP="0077418B">
      <w:pPr>
        <w:pStyle w:val="Heading1"/>
        <w:jc w:val="both"/>
      </w:pPr>
      <w:bookmarkStart w:id="528" w:name="_Toc379118085"/>
      <w:bookmarkStart w:id="529" w:name="_Toc381796472"/>
      <w:bookmarkStart w:id="530" w:name="_Toc24103534"/>
      <w:bookmarkStart w:id="531" w:name="_Toc379118089"/>
      <w:bookmarkStart w:id="532" w:name="_Toc381796487"/>
      <w:bookmarkEnd w:id="491"/>
      <w:r w:rsidRPr="00E3331A">
        <w:lastRenderedPageBreak/>
        <w:t>Section F</w:t>
      </w:r>
      <w:r w:rsidRPr="00E3331A">
        <w:tab/>
        <w:t>Other relevant considerations</w:t>
      </w:r>
      <w:bookmarkEnd w:id="528"/>
      <w:bookmarkEnd w:id="529"/>
      <w:bookmarkEnd w:id="530"/>
    </w:p>
    <w:p w:rsidR="009A7F43" w:rsidRPr="00E3331A" w:rsidRDefault="00AE6C81" w:rsidP="0077418B">
      <w:pPr>
        <w:jc w:val="both"/>
        <w:rPr>
          <w:i/>
        </w:rPr>
      </w:pPr>
      <w:r w:rsidRPr="00E3331A">
        <w:rPr>
          <w:i/>
        </w:rPr>
        <w:t>Access</w:t>
      </w:r>
      <w:r w:rsidR="004C2839" w:rsidRPr="00E3331A">
        <w:rPr>
          <w:i/>
        </w:rPr>
        <w:t>/equity considerations</w:t>
      </w:r>
      <w:r w:rsidRPr="00E3331A">
        <w:rPr>
          <w:i/>
        </w:rPr>
        <w:t xml:space="preserve"> </w:t>
      </w:r>
    </w:p>
    <w:p w:rsidR="006F2A56" w:rsidRPr="00E3331A" w:rsidRDefault="0064037C" w:rsidP="0077418B">
      <w:pPr>
        <w:jc w:val="both"/>
      </w:pPr>
      <w:r w:rsidRPr="00E3331A">
        <w:t xml:space="preserve">The intervention (Ig) and all the comparators, </w:t>
      </w:r>
      <w:r w:rsidR="00245415" w:rsidRPr="00E3331A">
        <w:t>excluding</w:t>
      </w:r>
      <w:r w:rsidRPr="00E3331A">
        <w:t xml:space="preserve"> no active treatment, have issues of access for patients in rural or remote locations. </w:t>
      </w:r>
    </w:p>
    <w:p w:rsidR="005D0B1E" w:rsidRPr="00E3331A" w:rsidRDefault="00245415" w:rsidP="0077418B">
      <w:pPr>
        <w:jc w:val="both"/>
      </w:pPr>
      <w:r w:rsidRPr="00E3331A">
        <w:t>I</w:t>
      </w:r>
      <w:r w:rsidR="006F2A56" w:rsidRPr="00E3331A">
        <w:t>VIg</w:t>
      </w:r>
      <w:r w:rsidRPr="00E3331A">
        <w:t xml:space="preserve"> can only be received at </w:t>
      </w:r>
      <w:r w:rsidR="006F2A56" w:rsidRPr="00E3331A">
        <w:t xml:space="preserve">a </w:t>
      </w:r>
      <w:r w:rsidRPr="00E3331A">
        <w:t xml:space="preserve">hospital that has been accredited to administer blood products under the National Safety and Quality Health Services Standard for Blood Management. </w:t>
      </w:r>
      <w:r w:rsidR="00867BF6" w:rsidRPr="00E3331A">
        <w:t xml:space="preserve">It is unlikely </w:t>
      </w:r>
      <w:r w:rsidR="006D426E" w:rsidRPr="00E3331A">
        <w:t xml:space="preserve">that </w:t>
      </w:r>
      <w:r w:rsidR="00867BF6" w:rsidRPr="00E3331A">
        <w:t>small rural hospitals would have th</w:t>
      </w:r>
      <w:r w:rsidR="006D426E" w:rsidRPr="00E3331A">
        <w:t>is</w:t>
      </w:r>
      <w:r w:rsidR="00867BF6" w:rsidRPr="00E3331A">
        <w:t xml:space="preserve"> accreditation</w:t>
      </w:r>
      <w:r w:rsidR="006D426E" w:rsidRPr="00E3331A">
        <w:t>,</w:t>
      </w:r>
      <w:r w:rsidR="00867BF6" w:rsidRPr="00E3331A">
        <w:t xml:space="preserve"> </w:t>
      </w:r>
      <w:r w:rsidR="006D426E" w:rsidRPr="00E3331A">
        <w:t xml:space="preserve">requiring </w:t>
      </w:r>
      <w:r w:rsidR="00867BF6" w:rsidRPr="00E3331A">
        <w:t>patients to travel to</w:t>
      </w:r>
      <w:r w:rsidRPr="00E3331A">
        <w:t xml:space="preserve"> large </w:t>
      </w:r>
      <w:r w:rsidR="00867BF6" w:rsidRPr="00E3331A">
        <w:t xml:space="preserve">rural or </w:t>
      </w:r>
      <w:r w:rsidRPr="00E3331A">
        <w:t>metropolitan centres</w:t>
      </w:r>
      <w:r w:rsidR="00867BF6" w:rsidRPr="00E3331A">
        <w:t xml:space="preserve"> to receive IVIg. Access to SCIg may possibly alleviate the</w:t>
      </w:r>
      <w:r w:rsidR="006D426E" w:rsidRPr="00E3331A">
        <w:t>se</w:t>
      </w:r>
      <w:r w:rsidR="00867BF6" w:rsidRPr="00E3331A">
        <w:t xml:space="preserve"> travel issues as </w:t>
      </w:r>
      <w:r w:rsidR="006D426E" w:rsidRPr="00E3331A">
        <w:t xml:space="preserve">patients </w:t>
      </w:r>
      <w:r w:rsidR="00A57D12" w:rsidRPr="00E3331A">
        <w:t>could</w:t>
      </w:r>
      <w:r w:rsidR="00867BF6" w:rsidRPr="00E3331A">
        <w:t xml:space="preserve"> store and administer Ig at home. </w:t>
      </w:r>
      <w:r w:rsidR="006F2A56" w:rsidRPr="00E3331A">
        <w:t xml:space="preserve">According to the </w:t>
      </w:r>
      <w:r w:rsidR="00EE2429" w:rsidRPr="00E3331A">
        <w:t>NBA</w:t>
      </w:r>
      <w:r w:rsidR="006F2A56" w:rsidRPr="00E3331A">
        <w:t>, SCIg is initially supplied monthly</w:t>
      </w:r>
      <w:r w:rsidR="006D426E" w:rsidRPr="00E3331A">
        <w:t>,</w:t>
      </w:r>
      <w:r w:rsidR="006F2A56" w:rsidRPr="00E3331A">
        <w:t xml:space="preserve"> and repeat prescription</w:t>
      </w:r>
      <w:r w:rsidR="006D426E" w:rsidRPr="00E3331A">
        <w:t>s</w:t>
      </w:r>
      <w:r w:rsidR="006F2A56" w:rsidRPr="00E3331A">
        <w:t xml:space="preserve"> can be accessed without seeing a doctor</w:t>
      </w:r>
      <w:r w:rsidR="000F7E1F" w:rsidRPr="00E3331A">
        <w:t xml:space="preserve"> </w:t>
      </w:r>
      <w:r w:rsidR="006F2A56" w:rsidRPr="00E3331A">
        <w:t xml:space="preserve">at an agreed pharmacy or medical centre </w:t>
      </w:r>
      <w:r w:rsidR="000F7E1F" w:rsidRPr="00E3331A">
        <w:t xml:space="preserve">that </w:t>
      </w:r>
      <w:r w:rsidR="006F2A56" w:rsidRPr="00E3331A">
        <w:t>does not have to be a treating hospital</w:t>
      </w:r>
      <w:r w:rsidR="000F7E1F" w:rsidRPr="00E3331A">
        <w:t xml:space="preserve"> </w:t>
      </w:r>
      <w:r w:rsidR="00B85C75">
        <w:rPr>
          <w:noProof/>
        </w:rPr>
        <w:t>(NBA 2016a)</w:t>
      </w:r>
      <w:r w:rsidR="000F7E1F" w:rsidRPr="00E3331A">
        <w:t>.</w:t>
      </w:r>
    </w:p>
    <w:p w:rsidR="0064037C" w:rsidRPr="00E3331A" w:rsidRDefault="006F2A56" w:rsidP="0077418B">
      <w:pPr>
        <w:jc w:val="both"/>
      </w:pPr>
      <w:r w:rsidRPr="00E3331A">
        <w:t>Access to plasma exchange is likely to</w:t>
      </w:r>
      <w:r w:rsidR="00843224" w:rsidRPr="00E3331A">
        <w:t xml:space="preserve"> be</w:t>
      </w:r>
      <w:r w:rsidRPr="00E3331A">
        <w:t xml:space="preserve"> more difficult </w:t>
      </w:r>
      <w:r w:rsidR="004563AB" w:rsidRPr="00E3331A">
        <w:t xml:space="preserve">than IVIg </w:t>
      </w:r>
      <w:r w:rsidRPr="00E3331A">
        <w:t>for patients living in rural or remote locations</w:t>
      </w:r>
      <w:r w:rsidR="00843224" w:rsidRPr="00E3331A">
        <w:t>.</w:t>
      </w:r>
      <w:r w:rsidRPr="00E3331A">
        <w:t xml:space="preserve"> </w:t>
      </w:r>
      <w:r w:rsidR="00843224" w:rsidRPr="00E3331A">
        <w:t>A</w:t>
      </w:r>
      <w:r w:rsidRPr="00E3331A">
        <w:t xml:space="preserve"> clinical expert </w:t>
      </w:r>
      <w:r w:rsidR="000D19B7" w:rsidRPr="00E3331A">
        <w:t xml:space="preserve">to the PICO reported that, in Australia, plasma exchange is only provided in major teaching hospitals </w:t>
      </w:r>
      <w:r w:rsidR="00843224" w:rsidRPr="00E3331A">
        <w:t>in</w:t>
      </w:r>
      <w:r w:rsidR="000D19B7" w:rsidRPr="00E3331A">
        <w:t xml:space="preserve"> capital cit</w:t>
      </w:r>
      <w:r w:rsidR="00843224" w:rsidRPr="00E3331A">
        <w:t xml:space="preserve">ies </w:t>
      </w:r>
      <w:r w:rsidR="00B85C75">
        <w:rPr>
          <w:noProof/>
        </w:rPr>
        <w:t>(DoH 2019a)</w:t>
      </w:r>
      <w:r w:rsidR="00843224" w:rsidRPr="00E3331A">
        <w:t>.</w:t>
      </w:r>
    </w:p>
    <w:p w:rsidR="000D19B7" w:rsidRPr="00E3331A" w:rsidRDefault="00383041" w:rsidP="0077418B">
      <w:pPr>
        <w:jc w:val="both"/>
      </w:pPr>
      <w:r w:rsidRPr="00E3331A">
        <w:t xml:space="preserve">Treatment with steroids, both oral and </w:t>
      </w:r>
      <w:r w:rsidR="00843224" w:rsidRPr="00E3331A">
        <w:t>IV</w:t>
      </w:r>
      <w:r w:rsidRPr="00E3331A">
        <w:t>, would be easier for rural and remote patients to access than either IVIg or plasma exchange. Oral steroids can be administered by the patient at home</w:t>
      </w:r>
      <w:r w:rsidR="00843224" w:rsidRPr="00E3331A">
        <w:t>,</w:t>
      </w:r>
      <w:r w:rsidRPr="00E3331A">
        <w:t xml:space="preserve"> and although </w:t>
      </w:r>
      <w:r w:rsidR="00843224" w:rsidRPr="00E3331A">
        <w:t xml:space="preserve">IV </w:t>
      </w:r>
      <w:r w:rsidRPr="00E3331A">
        <w:t xml:space="preserve">steroids must be infused at a hospital, </w:t>
      </w:r>
      <w:r w:rsidR="00843224" w:rsidRPr="00E3331A">
        <w:t>this</w:t>
      </w:r>
      <w:r w:rsidRPr="00E3331A">
        <w:t xml:space="preserve"> is usually feasible at small hospitals</w:t>
      </w:r>
      <w:r w:rsidR="00843224" w:rsidRPr="00E3331A">
        <w:t xml:space="preserve"> </w:t>
      </w:r>
      <w:r w:rsidR="00B85C75">
        <w:rPr>
          <w:noProof/>
        </w:rPr>
        <w:t>(Expert Neurologist 2019)</w:t>
      </w:r>
      <w:r w:rsidRPr="00E3331A">
        <w:t xml:space="preserve">, </w:t>
      </w:r>
      <w:r w:rsidR="00843224" w:rsidRPr="00E3331A">
        <w:t>alleviating the</w:t>
      </w:r>
      <w:r w:rsidRPr="00E3331A">
        <w:t xml:space="preserve"> need to travel to large metropolitan centres. </w:t>
      </w:r>
      <w:r w:rsidR="003D662F" w:rsidRPr="00E3331A">
        <w:t>W</w:t>
      </w:r>
      <w:r w:rsidRPr="00E3331A">
        <w:t>hil</w:t>
      </w:r>
      <w:r w:rsidR="00591599" w:rsidRPr="00E3331A">
        <w:t>e</w:t>
      </w:r>
      <w:r w:rsidRPr="00E3331A">
        <w:t xml:space="preserve"> treatment </w:t>
      </w:r>
      <w:r w:rsidR="003D662F" w:rsidRPr="00E3331A">
        <w:t xml:space="preserve">with steroids </w:t>
      </w:r>
      <w:r w:rsidRPr="00E3331A">
        <w:t>may be easier to access, the potential side effects of steroids</w:t>
      </w:r>
      <w:r w:rsidR="00843224" w:rsidRPr="00E3331A">
        <w:t xml:space="preserve"> mean that</w:t>
      </w:r>
      <w:r w:rsidRPr="00E3331A">
        <w:t xml:space="preserve"> patients must be monitored more closely than </w:t>
      </w:r>
      <w:r w:rsidR="00843224" w:rsidRPr="00E3331A">
        <w:t xml:space="preserve">do </w:t>
      </w:r>
      <w:r w:rsidRPr="00E3331A">
        <w:t>patients on Ig or plasma exchange</w:t>
      </w:r>
      <w:r w:rsidR="00843224" w:rsidRPr="00E3331A">
        <w:t xml:space="preserve"> </w:t>
      </w:r>
      <w:r w:rsidR="00B85C75">
        <w:rPr>
          <w:noProof/>
        </w:rPr>
        <w:t>(Expert Neurologist 2019)</w:t>
      </w:r>
      <w:r w:rsidR="00843224" w:rsidRPr="00E3331A">
        <w:t>.</w:t>
      </w:r>
      <w:r w:rsidRPr="00E3331A">
        <w:t xml:space="preserve"> Patients </w:t>
      </w:r>
      <w:r w:rsidR="003D662F" w:rsidRPr="00E3331A">
        <w:t xml:space="preserve">on steroids </w:t>
      </w:r>
      <w:r w:rsidRPr="00E3331A">
        <w:t xml:space="preserve">must undergo frequent blood tests </w:t>
      </w:r>
      <w:r w:rsidR="003D662F" w:rsidRPr="00E3331A">
        <w:t>(</w:t>
      </w:r>
      <w:r w:rsidR="006F35B9" w:rsidRPr="00E3331A">
        <w:t xml:space="preserve">Table </w:t>
      </w:r>
      <w:r w:rsidR="006F35B9">
        <w:rPr>
          <w:noProof/>
        </w:rPr>
        <w:t>15</w:t>
      </w:r>
      <w:r w:rsidR="003D662F" w:rsidRPr="00E3331A">
        <w:t xml:space="preserve">, Section A7) </w:t>
      </w:r>
      <w:r w:rsidRPr="00E3331A">
        <w:t>and reviews for blood pressure, blood sugar, weight, skin integrity and infectious complications</w:t>
      </w:r>
      <w:r w:rsidR="00843224" w:rsidRPr="00E3331A">
        <w:t xml:space="preserve"> </w:t>
      </w:r>
      <w:r w:rsidR="00B85C75">
        <w:rPr>
          <w:noProof/>
        </w:rPr>
        <w:t>(Expert Neurologist 2019; Hsu and Katelaris 2009)</w:t>
      </w:r>
      <w:r w:rsidR="003D662F" w:rsidRPr="00E3331A">
        <w:t>. Although these tests could be carried out a</w:t>
      </w:r>
      <w:r w:rsidR="004563AB" w:rsidRPr="00E3331A">
        <w:t>t</w:t>
      </w:r>
      <w:r w:rsidR="003D662F" w:rsidRPr="00E3331A">
        <w:t xml:space="preserve"> small country hospital</w:t>
      </w:r>
      <w:r w:rsidR="004563AB" w:rsidRPr="00E3331A">
        <w:t>s</w:t>
      </w:r>
      <w:r w:rsidR="003D662F" w:rsidRPr="00E3331A">
        <w:t>, the frequency with which tests are required may inconvenien</w:t>
      </w:r>
      <w:r w:rsidR="00843224" w:rsidRPr="00E3331A">
        <w:t>ce</w:t>
      </w:r>
      <w:r w:rsidR="003D662F" w:rsidRPr="00E3331A">
        <w:t xml:space="preserve"> </w:t>
      </w:r>
      <w:r w:rsidR="00843224" w:rsidRPr="00E3331A">
        <w:t xml:space="preserve">rural </w:t>
      </w:r>
      <w:r w:rsidR="003D662F" w:rsidRPr="00E3331A">
        <w:t>patient</w:t>
      </w:r>
      <w:r w:rsidR="00843224" w:rsidRPr="00E3331A">
        <w:t>s</w:t>
      </w:r>
      <w:r w:rsidR="003D662F" w:rsidRPr="00E3331A">
        <w:t xml:space="preserve"> who may still need to travel a significant distance. </w:t>
      </w:r>
      <w:r w:rsidR="004563AB" w:rsidRPr="00E3331A">
        <w:t>I</w:t>
      </w:r>
      <w:r w:rsidR="003D662F" w:rsidRPr="00E3331A">
        <w:t>mmun</w:t>
      </w:r>
      <w:r w:rsidR="00AE6C81" w:rsidRPr="00E3331A">
        <w:t>o</w:t>
      </w:r>
      <w:r w:rsidR="003D662F" w:rsidRPr="00E3331A">
        <w:t>su</w:t>
      </w:r>
      <w:r w:rsidR="00AE6C81" w:rsidRPr="00E3331A">
        <w:t>p</w:t>
      </w:r>
      <w:r w:rsidR="003D662F" w:rsidRPr="00E3331A">
        <w:t xml:space="preserve">pressants </w:t>
      </w:r>
      <w:r w:rsidR="00A57D12" w:rsidRPr="00E3331A">
        <w:t>have similar access challenge</w:t>
      </w:r>
      <w:r w:rsidR="00843224" w:rsidRPr="00E3331A">
        <w:t>s</w:t>
      </w:r>
      <w:r w:rsidR="00A57D12" w:rsidRPr="00E3331A">
        <w:t xml:space="preserve"> </w:t>
      </w:r>
      <w:r w:rsidR="004563AB" w:rsidRPr="00E3331A">
        <w:t>to steroids. Whil</w:t>
      </w:r>
      <w:r w:rsidR="00591599" w:rsidRPr="00E3331A">
        <w:t>e</w:t>
      </w:r>
      <w:r w:rsidR="004563AB" w:rsidRPr="00E3331A">
        <w:t xml:space="preserve"> they can be taken orally and administered by the patient at home, the</w:t>
      </w:r>
      <w:r w:rsidR="003D662F" w:rsidRPr="00E3331A">
        <w:t xml:space="preserve"> </w:t>
      </w:r>
      <w:r w:rsidR="00843224" w:rsidRPr="00E3331A">
        <w:t xml:space="preserve">risk of </w:t>
      </w:r>
      <w:r w:rsidR="003D662F" w:rsidRPr="00E3331A">
        <w:t xml:space="preserve">significant adverse effects </w:t>
      </w:r>
      <w:r w:rsidR="004563AB" w:rsidRPr="00E3331A">
        <w:t>mean</w:t>
      </w:r>
      <w:r w:rsidR="00843224" w:rsidRPr="00E3331A">
        <w:t>s</w:t>
      </w:r>
      <w:r w:rsidR="004563AB" w:rsidRPr="00E3331A">
        <w:t xml:space="preserve"> patients must undergo</w:t>
      </w:r>
      <w:r w:rsidR="003D662F" w:rsidRPr="00E3331A">
        <w:t xml:space="preserve"> constant surveillance and tests (</w:t>
      </w:r>
      <w:r w:rsidR="006F35B9" w:rsidRPr="00E3331A">
        <w:t xml:space="preserve">Table </w:t>
      </w:r>
      <w:r w:rsidR="006F35B9">
        <w:rPr>
          <w:noProof/>
        </w:rPr>
        <w:t>17</w:t>
      </w:r>
      <w:r w:rsidR="003D662F" w:rsidRPr="00E3331A">
        <w:t>, Section A7).</w:t>
      </w:r>
      <w:r w:rsidR="004563AB" w:rsidRPr="00E3331A">
        <w:t xml:space="preserve"> </w:t>
      </w:r>
    </w:p>
    <w:p w:rsidR="004C2839" w:rsidRPr="00E3331A" w:rsidRDefault="004C2839" w:rsidP="004C2839">
      <w:pPr>
        <w:jc w:val="both"/>
        <w:rPr>
          <w:i/>
        </w:rPr>
      </w:pPr>
      <w:r w:rsidRPr="00E3331A">
        <w:rPr>
          <w:i/>
        </w:rPr>
        <w:t>Social/ethical considerations</w:t>
      </w:r>
    </w:p>
    <w:p w:rsidR="004C2839" w:rsidRPr="00E3331A" w:rsidRDefault="004C2839" w:rsidP="004C2839">
      <w:pPr>
        <w:jc w:val="both"/>
      </w:pPr>
      <w:r w:rsidRPr="00E3331A">
        <w:t xml:space="preserve">Patients who belong to the </w:t>
      </w:r>
      <w:r w:rsidR="00820286" w:rsidRPr="00E3331A">
        <w:t>Jehovah’s</w:t>
      </w:r>
      <w:r w:rsidRPr="00E3331A">
        <w:t xml:space="preserve"> Witness religion do not accept blood transfusion or blood products. They are unlikely to undergo plasma exchange but might be willing to accept Ig, depending on the individual</w:t>
      </w:r>
      <w:r w:rsidR="00843224" w:rsidRPr="00E3331A">
        <w:t xml:space="preserve"> </w:t>
      </w:r>
      <w:r w:rsidR="00B85C75">
        <w:rPr>
          <w:noProof/>
        </w:rPr>
        <w:t>(Chand et al. 2014)</w:t>
      </w:r>
      <w:r w:rsidR="00843224" w:rsidRPr="00E3331A">
        <w:t>.</w:t>
      </w:r>
    </w:p>
    <w:p w:rsidR="00AE6C81" w:rsidRPr="00E3331A" w:rsidRDefault="00AE6C81" w:rsidP="0077418B">
      <w:pPr>
        <w:jc w:val="both"/>
        <w:rPr>
          <w:i/>
        </w:rPr>
      </w:pPr>
      <w:r w:rsidRPr="00E3331A">
        <w:rPr>
          <w:i/>
        </w:rPr>
        <w:t>Clinical trials</w:t>
      </w:r>
    </w:p>
    <w:p w:rsidR="00AE6C81" w:rsidRPr="00E3331A" w:rsidRDefault="00843224" w:rsidP="0077418B">
      <w:pPr>
        <w:jc w:val="both"/>
      </w:pPr>
      <w:r w:rsidRPr="00E3331A">
        <w:lastRenderedPageBreak/>
        <w:t>A search of ClinicalTrials.gov on 16 May 2019 identified s</w:t>
      </w:r>
      <w:r w:rsidR="00AE6C81" w:rsidRPr="00E3331A">
        <w:t xml:space="preserve">even clinical trials on Ig and CIDP </w:t>
      </w:r>
      <w:r w:rsidRPr="00E3331A">
        <w:t>(</w:t>
      </w:r>
      <w:r w:rsidR="00AE6C81" w:rsidRPr="00E3331A">
        <w:t>either recruiting or active but not recruiting</w:t>
      </w:r>
      <w:r w:rsidRPr="00E3331A">
        <w:t>)</w:t>
      </w:r>
      <w:r w:rsidR="00AE6C81" w:rsidRPr="00E3331A">
        <w:t xml:space="preserve">. </w:t>
      </w:r>
      <w:r w:rsidRPr="00E3331A">
        <w:t>T</w:t>
      </w:r>
      <w:r w:rsidR="00AE6C81" w:rsidRPr="00E3331A">
        <w:t>wo trials of unknown status were</w:t>
      </w:r>
      <w:r w:rsidRPr="00E3331A">
        <w:t xml:space="preserve"> also</w:t>
      </w:r>
      <w:r w:rsidR="00AE6C81" w:rsidRPr="00E3331A">
        <w:t xml:space="preserve"> identified. Details of the clinical trials and their completion dates are summarised in </w:t>
      </w:r>
      <w:r w:rsidR="006F35B9" w:rsidRPr="00E3331A">
        <w:t xml:space="preserve">Table </w:t>
      </w:r>
      <w:r w:rsidR="006F35B9">
        <w:rPr>
          <w:noProof/>
        </w:rPr>
        <w:t>96</w:t>
      </w:r>
      <w:r w:rsidR="004C2839" w:rsidRPr="00E3331A">
        <w:t>.</w:t>
      </w:r>
    </w:p>
    <w:p w:rsidR="008C4EB3" w:rsidRPr="00E3331A" w:rsidRDefault="008C4EB3" w:rsidP="008C4EB3">
      <w:pPr>
        <w:pStyle w:val="Caption"/>
      </w:pPr>
      <w:bookmarkStart w:id="533" w:name="_Ref8909294"/>
      <w:bookmarkStart w:id="534" w:name="_Toc24103402"/>
      <w:r w:rsidRPr="00E3331A">
        <w:t xml:space="preserve">Table </w:t>
      </w:r>
      <w:r w:rsidR="006F35B9">
        <w:rPr>
          <w:noProof/>
        </w:rPr>
        <w:t>96</w:t>
      </w:r>
      <w:bookmarkEnd w:id="533"/>
      <w:r w:rsidRPr="00E3331A">
        <w:t xml:space="preserve"> </w:t>
      </w:r>
      <w:r w:rsidRPr="00E3331A">
        <w:tab/>
      </w:r>
      <w:r w:rsidR="004C2839" w:rsidRPr="00E3331A">
        <w:t>Clinical t</w:t>
      </w:r>
      <w:r w:rsidRPr="00E3331A">
        <w:t xml:space="preserve">rials </w:t>
      </w:r>
      <w:r w:rsidR="004C2839" w:rsidRPr="00E3331A">
        <w:t>identified on</w:t>
      </w:r>
      <w:r w:rsidRPr="00E3331A">
        <w:t xml:space="preserve"> CIDP</w:t>
      </w:r>
      <w:r w:rsidR="004C2839" w:rsidRPr="00E3331A">
        <w:t xml:space="preserve"> </w:t>
      </w:r>
      <w:r w:rsidRPr="00E3331A">
        <w:t xml:space="preserve">and Ig </w:t>
      </w:r>
      <w:r w:rsidR="004C2839" w:rsidRPr="00E3331A">
        <w:t>search of</w:t>
      </w:r>
      <w:r w:rsidRPr="00E3331A">
        <w:t xml:space="preserve"> ClinicalTrials.gov (searched 16th May 2019)</w:t>
      </w:r>
      <w:bookmarkEnd w:id="5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955"/>
        <w:gridCol w:w="1346"/>
        <w:gridCol w:w="1075"/>
        <w:gridCol w:w="2199"/>
        <w:gridCol w:w="1118"/>
      </w:tblGrid>
      <w:tr w:rsidR="00E9665C" w:rsidRPr="00E3331A" w:rsidTr="00D227C2">
        <w:tc>
          <w:tcPr>
            <w:tcW w:w="1302" w:type="pct"/>
          </w:tcPr>
          <w:p w:rsidR="00E9665C" w:rsidRPr="00E3331A" w:rsidRDefault="00E9665C" w:rsidP="004C2839">
            <w:pPr>
              <w:pStyle w:val="Tabletext1"/>
              <w:rPr>
                <w:b/>
              </w:rPr>
            </w:pPr>
            <w:r w:rsidRPr="00E3331A">
              <w:rPr>
                <w:b/>
              </w:rPr>
              <w:t>Trial ID</w:t>
            </w:r>
          </w:p>
          <w:p w:rsidR="00E9665C" w:rsidRPr="00E3331A" w:rsidRDefault="00E9665C" w:rsidP="00DF4120">
            <w:pPr>
              <w:pStyle w:val="Tabletext1"/>
              <w:rPr>
                <w:b/>
              </w:rPr>
            </w:pPr>
            <w:r w:rsidRPr="00E3331A">
              <w:rPr>
                <w:b/>
              </w:rPr>
              <w:t>Country</w:t>
            </w:r>
          </w:p>
        </w:tc>
        <w:tc>
          <w:tcPr>
            <w:tcW w:w="479" w:type="pct"/>
          </w:tcPr>
          <w:p w:rsidR="00E9665C" w:rsidRPr="00E3331A" w:rsidRDefault="00E9665C" w:rsidP="004C2839">
            <w:pPr>
              <w:pStyle w:val="Tabletext1"/>
              <w:rPr>
                <w:b/>
              </w:rPr>
            </w:pPr>
            <w:r w:rsidRPr="00E3331A">
              <w:rPr>
                <w:b/>
              </w:rPr>
              <w:t>Status</w:t>
            </w:r>
          </w:p>
        </w:tc>
        <w:tc>
          <w:tcPr>
            <w:tcW w:w="753" w:type="pct"/>
          </w:tcPr>
          <w:p w:rsidR="00E9665C" w:rsidRPr="00E3331A" w:rsidRDefault="00E9665C" w:rsidP="004C2839">
            <w:pPr>
              <w:pStyle w:val="Tabletext1"/>
              <w:rPr>
                <w:b/>
              </w:rPr>
            </w:pPr>
            <w:r w:rsidRPr="00E3331A">
              <w:rPr>
                <w:b/>
              </w:rPr>
              <w:t>Intervention and Comparator(s)</w:t>
            </w:r>
          </w:p>
        </w:tc>
        <w:tc>
          <w:tcPr>
            <w:tcW w:w="617" w:type="pct"/>
          </w:tcPr>
          <w:p w:rsidR="00E9665C" w:rsidRPr="00E3331A" w:rsidRDefault="00E9665C" w:rsidP="004C2839">
            <w:pPr>
              <w:pStyle w:val="Tabletext1"/>
              <w:rPr>
                <w:b/>
              </w:rPr>
            </w:pPr>
            <w:r w:rsidRPr="00E3331A">
              <w:rPr>
                <w:b/>
              </w:rPr>
              <w:t xml:space="preserve">Study </w:t>
            </w:r>
            <w:r w:rsidR="003D5FA7">
              <w:rPr>
                <w:b/>
              </w:rPr>
              <w:t>d</w:t>
            </w:r>
            <w:r w:rsidRPr="00E3331A">
              <w:rPr>
                <w:b/>
              </w:rPr>
              <w:t>esign</w:t>
            </w:r>
          </w:p>
        </w:tc>
        <w:tc>
          <w:tcPr>
            <w:tcW w:w="1233" w:type="pct"/>
          </w:tcPr>
          <w:p w:rsidR="00E9665C" w:rsidRPr="00E3331A" w:rsidRDefault="00E9665C" w:rsidP="004C2839">
            <w:pPr>
              <w:pStyle w:val="Tabletext1"/>
              <w:rPr>
                <w:b/>
              </w:rPr>
            </w:pPr>
            <w:r w:rsidRPr="00E3331A">
              <w:rPr>
                <w:b/>
              </w:rPr>
              <w:t>Primary outcome(s)</w:t>
            </w:r>
          </w:p>
        </w:tc>
        <w:tc>
          <w:tcPr>
            <w:tcW w:w="617" w:type="pct"/>
          </w:tcPr>
          <w:p w:rsidR="00E9665C" w:rsidRPr="00E3331A" w:rsidRDefault="00E9665C" w:rsidP="004C2839">
            <w:pPr>
              <w:pStyle w:val="Tabletext1"/>
              <w:rPr>
                <w:b/>
              </w:rPr>
            </w:pPr>
            <w:r w:rsidRPr="00E3331A">
              <w:rPr>
                <w:b/>
              </w:rPr>
              <w:t xml:space="preserve">Completion </w:t>
            </w:r>
            <w:r w:rsidR="003D5FA7">
              <w:rPr>
                <w:b/>
              </w:rPr>
              <w:t>d</w:t>
            </w:r>
            <w:r w:rsidRPr="00E3331A">
              <w:rPr>
                <w:b/>
              </w:rPr>
              <w:t>ate</w:t>
            </w:r>
          </w:p>
        </w:tc>
      </w:tr>
      <w:tr w:rsidR="00E9665C" w:rsidRPr="00E3331A" w:rsidTr="00D227C2">
        <w:tc>
          <w:tcPr>
            <w:tcW w:w="1302" w:type="pct"/>
          </w:tcPr>
          <w:p w:rsidR="00E9665C" w:rsidRPr="00E3331A" w:rsidRDefault="00E9665C" w:rsidP="00E9665C">
            <w:pPr>
              <w:pStyle w:val="Tabletext1"/>
            </w:pPr>
            <w:r w:rsidRPr="00E3331A">
              <w:t>NCT02549170</w:t>
            </w:r>
          </w:p>
          <w:p w:rsidR="00E9665C" w:rsidRPr="00E3331A" w:rsidRDefault="00E9665C" w:rsidP="00E9665C">
            <w:pPr>
              <w:pStyle w:val="Tabletext1"/>
            </w:pPr>
            <w:r w:rsidRPr="00E3331A">
              <w:t>Argentina, Austria, Canada, Colombia, Czechia, Denmark, France, Germany, Greece, Israel, Italy, Norway, Poland, Serbia, Slovakia, Spain, Sweden, Switzerland, Turkey and UK</w:t>
            </w:r>
          </w:p>
        </w:tc>
        <w:tc>
          <w:tcPr>
            <w:tcW w:w="479" w:type="pct"/>
          </w:tcPr>
          <w:p w:rsidR="00E9665C" w:rsidRPr="00E3331A" w:rsidRDefault="00E9665C" w:rsidP="007529A4">
            <w:pPr>
              <w:pStyle w:val="Tabletext1"/>
            </w:pPr>
            <w:r w:rsidRPr="00E3331A">
              <w:t>Recruiting</w:t>
            </w:r>
          </w:p>
        </w:tc>
        <w:tc>
          <w:tcPr>
            <w:tcW w:w="753" w:type="pct"/>
          </w:tcPr>
          <w:p w:rsidR="00E9665C" w:rsidRPr="00E3331A" w:rsidRDefault="00E9665C" w:rsidP="007529A4">
            <w:pPr>
              <w:pStyle w:val="Tabletext1"/>
            </w:pPr>
            <w:r w:rsidRPr="00E3331A">
              <w:t>HYQVIA</w:t>
            </w:r>
          </w:p>
          <w:p w:rsidR="00E9665C" w:rsidRPr="00E3331A" w:rsidRDefault="00E9665C" w:rsidP="007529A4">
            <w:pPr>
              <w:pStyle w:val="Tabletext1"/>
            </w:pPr>
            <w:r w:rsidRPr="00E3331A">
              <w:t>Placebo</w:t>
            </w:r>
          </w:p>
        </w:tc>
        <w:tc>
          <w:tcPr>
            <w:tcW w:w="617" w:type="pct"/>
          </w:tcPr>
          <w:p w:rsidR="00E9665C" w:rsidRPr="00E3331A" w:rsidRDefault="00E9665C" w:rsidP="007529A4">
            <w:pPr>
              <w:pStyle w:val="Tabletext1"/>
            </w:pPr>
            <w:r w:rsidRPr="00E3331A">
              <w:t>RCT</w:t>
            </w:r>
          </w:p>
        </w:tc>
        <w:tc>
          <w:tcPr>
            <w:tcW w:w="1233" w:type="pct"/>
          </w:tcPr>
          <w:p w:rsidR="00E9665C" w:rsidRPr="00E3331A" w:rsidRDefault="00E9665C" w:rsidP="007529A4">
            <w:pPr>
              <w:pStyle w:val="Tabletext1"/>
            </w:pPr>
            <w:r w:rsidRPr="00E3331A">
              <w:t xml:space="preserve">Relapse rate (proportion of patients who experience worsening of functional disability) </w:t>
            </w:r>
          </w:p>
          <w:p w:rsidR="00E9665C" w:rsidRPr="00E3331A" w:rsidRDefault="00E9665C" w:rsidP="007529A4">
            <w:pPr>
              <w:pStyle w:val="Tabletext1"/>
            </w:pPr>
            <w:r w:rsidRPr="00E3331A">
              <w:t>Responder rate (proportion of patients with clinically meaningful improvement in function disability</w:t>
            </w:r>
            <w:r w:rsidR="00DF4120" w:rsidRPr="00E3331A">
              <w:t>)</w:t>
            </w:r>
            <w:r w:rsidRPr="00E3331A">
              <w:t xml:space="preserve"> </w:t>
            </w:r>
          </w:p>
        </w:tc>
        <w:tc>
          <w:tcPr>
            <w:tcW w:w="617" w:type="pct"/>
          </w:tcPr>
          <w:p w:rsidR="00E9665C" w:rsidRPr="00E3331A" w:rsidRDefault="00DF4120" w:rsidP="007529A4">
            <w:pPr>
              <w:pStyle w:val="Tabletext1"/>
            </w:pPr>
            <w:r w:rsidRPr="00E3331A">
              <w:t>December 2021</w:t>
            </w:r>
          </w:p>
        </w:tc>
      </w:tr>
      <w:tr w:rsidR="00E74CE6" w:rsidRPr="00E3331A" w:rsidTr="00D227C2">
        <w:tc>
          <w:tcPr>
            <w:tcW w:w="1302" w:type="pct"/>
          </w:tcPr>
          <w:p w:rsidR="00E74CE6" w:rsidRPr="00E3331A" w:rsidRDefault="00E74CE6" w:rsidP="00E74CE6">
            <w:pPr>
              <w:pStyle w:val="Tabletext1"/>
            </w:pPr>
            <w:r w:rsidRPr="00E3331A">
              <w:t>NCT03684018</w:t>
            </w:r>
          </w:p>
          <w:p w:rsidR="00E74CE6" w:rsidRPr="00E3331A" w:rsidRDefault="00E74CE6" w:rsidP="00E74CE6">
            <w:pPr>
              <w:pStyle w:val="Tabletext1"/>
            </w:pPr>
            <w:r w:rsidRPr="00E3331A">
              <w:t>USA</w:t>
            </w:r>
          </w:p>
        </w:tc>
        <w:tc>
          <w:tcPr>
            <w:tcW w:w="479" w:type="pct"/>
          </w:tcPr>
          <w:p w:rsidR="00E74CE6" w:rsidRPr="00E3331A" w:rsidRDefault="00E74CE6" w:rsidP="00E74CE6">
            <w:pPr>
              <w:pStyle w:val="Tabletext1"/>
            </w:pPr>
            <w:r w:rsidRPr="00E3331A">
              <w:t>Recruiting</w:t>
            </w:r>
          </w:p>
        </w:tc>
        <w:tc>
          <w:tcPr>
            <w:tcW w:w="753" w:type="pct"/>
          </w:tcPr>
          <w:p w:rsidR="00E74CE6" w:rsidRPr="00E3331A" w:rsidRDefault="00E74CE6" w:rsidP="00E74CE6">
            <w:pPr>
              <w:pStyle w:val="Tabletext1"/>
            </w:pPr>
            <w:r w:rsidRPr="00E3331A">
              <w:t>IVIg (Privigen) single dose</w:t>
            </w:r>
          </w:p>
          <w:p w:rsidR="00E74CE6" w:rsidRPr="00E3331A" w:rsidRDefault="00E74CE6" w:rsidP="00E74CE6">
            <w:pPr>
              <w:pStyle w:val="Tabletext1"/>
            </w:pPr>
            <w:r w:rsidRPr="00E3331A">
              <w:t>IVIg (Privigen)</w:t>
            </w:r>
          </w:p>
          <w:p w:rsidR="00E74CE6" w:rsidRPr="00E3331A" w:rsidRDefault="00E74CE6" w:rsidP="00E74CE6">
            <w:pPr>
              <w:pStyle w:val="Tabletext1"/>
            </w:pPr>
            <w:r w:rsidRPr="00E3331A">
              <w:t>Multiple dose</w:t>
            </w:r>
          </w:p>
        </w:tc>
        <w:tc>
          <w:tcPr>
            <w:tcW w:w="617" w:type="pct"/>
          </w:tcPr>
          <w:p w:rsidR="00E74CE6" w:rsidRPr="00E3331A" w:rsidRDefault="00E74CE6" w:rsidP="00E74CE6">
            <w:pPr>
              <w:pStyle w:val="Tabletext1"/>
            </w:pPr>
            <w:r w:rsidRPr="00E3331A">
              <w:t>RCT</w:t>
            </w:r>
          </w:p>
        </w:tc>
        <w:tc>
          <w:tcPr>
            <w:tcW w:w="1233" w:type="pct"/>
          </w:tcPr>
          <w:p w:rsidR="00E74CE6" w:rsidRPr="00E3331A" w:rsidRDefault="00E74CE6" w:rsidP="00E74CE6">
            <w:pPr>
              <w:pStyle w:val="Tabletext1"/>
            </w:pPr>
            <w:r w:rsidRPr="00E3331A">
              <w:t>Percentage of patients with CIDP relapse</w:t>
            </w:r>
          </w:p>
        </w:tc>
        <w:tc>
          <w:tcPr>
            <w:tcW w:w="617" w:type="pct"/>
          </w:tcPr>
          <w:p w:rsidR="00E74CE6" w:rsidRPr="00E3331A" w:rsidRDefault="00E74CE6" w:rsidP="00E74CE6">
            <w:pPr>
              <w:pStyle w:val="Tabletext1"/>
            </w:pPr>
            <w:r w:rsidRPr="00E3331A">
              <w:t>January 2023</w:t>
            </w:r>
          </w:p>
        </w:tc>
      </w:tr>
      <w:tr w:rsidR="00E74CE6" w:rsidRPr="00E3331A" w:rsidTr="00D227C2">
        <w:tc>
          <w:tcPr>
            <w:tcW w:w="1302" w:type="pct"/>
          </w:tcPr>
          <w:p w:rsidR="00E74CE6" w:rsidRPr="00E3331A" w:rsidRDefault="00E74CE6" w:rsidP="00E74CE6">
            <w:pPr>
              <w:pStyle w:val="Tabletext1"/>
            </w:pPr>
            <w:r w:rsidRPr="00E3331A">
              <w:t>NCT02372149</w:t>
            </w:r>
          </w:p>
          <w:p w:rsidR="00E74CE6" w:rsidRPr="00E3331A" w:rsidRDefault="00E74CE6" w:rsidP="00E74CE6">
            <w:pPr>
              <w:pStyle w:val="Tabletext1"/>
            </w:pPr>
            <w:r w:rsidRPr="00E3331A">
              <w:t>Canada</w:t>
            </w:r>
          </w:p>
        </w:tc>
        <w:tc>
          <w:tcPr>
            <w:tcW w:w="479" w:type="pct"/>
          </w:tcPr>
          <w:p w:rsidR="00E74CE6" w:rsidRPr="00E3331A" w:rsidRDefault="00E74CE6" w:rsidP="00E74CE6">
            <w:pPr>
              <w:pStyle w:val="Tabletext1"/>
            </w:pPr>
            <w:r w:rsidRPr="00E3331A">
              <w:t>Unknown</w:t>
            </w:r>
          </w:p>
        </w:tc>
        <w:tc>
          <w:tcPr>
            <w:tcW w:w="753" w:type="pct"/>
          </w:tcPr>
          <w:p w:rsidR="00E74CE6" w:rsidRPr="00E3331A" w:rsidRDefault="00E74CE6" w:rsidP="00E74CE6">
            <w:pPr>
              <w:pStyle w:val="Tabletext1"/>
            </w:pPr>
            <w:r w:rsidRPr="00E3331A">
              <w:t>IVIg (Gamunex)</w:t>
            </w:r>
          </w:p>
          <w:p w:rsidR="00E74CE6" w:rsidRPr="00E3331A" w:rsidRDefault="00E74CE6" w:rsidP="00E74CE6">
            <w:pPr>
              <w:pStyle w:val="Tabletext1"/>
            </w:pPr>
            <w:r w:rsidRPr="00E3331A">
              <w:t>Placebo</w:t>
            </w:r>
          </w:p>
        </w:tc>
        <w:tc>
          <w:tcPr>
            <w:tcW w:w="617" w:type="pct"/>
          </w:tcPr>
          <w:p w:rsidR="00E74CE6" w:rsidRPr="00E3331A" w:rsidRDefault="00E74CE6" w:rsidP="00E74CE6">
            <w:pPr>
              <w:pStyle w:val="Tabletext1"/>
            </w:pPr>
            <w:r w:rsidRPr="00E3331A">
              <w:t>RCT (crossover)</w:t>
            </w:r>
          </w:p>
        </w:tc>
        <w:tc>
          <w:tcPr>
            <w:tcW w:w="1233" w:type="pct"/>
          </w:tcPr>
          <w:p w:rsidR="00E74CE6" w:rsidRPr="00E3331A" w:rsidRDefault="00E74CE6" w:rsidP="00E74CE6">
            <w:pPr>
              <w:pStyle w:val="Tabletext1"/>
            </w:pPr>
            <w:r w:rsidRPr="00E3331A">
              <w:t>Change in Overall Neuropathy Limitations Score</w:t>
            </w:r>
          </w:p>
        </w:tc>
        <w:tc>
          <w:tcPr>
            <w:tcW w:w="617" w:type="pct"/>
          </w:tcPr>
          <w:p w:rsidR="00E74CE6" w:rsidRPr="00E3331A" w:rsidRDefault="00E74CE6" w:rsidP="00E74CE6">
            <w:pPr>
              <w:pStyle w:val="Tabletext1"/>
            </w:pPr>
            <w:r w:rsidRPr="00E3331A">
              <w:t>February 2018</w:t>
            </w:r>
          </w:p>
        </w:tc>
      </w:tr>
      <w:tr w:rsidR="00E74CE6" w:rsidRPr="00E3331A" w:rsidTr="00D227C2">
        <w:tc>
          <w:tcPr>
            <w:tcW w:w="1302" w:type="pct"/>
          </w:tcPr>
          <w:p w:rsidR="00E74CE6" w:rsidRPr="00E3331A" w:rsidRDefault="00E74CE6" w:rsidP="00E74CE6">
            <w:pPr>
              <w:pStyle w:val="Tabletext1"/>
            </w:pPr>
            <w:r w:rsidRPr="00E3331A">
              <w:t>NCT02638207</w:t>
            </w:r>
          </w:p>
          <w:p w:rsidR="00E74CE6" w:rsidRPr="00E3331A" w:rsidRDefault="00E74CE6" w:rsidP="00843224">
            <w:pPr>
              <w:pStyle w:val="Tabletext1"/>
            </w:pPr>
            <w:r w:rsidRPr="00E3331A">
              <w:t>Bulgaria, Canada, Czechia, Germany, Hungary, Polan, Romania, Russian Federation and Ukraine</w:t>
            </w:r>
          </w:p>
        </w:tc>
        <w:tc>
          <w:tcPr>
            <w:tcW w:w="479" w:type="pct"/>
          </w:tcPr>
          <w:p w:rsidR="00E74CE6" w:rsidRPr="00E3331A" w:rsidRDefault="00E74CE6" w:rsidP="00E74CE6">
            <w:pPr>
              <w:pStyle w:val="Tabletext1"/>
            </w:pPr>
            <w:r w:rsidRPr="00E3331A">
              <w:t>Active, not recruiting</w:t>
            </w:r>
          </w:p>
        </w:tc>
        <w:tc>
          <w:tcPr>
            <w:tcW w:w="753" w:type="pct"/>
          </w:tcPr>
          <w:p w:rsidR="00E74CE6" w:rsidRPr="00E3331A" w:rsidRDefault="00E74CE6" w:rsidP="00E74CE6">
            <w:pPr>
              <w:pStyle w:val="Tabletext1"/>
            </w:pPr>
            <w:r w:rsidRPr="00E3331A">
              <w:t>IVIg (Panzyga) dose 1</w:t>
            </w:r>
          </w:p>
          <w:p w:rsidR="00E74CE6" w:rsidRPr="00E3331A" w:rsidRDefault="00E74CE6" w:rsidP="00E74CE6">
            <w:pPr>
              <w:pStyle w:val="Tabletext1"/>
            </w:pPr>
            <w:r w:rsidRPr="00E3331A">
              <w:t>IVIg (Panzyga) dose 2</w:t>
            </w:r>
          </w:p>
          <w:p w:rsidR="00E74CE6" w:rsidRPr="00E3331A" w:rsidRDefault="00E74CE6" w:rsidP="00E74CE6">
            <w:pPr>
              <w:pStyle w:val="Tabletext1"/>
            </w:pPr>
            <w:r w:rsidRPr="00E3331A">
              <w:t>IVIg (Panzyga)</w:t>
            </w:r>
          </w:p>
          <w:p w:rsidR="00E74CE6" w:rsidRPr="00E3331A" w:rsidRDefault="00E74CE6" w:rsidP="00E74CE6">
            <w:pPr>
              <w:pStyle w:val="Tabletext1"/>
            </w:pPr>
            <w:r w:rsidRPr="00E3331A">
              <w:t>dose 3</w:t>
            </w:r>
          </w:p>
        </w:tc>
        <w:tc>
          <w:tcPr>
            <w:tcW w:w="617" w:type="pct"/>
          </w:tcPr>
          <w:p w:rsidR="00E74CE6" w:rsidRPr="00E3331A" w:rsidRDefault="00E74CE6" w:rsidP="00E74CE6">
            <w:pPr>
              <w:pStyle w:val="Tabletext1"/>
            </w:pPr>
            <w:r w:rsidRPr="00E3331A">
              <w:t>RCT</w:t>
            </w:r>
          </w:p>
        </w:tc>
        <w:tc>
          <w:tcPr>
            <w:tcW w:w="1233" w:type="pct"/>
          </w:tcPr>
          <w:p w:rsidR="00E74CE6" w:rsidRPr="00E3331A" w:rsidRDefault="00E74CE6" w:rsidP="00E74CE6">
            <w:pPr>
              <w:pStyle w:val="Tabletext1"/>
            </w:pPr>
            <w:r w:rsidRPr="00E3331A">
              <w:t>Decrease in the Inflammatory Neuropathy Cause and Treatment Disability Score</w:t>
            </w:r>
          </w:p>
        </w:tc>
        <w:tc>
          <w:tcPr>
            <w:tcW w:w="617" w:type="pct"/>
          </w:tcPr>
          <w:p w:rsidR="00E74CE6" w:rsidRPr="00E3331A" w:rsidRDefault="00E74CE6" w:rsidP="00E74CE6">
            <w:pPr>
              <w:pStyle w:val="Tabletext1"/>
            </w:pPr>
            <w:r w:rsidRPr="00E3331A">
              <w:t>December 2019</w:t>
            </w:r>
          </w:p>
        </w:tc>
      </w:tr>
      <w:tr w:rsidR="00E74CE6" w:rsidRPr="00E3331A" w:rsidTr="00D227C2">
        <w:tc>
          <w:tcPr>
            <w:tcW w:w="1302" w:type="pct"/>
          </w:tcPr>
          <w:p w:rsidR="00E74CE6" w:rsidRPr="00E3331A" w:rsidRDefault="00E74CE6" w:rsidP="00E74CE6">
            <w:pPr>
              <w:pStyle w:val="Tabletext1"/>
            </w:pPr>
            <w:r w:rsidRPr="00E3331A">
              <w:t>NCT02955355</w:t>
            </w:r>
          </w:p>
          <w:p w:rsidR="00E74CE6" w:rsidRPr="00E3331A" w:rsidRDefault="00E74CE6" w:rsidP="00E74CE6">
            <w:pPr>
              <w:pStyle w:val="Tabletext1"/>
            </w:pPr>
            <w:r w:rsidRPr="00E3331A">
              <w:t>Canada, Czechia, Denmark, France, Greece, Italy, Serbia, Slovakia, Spain, Turkey and UK</w:t>
            </w:r>
          </w:p>
        </w:tc>
        <w:tc>
          <w:tcPr>
            <w:tcW w:w="479" w:type="pct"/>
          </w:tcPr>
          <w:p w:rsidR="00E74CE6" w:rsidRPr="00E3331A" w:rsidRDefault="00E74CE6" w:rsidP="00E74CE6">
            <w:pPr>
              <w:pStyle w:val="Tabletext1"/>
            </w:pPr>
            <w:r w:rsidRPr="00E3331A">
              <w:t>Recruiting</w:t>
            </w:r>
          </w:p>
        </w:tc>
        <w:tc>
          <w:tcPr>
            <w:tcW w:w="753" w:type="pct"/>
          </w:tcPr>
          <w:p w:rsidR="00E74CE6" w:rsidRPr="00E3331A" w:rsidRDefault="00E74CE6" w:rsidP="00E74CE6">
            <w:pPr>
              <w:pStyle w:val="Tabletext1"/>
            </w:pPr>
            <w:r w:rsidRPr="00E3331A">
              <w:t>HYQVIA</w:t>
            </w:r>
          </w:p>
          <w:p w:rsidR="00E74CE6" w:rsidRPr="00E3331A" w:rsidRDefault="00E74CE6" w:rsidP="00E74CE6">
            <w:pPr>
              <w:pStyle w:val="Tabletext1"/>
            </w:pPr>
          </w:p>
        </w:tc>
        <w:tc>
          <w:tcPr>
            <w:tcW w:w="617" w:type="pct"/>
          </w:tcPr>
          <w:p w:rsidR="00E74CE6" w:rsidRPr="00E3331A" w:rsidRDefault="00E74CE6" w:rsidP="00E74CE6">
            <w:pPr>
              <w:pStyle w:val="Tabletext1"/>
            </w:pPr>
            <w:r w:rsidRPr="00E3331A">
              <w:t>Case series</w:t>
            </w:r>
          </w:p>
        </w:tc>
        <w:tc>
          <w:tcPr>
            <w:tcW w:w="1233" w:type="pct"/>
          </w:tcPr>
          <w:p w:rsidR="00E74CE6" w:rsidRPr="00E3331A" w:rsidRDefault="00E74CE6" w:rsidP="00E74CE6">
            <w:pPr>
              <w:pStyle w:val="Tabletext1"/>
            </w:pPr>
            <w:r w:rsidRPr="00E3331A">
              <w:t>Adverse events</w:t>
            </w:r>
          </w:p>
        </w:tc>
        <w:tc>
          <w:tcPr>
            <w:tcW w:w="617" w:type="pct"/>
          </w:tcPr>
          <w:p w:rsidR="00E74CE6" w:rsidRPr="00E3331A" w:rsidRDefault="00E74CE6" w:rsidP="00E74CE6">
            <w:pPr>
              <w:pStyle w:val="Tabletext1"/>
            </w:pPr>
            <w:r w:rsidRPr="00E3331A">
              <w:t>September 2024</w:t>
            </w:r>
          </w:p>
        </w:tc>
      </w:tr>
      <w:tr w:rsidR="00E74CE6" w:rsidRPr="00E3331A" w:rsidTr="00D227C2">
        <w:tc>
          <w:tcPr>
            <w:tcW w:w="1302" w:type="pct"/>
          </w:tcPr>
          <w:p w:rsidR="00E74CE6" w:rsidRPr="00E3331A" w:rsidRDefault="00E74CE6" w:rsidP="00E74CE6">
            <w:pPr>
              <w:pStyle w:val="Tabletext1"/>
            </w:pPr>
            <w:r w:rsidRPr="00E3331A">
              <w:t>NCT02629796</w:t>
            </w:r>
          </w:p>
          <w:p w:rsidR="00E74CE6" w:rsidRPr="00E3331A" w:rsidRDefault="00E74CE6" w:rsidP="00E74CE6">
            <w:pPr>
              <w:pStyle w:val="Tabletext1"/>
            </w:pPr>
            <w:r w:rsidRPr="00E3331A">
              <w:t>France</w:t>
            </w:r>
          </w:p>
        </w:tc>
        <w:tc>
          <w:tcPr>
            <w:tcW w:w="479" w:type="pct"/>
          </w:tcPr>
          <w:p w:rsidR="00E74CE6" w:rsidRPr="00E3331A" w:rsidRDefault="00E74CE6" w:rsidP="00E74CE6">
            <w:pPr>
              <w:pStyle w:val="Tabletext1"/>
            </w:pPr>
            <w:r w:rsidRPr="00E3331A">
              <w:t>Recruiting</w:t>
            </w:r>
          </w:p>
        </w:tc>
        <w:tc>
          <w:tcPr>
            <w:tcW w:w="753" w:type="pct"/>
          </w:tcPr>
          <w:p w:rsidR="00E74CE6" w:rsidRPr="00E3331A" w:rsidRDefault="00E74CE6" w:rsidP="00E74CE6">
            <w:pPr>
              <w:pStyle w:val="Tabletext1"/>
            </w:pPr>
            <w:r w:rsidRPr="00E3331A">
              <w:t>IVIg</w:t>
            </w:r>
          </w:p>
          <w:p w:rsidR="00E74CE6" w:rsidRPr="00E3331A" w:rsidRDefault="00E74CE6" w:rsidP="00E74CE6">
            <w:pPr>
              <w:pStyle w:val="Tabletext1"/>
            </w:pPr>
            <w:r w:rsidRPr="00E3331A">
              <w:t xml:space="preserve">Healthy subjects </w:t>
            </w:r>
          </w:p>
        </w:tc>
        <w:tc>
          <w:tcPr>
            <w:tcW w:w="617" w:type="pct"/>
          </w:tcPr>
          <w:p w:rsidR="00E74CE6" w:rsidRPr="00E3331A" w:rsidRDefault="00E74CE6" w:rsidP="00E74CE6">
            <w:pPr>
              <w:pStyle w:val="Tabletext1"/>
            </w:pPr>
            <w:r w:rsidRPr="00E3331A">
              <w:t>Case control</w:t>
            </w:r>
          </w:p>
        </w:tc>
        <w:tc>
          <w:tcPr>
            <w:tcW w:w="1233" w:type="pct"/>
          </w:tcPr>
          <w:p w:rsidR="00E74CE6" w:rsidRPr="00E3331A" w:rsidRDefault="00E74CE6" w:rsidP="00E74CE6">
            <w:pPr>
              <w:pStyle w:val="Tabletext1"/>
            </w:pPr>
            <w:r w:rsidRPr="00E3331A">
              <w:t>Blood levels of biomarkers of Ig response</w:t>
            </w:r>
          </w:p>
        </w:tc>
        <w:tc>
          <w:tcPr>
            <w:tcW w:w="617" w:type="pct"/>
          </w:tcPr>
          <w:p w:rsidR="00E74CE6" w:rsidRPr="00E3331A" w:rsidRDefault="00E74CE6" w:rsidP="00E74CE6">
            <w:pPr>
              <w:pStyle w:val="Tabletext1"/>
            </w:pPr>
            <w:r w:rsidRPr="00E3331A">
              <w:t>December 2020</w:t>
            </w:r>
          </w:p>
        </w:tc>
      </w:tr>
      <w:tr w:rsidR="00E74CE6" w:rsidRPr="00E3331A" w:rsidTr="00D227C2">
        <w:tc>
          <w:tcPr>
            <w:tcW w:w="1302" w:type="pct"/>
          </w:tcPr>
          <w:p w:rsidR="00E74CE6" w:rsidRPr="00E3331A" w:rsidRDefault="00E74CE6" w:rsidP="00E74CE6">
            <w:pPr>
              <w:pStyle w:val="Tabletext1"/>
            </w:pPr>
            <w:r w:rsidRPr="00E3331A">
              <w:t>NCT02465359</w:t>
            </w:r>
          </w:p>
          <w:p w:rsidR="00E74CE6" w:rsidRPr="00E3331A" w:rsidRDefault="00E74CE6" w:rsidP="00E74CE6">
            <w:pPr>
              <w:pStyle w:val="Tabletext1"/>
            </w:pPr>
            <w:r w:rsidRPr="00E3331A">
              <w:t>USA</w:t>
            </w:r>
          </w:p>
        </w:tc>
        <w:tc>
          <w:tcPr>
            <w:tcW w:w="479" w:type="pct"/>
          </w:tcPr>
          <w:p w:rsidR="00E74CE6" w:rsidRPr="00E3331A" w:rsidRDefault="00E74CE6" w:rsidP="00E74CE6">
            <w:pPr>
              <w:pStyle w:val="Tabletext1"/>
            </w:pPr>
            <w:r w:rsidRPr="00E3331A">
              <w:t>Active, not recruiting</w:t>
            </w:r>
          </w:p>
        </w:tc>
        <w:tc>
          <w:tcPr>
            <w:tcW w:w="753" w:type="pct"/>
          </w:tcPr>
          <w:p w:rsidR="00E74CE6" w:rsidRPr="00E3331A" w:rsidRDefault="00E74CE6" w:rsidP="00E74CE6">
            <w:pPr>
              <w:pStyle w:val="Tabletext1"/>
            </w:pPr>
            <w:r w:rsidRPr="00E3331A">
              <w:t>SCIg (Hizentra)</w:t>
            </w:r>
          </w:p>
        </w:tc>
        <w:tc>
          <w:tcPr>
            <w:tcW w:w="617" w:type="pct"/>
          </w:tcPr>
          <w:p w:rsidR="00E74CE6" w:rsidRPr="00E3331A" w:rsidRDefault="00E74CE6" w:rsidP="00E74CE6">
            <w:pPr>
              <w:pStyle w:val="Tabletext1"/>
            </w:pPr>
            <w:r w:rsidRPr="00E3331A">
              <w:t>Case series</w:t>
            </w:r>
          </w:p>
        </w:tc>
        <w:tc>
          <w:tcPr>
            <w:tcW w:w="1233" w:type="pct"/>
          </w:tcPr>
          <w:p w:rsidR="00E74CE6" w:rsidRPr="00E3331A" w:rsidRDefault="00E74CE6" w:rsidP="00E74CE6">
            <w:pPr>
              <w:pStyle w:val="Tabletext1"/>
            </w:pPr>
            <w:r w:rsidRPr="00E3331A">
              <w:t>Relapse of CIDP symptoms</w:t>
            </w:r>
          </w:p>
        </w:tc>
        <w:tc>
          <w:tcPr>
            <w:tcW w:w="617" w:type="pct"/>
          </w:tcPr>
          <w:p w:rsidR="00E74CE6" w:rsidRPr="00E3331A" w:rsidRDefault="00E74CE6" w:rsidP="00E74CE6">
            <w:pPr>
              <w:pStyle w:val="Tabletext1"/>
            </w:pPr>
            <w:r w:rsidRPr="00E3331A">
              <w:t>December 2019</w:t>
            </w:r>
          </w:p>
        </w:tc>
      </w:tr>
      <w:tr w:rsidR="00E74CE6" w:rsidRPr="00E3331A" w:rsidTr="00D227C2">
        <w:tc>
          <w:tcPr>
            <w:tcW w:w="1302" w:type="pct"/>
          </w:tcPr>
          <w:p w:rsidR="00E74CE6" w:rsidRPr="00E3331A" w:rsidRDefault="00E74CE6" w:rsidP="00E74CE6">
            <w:pPr>
              <w:pStyle w:val="Tabletext1"/>
            </w:pPr>
            <w:r w:rsidRPr="00E3331A">
              <w:t>NCT02414490</w:t>
            </w:r>
          </w:p>
          <w:p w:rsidR="00E74CE6" w:rsidRPr="00E3331A" w:rsidRDefault="00E74CE6" w:rsidP="00E74CE6">
            <w:pPr>
              <w:pStyle w:val="Tabletext1"/>
            </w:pPr>
            <w:r w:rsidRPr="00E3331A">
              <w:t>USA</w:t>
            </w:r>
          </w:p>
        </w:tc>
        <w:tc>
          <w:tcPr>
            <w:tcW w:w="479" w:type="pct"/>
          </w:tcPr>
          <w:p w:rsidR="00E74CE6" w:rsidRPr="00E3331A" w:rsidRDefault="00E74CE6" w:rsidP="00E74CE6">
            <w:pPr>
              <w:pStyle w:val="Tabletext1"/>
            </w:pPr>
            <w:r w:rsidRPr="00E3331A">
              <w:t>Active, not recruiting</w:t>
            </w:r>
          </w:p>
        </w:tc>
        <w:tc>
          <w:tcPr>
            <w:tcW w:w="753" w:type="pct"/>
          </w:tcPr>
          <w:p w:rsidR="00E74CE6" w:rsidRPr="00E3331A" w:rsidRDefault="00E74CE6" w:rsidP="00E74CE6">
            <w:pPr>
              <w:pStyle w:val="Tabletext1"/>
            </w:pPr>
            <w:r w:rsidRPr="00E3331A">
              <w:t>IVIg</w:t>
            </w:r>
          </w:p>
        </w:tc>
        <w:tc>
          <w:tcPr>
            <w:tcW w:w="617" w:type="pct"/>
          </w:tcPr>
          <w:p w:rsidR="00E74CE6" w:rsidRPr="00E3331A" w:rsidRDefault="00E74CE6" w:rsidP="00E74CE6">
            <w:pPr>
              <w:pStyle w:val="Tabletext1"/>
            </w:pPr>
            <w:r w:rsidRPr="00E3331A">
              <w:t>Case series</w:t>
            </w:r>
          </w:p>
        </w:tc>
        <w:tc>
          <w:tcPr>
            <w:tcW w:w="1233" w:type="pct"/>
          </w:tcPr>
          <w:p w:rsidR="00E74CE6" w:rsidRPr="00E3331A" w:rsidRDefault="00E74CE6" w:rsidP="00E74CE6">
            <w:pPr>
              <w:pStyle w:val="Tabletext1"/>
            </w:pPr>
            <w:r w:rsidRPr="00E3331A">
              <w:t>Daily grip strength measurements</w:t>
            </w:r>
          </w:p>
        </w:tc>
        <w:tc>
          <w:tcPr>
            <w:tcW w:w="617" w:type="pct"/>
          </w:tcPr>
          <w:p w:rsidR="00E74CE6" w:rsidRPr="00E3331A" w:rsidRDefault="00E74CE6" w:rsidP="00E74CE6">
            <w:pPr>
              <w:pStyle w:val="Tabletext1"/>
            </w:pPr>
            <w:r w:rsidRPr="00E3331A">
              <w:t>May 2020</w:t>
            </w:r>
          </w:p>
        </w:tc>
      </w:tr>
      <w:tr w:rsidR="00E74CE6" w:rsidRPr="00E3331A" w:rsidTr="00D227C2">
        <w:tc>
          <w:tcPr>
            <w:tcW w:w="1302" w:type="pct"/>
          </w:tcPr>
          <w:p w:rsidR="00E74CE6" w:rsidRPr="00E3331A" w:rsidRDefault="00E74CE6" w:rsidP="00E74CE6">
            <w:pPr>
              <w:pStyle w:val="Tabletext1"/>
            </w:pPr>
            <w:r w:rsidRPr="00E3331A">
              <w:t>NCT03166527</w:t>
            </w:r>
          </w:p>
          <w:p w:rsidR="00E74CE6" w:rsidRPr="00E3331A" w:rsidRDefault="00E74CE6" w:rsidP="00E74CE6">
            <w:pPr>
              <w:pStyle w:val="Tabletext1"/>
            </w:pPr>
            <w:r w:rsidRPr="00E3331A">
              <w:t>Canada</w:t>
            </w:r>
          </w:p>
        </w:tc>
        <w:tc>
          <w:tcPr>
            <w:tcW w:w="479" w:type="pct"/>
          </w:tcPr>
          <w:p w:rsidR="00E74CE6" w:rsidRPr="00E3331A" w:rsidRDefault="00E74CE6" w:rsidP="00E74CE6">
            <w:pPr>
              <w:pStyle w:val="Tabletext1"/>
            </w:pPr>
            <w:r w:rsidRPr="00E3331A">
              <w:t xml:space="preserve">Unknown </w:t>
            </w:r>
          </w:p>
        </w:tc>
        <w:tc>
          <w:tcPr>
            <w:tcW w:w="753" w:type="pct"/>
          </w:tcPr>
          <w:p w:rsidR="00E74CE6" w:rsidRPr="00E3331A" w:rsidRDefault="00E74CE6" w:rsidP="00E74CE6">
            <w:pPr>
              <w:pStyle w:val="Tabletext1"/>
            </w:pPr>
            <w:r w:rsidRPr="00E3331A">
              <w:t>IVIg (Panzyga)</w:t>
            </w:r>
          </w:p>
        </w:tc>
        <w:tc>
          <w:tcPr>
            <w:tcW w:w="617" w:type="pct"/>
          </w:tcPr>
          <w:p w:rsidR="00E74CE6" w:rsidRPr="00E3331A" w:rsidRDefault="00E74CE6" w:rsidP="00E74CE6">
            <w:pPr>
              <w:pStyle w:val="Tabletext1"/>
            </w:pPr>
            <w:r w:rsidRPr="00E3331A">
              <w:t>Case series</w:t>
            </w:r>
          </w:p>
        </w:tc>
        <w:tc>
          <w:tcPr>
            <w:tcW w:w="1233" w:type="pct"/>
          </w:tcPr>
          <w:p w:rsidR="00E74CE6" w:rsidRPr="00E3331A" w:rsidRDefault="00E74CE6" w:rsidP="00E74CE6">
            <w:pPr>
              <w:pStyle w:val="Tabletext1"/>
            </w:pPr>
            <w:r w:rsidRPr="00E3331A">
              <w:t>Adverse events</w:t>
            </w:r>
          </w:p>
        </w:tc>
        <w:tc>
          <w:tcPr>
            <w:tcW w:w="617" w:type="pct"/>
          </w:tcPr>
          <w:p w:rsidR="00E74CE6" w:rsidRPr="00E3331A" w:rsidRDefault="00E74CE6" w:rsidP="00E74CE6">
            <w:pPr>
              <w:pStyle w:val="Tabletext1"/>
            </w:pPr>
            <w:r w:rsidRPr="00E3331A">
              <w:t>December 2018</w:t>
            </w:r>
          </w:p>
        </w:tc>
      </w:tr>
    </w:tbl>
    <w:p w:rsidR="00AE6C81" w:rsidRPr="00E3331A" w:rsidRDefault="00CF272A" w:rsidP="0077418B">
      <w:pPr>
        <w:jc w:val="both"/>
        <w:rPr>
          <w:rFonts w:ascii="Arial Narrow" w:hAnsi="Arial Narrow"/>
          <w:sz w:val="18"/>
          <w:szCs w:val="18"/>
        </w:rPr>
      </w:pPr>
      <w:r w:rsidRPr="00E3331A">
        <w:rPr>
          <w:rFonts w:ascii="Arial Narrow" w:hAnsi="Arial Narrow"/>
          <w:sz w:val="18"/>
          <w:szCs w:val="18"/>
        </w:rPr>
        <w:t>CIDP:</w:t>
      </w:r>
      <w:r w:rsidR="00843224" w:rsidRPr="00E3331A">
        <w:rPr>
          <w:rFonts w:ascii="Arial Narrow" w:hAnsi="Arial Narrow"/>
          <w:sz w:val="18"/>
          <w:szCs w:val="18"/>
        </w:rPr>
        <w:t xml:space="preserve"> =</w:t>
      </w:r>
      <w:r w:rsidRPr="00E3331A">
        <w:rPr>
          <w:rFonts w:ascii="Arial Narrow" w:hAnsi="Arial Narrow"/>
          <w:sz w:val="18"/>
          <w:szCs w:val="18"/>
        </w:rPr>
        <w:t xml:space="preserve"> chronic inflammatory demyelinating polyneuropathy; </w:t>
      </w:r>
      <w:r w:rsidR="00DF4120" w:rsidRPr="00E3331A">
        <w:rPr>
          <w:rFonts w:ascii="Arial Narrow" w:hAnsi="Arial Narrow"/>
          <w:sz w:val="18"/>
          <w:szCs w:val="18"/>
        </w:rPr>
        <w:t>Ig</w:t>
      </w:r>
      <w:r w:rsidR="00843224" w:rsidRPr="00E3331A">
        <w:rPr>
          <w:rFonts w:ascii="Arial Narrow" w:hAnsi="Arial Narrow"/>
          <w:sz w:val="18"/>
          <w:szCs w:val="18"/>
        </w:rPr>
        <w:t xml:space="preserve"> =</w:t>
      </w:r>
      <w:r w:rsidR="00DF4120" w:rsidRPr="00E3331A">
        <w:rPr>
          <w:rFonts w:ascii="Arial Narrow" w:hAnsi="Arial Narrow"/>
          <w:sz w:val="18"/>
          <w:szCs w:val="18"/>
        </w:rPr>
        <w:t xml:space="preserve"> </w:t>
      </w:r>
      <w:r w:rsidR="004C2839" w:rsidRPr="00E3331A">
        <w:rPr>
          <w:rFonts w:ascii="Arial Narrow" w:hAnsi="Arial Narrow"/>
          <w:sz w:val="18"/>
          <w:szCs w:val="18"/>
        </w:rPr>
        <w:t>i</w:t>
      </w:r>
      <w:r w:rsidR="00DF4120" w:rsidRPr="00E3331A">
        <w:rPr>
          <w:rFonts w:ascii="Arial Narrow" w:hAnsi="Arial Narrow"/>
          <w:sz w:val="18"/>
          <w:szCs w:val="18"/>
        </w:rPr>
        <w:t>mmunoglobulin; IVIg</w:t>
      </w:r>
      <w:r w:rsidR="00843224" w:rsidRPr="00E3331A">
        <w:rPr>
          <w:rFonts w:ascii="Arial Narrow" w:hAnsi="Arial Narrow"/>
          <w:sz w:val="18"/>
          <w:szCs w:val="18"/>
        </w:rPr>
        <w:t xml:space="preserve"> =</w:t>
      </w:r>
      <w:r w:rsidR="00DF4120" w:rsidRPr="00E3331A">
        <w:rPr>
          <w:rFonts w:ascii="Arial Narrow" w:hAnsi="Arial Narrow"/>
          <w:sz w:val="18"/>
          <w:szCs w:val="18"/>
        </w:rPr>
        <w:t xml:space="preserve"> intravenous immunoglobulin; RCT</w:t>
      </w:r>
      <w:r w:rsidR="00843224" w:rsidRPr="00E3331A">
        <w:rPr>
          <w:rFonts w:ascii="Arial Narrow" w:hAnsi="Arial Narrow"/>
          <w:sz w:val="18"/>
          <w:szCs w:val="18"/>
        </w:rPr>
        <w:t xml:space="preserve"> =</w:t>
      </w:r>
      <w:r w:rsidR="00DF4120" w:rsidRPr="00E3331A">
        <w:rPr>
          <w:rFonts w:ascii="Arial Narrow" w:hAnsi="Arial Narrow"/>
          <w:sz w:val="18"/>
          <w:szCs w:val="18"/>
        </w:rPr>
        <w:t xml:space="preserve"> randomised controlled trial</w:t>
      </w:r>
      <w:r w:rsidR="008C4EB3" w:rsidRPr="00E3331A">
        <w:rPr>
          <w:rFonts w:ascii="Arial Narrow" w:hAnsi="Arial Narrow"/>
          <w:sz w:val="18"/>
          <w:szCs w:val="18"/>
        </w:rPr>
        <w:t>; SCIg</w:t>
      </w:r>
      <w:r w:rsidR="00843224" w:rsidRPr="00E3331A">
        <w:rPr>
          <w:rFonts w:ascii="Arial Narrow" w:hAnsi="Arial Narrow"/>
          <w:sz w:val="18"/>
          <w:szCs w:val="18"/>
        </w:rPr>
        <w:t xml:space="preserve"> =</w:t>
      </w:r>
      <w:r w:rsidR="008C4EB3" w:rsidRPr="00E3331A">
        <w:rPr>
          <w:rFonts w:ascii="Arial Narrow" w:hAnsi="Arial Narrow"/>
          <w:sz w:val="18"/>
          <w:szCs w:val="18"/>
        </w:rPr>
        <w:t xml:space="preserve"> subcutaneous immunoglobulin</w:t>
      </w:r>
    </w:p>
    <w:p w:rsidR="004E45C4" w:rsidRPr="00E3331A" w:rsidRDefault="004E45C4" w:rsidP="00DF343F">
      <w:pPr>
        <w:keepNext/>
        <w:pageBreakBefore/>
        <w:pBdr>
          <w:bottom w:val="single" w:sz="4" w:space="1" w:color="auto"/>
        </w:pBdr>
        <w:spacing w:after="360" w:line="240" w:lineRule="auto"/>
        <w:ind w:left="2835" w:hanging="2835"/>
        <w:jc w:val="both"/>
        <w:outlineLvl w:val="0"/>
        <w:rPr>
          <w:b/>
          <w:sz w:val="44"/>
        </w:rPr>
      </w:pPr>
      <w:bookmarkStart w:id="535" w:name="_Ref352745383"/>
      <w:bookmarkStart w:id="536" w:name="_Toc352254677"/>
      <w:bookmarkStart w:id="537" w:name="_Toc352672949"/>
      <w:bookmarkStart w:id="538" w:name="_Toc355274740"/>
      <w:bookmarkStart w:id="539" w:name="_Toc379118097"/>
      <w:bookmarkStart w:id="540" w:name="_Toc381796496"/>
      <w:bookmarkStart w:id="541" w:name="_Toc24103535"/>
      <w:bookmarkStart w:id="542" w:name="_Ref237760111"/>
      <w:bookmarkEnd w:id="531"/>
      <w:bookmarkEnd w:id="532"/>
      <w:r w:rsidRPr="00E3331A">
        <w:rPr>
          <w:b/>
          <w:sz w:val="44"/>
        </w:rPr>
        <w:lastRenderedPageBreak/>
        <w:t xml:space="preserve">Appendix </w:t>
      </w:r>
      <w:r w:rsidR="006F35B9">
        <w:rPr>
          <w:b/>
          <w:noProof/>
          <w:sz w:val="44"/>
        </w:rPr>
        <w:t>A</w:t>
      </w:r>
      <w:bookmarkEnd w:id="535"/>
      <w:bookmarkEnd w:id="536"/>
      <w:bookmarkEnd w:id="537"/>
      <w:r w:rsidR="00745565" w:rsidRPr="00E3331A">
        <w:rPr>
          <w:b/>
          <w:sz w:val="44"/>
        </w:rPr>
        <w:tab/>
      </w:r>
      <w:r w:rsidR="003E626D" w:rsidRPr="00E3331A">
        <w:rPr>
          <w:b/>
          <w:sz w:val="44"/>
        </w:rPr>
        <w:t>Clinical Experts</w:t>
      </w:r>
      <w:r w:rsidR="00745565" w:rsidRPr="00E3331A">
        <w:rPr>
          <w:b/>
          <w:sz w:val="44"/>
        </w:rPr>
        <w:t xml:space="preserve"> </w:t>
      </w:r>
      <w:r w:rsidRPr="00E3331A">
        <w:rPr>
          <w:b/>
          <w:sz w:val="44"/>
        </w:rPr>
        <w:t>and Assessment Group</w:t>
      </w:r>
      <w:bookmarkEnd w:id="538"/>
      <w:bookmarkEnd w:id="539"/>
      <w:bookmarkEnd w:id="540"/>
      <w:bookmarkEnd w:id="541"/>
    </w:p>
    <w:p w:rsidR="004E45C4" w:rsidRPr="00E3331A" w:rsidRDefault="004E45C4" w:rsidP="003E4E1F">
      <w:pPr>
        <w:pStyle w:val="Heading2"/>
      </w:pPr>
      <w:bookmarkStart w:id="543" w:name="_Toc379118099"/>
      <w:bookmarkStart w:id="544" w:name="_Toc381796498"/>
      <w:bookmarkStart w:id="545" w:name="_Toc24103536"/>
      <w:r w:rsidRPr="00E3331A">
        <w:t>Assessment group</w:t>
      </w:r>
      <w:bookmarkEnd w:id="543"/>
      <w:bookmarkEnd w:id="544"/>
      <w:bookmarkEnd w:id="545"/>
      <w:r w:rsidR="003E626D" w:rsidRPr="00E3331A">
        <w:t xml:space="preserve"> </w:t>
      </w:r>
    </w:p>
    <w:p w:rsidR="004E45C4" w:rsidRPr="00E3331A" w:rsidRDefault="00E14808" w:rsidP="00DF343F">
      <w:pPr>
        <w:spacing w:line="240" w:lineRule="auto"/>
        <w:jc w:val="both"/>
        <w:rPr>
          <w:b/>
        </w:rPr>
      </w:pPr>
      <w:r w:rsidRPr="00E3331A">
        <w:rPr>
          <w:b/>
        </w:rPr>
        <w:t>RACS Research and Evaluation (ASERNIP-S)</w:t>
      </w:r>
    </w:p>
    <w:p w:rsidR="007B1DC8" w:rsidRDefault="007D7C99" w:rsidP="007D7C99">
      <w:pPr>
        <w:pStyle w:val="ListParagraph"/>
        <w:numPr>
          <w:ilvl w:val="0"/>
          <w:numId w:val="52"/>
        </w:numPr>
        <w:tabs>
          <w:tab w:val="left" w:pos="4111"/>
        </w:tabs>
        <w:jc w:val="both"/>
      </w:pPr>
      <w:r>
        <w:t>REDACTED</w:t>
      </w:r>
    </w:p>
    <w:p w:rsidR="007D7C99" w:rsidRDefault="007D7C99" w:rsidP="007D7C99">
      <w:pPr>
        <w:pStyle w:val="ListParagraph"/>
        <w:numPr>
          <w:ilvl w:val="0"/>
          <w:numId w:val="52"/>
        </w:numPr>
        <w:tabs>
          <w:tab w:val="left" w:pos="4111"/>
        </w:tabs>
        <w:jc w:val="both"/>
      </w:pPr>
      <w:r>
        <w:t>REDACTED</w:t>
      </w:r>
    </w:p>
    <w:p w:rsidR="007D7C99" w:rsidRDefault="007D7C99" w:rsidP="007D7C99">
      <w:pPr>
        <w:pStyle w:val="ListParagraph"/>
        <w:numPr>
          <w:ilvl w:val="0"/>
          <w:numId w:val="52"/>
        </w:numPr>
        <w:tabs>
          <w:tab w:val="left" w:pos="4111"/>
        </w:tabs>
        <w:jc w:val="both"/>
      </w:pPr>
      <w:r>
        <w:t>REDACTED</w:t>
      </w:r>
    </w:p>
    <w:p w:rsidR="007D7C99" w:rsidRDefault="007D7C99" w:rsidP="007D7C99">
      <w:pPr>
        <w:pStyle w:val="ListParagraph"/>
        <w:numPr>
          <w:ilvl w:val="0"/>
          <w:numId w:val="52"/>
        </w:numPr>
        <w:tabs>
          <w:tab w:val="left" w:pos="4111"/>
        </w:tabs>
        <w:jc w:val="both"/>
      </w:pPr>
      <w:r>
        <w:t>REDACTED</w:t>
      </w:r>
    </w:p>
    <w:p w:rsidR="007D7C99" w:rsidRDefault="007D7C99" w:rsidP="007D7C99">
      <w:pPr>
        <w:pStyle w:val="ListParagraph"/>
        <w:numPr>
          <w:ilvl w:val="0"/>
          <w:numId w:val="52"/>
        </w:numPr>
        <w:tabs>
          <w:tab w:val="left" w:pos="4111"/>
        </w:tabs>
        <w:jc w:val="both"/>
      </w:pPr>
      <w:r>
        <w:t>REDACTED</w:t>
      </w:r>
    </w:p>
    <w:p w:rsidR="007D7C99" w:rsidRDefault="007D7C99" w:rsidP="007D7C99">
      <w:pPr>
        <w:pStyle w:val="ListParagraph"/>
        <w:numPr>
          <w:ilvl w:val="0"/>
          <w:numId w:val="52"/>
        </w:numPr>
        <w:tabs>
          <w:tab w:val="left" w:pos="4111"/>
        </w:tabs>
        <w:jc w:val="both"/>
      </w:pPr>
      <w:r>
        <w:t>REDACTED</w:t>
      </w:r>
    </w:p>
    <w:p w:rsidR="007D7C99" w:rsidRPr="00E3331A" w:rsidRDefault="007D7C99" w:rsidP="00DF343F">
      <w:pPr>
        <w:tabs>
          <w:tab w:val="left" w:pos="4111"/>
        </w:tabs>
        <w:jc w:val="both"/>
      </w:pPr>
    </w:p>
    <w:p w:rsidR="004E45C4" w:rsidRPr="00E3331A" w:rsidRDefault="004E45C4" w:rsidP="00DF343F">
      <w:pPr>
        <w:spacing w:line="240" w:lineRule="auto"/>
        <w:jc w:val="both"/>
        <w:rPr>
          <w:b/>
          <w:sz w:val="28"/>
          <w:szCs w:val="28"/>
        </w:rPr>
      </w:pPr>
      <w:bookmarkStart w:id="546" w:name="_Toc352254679"/>
      <w:bookmarkStart w:id="547" w:name="_Toc352672951"/>
      <w:bookmarkStart w:id="548" w:name="_Toc352761736"/>
      <w:r w:rsidRPr="00E3331A">
        <w:rPr>
          <w:b/>
          <w:sz w:val="28"/>
          <w:szCs w:val="28"/>
        </w:rPr>
        <w:t>Noted conflicts of interest</w:t>
      </w:r>
      <w:bookmarkEnd w:id="546"/>
      <w:bookmarkEnd w:id="547"/>
      <w:bookmarkEnd w:id="548"/>
    </w:p>
    <w:p w:rsidR="004E45C4" w:rsidRPr="00E3331A" w:rsidRDefault="004E45C4" w:rsidP="00DF343F">
      <w:pPr>
        <w:spacing w:line="240" w:lineRule="auto"/>
        <w:jc w:val="both"/>
      </w:pPr>
      <w:r w:rsidRPr="00E3331A">
        <w:t>There were no conflicts of interest.</w:t>
      </w:r>
    </w:p>
    <w:p w:rsidR="007A7960" w:rsidRPr="00E3331A" w:rsidRDefault="00193B87" w:rsidP="00DF343F">
      <w:pPr>
        <w:pStyle w:val="Heading1"/>
        <w:jc w:val="both"/>
      </w:pPr>
      <w:bookmarkStart w:id="549" w:name="_Toc379118100"/>
      <w:bookmarkStart w:id="550" w:name="_Toc381796499"/>
      <w:bookmarkStart w:id="551" w:name="_Toc24103537"/>
      <w:bookmarkEnd w:id="542"/>
      <w:r w:rsidRPr="00E3331A">
        <w:lastRenderedPageBreak/>
        <w:t xml:space="preserve">Appendix </w:t>
      </w:r>
      <w:r w:rsidR="006F35B9">
        <w:rPr>
          <w:noProof/>
        </w:rPr>
        <w:t>B</w:t>
      </w:r>
      <w:r w:rsidR="00871F61" w:rsidRPr="00E3331A">
        <w:tab/>
        <w:t>Search strategies</w:t>
      </w:r>
      <w:bookmarkEnd w:id="549"/>
      <w:bookmarkEnd w:id="550"/>
      <w:bookmarkEnd w:id="551"/>
    </w:p>
    <w:p w:rsidR="00E40E41" w:rsidRPr="00E3331A" w:rsidRDefault="00E40E41" w:rsidP="00C84382">
      <w:pPr>
        <w:pStyle w:val="Heading2"/>
      </w:pPr>
      <w:bookmarkStart w:id="552" w:name="_Toc294256148"/>
      <w:bookmarkStart w:id="553" w:name="_Toc301358577"/>
      <w:bookmarkStart w:id="554" w:name="_Toc303677590"/>
      <w:bookmarkStart w:id="555" w:name="_Toc303677762"/>
      <w:bookmarkStart w:id="556" w:name="_Toc381796500"/>
      <w:bookmarkStart w:id="557" w:name="_Toc24103538"/>
      <w:r w:rsidRPr="00E3331A">
        <w:t>Bibliographic databases</w:t>
      </w:r>
      <w:bookmarkEnd w:id="552"/>
      <w:bookmarkEnd w:id="553"/>
      <w:bookmarkEnd w:id="554"/>
      <w:bookmarkEnd w:id="555"/>
      <w:bookmarkEnd w:id="556"/>
      <w:bookmarkEnd w:id="557"/>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261"/>
      </w:tblGrid>
      <w:tr w:rsidR="0021273B" w:rsidRPr="00E3331A" w:rsidTr="0077418B">
        <w:trPr>
          <w:trHeight w:val="303"/>
        </w:trPr>
        <w:tc>
          <w:tcPr>
            <w:tcW w:w="5670" w:type="dxa"/>
          </w:tcPr>
          <w:p w:rsidR="0021273B" w:rsidRPr="00E3331A" w:rsidRDefault="0021273B" w:rsidP="00591A6D">
            <w:pPr>
              <w:pStyle w:val="TableHeading"/>
            </w:pPr>
            <w:r w:rsidRPr="00E3331A">
              <w:t>Electronic database</w:t>
            </w:r>
          </w:p>
        </w:tc>
        <w:tc>
          <w:tcPr>
            <w:tcW w:w="3261" w:type="dxa"/>
          </w:tcPr>
          <w:p w:rsidR="0021273B" w:rsidRPr="00E3331A" w:rsidRDefault="0021273B" w:rsidP="00591A6D">
            <w:pPr>
              <w:pStyle w:val="TableHeading"/>
            </w:pPr>
            <w:r w:rsidRPr="00E3331A">
              <w:t>Time period</w:t>
            </w:r>
            <w:r w:rsidR="00591A6D" w:rsidRPr="00E3331A">
              <w:t xml:space="preserve"> searched</w:t>
            </w:r>
          </w:p>
        </w:tc>
      </w:tr>
      <w:tr w:rsidR="0021273B" w:rsidRPr="00E3331A" w:rsidTr="00F834D4">
        <w:tc>
          <w:tcPr>
            <w:tcW w:w="5670" w:type="dxa"/>
            <w:shd w:val="clear" w:color="auto" w:fill="auto"/>
          </w:tcPr>
          <w:p w:rsidR="0021273B" w:rsidRPr="00E3331A" w:rsidRDefault="003E1B16" w:rsidP="003E1B16">
            <w:pPr>
              <w:pStyle w:val="Tabletext1"/>
              <w:rPr>
                <w:vanish/>
                <w:color w:val="C00000"/>
              </w:rPr>
            </w:pPr>
            <w:r w:rsidRPr="00E3331A">
              <w:t>Embase</w:t>
            </w:r>
            <w:r w:rsidRPr="00E3331A">
              <w:rPr>
                <w:vanish/>
                <w:color w:val="C00000"/>
              </w:rPr>
              <w:t xml:space="preserve"> </w:t>
            </w:r>
          </w:p>
        </w:tc>
        <w:tc>
          <w:tcPr>
            <w:tcW w:w="3261" w:type="dxa"/>
            <w:shd w:val="clear" w:color="auto" w:fill="auto"/>
          </w:tcPr>
          <w:p w:rsidR="0021273B" w:rsidRPr="00E3331A" w:rsidRDefault="00B65F4E" w:rsidP="00591A6D">
            <w:pPr>
              <w:pStyle w:val="Tabletext1"/>
            </w:pPr>
            <w:r w:rsidRPr="00E3331A">
              <w:t>Inception to 25 March 2019</w:t>
            </w:r>
          </w:p>
        </w:tc>
      </w:tr>
      <w:tr w:rsidR="003E1B16" w:rsidRPr="00E3331A" w:rsidTr="00F834D4">
        <w:tc>
          <w:tcPr>
            <w:tcW w:w="5670" w:type="dxa"/>
            <w:tcBorders>
              <w:top w:val="single" w:sz="4" w:space="0" w:color="auto"/>
              <w:left w:val="single" w:sz="4" w:space="0" w:color="auto"/>
              <w:bottom w:val="single" w:sz="4" w:space="0" w:color="auto"/>
              <w:right w:val="single" w:sz="4" w:space="0" w:color="auto"/>
            </w:tcBorders>
            <w:shd w:val="clear" w:color="auto" w:fill="auto"/>
          </w:tcPr>
          <w:p w:rsidR="003E1B16" w:rsidRPr="00E3331A" w:rsidRDefault="00B65F4E" w:rsidP="00F53814">
            <w:pPr>
              <w:pStyle w:val="Tabletext1"/>
            </w:pPr>
            <w:r w:rsidRPr="00E3331A">
              <w:t>PubMed</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3E1B16" w:rsidRPr="00E3331A" w:rsidRDefault="00B65F4E" w:rsidP="00F53814">
            <w:pPr>
              <w:pStyle w:val="Tabletext1"/>
            </w:pPr>
            <w:r w:rsidRPr="00E3331A">
              <w:t>Inception to 25 March 2019</w:t>
            </w:r>
          </w:p>
        </w:tc>
      </w:tr>
    </w:tbl>
    <w:p w:rsidR="00214C6A" w:rsidRPr="00E3331A" w:rsidRDefault="00214C6A" w:rsidP="00CE2A67"/>
    <w:p w:rsidR="009A3655" w:rsidRPr="00E3331A" w:rsidRDefault="009A3655" w:rsidP="00DF343F">
      <w:pPr>
        <w:pStyle w:val="Heading1"/>
        <w:jc w:val="both"/>
        <w:sectPr w:rsidR="009A3655" w:rsidRPr="00E3331A" w:rsidSect="008A06D0">
          <w:pgSz w:w="11906" w:h="16838"/>
          <w:pgMar w:top="1440" w:right="1440" w:bottom="1440" w:left="1440" w:header="720" w:footer="720" w:gutter="0"/>
          <w:paperSrc w:first="7" w:other="7"/>
          <w:cols w:space="720"/>
          <w:docGrid w:linePitch="299"/>
        </w:sectPr>
      </w:pPr>
      <w:bookmarkStart w:id="558" w:name="_Ref170808567"/>
      <w:bookmarkStart w:id="559" w:name="_Toc460813781"/>
      <w:bookmarkStart w:id="560" w:name="_Ref170792604"/>
    </w:p>
    <w:p w:rsidR="007A7960" w:rsidRPr="00E3331A" w:rsidRDefault="00193B87" w:rsidP="00DF343F">
      <w:pPr>
        <w:pStyle w:val="Heading1"/>
        <w:jc w:val="both"/>
      </w:pPr>
      <w:bookmarkStart w:id="561" w:name="_Ref364237249"/>
      <w:bookmarkStart w:id="562" w:name="_Ref190841600"/>
      <w:bookmarkStart w:id="563" w:name="_Toc379118101"/>
      <w:bookmarkStart w:id="564" w:name="_Toc381796504"/>
      <w:bookmarkStart w:id="565" w:name="_Toc24103539"/>
      <w:bookmarkEnd w:id="558"/>
      <w:r w:rsidRPr="00E3331A">
        <w:lastRenderedPageBreak/>
        <w:t xml:space="preserve">Appendix </w:t>
      </w:r>
      <w:r w:rsidR="006F35B9">
        <w:rPr>
          <w:noProof/>
        </w:rPr>
        <w:t>C</w:t>
      </w:r>
      <w:bookmarkEnd w:id="561"/>
      <w:r w:rsidR="008F59A8" w:rsidRPr="00E3331A">
        <w:tab/>
        <w:t>S</w:t>
      </w:r>
      <w:r w:rsidR="00591A6D" w:rsidRPr="00E3331A">
        <w:t>tudies included in the Systematic R</w:t>
      </w:r>
      <w:r w:rsidR="008F59A8" w:rsidRPr="00E3331A">
        <w:t>eview</w:t>
      </w:r>
      <w:bookmarkEnd w:id="559"/>
      <w:bookmarkEnd w:id="560"/>
      <w:bookmarkEnd w:id="562"/>
      <w:bookmarkEnd w:id="563"/>
      <w:bookmarkEnd w:id="564"/>
      <w:bookmarkEnd w:id="565"/>
      <w:r w:rsidR="008F59A8" w:rsidRPr="00E3331A">
        <w:t xml:space="preserve"> </w:t>
      </w:r>
    </w:p>
    <w:p w:rsidR="00E56EAC" w:rsidRPr="00E56EAC" w:rsidRDefault="00E56EAC" w:rsidP="00E56EAC">
      <w:pPr>
        <w:spacing w:after="200" w:line="276" w:lineRule="auto"/>
        <w:rPr>
          <w:rFonts w:eastAsia="Calibri" w:cs="Times New Roman"/>
          <w:b/>
          <w:lang w:eastAsia="en-US"/>
        </w:rPr>
      </w:pPr>
      <w:bookmarkStart w:id="566" w:name="_Ref192056948"/>
      <w:bookmarkStart w:id="567" w:name="_Ref169423889"/>
      <w:r w:rsidRPr="00E56EAC">
        <w:rPr>
          <w:rFonts w:eastAsia="Calibri" w:cs="Times New Roman"/>
          <w:b/>
          <w:lang w:eastAsia="en-US"/>
        </w:rPr>
        <w:t>Randomised controlled trials</w:t>
      </w:r>
    </w:p>
    <w:p w:rsidR="003954A0" w:rsidRDefault="003954A0" w:rsidP="003954A0">
      <w:r>
        <w:t>Ashworth, NL, Zochodne, DW, Hahn, AF, Pillay, N, Chalk, C, Benstead, T, Bril, V, Feasby, TE &amp; Bolton, CF 2000, 'Impact of plasma exchange on indices of demyelination in chronic inflammatory demyelinating polyradiculoneuropathy', Muscle and Nerve, vol.23, pp. 206-10.</w:t>
      </w:r>
    </w:p>
    <w:p w:rsidR="003954A0" w:rsidRDefault="003954A0" w:rsidP="003954A0">
      <w:r>
        <w:t>Bril, V, Katzberg, H, Donofrio, P, Banach, M, Dalakas, MC, Deng, C, Hanna, K, Hartung, HP, Hughes, RA, Latov, N, Merkies, IS, van Doorn, PA &amp; Group, ICES 2009, 'Electrophysiology in chronic inflammatory demyelinating polyneuropathy with IGIV', Muscle &amp; nerve, vol.39, pp. 448-55.</w:t>
      </w:r>
    </w:p>
    <w:p w:rsidR="003954A0" w:rsidRDefault="003954A0" w:rsidP="003954A0">
      <w:r>
        <w:t>Donofrio, PD, Bril, V, Dalakas, MC, Deng, C, Hanna, K, Hartung, HP, Hughes, R, Latov, N, Merkies, I &amp; Van Doorn, P 2010, 'Safety and tolerability of immune globulin intravenous in chronic inflammatory demyelinating polyradiculoneuropathy', Archives of Neurology, vol.67, pp. 1082-88.</w:t>
      </w:r>
    </w:p>
    <w:p w:rsidR="003954A0" w:rsidRDefault="003954A0" w:rsidP="003954A0">
      <w:r>
        <w:t>Dyck, PJ, Daube, J, O'Brien, P, Pineda, A, Low, PA, Windebank, AJ &amp; Swanson, C 1986, 'Plasma exchange in chronic inflammatory demyelinating polyradiculoneuropathy', N Engl J Med, vol.314, pp. 461-5.</w:t>
      </w:r>
    </w:p>
    <w:p w:rsidR="003954A0" w:rsidRDefault="003954A0" w:rsidP="003954A0">
      <w:r>
        <w:t>Dyck, PJ, Litchy, WJ, Kratz, KM, Suarez, GA, Low, PA, Pineda, AA, Windebank, AJ, Karnes, JL &amp; O'Brien, PC 1994, 'A plasma exchange versus immune globulin infusion trial in chronic inflammatory demyelinating polyradiculoneuropathy', Ann Neurol, vol.36, pp. 838-45.</w:t>
      </w:r>
    </w:p>
    <w:p w:rsidR="003954A0" w:rsidRDefault="003954A0" w:rsidP="003954A0">
      <w:r>
        <w:t>Dyck, PJ, O'Brien, P &amp; Swanson, C 1985, 'Combined azathioprine and prednisone in chronic inflammatory-demyelinating polyneuropathy', Neurology, vol.35, pp. 1173-76.</w:t>
      </w:r>
    </w:p>
    <w:p w:rsidR="003954A0" w:rsidRDefault="003954A0" w:rsidP="003954A0">
      <w:r>
        <w:t>Dyck, PJ, O'Brien, PC &amp; Oviat, KF 1982, 'Prednisone improves chronic inflammatory demyelinating polyradiculoneuropathy more than no treatment', Annals of Neurology, vol.11, pp. 136-41.</w:t>
      </w:r>
    </w:p>
    <w:p w:rsidR="003954A0" w:rsidRDefault="003954A0" w:rsidP="003954A0">
      <w:r>
        <w:t>Eftimov, F, Vermeulen, M, Van Doorn, PA, Brusse, E &amp; Van Schaik, IN 2012, 'Long-term remission of CIDP after pulsed dexamethasone or short-term prednisolone treatment', Neurology, vol.78, pp. 1079-84.</w:t>
      </w:r>
    </w:p>
    <w:p w:rsidR="003954A0" w:rsidRDefault="003954A0" w:rsidP="003954A0">
      <w:r>
        <w:t>Hahn, AF, Bolton, CF, Pillay, N, Chalk, C, Benstead, T, Bril, V, Shumak, K, Vandervoort, MK &amp; Feasby, TE 1996a, 'Plasma-exchange therapy in chronic inflammatory demyelinating polyneuropathy. A double-blind, sham-controlled, cross</w:t>
      </w:r>
      <w:r w:rsidR="00417823">
        <w:t>over</w:t>
      </w:r>
      <w:r>
        <w:t xml:space="preserve"> study', Brain, vol.119, pp. 1055-66.</w:t>
      </w:r>
    </w:p>
    <w:p w:rsidR="003954A0" w:rsidRDefault="003954A0" w:rsidP="003954A0">
      <w:r>
        <w:lastRenderedPageBreak/>
        <w:t>Hahn, AF, Bolton, CF, Zochodne, D &amp; Feasby, TE 1996b, 'Intravenous immunoglobulin treatment in chronic inflammatory demyelinating polyneuropathy. A double-blind, placebo-controlled, cross</w:t>
      </w:r>
      <w:r w:rsidR="00417823">
        <w:t>over</w:t>
      </w:r>
      <w:r>
        <w:t xml:space="preserve"> study', Brain, vol.119, pp. 1067-77.</w:t>
      </w:r>
    </w:p>
    <w:p w:rsidR="003954A0" w:rsidRDefault="003954A0" w:rsidP="003954A0">
      <w:r>
        <w:t>Hughes, R, Bensa, S, Willison, H, Van den Bergh, P, Comi, G, Illa, I, Nobile-Orazio, E, van Doorn, P, Dalakas, M, Bojar, M &amp; Swan, A 2001, 'Randomized controlled trial of intravenous immunoglobulin versus oral prednisolone in chronic inflammatory demyelinating polyradiculoneuropathy', Ann Neurol, vol.50, pp. 195-201.</w:t>
      </w:r>
    </w:p>
    <w:p w:rsidR="003954A0" w:rsidRDefault="003954A0" w:rsidP="003954A0">
      <w:r>
        <w:t xml:space="preserve">Hughes, R, Dalakas, MC, Merkies, I, Latov, N, Leger, JM, Nobile-Orazio, E, Sobue, G, Genge, A, Cornblath, D, Merschhemke, M, Ervin, CM, Agoropoulou, C &amp; Hartung, HP 2018, 'Oral fingolimod for chronic inflammatory demyelinating polyradiculoneuropathy (FORCIDP Trial): a double-blind, multicentre, randomised controlled trial', The lancet neurology, vol., pp. </w:t>
      </w:r>
    </w:p>
    <w:p w:rsidR="003954A0" w:rsidRDefault="003954A0" w:rsidP="003954A0">
      <w:r>
        <w:t>Hughes, RA, Donofrio, P, Bril, V, Dalakas, MC, Deng, C, Hanna, K, Hartung, HP, Latov, N, Merkies, IS &amp; van Doorn, PA 2008, 'Intravenous immune globulin (10% caprylate-chromatography purified) for the treatment of chronic inflammatory demyelinating polyradiculoneuropathy (ICE study): a randomised placebo-controlled trial', The Lancet Neurology, vol.7, pp. 136-44.</w:t>
      </w:r>
    </w:p>
    <w:p w:rsidR="003954A0" w:rsidRDefault="003954A0" w:rsidP="003954A0">
      <w:r>
        <w:t>Kuitwaard, K, van den Berg, LH, Vermeulen, M, Brusse, E, Cats, EA, van der Kooi, AJ, Notermans, NC, van der Pol, WL, van Schaik, IN, van Nes, SI, Hop, WC &amp; van Doorn, PA 2010, 'Randomised controlled trial comparing two different intravenous immunoglobulins in chronic inflammatory demyelinating polyradiculoneuropathy', J Neurol Neurosurg Psychiatry, vol.81, pp. 1374-9.</w:t>
      </w:r>
    </w:p>
    <w:p w:rsidR="003954A0" w:rsidRDefault="003954A0" w:rsidP="003954A0">
      <w:r>
        <w:t>Latov, N, Deng, C, Dalakas, MC, Bril, V, Donofrio, P, Hanna, K, Hartung, HP, Hughes, RA, Merkies, IS &amp; van Doorn, PA 2010, 'Timing and course of clinical response to intravenous immunoglobulin in chronic inflammatory demyelinating polyradiculoneuropathy', Arch Neurol, vol.67, pp. 802-7.</w:t>
      </w:r>
    </w:p>
    <w:p w:rsidR="003954A0" w:rsidRDefault="003954A0" w:rsidP="003954A0">
      <w:r>
        <w:t xml:space="preserve">Lieker, I, Slowinski, T, Harms, L, Hahn, K &amp; Klehmet, J 2017, 'A prospective study comparing tryptophan immunoadsorption with therapeutic plasma exchange for the treatment of chronic inflammatory demyelinating polyneuropathy', Journal of </w:t>
      </w:r>
      <w:r w:rsidR="00BE54F2">
        <w:t>Clinical Apheresis</w:t>
      </w:r>
      <w:r>
        <w:t xml:space="preserve">, vol., pp. </w:t>
      </w:r>
    </w:p>
    <w:p w:rsidR="003954A0" w:rsidRDefault="003954A0" w:rsidP="003954A0">
      <w:r>
        <w:t>Markvardsen, LH, Debost, JC, Harbo, T, Sindrup, SH, Andersen, H, Christiansen, I, Otto, M, Olsen, NK, Lassen, LL &amp; Jakobsen, J 2013, 'Subcutaneous immunoglobulin in responders to intravenous therapy with chronic inflammatory demyelinating polyradiculoneuropathy', European Journal of Neurology, vol.20, pp. 836-42.</w:t>
      </w:r>
    </w:p>
    <w:p w:rsidR="003954A0" w:rsidRDefault="003954A0" w:rsidP="003954A0">
      <w:r>
        <w:t>Markvardsen, LH, Sindrup, SH, Christiansen, I, Olsen, NK, Jakobsen, J &amp; Andersen, H 2017, 'Subcutaneous immunoglobulin as first-line therapy in treatment-na</w:t>
      </w:r>
      <w:r w:rsidR="00417823">
        <w:t>ïve</w:t>
      </w:r>
      <w:r>
        <w:t xml:space="preserve"> patients with chronic inflammatory demyelinating polyneuropathy: randomized controlled trial study', European Journal of Neurology, vol.24, pp. 412-18.</w:t>
      </w:r>
    </w:p>
    <w:p w:rsidR="003954A0" w:rsidRDefault="003954A0" w:rsidP="003954A0">
      <w:r>
        <w:lastRenderedPageBreak/>
        <w:t>Mendell, JR, Barohn, RJ, Freimer, ML, Kissel, JT, King, W, Nagaraja, HN, Rice, R, Campbell, WW, Donofrio, PD, Jackson, CE, Lewis, RA, Shy, M, Simpson, DM, Parry, GJ, Rivner, MH, Thornton, CA, Bromberg, MB, Tandan, R, Harati, Y &amp; Giuliani, MJ 2001, 'Randomized controlled trial of IVIg in untreated chronic inflammatory demyelinating polyradiculoneuropathy', Neurology, vol.56, pp. 445-9.</w:t>
      </w:r>
    </w:p>
    <w:p w:rsidR="003954A0" w:rsidRDefault="003954A0" w:rsidP="003954A0">
      <w:r>
        <w:t>Merkies, IS, Bril, V, Dalakas, MC, Deng, C, Donofrio, P, Hanna, K, Hartung, HP, Hughes, RA, Latov, N &amp; van Doorn, PA 2009, 'Health-related quality</w:t>
      </w:r>
      <w:r w:rsidR="00417823">
        <w:t xml:space="preserve"> of life</w:t>
      </w:r>
      <w:r>
        <w:t xml:space="preserve"> improvements in CIDP with immune globulin IV 10%: the ICE Study', Neurology, vol.72, pp. 1337-44.</w:t>
      </w:r>
    </w:p>
    <w:p w:rsidR="003954A0" w:rsidRDefault="003954A0" w:rsidP="003954A0">
      <w:r>
        <w:t xml:space="preserve">Mielke, O, Bril, V, Cornblath, DR, Lawo, JP, van Geloven, N, Hartung, HP, Lewis, RA, Merkies, ISJ, Sobue, G, Durn, B, Shebl, A, Sabet, A, George, K, Roberts, L, Carne, R, Blum, S, Henderson, R, Van Damme, P, Demeestere, J, Larue, S, D'Amour, C, Kunc, P, Valis, M, Sussova, J, Kalous, T, Talab, R, Bednar, M, Toomsoo, T, Rubanovits, I, Gross-Paju, K, Sorro, U, Saarela, M, Auranen, M, Pouget, J, Attarian, S, Le Masson, G, Wielanek-Bachelet, A, Desnuelle, C, Delmont, E, Clavelou, P, Aufauvre, D, Schmidt, J, Zschuentzsch, J, Sommer, C, Kramer, D, Hoffmann, O, Goerlitz, C, Haas, J, Chatzopoulos, M, Yoon, R, Gold, R, Berlit, P, Jaspert-Grehl, A, Liebetanz, D, Kutschenko, A, Stangel, M, Trebst, C, Baum, P, Bergh, F, Klehmet, J, Meisel, A, Klostermann, F, Oechtering, J, Lehmann, H, Schroeter, M, Hagenacker, T, Mueller, D, Sperfeld, A, Bethke, F, Drory, V, Algom, A, Yarnitsky, D, Murinson, B, Di Muzio, A, Ciccocioppo, F, Sorbi, S, Mata, S, Schenone, A, Grandis, M, Lauria, G, Cazzato, D, Antonini, G, Morino, S, Cocito, D, Zibetti, M, Yokota, T, Ohkubo, T, Kanda, T, Kawai, M, Kaida, K, Onoue, H, Kuwabara, S, Mori, M, Iijima, M, Ohyama, K, Baba, M, Tomiyama, M, Nishiyama, K, Akutsu, T, Yokoyama, K, Kanai, K, van Schaik, IN, Eftimov, F, Notermans, NC, Visser, N, Faber, C, Hoeijmakers, J, Rejdak, K, Chyrchel-Paszkiewicz, U, Casanovas Pons, C, Antonia, M, Gamez, J, Salvado, M, Infante, CM, Benitez, S, Lunn, M, Morrow, J, Gosal, D, Lavin, T, Melamed, I, Testori, A, Ajroud-Driss, S, Menichella, D, Simpson, E, Lai, ECH, Dimachkie, M, Barohn, RJ, Beydoun, S, Johl, H, Lange, D, Shtilbans, A, Muley, S, Ladha, S, Freimer, M, Kissel, J, Latov, N, Chin, R, Ubogu, E, Mumfrey, S, Rao, T, MacDonald, P, Sharma, K, Gonzalez, G, Allen, J, Walk, D, Hobson-Webb, L &amp; Gable, K 2019, 'Restabilization treatment after intravenous immunoglobulin withdrawal in chronic inflammatory demyelinating polyneuropathy: Results from the pre-randomization phase of the Polyneuropathy And Treatment with Hizentra study', Journal of the Peripheral Nervous System., vol., pp. </w:t>
      </w:r>
    </w:p>
    <w:p w:rsidR="003954A0" w:rsidRDefault="003954A0" w:rsidP="003954A0">
      <w:r>
        <w:t>Nobile-Orazio, E, Cocito, D, Jann, S, Uncini, A, Beghi, E, Messina, P, Antonini, G, Fazio, R, Gallia, F, Schenone, A, Francia, A, Pareyson, D, Santoro, L, Tamburin, S, Macchia, R, Cavaletti, G, Giannini, F &amp; Sabatelli, M 2012, 'Intravenous immunoglobulin versus intravenous methylprednisolone for chronic inflammatory demyelinating polyradiculoneuropathy: a randomised controlled trial', Lancet Neurol, vol.11, pp. 493-502.</w:t>
      </w:r>
    </w:p>
    <w:p w:rsidR="003954A0" w:rsidRDefault="003954A0" w:rsidP="003954A0">
      <w:r>
        <w:t xml:space="preserve">Nobile-Orazio, E, Cocito, D, Jann, S, Uncini, A, Messina, P, Antonini, G, Fazio, R, Gallia, F, Schenone, A, Francia, A, Pareyson, D, Santoro, L, Tamburin, S, Cavaletti, G, Giannini, F, Sabatelli, M &amp; Beghi, E </w:t>
      </w:r>
      <w:r>
        <w:lastRenderedPageBreak/>
        <w:t>2015, 'Frequency and time to relapse after discontinuing 6-month therapy with IVIg or pulsed methylprednisolone in CIDP', J Neurol Neurosurg Psychiatry, vol.86, pp. 729-34.</w:t>
      </w:r>
    </w:p>
    <w:p w:rsidR="003954A0" w:rsidRDefault="003954A0" w:rsidP="003954A0">
      <w:r>
        <w:t>R. M. C. Trial Group 2009, 'Randomised controlled trial of methotrexate for chronic inflammatory demyelinating polyradiculoneuropathy (RMC trial): a pilot, multicentre study', The lancet, vol.Neurology. 8, pp. 158-64.</w:t>
      </w:r>
    </w:p>
    <w:p w:rsidR="003954A0" w:rsidRDefault="003954A0" w:rsidP="003954A0">
      <w:r>
        <w:t>van Geloven, N, Hartung, HP, Lewis, RA, Sobue, G, Lawo, JP, Praus, M, Mielke, O, Durn, BL, Cornblath, DR, Merkies, ISJ, Sabet, A, George, K, Roberts, L, Carne, R, Blum, S, Henderson, R, Van Damme, P, Demeestere, J, Larue, S, D'Amour, C, Bril, V, Breiner, A, Kunc, P, Valis, M, Sussova, J, Kalous, T, Talab, R, Bednar, M, Toomsoo, T, Rubanovits, I, Gross-Paju, K, Sorro, U, Saarela, M, Auranen, M, Pouget, J, Attarian, S, Le Masson, G, Wielanek-Bachelet, A, Desnuelle, C, Delmont, E, Clavelou, P, Aufauvre, D, Schmidt, J, Zschuentssch, J, Sommer, C, Kramer, D, Hoffmann, O, Goerlitz, C, Haas, J, Chatzopoulos, M, Yoon, R, Gold, R, Berlit, P, Jaspert-Grehl, A, Liebetanz, D, Kutschenko, A, Stangel, M, Trebst, C, Baum, P, Bergh, F, Klehmet, J, Meisel, A, Klostermann, F, Oechtering, J, Lehmann, H, Schroeter, M, Hagenacker, T, Mueller, D, Sperfeld, A, Bethke, F, Drory, V, Algom, A, Yarnitsky, D, Murinson, B, Di Muzio, A, Ciccocioppo, F, Sorbi, S, Mata, S, Schenone, A, Grandis, M, Lauria, G, Cazzato, D, Antonini, G, Morino, S, Cocito, D, Zibetti, M, Yokota, T, Ohkubo, T, Kanda, T, Kawai, M, Kaida, K, Onoue, H, Kuwabara, S, Mori, M, Iijima, M, Ohyama, K, Baba, M, Tomiyama, M, Nishiyama, K, Akutsu, T, Yokoyama, K, Kanai, K, van Schaik, IN, Eftimov, F, Notermans, NC, Visser, N, Faber, C, Hoeijmakers, J, Rejdak, K, Chyrchel-Paszkiewicz, U, Casanovas Pons, C, Alberti Aguilo, M, Gamez, J, Figueras, M, Marquez Infante, C, Benitez Rivero, S, Lunn, M, Morrow, J, Gosal, D, Lavin, T, Melamed, I, Testori, A, Ajroud-Driss, S, Menichella, D, Simpson, E, Chi-Ho Lai, E, Dimachkie, M, Barohn, RJ, Beydoun, S, Johl, H, Lange, D, Shtilbans, A, Muley, S, Ladha, S, Freimer, M, Kissel, J, Latov, N, Chin, R, Ubogu, E, Mumfrey, S, Rao, T, MacDonald, P, Sharma, K, Gonzalez, G, Allen, J, Walk, D, Hobson-Webb, L &amp; Gable, K 2018, 'Subcutaneous immunoglobulin for maintenance treatment in chronic inflammatory demyelinating polyneuropathy (PATH): a randomised, double-blind, placebo-controlled, phase 3 trial', The Lancet Neurology, vol.17, pp. 35-46.</w:t>
      </w:r>
    </w:p>
    <w:p w:rsidR="003954A0" w:rsidRDefault="003954A0" w:rsidP="003954A0">
      <w:r>
        <w:t>van Schaik, IN, Eftimov, F, van Doorn, PA, Brusse, E, van den Berg, LH, van der Pol, WL, Faber, CG, van Oostrom, JC, Vogels, OJ, Hadden, RD, Kleine, BU, van Norden, AG, Verschuuren, JJ, Dijkgraaf, MG &amp; Vermeulen, M 2010, 'Pulsed high-dose dexamethasone versus standard prednisolone treatment for chronic inflammatory demyelinating polyradiculoneuropathy (PREDICT study): a double-blind, randomised, controlled trial', The Lancet Neurology, vol.9, pp. 245-53.</w:t>
      </w:r>
    </w:p>
    <w:p w:rsidR="003954A0" w:rsidRDefault="003954A0" w:rsidP="003954A0">
      <w:r>
        <w:t>Vermeulen, M, van Doorn, PA, Brand, A, Strengers, PF, Jennekens, FG &amp; Busch, HF 1993, 'Intravenous immunoglobulin treatment in patients with chronic inflammatory demyelinating polyneuropathy: a double blind, placebo</w:t>
      </w:r>
      <w:r w:rsidR="00417823">
        <w:t>-controlled</w:t>
      </w:r>
      <w:r>
        <w:t xml:space="preserve"> study', J Neurol Neurosurg Psychiatry, vol.56, pp. 36-9.</w:t>
      </w:r>
    </w:p>
    <w:p w:rsidR="003954A0" w:rsidRDefault="003954A0" w:rsidP="003954A0">
      <w:r>
        <w:lastRenderedPageBreak/>
        <w:t>Zinman, LH, Sutton, D, Ng, E, Nwe, P, Ngo, M &amp; Bril, V 2005, 'A pilot study to compare the use of the Excorim staphylococcal protein immunoadsorption system and IVIG in chronic inflammatory demyelinating polyneuropathy', Transfusion and Apheresis Science, vol.33, pp. 317-24.</w:t>
      </w:r>
    </w:p>
    <w:p w:rsidR="00464E0A" w:rsidRPr="00304276" w:rsidRDefault="003954A0" w:rsidP="003165DB">
      <w:pPr>
        <w:rPr>
          <w:b/>
        </w:rPr>
      </w:pPr>
      <w:r w:rsidRPr="00304276">
        <w:rPr>
          <w:b/>
        </w:rPr>
        <w:t>Studies included in the extended assessment of harms</w:t>
      </w:r>
    </w:p>
    <w:p w:rsidR="003954A0" w:rsidRDefault="003954A0" w:rsidP="003954A0">
      <w:r>
        <w:t>Barnett, MH, Pollard, JD, Davies, L &amp; McLeod, JG 1998, 'Cyclosporin a in resistant demyelinating polyradiculoneuropathy', Muscle and Nerve, vol.21, pp. 454-60.</w:t>
      </w:r>
    </w:p>
    <w:p w:rsidR="003954A0" w:rsidRDefault="003954A0" w:rsidP="003954A0">
      <w:r>
        <w:t>Benedetti, L, Briani, C, Franciotta, D, Fazio, R, Paolasso, I, Comi, C, Luigetti, M, Sabatelli, M, Giannini, F, Mancardi, GL, Schenone, A, Nobile-Orazio, E &amp; Cocito, D 2011, 'Rituximab in patients with chronic inflammatory demyelinating polyradiculoneuropathy: A report of 13 cases and review of the literature', Journal of Neurology, Neurosurgery and Psychiatry, vol.82, pp. 306-08.</w:t>
      </w:r>
    </w:p>
    <w:p w:rsidR="003954A0" w:rsidRDefault="003954A0" w:rsidP="003954A0">
      <w:r>
        <w:t>Boru, UT, Erdogan, H, Alp, R, Tasdemir, M, Yildirim, S, Bilgic, A, Duman, A &amp; Arslan, A 2014, 'Treatment of chronic inflammatory demyelinating polyneuropathy with high</w:t>
      </w:r>
      <w:r w:rsidR="000C0E99">
        <w:t>-dose</w:t>
      </w:r>
      <w:r>
        <w:t xml:space="preserve"> intravenous methylprednisolone monthly for five years: 10-Year follow</w:t>
      </w:r>
      <w:r w:rsidR="000C0E99">
        <w:t>-up</w:t>
      </w:r>
      <w:r>
        <w:t>', Clinical Neurology and Neurosurgery, vol.118, pp. 89-93.</w:t>
      </w:r>
    </w:p>
    <w:p w:rsidR="003954A0" w:rsidRDefault="003954A0" w:rsidP="003954A0">
      <w:r>
        <w:t>Choudhary, PP &amp; Hughes, RA 1995, 'Long-term treatment of chronic inflammatory demyelinating polyradiculoneuropathy with plasma exchange or intravenous immunoglobulin', Qjm, vol.88, pp. 493-502.</w:t>
      </w:r>
    </w:p>
    <w:p w:rsidR="003954A0" w:rsidRDefault="003954A0" w:rsidP="003954A0">
      <w:r>
        <w:t>Christiansen, I, Markvardsen, LH &amp; Jakobsen, J 2018, 'Comparisons in fluctuation of muscle strength and function in patients with immune-mediated neuropathy treated with intravenous versus subcutaneous immunoglobulin', Muscle and Nerve, vol.57, pp. 610-14.</w:t>
      </w:r>
    </w:p>
    <w:p w:rsidR="003954A0" w:rsidRDefault="003954A0" w:rsidP="003954A0">
      <w:r>
        <w:t>Cocito, D, Grimaldi, S, Paolasso, I, Falcone, Y, Antonini, G, Benedetti, L, Briani, C, Fazio, R, Jann, S, Mata, S, Sabatelli, M &amp; Nobile-Orazio, E 2011, 'Immunosuppressive treatment in refractory chronic inflammatory demyelinating polyradiculoneuropathy. A nationwide retrospective analysis', European Journal of Neurology, vol.18, pp. 1417-21.</w:t>
      </w:r>
    </w:p>
    <w:p w:rsidR="003954A0" w:rsidRDefault="003954A0" w:rsidP="003954A0">
      <w:r>
        <w:t>Cocito, D, Merola, A, Peci, E, Mazzeo, A, Fazio, R, Francia, A, Valentino, P, Liguori, R, Filosto, M, Siciliano, G, Clerici, AM, Lelli, S, Marfia, GA, Antonini, G, Cecconi, I, Nobile-Orazio, E &amp; Lopiano, L 2014, 'Subcutaneous immunoglobulin in CIDP and MMN: a short-term nationwide study', J Neurol, vol.261, pp. 2159-64.</w:t>
      </w:r>
    </w:p>
    <w:p w:rsidR="003954A0" w:rsidRDefault="003954A0" w:rsidP="003954A0">
      <w:r>
        <w:t>Cocito, D, Paolasso, I, Antonini, G, Benedetti, L, Briani, C, Comi, C, Fazio, R, Jann, S, Mata, S, Mazzeo, A, Sabatelli, M &amp; Nobile-Orazio, E 2010, 'A nationwide retrospective analysis on the effect of immune therapies in patients with chronic inflammatory demyelinating polyradiculoneuropathy', European Journal of Neurology, vol.17, pp. 289-94.</w:t>
      </w:r>
    </w:p>
    <w:p w:rsidR="003954A0" w:rsidRDefault="003954A0" w:rsidP="003954A0">
      <w:r>
        <w:lastRenderedPageBreak/>
        <w:t>Debes, A, Bauer, M &amp; Kremer, S 2007, 'Tolerability and safety of the intravenous immunoglobulin Octagam: A 10-year prospective observation study', Pharmacoepidemiology and Drug Safety, vol.16, pp. 1038-47.</w:t>
      </w:r>
    </w:p>
    <w:p w:rsidR="003954A0" w:rsidRDefault="003954A0" w:rsidP="003954A0">
      <w:r>
        <w:t>Dorst, J, Ludolph, AC, Senel, M &amp; Tumani, H 2018, 'Short-term and long-term effects of immunoadsorption in refractory chronic inflammatory demyelinating polyneuropathy: a prospective study in 17 patients', Journal of Neurology, vol.265, pp. 2906-15.</w:t>
      </w:r>
    </w:p>
    <w:p w:rsidR="003954A0" w:rsidRDefault="003954A0" w:rsidP="003954A0">
      <w:r>
        <w:t>Fialho, D, Chan, YC, Allen, DC, Reilly, MM &amp; Hughes, RA 2006, 'Treatment of chronic inflammatory demyelinating polyradiculoneuropathy with methotrexate', J Neurol Neurosurg Psychiatry, vol.77, pp. 544-7.</w:t>
      </w:r>
    </w:p>
    <w:p w:rsidR="003954A0" w:rsidRDefault="003954A0" w:rsidP="003954A0">
      <w:r>
        <w:t>Galldiks, N, Burghaus, L, Dohmen, C, Teschner, S, Pollok, M, Leebmann, J, Frischmuth, N, Hollinger, P, Nazli, N, Fassbender, C, Klingel, R, Benzing, T, Fink, GR &amp; Haupt, WF 2011, 'Immunoadsorption in patients with chronic inflammatory demyelinating polyradiculoneuropathy with unsatisfactory response to first-line treatment', European Neurology, vol.66, pp. 183-89.</w:t>
      </w:r>
    </w:p>
    <w:p w:rsidR="003954A0" w:rsidRDefault="003954A0" w:rsidP="003954A0">
      <w:r>
        <w:t>Good, JL, Chehrenama, M, Mayer, RF &amp; Koski, CL 1998, 'Pulse cyclophosphamide therapy in chronic inflammatory demyelinating polyneuropathy', Neurology, vol.51, pp. 1735-8.</w:t>
      </w:r>
    </w:p>
    <w:p w:rsidR="003954A0" w:rsidRDefault="003954A0" w:rsidP="003954A0">
      <w:r>
        <w:t>Gorson, KC, Amato, AA &amp; Ropper, AH 2004, 'Efficacy of mycophenolate mofetil in patients with chronic immune demyelinating polyneuropathy', Neurology, vol.63, pp. 715-17.</w:t>
      </w:r>
    </w:p>
    <w:p w:rsidR="003954A0" w:rsidRDefault="003954A0" w:rsidP="003954A0">
      <w:r>
        <w:t>Grehl, H, Jaspert, A, Claus, D &amp; Neundorfer, B 1997, 'Long-term therapy with high-dose intravenous immunoglobulins (IVIG) in inflammatory neuropathies', European Journal of Neurology, vol.4, pp. 266-73.</w:t>
      </w:r>
    </w:p>
    <w:p w:rsidR="003954A0" w:rsidRDefault="003954A0" w:rsidP="003954A0">
      <w:r>
        <w:t>Hung, SKY, Hiew, FL, Viswanathan, S &amp; Puvanarajah, S 2018, 'Conventional and unconventional therapies in typical and atypical chronic inflammatory demyelinating polyneuropathy with different clinical course of progression', Journal of the Peripheral Nervous System, vol.23, pp. 183-89.</w:t>
      </w:r>
    </w:p>
    <w:p w:rsidR="003954A0" w:rsidRDefault="003954A0" w:rsidP="003954A0">
      <w:r>
        <w:t>Jann, S, Beretta, S &amp; Bramerio, MA 2005, 'Different types of chronic inflammatory demyelinating polyneuropathy have a different clinical course and response to treatment', Muscle and Nerve, vol.32, pp. 351-56.</w:t>
      </w:r>
    </w:p>
    <w:p w:rsidR="003954A0" w:rsidRDefault="003954A0" w:rsidP="003954A0">
      <w:r>
        <w:t>Katzberg, HD, Rasutis, V &amp; Bril, V 2013, 'Home IVIG for CIDP: a focus on patient centred care', The Canadian journal of neurological sciences, vol.Le journal canadien des sciences neurologiques. 40, pp. 384-88.</w:t>
      </w:r>
    </w:p>
    <w:p w:rsidR="003954A0" w:rsidRDefault="003954A0" w:rsidP="003954A0">
      <w:r>
        <w:t>Kuitwaard, K, Hahn, AF, Vermeulen, M, Venance, SL &amp; Van Doorn, PA 2015, 'Intravenous immunoglobulin response in treatmentnaive chronic inflammatory demyelinating polyradiculoneuropathy', Journal of Neurology, Neurosurgery and Psychiatry, vol.86, pp. 1331-36.</w:t>
      </w:r>
    </w:p>
    <w:p w:rsidR="003954A0" w:rsidRDefault="003954A0" w:rsidP="003954A0">
      <w:r>
        <w:lastRenderedPageBreak/>
        <w:t>Kuwabara, S, Mori, M, Misawa, S, Suzuki, M, Nishiyama, K, Mutoh, T, Doi, S, Kokubun, N, Kamijo, M, Yoshikawa, H, Abe, K, Nishida, Y, Okada, K, Sekiguchi, K, Sakamoto, K, Kusunoki, S, Sobue, G &amp; Kaji, R 2017, 'Intravenous immunoglobulin for maintenance treatment of chronic inflammatory demyelinating polyneuropathy: A multicentre, open-label, 52-week phase III trial', Journal of Neurology, Neurosurgery and Psychiatry, vol.88, pp. 832-38.</w:t>
      </w:r>
    </w:p>
    <w:p w:rsidR="003954A0" w:rsidRDefault="003954A0" w:rsidP="003954A0">
      <w:r>
        <w:t>Leger, JM, De Bleecker, JL, Sommer, C, Robberecht, W, Saarela, M, Kamienowski, J, Stelmasiak, Z, Mielke, O, Tackenberg, B, Shebl, A, Bauhofer, A, Zenker, O &amp; Merkies, IS 2013, 'Efficacy and safety of Privigen((R)) in patients with chronic inflammatory demyelinating polyneuropathy: results of a prospective, single-arm, open-label Phase III study (the PRIMA study)', J Peripher Nerv Syst, vol.18, pp. 130-40.</w:t>
      </w:r>
    </w:p>
    <w:p w:rsidR="003954A0" w:rsidRDefault="003954A0" w:rsidP="003954A0">
      <w:r>
        <w:t>Lopate, G, Pestronk, A &amp; Al-Lozi, M 2005, 'Treatment of chronic inflammatory demyelinating polyneuropathy with high-dose intermittent intravenous methylprednisolone', Archives of Neurology, vol.62, pp. 249-54.</w:t>
      </w:r>
    </w:p>
    <w:p w:rsidR="003954A0" w:rsidRDefault="003954A0" w:rsidP="003954A0">
      <w:r>
        <w:t>Markvardsen, LH, Harbo, T, Sindrup, SH, Christiansen, I, Andersen, H &amp; Jakobsen, J 2014b, 'Subcutaneous immunoglobulin preserves muscle strength in chronic inflammatory demyelinating polyneuropathy', European Journal of Neurology, vol.21, pp. 1465-70.</w:t>
      </w:r>
    </w:p>
    <w:p w:rsidR="003954A0" w:rsidRDefault="003954A0" w:rsidP="003954A0">
      <w:r>
        <w:t xml:space="preserve">Merkies, ISJ, Bril, V, van Geloven, N, Hartung, HP, Lewis, RA, Sobue, G, Lawo, JP, Durn, BL, Cornblath, DR, Tackenberg, B, Mielke, O, Sabet, A, George, K, Roberts, L, Carne, R, Blum, S, Henderson, R, Van Damme, P, Demeestere, J, Larue, S, D'Amour, C, Kunc, P, Valis, M, Sussova, J, Kalous, T, Talab, R, Bednar, M, Toomsoo, T, Rubanovits, I, Gross-Paju, K, Sorro, U, Auranen, M, Pouget, J, Attarian, S, Masson, GL, Wielanek-Bachelet, A, Desnuelle, C, Delmont, E, Clavelou, P, Aufauvre, D, Zschuentzsch, J, Kramer, D, Hoffmann, O, Goerlitz, C, Haas, J, Chatzopoulos, M, Yoon, R, Gold, R, Berlit, P, Jaspert-Grehl, A, Liebetanz, D, Kutschenko, A, Stangel, M, Trebst, C, Baum, P, Bergh, F, Klehmet, J, Meisel, A, Klostermann, F, Oechtering, J, Lehmann, H, Schroeter, M, Hagenacker, T, Mueller, D, Sperfeld, A, Bethke, F, Drory, V, Algom, A, Yarnitsky, D, Murinson, B, Di Muzio, A, Ciccocioppo, F, Sorbi, S, Mata, S, Schenone, A, Grandis, M, Lauria, G, Cazzato, D, Antonini, G, Morino, S, Cocito, D, Zibetti, M, Yokota, T, Ohkubo, T, Kanda, T, Kawai, M, Kaida, K, Onoue, H, Kuwabara, S, Mori, M, Iijima, M, Ohyama, K, Baba, M, Tomiyama, M, Nishiyama, K, Akutsu, T, Yokoyama, K, Kanai, K, van Schaik, IN, Eftimov, F, Notermans, NC, Visser, N, Faber, C, Hoeijmakers, J, Rejdak, K, Chyrchel-Paszkiewicz, U, Casanovas Pons, C, Antonia, M, Gamez, J, Salvado, M, Infante, CM, Benitez, S, Lunn, M, Morrow, J, Gosal, D, Lavin, T, Melamed, I, Testori, A, Ajroud-Driss, S, Menichella, D, Simpson, E, Lai, ECH, Dimachkie, M, Barohn, RJ, Beydoun, S, Johl, H, Lange, D, Shtilbans, A, Muley, S, Ladha, S, Freimer, M, Kissel, J, Latov, N, Chin, R, Ubogu, E, Mumfrey, S, Rao, T, MacDonald, P, Sharma, K, Gonzalez, G, Allen, J, Walk, D, Hobson-Webb, L, Gable, K, De Bleecker, JL, Robberecht, W, Saarela, M, Franques, J, Leger, JM, Morales, RJ, Sommer, C, Nguento, A, Schmidt, J, Schrey, C, Kamienowski, J, Stelmasiak, Z &amp; Zwolinska, G 2019, 'Efficacy and safety of IVIG in CIDP: Combined data of the PRIMA and PATH studies', Journal of the Peripheral Nervous System., vol., pp. </w:t>
      </w:r>
    </w:p>
    <w:p w:rsidR="003954A0" w:rsidRDefault="003954A0" w:rsidP="003954A0">
      <w:r>
        <w:lastRenderedPageBreak/>
        <w:t>Molenaar, DS, van Doorn, PA &amp; Vermeulen, M 1997, 'Pulsed high</w:t>
      </w:r>
      <w:r w:rsidR="000C0E99">
        <w:t>-dose</w:t>
      </w:r>
      <w:r>
        <w:t xml:space="preserve"> dexamethasone treatment in chronic inflammatory demyelinating polyneuropathy: a pilot study', J Neurol Neurosurg Psychiatry, vol.62, pp. 388-90.</w:t>
      </w:r>
    </w:p>
    <w:p w:rsidR="003954A0" w:rsidRDefault="003954A0" w:rsidP="003954A0">
      <w:r>
        <w:t>Muley, SA, Kelkar, P &amp; Parry, GJ 2008, 'Treatment of chronic inflammatory demyelinating polyneuropathy with pulsed oral steroids', Archives of Neurology, vol.65, pp. 1460-64.</w:t>
      </w:r>
    </w:p>
    <w:p w:rsidR="003954A0" w:rsidRDefault="003954A0" w:rsidP="003954A0">
      <w:r>
        <w:t xml:space="preserve">Querol, L, Rojas-Garcia, R, Casasnovas, C, Sedano, MJ, Munoz-Blanco, JL, Alberti, MA, Paradas, C, Sevilla, T, Pardo, J, Capablo, JL, Sivera, R, Guerrero, A, Gutierrez-Rivas, E &amp; Illa, I 2013, 'Long-term outcome in chronic inflammatory demyelinating polyneuropathy patients treated with intravenous immunoglobulin: A retrospective study', Muscle and Nerve., vol., pp. </w:t>
      </w:r>
    </w:p>
    <w:p w:rsidR="003954A0" w:rsidRDefault="003954A0" w:rsidP="003954A0">
      <w:r>
        <w:t>Rajabally, YA, Seow, H &amp; Wilson, P 2006, 'Dose of intravenous immunoglobulins in chronic inflammatory demyelinating polyneuropathy', Journal of the Peripheral Nervous System, vol.11, pp. 325-29.</w:t>
      </w:r>
    </w:p>
    <w:p w:rsidR="003954A0" w:rsidRDefault="003954A0" w:rsidP="003954A0">
      <w:r>
        <w:t>Rigas, M, Tandan, R &amp; Sterling, RJ 2008, 'Safety of liquid intravenous immunoglobulin for neuroimmunologic disorders in the home setting: A retrospective analysis of 1085 infusions', Journal of Clinical Neuromuscular Disease, vol.10, pp. 52-55.</w:t>
      </w:r>
    </w:p>
    <w:p w:rsidR="003954A0" w:rsidRDefault="003954A0" w:rsidP="003954A0">
      <w:r>
        <w:t>Robert, F, Edan, G, Nicolas, G, Pouget, J, Vial, C, Antoine, JC &amp; Puget, S 2015, 'A retrospective study on the efficacy and safety of intraveinous immunoglobulin (Tegeline&lt;sup&gt;&lt;/sup&gt;) in patients with chronic inflammatory demyelinating polyneuropathy', Presse Medicale, vol.44, pp. e291-e300.</w:t>
      </w:r>
    </w:p>
    <w:p w:rsidR="003954A0" w:rsidRDefault="003954A0" w:rsidP="003954A0">
      <w:r>
        <w:t>Roux, T, Debs, R, Maisonobe, T, Lenglet, T, Delorme, C, Louapre, C, Leblond, V &amp; Viala, K 2018, 'Rituximab in chronic inflammatory demyelinating polyradiculoneuropathy with associated diseases', Journal of the Peripheral Nervous System, vol.23, pp. 235-40.</w:t>
      </w:r>
    </w:p>
    <w:p w:rsidR="003954A0" w:rsidRDefault="003954A0" w:rsidP="003954A0">
      <w:r>
        <w:t>Sharma, KR, Cross, J, Ayyar, DR, Martinez-Arizala, A &amp; Bradley, WG 2002, 'Diabetic demyelinating polyneuropathy responsive to intravenous immunoglobulin therapy', Archives of Neurology, vol.59, pp. 751-57.</w:t>
      </w:r>
    </w:p>
    <w:p w:rsidR="003954A0" w:rsidRDefault="003954A0" w:rsidP="003954A0">
      <w:r>
        <w:t>Souayah, N, Hasan, A, Khan, HMR, Yacoub, HA &amp; Jafri, M 2011, 'The safety profile of home infusion of intravenous immunoglobulin in patients with neuroimmunologic disorders', Journal of Clinical Neuromuscular Disease, vol.12, pp. S1-S10.</w:t>
      </w:r>
    </w:p>
    <w:p w:rsidR="003954A0" w:rsidRDefault="003954A0" w:rsidP="003954A0">
      <w:r>
        <w:t>Vucic, S &amp; Davies, L 1998, 'Safety of plasmapheresis in the treatment of neurological disease', Australian and New Zealand Journal of Medicine, vol.28, pp. 301-05.</w:t>
      </w:r>
    </w:p>
    <w:p w:rsidR="003954A0" w:rsidRDefault="003954A0" w:rsidP="003954A0">
      <w:r>
        <w:t>Wertman, E, Argov, Z &amp; Abrmasky, O 1988, 'Chronic inflammatory demyelinating polyradiculoneuropathy: Features and prognostic factors with corticosteroid therapy', European Neurology, vol.28, pp. 199-204.</w:t>
      </w:r>
    </w:p>
    <w:p w:rsidR="003954A0" w:rsidRDefault="003954A0" w:rsidP="003954A0">
      <w:r>
        <w:lastRenderedPageBreak/>
        <w:t>Wietek, S 2018, 'Octagam for chronic inflammatory demyelinating polyneuropathy: Results from three observational studies', Neurodegenerative Disease Management, vol.8, pp. 227-31.</w:t>
      </w:r>
    </w:p>
    <w:p w:rsidR="003954A0" w:rsidRDefault="003954A0" w:rsidP="003165DB">
      <w:pPr>
        <w:rPr>
          <w:b/>
        </w:rPr>
      </w:pPr>
      <w:r>
        <w:rPr>
          <w:b/>
        </w:rPr>
        <w:t>Studies in a population outside of CIDP included to inform on the safety issues associated with steroids (as advised by the Reference Group)</w:t>
      </w:r>
    </w:p>
    <w:p w:rsidR="003954A0" w:rsidRPr="00304276" w:rsidRDefault="003954A0" w:rsidP="003954A0">
      <w:r w:rsidRPr="00304276">
        <w:t>Wilson, JC, Sarsour, K, Collinson, N, Tuckwell, K, Musselman, D, Klearman, M, Napalkov, P, Jick, SS, Stone, JH &amp; Meier, CR 2017, 'Incidence of outcomes potentially associated with corticosteroid therapy in patients with giant cell arteritis', Semin Arthritis Rheum, vol.46, pp. 650-56.</w:t>
      </w:r>
    </w:p>
    <w:p w:rsidR="003954A0" w:rsidRPr="00304276" w:rsidRDefault="003954A0" w:rsidP="003165DB">
      <w:pPr>
        <w:rPr>
          <w:b/>
        </w:rPr>
      </w:pPr>
    </w:p>
    <w:p w:rsidR="00E56EAC" w:rsidRPr="00E3331A" w:rsidRDefault="00E56EAC" w:rsidP="003165DB"/>
    <w:p w:rsidR="00464E0A" w:rsidRPr="00E3331A" w:rsidRDefault="00464E0A" w:rsidP="003165DB">
      <w:pPr>
        <w:sectPr w:rsidR="00464E0A" w:rsidRPr="00E3331A" w:rsidSect="00464E0A">
          <w:pgSz w:w="11906" w:h="16838"/>
          <w:pgMar w:top="851" w:right="1440" w:bottom="851" w:left="1440" w:header="720" w:footer="720" w:gutter="0"/>
          <w:paperSrc w:first="7" w:other="7"/>
          <w:cols w:space="720"/>
          <w:docGrid w:linePitch="299"/>
        </w:sectPr>
      </w:pPr>
    </w:p>
    <w:p w:rsidR="00855ADC" w:rsidRPr="00E3331A" w:rsidRDefault="00855ADC" w:rsidP="00855ADC">
      <w:pPr>
        <w:pStyle w:val="Heading1"/>
        <w:jc w:val="both"/>
      </w:pPr>
      <w:bookmarkStart w:id="568" w:name="_Ref421017583"/>
      <w:bookmarkStart w:id="569" w:name="_Ref421017580"/>
      <w:bookmarkStart w:id="570" w:name="_Toc24103540"/>
      <w:r w:rsidRPr="00E3331A">
        <w:lastRenderedPageBreak/>
        <w:t xml:space="preserve">Appendix </w:t>
      </w:r>
      <w:r w:rsidR="006F35B9">
        <w:rPr>
          <w:noProof/>
        </w:rPr>
        <w:t>D</w:t>
      </w:r>
      <w:bookmarkEnd w:id="568"/>
      <w:r w:rsidRPr="00E3331A">
        <w:tab/>
        <w:t>Evidence Profile Tables</w:t>
      </w:r>
      <w:bookmarkEnd w:id="569"/>
      <w:bookmarkEnd w:id="570"/>
      <w:r w:rsidRPr="00E3331A">
        <w:t xml:space="preserve"> </w:t>
      </w:r>
    </w:p>
    <w:p w:rsidR="00464E0A" w:rsidRPr="00E3331A" w:rsidRDefault="00464E0A" w:rsidP="00464E0A">
      <w:pPr>
        <w:pStyle w:val="Caption"/>
      </w:pPr>
      <w:bookmarkStart w:id="571" w:name="_Ref5785698"/>
      <w:bookmarkStart w:id="572" w:name="_Toc6480942"/>
      <w:bookmarkStart w:id="573" w:name="_Toc24103403"/>
      <w:r w:rsidRPr="00E3331A">
        <w:t xml:space="preserve">Table </w:t>
      </w:r>
      <w:r w:rsidR="006F35B9">
        <w:rPr>
          <w:noProof/>
        </w:rPr>
        <w:t>97</w:t>
      </w:r>
      <w:bookmarkEnd w:id="571"/>
      <w:r w:rsidRPr="00E3331A">
        <w:tab/>
      </w:r>
      <w:r w:rsidRPr="00E3331A">
        <w:rPr>
          <w:snapToGrid w:val="0"/>
          <w:lang w:eastAsia="en-US"/>
        </w:rPr>
        <w:t xml:space="preserve">Key features of the randomised controlled trials on the treatment and maintenance of CIDP </w:t>
      </w:r>
      <w:bookmarkEnd w:id="572"/>
      <w:r w:rsidRPr="00E3331A">
        <w:t>included in the systematic literature review</w:t>
      </w:r>
      <w:bookmarkEnd w:id="5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443"/>
        <w:gridCol w:w="1988"/>
        <w:gridCol w:w="1488"/>
        <w:gridCol w:w="1746"/>
        <w:gridCol w:w="1685"/>
        <w:gridCol w:w="1625"/>
        <w:gridCol w:w="1894"/>
        <w:gridCol w:w="1885"/>
      </w:tblGrid>
      <w:tr w:rsidR="00464E0A" w:rsidRPr="00E3331A" w:rsidTr="00EC4AAF">
        <w:trPr>
          <w:tblHeader/>
        </w:trPr>
        <w:tc>
          <w:tcPr>
            <w:tcW w:w="454" w:type="pct"/>
            <w:shd w:val="clear" w:color="auto" w:fill="auto"/>
          </w:tcPr>
          <w:p w:rsidR="00464E0A" w:rsidRPr="00E3331A" w:rsidRDefault="00464E0A" w:rsidP="00EC4AAF">
            <w:pPr>
              <w:pStyle w:val="Tableheading1"/>
              <w:spacing w:before="40"/>
            </w:pPr>
            <w:r w:rsidRPr="00E3331A">
              <w:t>Study ID</w:t>
            </w:r>
          </w:p>
          <w:p w:rsidR="00464E0A" w:rsidRPr="00E3331A" w:rsidRDefault="00464E0A" w:rsidP="00EC4AAF">
            <w:pPr>
              <w:pStyle w:val="Tableheading1"/>
              <w:spacing w:before="40"/>
            </w:pPr>
            <w:r w:rsidRPr="00E3331A">
              <w:t>Location</w:t>
            </w:r>
          </w:p>
        </w:tc>
        <w:tc>
          <w:tcPr>
            <w:tcW w:w="477" w:type="pct"/>
            <w:shd w:val="clear" w:color="auto" w:fill="auto"/>
          </w:tcPr>
          <w:p w:rsidR="00464E0A" w:rsidRPr="00E3331A" w:rsidRDefault="00464E0A" w:rsidP="00EC4AAF">
            <w:pPr>
              <w:pStyle w:val="Tableheading1"/>
              <w:spacing w:before="40"/>
            </w:pPr>
            <w:r w:rsidRPr="00E3331A">
              <w:t xml:space="preserve">Study </w:t>
            </w:r>
            <w:r w:rsidR="003D5FA7">
              <w:t>o</w:t>
            </w:r>
            <w:r w:rsidRPr="00E3331A">
              <w:t>verview</w:t>
            </w:r>
          </w:p>
        </w:tc>
        <w:tc>
          <w:tcPr>
            <w:tcW w:w="657" w:type="pct"/>
            <w:shd w:val="clear" w:color="auto" w:fill="auto"/>
          </w:tcPr>
          <w:p w:rsidR="00464E0A" w:rsidRPr="00E3331A" w:rsidRDefault="00464E0A" w:rsidP="00EC4AAF">
            <w:pPr>
              <w:pStyle w:val="Tableheading1"/>
              <w:spacing w:before="40"/>
            </w:pPr>
            <w:r w:rsidRPr="00E3331A">
              <w:t>Key inclusion criteria</w:t>
            </w:r>
          </w:p>
        </w:tc>
        <w:tc>
          <w:tcPr>
            <w:tcW w:w="492" w:type="pct"/>
            <w:shd w:val="clear" w:color="auto" w:fill="auto"/>
          </w:tcPr>
          <w:p w:rsidR="00464E0A" w:rsidRPr="00E3331A" w:rsidRDefault="00464E0A" w:rsidP="00EC4AAF">
            <w:pPr>
              <w:pStyle w:val="Tableheading1"/>
              <w:spacing w:before="40"/>
            </w:pPr>
            <w:r w:rsidRPr="00E3331A">
              <w:t xml:space="preserve">Baseline characteristics </w:t>
            </w:r>
          </w:p>
        </w:tc>
        <w:tc>
          <w:tcPr>
            <w:tcW w:w="577" w:type="pct"/>
            <w:shd w:val="clear" w:color="auto" w:fill="auto"/>
          </w:tcPr>
          <w:p w:rsidR="00464E0A" w:rsidRPr="00E3331A" w:rsidRDefault="00464E0A" w:rsidP="00EC4AAF">
            <w:pPr>
              <w:pStyle w:val="Tableheading1"/>
              <w:spacing w:before="40"/>
            </w:pPr>
            <w:r w:rsidRPr="00E3331A">
              <w:t>Disease characteristic</w:t>
            </w:r>
          </w:p>
        </w:tc>
        <w:tc>
          <w:tcPr>
            <w:tcW w:w="557" w:type="pct"/>
            <w:shd w:val="clear" w:color="auto" w:fill="auto"/>
          </w:tcPr>
          <w:p w:rsidR="00464E0A" w:rsidRPr="00E3331A" w:rsidRDefault="00464E0A" w:rsidP="00EC4AAF">
            <w:pPr>
              <w:pStyle w:val="Tableheading1"/>
              <w:spacing w:before="40"/>
            </w:pPr>
            <w:r w:rsidRPr="00E3331A">
              <w:t>Baseline disability</w:t>
            </w:r>
          </w:p>
        </w:tc>
        <w:tc>
          <w:tcPr>
            <w:tcW w:w="537" w:type="pct"/>
            <w:shd w:val="clear" w:color="auto" w:fill="auto"/>
          </w:tcPr>
          <w:p w:rsidR="00464E0A" w:rsidRPr="00E3331A" w:rsidRDefault="00464E0A" w:rsidP="00EC4AAF">
            <w:pPr>
              <w:pStyle w:val="Tableheading1"/>
              <w:spacing w:before="40"/>
            </w:pPr>
            <w:r w:rsidRPr="00E3331A">
              <w:t>Intervention details</w:t>
            </w:r>
          </w:p>
        </w:tc>
        <w:tc>
          <w:tcPr>
            <w:tcW w:w="626" w:type="pct"/>
            <w:shd w:val="clear" w:color="auto" w:fill="auto"/>
          </w:tcPr>
          <w:p w:rsidR="00464E0A" w:rsidRPr="00E3331A" w:rsidRDefault="00464E0A" w:rsidP="00EC4AAF">
            <w:pPr>
              <w:pStyle w:val="Tableheading1"/>
              <w:spacing w:before="40"/>
            </w:pPr>
            <w:r w:rsidRPr="00E3331A">
              <w:t>Comparator details</w:t>
            </w:r>
          </w:p>
        </w:tc>
        <w:tc>
          <w:tcPr>
            <w:tcW w:w="624" w:type="pct"/>
            <w:shd w:val="clear" w:color="auto" w:fill="auto"/>
          </w:tcPr>
          <w:p w:rsidR="00464E0A" w:rsidRPr="00E3331A" w:rsidRDefault="00464E0A" w:rsidP="00EC4AAF">
            <w:pPr>
              <w:pStyle w:val="Tableheading1"/>
              <w:spacing w:before="40"/>
            </w:pPr>
            <w:r w:rsidRPr="00E3331A">
              <w:t>Completeness of safety reporting</w:t>
            </w:r>
          </w:p>
          <w:p w:rsidR="00464E0A" w:rsidRPr="00E3331A" w:rsidRDefault="00464E0A" w:rsidP="00EC4AAF">
            <w:pPr>
              <w:pStyle w:val="Tableheading1"/>
              <w:spacing w:before="40"/>
            </w:pPr>
            <w:r w:rsidRPr="00E3331A">
              <w:t>Period of safety monitoring</w:t>
            </w:r>
          </w:p>
        </w:tc>
      </w:tr>
      <w:tr w:rsidR="00464E0A" w:rsidRPr="00E3331A" w:rsidTr="00EC4AAF">
        <w:tc>
          <w:tcPr>
            <w:tcW w:w="454" w:type="pct"/>
            <w:shd w:val="clear" w:color="auto" w:fill="auto"/>
          </w:tcPr>
          <w:p w:rsidR="00464E0A" w:rsidRPr="00E3331A" w:rsidRDefault="00464E0A" w:rsidP="00EC4AAF">
            <w:pPr>
              <w:pStyle w:val="Tablecontents"/>
            </w:pPr>
            <w:r w:rsidRPr="00E3331A">
              <w:t>Studies investigating treatment of CIDP</w:t>
            </w:r>
          </w:p>
        </w:tc>
        <w:tc>
          <w:tcPr>
            <w:tcW w:w="477" w:type="pct"/>
            <w:shd w:val="clear" w:color="auto" w:fill="auto"/>
          </w:tcPr>
          <w:p w:rsidR="00464E0A" w:rsidRPr="00E3331A" w:rsidRDefault="00464E0A" w:rsidP="00EC4AAF">
            <w:pPr>
              <w:pStyle w:val="Tablecontents"/>
            </w:pPr>
          </w:p>
        </w:tc>
        <w:tc>
          <w:tcPr>
            <w:tcW w:w="657" w:type="pct"/>
            <w:shd w:val="clear" w:color="auto" w:fill="auto"/>
          </w:tcPr>
          <w:p w:rsidR="00464E0A" w:rsidRPr="00E3331A" w:rsidRDefault="00464E0A" w:rsidP="00EC4AAF">
            <w:pPr>
              <w:pStyle w:val="Tablecontents"/>
            </w:pPr>
          </w:p>
        </w:tc>
        <w:tc>
          <w:tcPr>
            <w:tcW w:w="492" w:type="pct"/>
            <w:shd w:val="clear" w:color="auto" w:fill="auto"/>
          </w:tcPr>
          <w:p w:rsidR="00464E0A" w:rsidRPr="00E3331A" w:rsidRDefault="00464E0A" w:rsidP="00EC4AAF">
            <w:pPr>
              <w:pStyle w:val="Tablecontents"/>
            </w:pPr>
          </w:p>
        </w:tc>
        <w:tc>
          <w:tcPr>
            <w:tcW w:w="577" w:type="pct"/>
            <w:shd w:val="clear" w:color="auto" w:fill="auto"/>
          </w:tcPr>
          <w:p w:rsidR="00464E0A" w:rsidRPr="00E3331A" w:rsidRDefault="00464E0A" w:rsidP="00EC4AAF">
            <w:pPr>
              <w:pStyle w:val="Tablecontents"/>
            </w:pPr>
          </w:p>
        </w:tc>
        <w:tc>
          <w:tcPr>
            <w:tcW w:w="557" w:type="pct"/>
            <w:shd w:val="clear" w:color="auto" w:fill="auto"/>
          </w:tcPr>
          <w:p w:rsidR="00464E0A" w:rsidRPr="00E3331A" w:rsidRDefault="00464E0A" w:rsidP="00EC4AAF">
            <w:pPr>
              <w:pStyle w:val="Tablecontents"/>
            </w:pPr>
          </w:p>
        </w:tc>
        <w:tc>
          <w:tcPr>
            <w:tcW w:w="537" w:type="pct"/>
            <w:shd w:val="clear" w:color="auto" w:fill="auto"/>
          </w:tcPr>
          <w:p w:rsidR="00464E0A" w:rsidRPr="00E3331A" w:rsidRDefault="00464E0A" w:rsidP="00EC4AAF">
            <w:pPr>
              <w:pStyle w:val="Tablecontents"/>
            </w:pPr>
          </w:p>
        </w:tc>
        <w:tc>
          <w:tcPr>
            <w:tcW w:w="626" w:type="pct"/>
            <w:shd w:val="clear" w:color="auto" w:fill="auto"/>
          </w:tcPr>
          <w:p w:rsidR="00464E0A" w:rsidRPr="00E3331A" w:rsidRDefault="00464E0A" w:rsidP="00EC4AAF">
            <w:pPr>
              <w:pStyle w:val="Tablecontents"/>
            </w:pPr>
          </w:p>
        </w:tc>
        <w:tc>
          <w:tcPr>
            <w:tcW w:w="624" w:type="pct"/>
            <w:shd w:val="clear" w:color="auto" w:fill="auto"/>
          </w:tcPr>
          <w:p w:rsidR="00464E0A" w:rsidRPr="00E3331A" w:rsidRDefault="00464E0A" w:rsidP="00EC4AAF">
            <w:pPr>
              <w:pStyle w:val="Tablecontents"/>
            </w:pPr>
          </w:p>
        </w:tc>
      </w:tr>
      <w:tr w:rsidR="00464E0A" w:rsidRPr="00E3331A" w:rsidTr="00EC4AAF">
        <w:tc>
          <w:tcPr>
            <w:tcW w:w="454" w:type="pct"/>
            <w:shd w:val="clear" w:color="auto" w:fill="auto"/>
          </w:tcPr>
          <w:p w:rsidR="00464E0A" w:rsidRPr="00E3331A" w:rsidRDefault="00464E0A" w:rsidP="00EC4AAF">
            <w:pPr>
              <w:pStyle w:val="Tablecontents"/>
            </w:pPr>
            <w:r w:rsidRPr="00E3331A">
              <w:t>Hahn et al. (1996b)</w:t>
            </w:r>
          </w:p>
        </w:tc>
        <w:tc>
          <w:tcPr>
            <w:tcW w:w="477" w:type="pct"/>
            <w:shd w:val="clear" w:color="auto" w:fill="auto"/>
          </w:tcPr>
          <w:p w:rsidR="00464E0A" w:rsidRPr="00E3331A" w:rsidRDefault="00464E0A" w:rsidP="00EC4AAF">
            <w:pPr>
              <w:pStyle w:val="Tablecontents"/>
            </w:pPr>
            <w:r w:rsidRPr="00E3331A">
              <w:t>Ig (I) vs Pl (C)</w:t>
            </w:r>
          </w:p>
          <w:p w:rsidR="00464E0A" w:rsidRPr="00E3331A" w:rsidRDefault="00464E0A" w:rsidP="00EC4AAF">
            <w:pPr>
              <w:pStyle w:val="Tablecontents"/>
            </w:pPr>
            <w:r w:rsidRPr="00E3331A">
              <w:t>MC DB CO</w:t>
            </w:r>
          </w:p>
          <w:p w:rsidR="00464E0A" w:rsidRPr="00E3331A" w:rsidRDefault="00464E0A" w:rsidP="00EC4AAF">
            <w:pPr>
              <w:pStyle w:val="Tablecontents"/>
            </w:pPr>
          </w:p>
        </w:tc>
        <w:tc>
          <w:tcPr>
            <w:tcW w:w="657" w:type="pct"/>
            <w:shd w:val="clear" w:color="auto" w:fill="auto"/>
            <w:vAlign w:val="center"/>
          </w:tcPr>
          <w:p w:rsidR="00464E0A" w:rsidRPr="00E3331A" w:rsidRDefault="00464E0A" w:rsidP="00EC4AAF">
            <w:pPr>
              <w:pStyle w:val="Tablecontents"/>
            </w:pPr>
            <w:r w:rsidRPr="00E3331A">
              <w:t>Definite or probable CIDP.</w:t>
            </w:r>
            <w:r w:rsidRPr="00E3331A">
              <w:rPr>
                <w:vertAlign w:val="superscript"/>
              </w:rPr>
              <w:t>A</w:t>
            </w:r>
            <w:r w:rsidRPr="00E3331A">
              <w:t xml:space="preserve"> Continually progressive (&gt;8 weeks). static or recently progressed disease. Muscle weakness interferes with ambulation (NDS ≥ 40). Ig naïve patients.</w:t>
            </w:r>
          </w:p>
        </w:tc>
        <w:tc>
          <w:tcPr>
            <w:tcW w:w="492" w:type="pct"/>
            <w:shd w:val="clear" w:color="auto" w:fill="auto"/>
          </w:tcPr>
          <w:p w:rsidR="00464E0A" w:rsidRPr="00E3331A" w:rsidRDefault="00464E0A" w:rsidP="00EC4AAF">
            <w:pPr>
              <w:pStyle w:val="Tablecontents"/>
            </w:pPr>
            <w:r w:rsidRPr="00E3331A">
              <w:t xml:space="preserve">I: n = 16 </w:t>
            </w:r>
          </w:p>
          <w:p w:rsidR="00464E0A" w:rsidRPr="00E3331A" w:rsidRDefault="00464E0A" w:rsidP="00EC4AAF">
            <w:pPr>
              <w:pStyle w:val="Tablecontents"/>
            </w:pPr>
            <w:r w:rsidRPr="00E3331A">
              <w:t>C: n = 14</w:t>
            </w:r>
          </w:p>
          <w:p w:rsidR="00464E0A" w:rsidRPr="00E3331A" w:rsidRDefault="00464E0A" w:rsidP="00EC4AAF">
            <w:pPr>
              <w:pStyle w:val="Tablecontents"/>
            </w:pPr>
            <w:r w:rsidRPr="00E3331A">
              <w:t>Whole group</w:t>
            </w:r>
          </w:p>
          <w:p w:rsidR="00464E0A" w:rsidRPr="00E3331A" w:rsidRDefault="00464E0A" w:rsidP="00EC4AAF">
            <w:pPr>
              <w:pStyle w:val="Tablecontents"/>
            </w:pPr>
            <w:r w:rsidRPr="00E3331A">
              <w:t>Age: 52 (range 9-79)</w:t>
            </w:r>
          </w:p>
          <w:p w:rsidR="00464E0A" w:rsidRPr="00E3331A" w:rsidRDefault="00464E0A" w:rsidP="00EC4AAF">
            <w:pPr>
              <w:pStyle w:val="Tablecontents"/>
            </w:pPr>
            <w:r w:rsidRPr="00E3331A">
              <w:t>% male: 37</w:t>
            </w:r>
          </w:p>
          <w:p w:rsidR="00464E0A" w:rsidRPr="00E3331A" w:rsidRDefault="00464E0A" w:rsidP="00EC4AAF">
            <w:pPr>
              <w:pStyle w:val="Tablecontents"/>
            </w:pPr>
          </w:p>
        </w:tc>
        <w:tc>
          <w:tcPr>
            <w:tcW w:w="577" w:type="pct"/>
            <w:shd w:val="clear" w:color="auto" w:fill="auto"/>
          </w:tcPr>
          <w:p w:rsidR="00464E0A" w:rsidRPr="00E3331A" w:rsidRDefault="00464E0A" w:rsidP="00EC4AAF">
            <w:pPr>
              <w:pStyle w:val="Tablecontents"/>
            </w:pPr>
            <w:r w:rsidRPr="00E3331A">
              <w:t>Whole group</w:t>
            </w:r>
          </w:p>
          <w:p w:rsidR="00464E0A" w:rsidRPr="00E3331A" w:rsidRDefault="00464E0A" w:rsidP="00EC4AAF">
            <w:pPr>
              <w:pStyle w:val="Tablecontents"/>
            </w:pPr>
            <w:r w:rsidRPr="00E3331A">
              <w:t>Status: definite: 21, probable: 9</w:t>
            </w:r>
          </w:p>
          <w:p w:rsidR="00464E0A" w:rsidRPr="00E3331A" w:rsidRDefault="00464E0A" w:rsidP="00EC4AAF">
            <w:pPr>
              <w:pStyle w:val="Tablecontents"/>
            </w:pPr>
            <w:r w:rsidRPr="00E3331A">
              <w:t>Type: progressive: 16, relapsing: 14</w:t>
            </w:r>
          </w:p>
          <w:p w:rsidR="00464E0A" w:rsidRPr="00E3331A" w:rsidRDefault="00464E0A" w:rsidP="00EC4AAF">
            <w:pPr>
              <w:pStyle w:val="Tablecontents"/>
            </w:pPr>
            <w:r w:rsidRPr="00E3331A">
              <w:t>Time since diagnosis: NR</w:t>
            </w:r>
          </w:p>
          <w:p w:rsidR="00464E0A" w:rsidRPr="00E3331A" w:rsidRDefault="00464E0A" w:rsidP="00EC4AAF">
            <w:pPr>
              <w:pStyle w:val="Tablecontents"/>
            </w:pPr>
          </w:p>
        </w:tc>
        <w:tc>
          <w:tcPr>
            <w:tcW w:w="557" w:type="pct"/>
            <w:shd w:val="clear" w:color="auto" w:fill="auto"/>
          </w:tcPr>
          <w:p w:rsidR="00464E0A" w:rsidRPr="00E3331A" w:rsidRDefault="00464E0A" w:rsidP="00EC4AAF">
            <w:pPr>
              <w:pStyle w:val="Tablecontents"/>
            </w:pPr>
            <w:r w:rsidRPr="00E3331A">
              <w:t>NDS</w:t>
            </w:r>
          </w:p>
          <w:p w:rsidR="00464E0A" w:rsidRPr="00E3331A" w:rsidRDefault="00464E0A" w:rsidP="00EC4AAF">
            <w:pPr>
              <w:pStyle w:val="Tablecontents"/>
            </w:pPr>
            <w:r w:rsidRPr="00E3331A">
              <w:t>I: 78.3 ± 27.5</w:t>
            </w:r>
          </w:p>
          <w:p w:rsidR="00464E0A" w:rsidRPr="00E3331A" w:rsidRDefault="00464E0A" w:rsidP="00EC4AAF">
            <w:pPr>
              <w:pStyle w:val="Tablecontents"/>
            </w:pPr>
            <w:r w:rsidRPr="00E3331A">
              <w:t>C: 76.6 =- 27.7</w:t>
            </w:r>
          </w:p>
          <w:p w:rsidR="00464E0A" w:rsidRPr="00E3331A" w:rsidRDefault="00464E0A" w:rsidP="00EC4AAF">
            <w:pPr>
              <w:pStyle w:val="Tablecontents"/>
            </w:pPr>
            <w:r w:rsidRPr="00E3331A">
              <w:t>Clinical grade</w:t>
            </w:r>
          </w:p>
          <w:p w:rsidR="00464E0A" w:rsidRPr="00E3331A" w:rsidRDefault="00464E0A" w:rsidP="00EC4AAF">
            <w:pPr>
              <w:pStyle w:val="Tablecontents"/>
            </w:pPr>
            <w:r w:rsidRPr="00E3331A">
              <w:t>I: 4.6 ± 1.9</w:t>
            </w:r>
          </w:p>
          <w:p w:rsidR="00464E0A" w:rsidRPr="00E3331A" w:rsidRDefault="00464E0A" w:rsidP="00EC4AAF">
            <w:pPr>
              <w:pStyle w:val="Tablecontents"/>
            </w:pPr>
            <w:r w:rsidRPr="00E3331A">
              <w:t>C: 4.2 ± 1.9</w:t>
            </w:r>
          </w:p>
        </w:tc>
        <w:tc>
          <w:tcPr>
            <w:tcW w:w="537" w:type="pct"/>
            <w:shd w:val="clear" w:color="auto" w:fill="auto"/>
          </w:tcPr>
          <w:p w:rsidR="00464E0A" w:rsidRPr="00E3331A" w:rsidRDefault="00464E0A" w:rsidP="00EC4AAF">
            <w:pPr>
              <w:pStyle w:val="Tablecontents"/>
            </w:pPr>
            <w:r w:rsidRPr="00E3331A">
              <w:t>IVIg</w:t>
            </w:r>
          </w:p>
          <w:p w:rsidR="00464E0A" w:rsidRPr="00E3331A" w:rsidRDefault="00464E0A" w:rsidP="00EC4AAF">
            <w:pPr>
              <w:pStyle w:val="Tablecontents"/>
            </w:pPr>
            <w:r w:rsidRPr="00E3331A">
              <w:t>Cutter Biological Product, Miles Inc. 5% human protein in 9-11% mannose</w:t>
            </w:r>
          </w:p>
          <w:p w:rsidR="00464E0A" w:rsidRPr="00E3331A" w:rsidRDefault="00464E0A" w:rsidP="00EC4AAF">
            <w:pPr>
              <w:pStyle w:val="Tablecontents"/>
            </w:pPr>
            <w:r w:rsidRPr="00E3331A">
              <w:t>0.4 g/kg daily for 5 days</w:t>
            </w:r>
          </w:p>
        </w:tc>
        <w:tc>
          <w:tcPr>
            <w:tcW w:w="626" w:type="pct"/>
            <w:shd w:val="clear" w:color="auto" w:fill="auto"/>
          </w:tcPr>
          <w:p w:rsidR="00464E0A" w:rsidRPr="00E3331A" w:rsidRDefault="00464E0A" w:rsidP="00EC4AAF">
            <w:pPr>
              <w:pStyle w:val="Tablecontents"/>
            </w:pPr>
            <w:r w:rsidRPr="00E3331A">
              <w:t>Placebo</w:t>
            </w:r>
          </w:p>
          <w:p w:rsidR="00464E0A" w:rsidRPr="00E3331A" w:rsidRDefault="00464E0A" w:rsidP="00EC4AAF">
            <w:pPr>
              <w:pStyle w:val="Tablecontents"/>
            </w:pPr>
            <w:r w:rsidRPr="00E3331A">
              <w:t>10% dextrose daily for 5 days</w:t>
            </w:r>
          </w:p>
        </w:tc>
        <w:tc>
          <w:tcPr>
            <w:tcW w:w="624" w:type="pct"/>
            <w:shd w:val="clear" w:color="auto" w:fill="auto"/>
          </w:tcPr>
          <w:p w:rsidR="00464E0A" w:rsidRPr="00E3331A" w:rsidRDefault="00464E0A" w:rsidP="00EC4AAF">
            <w:pPr>
              <w:pStyle w:val="Tablecontents"/>
            </w:pPr>
            <w:r w:rsidRPr="00E3331A">
              <w:t>Low</w:t>
            </w:r>
          </w:p>
          <w:p w:rsidR="00464E0A" w:rsidRPr="00E3331A" w:rsidRDefault="00464E0A" w:rsidP="00EC4AAF">
            <w:pPr>
              <w:pStyle w:val="Tablecontents"/>
            </w:pPr>
            <w:r w:rsidRPr="00E3331A">
              <w:t>4 weeks</w:t>
            </w:r>
          </w:p>
        </w:tc>
      </w:tr>
      <w:tr w:rsidR="00464E0A" w:rsidRPr="00E3331A" w:rsidTr="00EC4AAF">
        <w:tc>
          <w:tcPr>
            <w:tcW w:w="454" w:type="pct"/>
            <w:shd w:val="clear" w:color="auto" w:fill="auto"/>
          </w:tcPr>
          <w:p w:rsidR="00464E0A" w:rsidRPr="00E3331A" w:rsidRDefault="00464E0A" w:rsidP="00EC4AAF">
            <w:pPr>
              <w:pStyle w:val="Tablecontents"/>
            </w:pPr>
            <w:r w:rsidRPr="00E3331A">
              <w:t>ICE Study (Hughes et al. (2008</w:t>
            </w:r>
            <w:r w:rsidR="001B576E">
              <w:t>)</w:t>
            </w:r>
            <w:r w:rsidRPr="00E3331A">
              <w:t>, Donofrio et al. (2010), Bril et al. (2009) Merkies et al. (2009)</w:t>
            </w:r>
          </w:p>
        </w:tc>
        <w:tc>
          <w:tcPr>
            <w:tcW w:w="477" w:type="pct"/>
            <w:shd w:val="clear" w:color="auto" w:fill="auto"/>
          </w:tcPr>
          <w:p w:rsidR="00464E0A" w:rsidRPr="00E3331A" w:rsidRDefault="00464E0A" w:rsidP="00EC4AAF">
            <w:pPr>
              <w:pStyle w:val="Tablecontents"/>
            </w:pPr>
            <w:r w:rsidRPr="00E3331A">
              <w:t>Ig (I) vs Pl (C)</w:t>
            </w:r>
          </w:p>
          <w:p w:rsidR="00464E0A" w:rsidRPr="00E3331A" w:rsidRDefault="00464E0A" w:rsidP="00EC4AAF">
            <w:pPr>
              <w:pStyle w:val="Tablecontents"/>
            </w:pPr>
            <w:r w:rsidRPr="00E3331A">
              <w:t xml:space="preserve">MC DB CO </w:t>
            </w:r>
          </w:p>
          <w:p w:rsidR="00464E0A" w:rsidRPr="00E3331A" w:rsidRDefault="00464E0A" w:rsidP="00EC4AAF">
            <w:pPr>
              <w:pStyle w:val="Tablecontents"/>
            </w:pPr>
          </w:p>
        </w:tc>
        <w:tc>
          <w:tcPr>
            <w:tcW w:w="657" w:type="pct"/>
            <w:shd w:val="clear" w:color="auto" w:fill="auto"/>
            <w:vAlign w:val="center"/>
          </w:tcPr>
          <w:p w:rsidR="00464E0A" w:rsidRPr="00E3331A" w:rsidRDefault="00464E0A" w:rsidP="00EC4AAF">
            <w:pPr>
              <w:pStyle w:val="Tablecontents"/>
            </w:pPr>
            <w:r w:rsidRPr="00E3331A">
              <w:t>Adult patients with diagnosed CIDP (motor and sensory dysfunction) with significant disability (INCAT 2-9). Patients treated for CIDP in last 3 months excluded.</w:t>
            </w:r>
          </w:p>
        </w:tc>
        <w:tc>
          <w:tcPr>
            <w:tcW w:w="492" w:type="pct"/>
            <w:shd w:val="clear" w:color="auto" w:fill="auto"/>
          </w:tcPr>
          <w:p w:rsidR="00464E0A" w:rsidRPr="00E3331A" w:rsidRDefault="00464E0A" w:rsidP="00EC4AAF">
            <w:pPr>
              <w:pStyle w:val="Tablecontents"/>
            </w:pPr>
            <w:r w:rsidRPr="00E3331A">
              <w:t>I: n = 59</w:t>
            </w:r>
          </w:p>
          <w:p w:rsidR="00464E0A" w:rsidRPr="00E3331A" w:rsidRDefault="00464E0A" w:rsidP="00EC4AAF">
            <w:pPr>
              <w:pStyle w:val="Tablecontents"/>
            </w:pPr>
            <w:r w:rsidRPr="00E3331A">
              <w:t>C: n = 58</w:t>
            </w:r>
          </w:p>
          <w:p w:rsidR="00464E0A" w:rsidRPr="00E3331A" w:rsidRDefault="00464E0A" w:rsidP="00EC4AAF">
            <w:pPr>
              <w:pStyle w:val="Tablecontents"/>
            </w:pPr>
            <w:r w:rsidRPr="00E3331A">
              <w:t>Age</w:t>
            </w:r>
          </w:p>
          <w:p w:rsidR="00464E0A" w:rsidRPr="00E3331A" w:rsidRDefault="00464E0A" w:rsidP="00EC4AAF">
            <w:pPr>
              <w:pStyle w:val="Tablecontents"/>
            </w:pPr>
            <w:r w:rsidRPr="00E3331A">
              <w:t>I: 50 ± 17 y</w:t>
            </w:r>
          </w:p>
          <w:p w:rsidR="00464E0A" w:rsidRPr="00E3331A" w:rsidRDefault="00464E0A" w:rsidP="00EC4AAF">
            <w:pPr>
              <w:pStyle w:val="Tablecontents"/>
            </w:pPr>
            <w:r w:rsidRPr="00E3331A">
              <w:t>C: 53 ± 16</w:t>
            </w:r>
          </w:p>
          <w:p w:rsidR="00464E0A" w:rsidRPr="00E3331A" w:rsidRDefault="00464E0A" w:rsidP="00EC4AAF">
            <w:pPr>
              <w:pStyle w:val="Tablecontents"/>
            </w:pPr>
            <w:r w:rsidRPr="00E3331A">
              <w:t xml:space="preserve">% male </w:t>
            </w:r>
          </w:p>
          <w:p w:rsidR="00464E0A" w:rsidRPr="00E3331A" w:rsidRDefault="00464E0A" w:rsidP="00EC4AAF">
            <w:pPr>
              <w:pStyle w:val="Tablecontents"/>
            </w:pPr>
            <w:r w:rsidRPr="00E3331A">
              <w:t>I: 53%</w:t>
            </w:r>
          </w:p>
          <w:p w:rsidR="00464E0A" w:rsidRPr="00E3331A" w:rsidRDefault="00464E0A" w:rsidP="00EC4AAF">
            <w:pPr>
              <w:pStyle w:val="Tablecontents"/>
            </w:pPr>
            <w:r w:rsidRPr="00E3331A">
              <w:t>C: 79%</w:t>
            </w:r>
          </w:p>
        </w:tc>
        <w:tc>
          <w:tcPr>
            <w:tcW w:w="577" w:type="pct"/>
            <w:shd w:val="clear" w:color="auto" w:fill="auto"/>
          </w:tcPr>
          <w:p w:rsidR="00464E0A" w:rsidRPr="00E3331A" w:rsidRDefault="00464E0A" w:rsidP="00EC4AAF">
            <w:pPr>
              <w:pStyle w:val="Tablecontents"/>
            </w:pPr>
            <w:r w:rsidRPr="00E3331A">
              <w:t>Status: NR</w:t>
            </w:r>
          </w:p>
          <w:p w:rsidR="00464E0A" w:rsidRPr="00E3331A" w:rsidRDefault="00464E0A" w:rsidP="00EC4AAF">
            <w:pPr>
              <w:pStyle w:val="Tablecontents"/>
            </w:pPr>
            <w:r w:rsidRPr="00E3331A">
              <w:t>Type: NR</w:t>
            </w:r>
          </w:p>
          <w:p w:rsidR="00464E0A" w:rsidRPr="00E3331A" w:rsidRDefault="00464E0A" w:rsidP="00EC4AAF">
            <w:pPr>
              <w:pStyle w:val="Tablecontents"/>
            </w:pPr>
            <w:r w:rsidRPr="00E3331A">
              <w:t>Time since diagnosis</w:t>
            </w:r>
          </w:p>
          <w:p w:rsidR="00464E0A" w:rsidRPr="00E3331A" w:rsidRDefault="00464E0A" w:rsidP="00EC4AAF">
            <w:pPr>
              <w:pStyle w:val="Tablecontents"/>
            </w:pPr>
            <w:r w:rsidRPr="00E3331A">
              <w:t>I: 2.4 ± 3.7 yr</w:t>
            </w:r>
          </w:p>
          <w:p w:rsidR="00464E0A" w:rsidRPr="00E3331A" w:rsidRDefault="00464E0A" w:rsidP="00EC4AAF">
            <w:pPr>
              <w:pStyle w:val="Tablecontents"/>
            </w:pPr>
            <w:r w:rsidRPr="00E3331A">
              <w:t>C: 1.8 ± 2.9 yr</w:t>
            </w:r>
          </w:p>
          <w:p w:rsidR="00464E0A" w:rsidRPr="00E3331A" w:rsidRDefault="00464E0A" w:rsidP="00EC4AAF">
            <w:pPr>
              <w:pStyle w:val="Tablecontents"/>
            </w:pPr>
          </w:p>
        </w:tc>
        <w:tc>
          <w:tcPr>
            <w:tcW w:w="557" w:type="pct"/>
            <w:shd w:val="clear" w:color="auto" w:fill="auto"/>
          </w:tcPr>
          <w:p w:rsidR="00464E0A" w:rsidRPr="00E3331A" w:rsidRDefault="00464E0A" w:rsidP="00EC4AAF">
            <w:pPr>
              <w:pStyle w:val="Tablecontents"/>
            </w:pPr>
            <w:r w:rsidRPr="00E3331A">
              <w:t>INCAT</w:t>
            </w:r>
          </w:p>
          <w:p w:rsidR="00464E0A" w:rsidRPr="00E3331A" w:rsidRDefault="00464E0A" w:rsidP="00EC4AAF">
            <w:pPr>
              <w:pStyle w:val="Tablecontents"/>
            </w:pPr>
            <w:r w:rsidRPr="00E3331A">
              <w:t>I: 4.2 ± 1.4</w:t>
            </w:r>
          </w:p>
          <w:p w:rsidR="00464E0A" w:rsidRPr="00E3331A" w:rsidRDefault="00464E0A" w:rsidP="00EC4AAF">
            <w:pPr>
              <w:pStyle w:val="Tablecontents"/>
            </w:pPr>
            <w:r w:rsidRPr="00E3331A">
              <w:t>C: 4.1 ± 1.5</w:t>
            </w:r>
          </w:p>
          <w:p w:rsidR="00464E0A" w:rsidRPr="00E3331A" w:rsidRDefault="00464E0A" w:rsidP="00EC4AAF">
            <w:pPr>
              <w:pStyle w:val="Tablecontents"/>
            </w:pPr>
            <w:r w:rsidRPr="00E3331A">
              <w:t xml:space="preserve">MRC </w:t>
            </w:r>
          </w:p>
          <w:p w:rsidR="00464E0A" w:rsidRPr="00E3331A" w:rsidRDefault="00464E0A" w:rsidP="00EC4AAF">
            <w:pPr>
              <w:pStyle w:val="Tablecontents"/>
            </w:pPr>
            <w:r w:rsidRPr="00E3331A">
              <w:t>I: 49.3 ± 6.9</w:t>
            </w:r>
          </w:p>
          <w:p w:rsidR="00464E0A" w:rsidRPr="00E3331A" w:rsidRDefault="00464E0A" w:rsidP="00EC4AAF">
            <w:pPr>
              <w:pStyle w:val="Tablecontents"/>
            </w:pPr>
            <w:r w:rsidRPr="00E3331A">
              <w:t>C: 50.0 ± 7.2</w:t>
            </w:r>
          </w:p>
        </w:tc>
        <w:tc>
          <w:tcPr>
            <w:tcW w:w="537" w:type="pct"/>
            <w:shd w:val="clear" w:color="auto" w:fill="auto"/>
          </w:tcPr>
          <w:p w:rsidR="00464E0A" w:rsidRPr="00E3331A" w:rsidRDefault="00464E0A" w:rsidP="00EC4AAF">
            <w:pPr>
              <w:pStyle w:val="Tablecontents"/>
            </w:pPr>
            <w:r w:rsidRPr="00E3331A">
              <w:t>IVIg</w:t>
            </w:r>
          </w:p>
          <w:p w:rsidR="00464E0A" w:rsidRPr="00E3331A" w:rsidRDefault="00464E0A" w:rsidP="00EC4AAF">
            <w:pPr>
              <w:pStyle w:val="Tablecontents"/>
            </w:pPr>
            <w:r w:rsidRPr="00E3331A">
              <w:t>IGIV-C (Gamunex, Talecris Biotherapeutics, Research Triangle Park, NC, USA)</w:t>
            </w:r>
          </w:p>
          <w:p w:rsidR="00464E0A" w:rsidRPr="00E3331A" w:rsidRDefault="00464E0A" w:rsidP="00EC4AAF">
            <w:pPr>
              <w:pStyle w:val="Tablecontents"/>
            </w:pPr>
            <w:r w:rsidRPr="00E3331A">
              <w:t>loading dose 2g/kg over 2-4 days</w:t>
            </w:r>
          </w:p>
          <w:p w:rsidR="00464E0A" w:rsidRPr="00E3331A" w:rsidRDefault="00464E0A" w:rsidP="00EC4AAF">
            <w:pPr>
              <w:pStyle w:val="Tablecontents"/>
            </w:pPr>
            <w:r w:rsidRPr="00E3331A">
              <w:t xml:space="preserve">maintenance 1g/kg over 1-2 </w:t>
            </w:r>
            <w:r w:rsidRPr="00E3331A">
              <w:lastRenderedPageBreak/>
              <w:t>days every 3 weeks</w:t>
            </w:r>
          </w:p>
        </w:tc>
        <w:tc>
          <w:tcPr>
            <w:tcW w:w="626" w:type="pct"/>
            <w:shd w:val="clear" w:color="auto" w:fill="auto"/>
          </w:tcPr>
          <w:p w:rsidR="00464E0A" w:rsidRPr="00E3331A" w:rsidRDefault="00464E0A" w:rsidP="00EC4AAF">
            <w:pPr>
              <w:pStyle w:val="Tablecontents"/>
            </w:pPr>
            <w:r w:rsidRPr="00E3331A">
              <w:lastRenderedPageBreak/>
              <w:t>Placebo</w:t>
            </w:r>
          </w:p>
          <w:p w:rsidR="00464E0A" w:rsidRPr="00E3331A" w:rsidRDefault="00464E0A" w:rsidP="00EC4AAF">
            <w:pPr>
              <w:pStyle w:val="Tablecontents"/>
            </w:pPr>
            <w:r w:rsidRPr="00E3331A">
              <w:t>0.1% albumin every 3 weeks</w:t>
            </w:r>
          </w:p>
        </w:tc>
        <w:tc>
          <w:tcPr>
            <w:tcW w:w="624" w:type="pct"/>
            <w:shd w:val="clear" w:color="auto" w:fill="auto"/>
          </w:tcPr>
          <w:p w:rsidR="00464E0A" w:rsidRPr="00E3331A" w:rsidRDefault="00464E0A" w:rsidP="00EC4AAF">
            <w:pPr>
              <w:pStyle w:val="Tablecontents"/>
            </w:pPr>
            <w:r w:rsidRPr="00E3331A">
              <w:t xml:space="preserve">High </w:t>
            </w:r>
          </w:p>
          <w:p w:rsidR="00464E0A" w:rsidRPr="00E3331A" w:rsidRDefault="00464E0A" w:rsidP="00EC4AAF">
            <w:pPr>
              <w:pStyle w:val="Tablecontents"/>
            </w:pPr>
            <w:r w:rsidRPr="00E3331A">
              <w:t>at least 24 weeks</w:t>
            </w:r>
          </w:p>
        </w:tc>
      </w:tr>
      <w:tr w:rsidR="00464E0A" w:rsidRPr="00E3331A" w:rsidTr="00EC4AAF">
        <w:tc>
          <w:tcPr>
            <w:tcW w:w="454" w:type="pct"/>
            <w:shd w:val="clear" w:color="auto" w:fill="auto"/>
          </w:tcPr>
          <w:p w:rsidR="00464E0A" w:rsidRPr="00E3331A" w:rsidRDefault="00464E0A" w:rsidP="00EC4AAF">
            <w:pPr>
              <w:pStyle w:val="Tablecontents"/>
            </w:pPr>
            <w:r w:rsidRPr="00E3331A">
              <w:t>Dyck et al. (1982)</w:t>
            </w:r>
          </w:p>
          <w:p w:rsidR="00464E0A" w:rsidRPr="00E3331A" w:rsidRDefault="00464E0A" w:rsidP="00EC4AAF">
            <w:pPr>
              <w:pStyle w:val="Tablecontents"/>
            </w:pPr>
            <w:r w:rsidRPr="00E3331A">
              <w:t>USA</w:t>
            </w:r>
          </w:p>
        </w:tc>
        <w:tc>
          <w:tcPr>
            <w:tcW w:w="477" w:type="pct"/>
            <w:shd w:val="clear" w:color="auto" w:fill="auto"/>
          </w:tcPr>
          <w:p w:rsidR="00464E0A" w:rsidRPr="00E3331A" w:rsidRDefault="00464E0A" w:rsidP="00EC4AAF">
            <w:pPr>
              <w:pStyle w:val="Tablecontents"/>
            </w:pPr>
            <w:r w:rsidRPr="00E3331A">
              <w:t>St (I) vs Pl (C)</w:t>
            </w:r>
          </w:p>
          <w:p w:rsidR="00464E0A" w:rsidRPr="00E3331A" w:rsidRDefault="00464E0A" w:rsidP="00EC4AAF">
            <w:pPr>
              <w:pStyle w:val="Tablecontents"/>
            </w:pPr>
          </w:p>
        </w:tc>
        <w:tc>
          <w:tcPr>
            <w:tcW w:w="657" w:type="pct"/>
            <w:shd w:val="clear" w:color="auto" w:fill="auto"/>
            <w:vAlign w:val="center"/>
          </w:tcPr>
          <w:p w:rsidR="00464E0A" w:rsidRPr="00E3331A" w:rsidRDefault="00464E0A" w:rsidP="00EC4AAF">
            <w:pPr>
              <w:pStyle w:val="Tablecontents"/>
            </w:pPr>
            <w:r w:rsidRPr="00E3331A">
              <w:t>Patients with CIDP for &gt; 6 months and untreated with immunosuppressive therapy</w:t>
            </w:r>
          </w:p>
        </w:tc>
        <w:tc>
          <w:tcPr>
            <w:tcW w:w="492" w:type="pct"/>
            <w:shd w:val="clear" w:color="auto" w:fill="auto"/>
          </w:tcPr>
          <w:p w:rsidR="00464E0A" w:rsidRPr="00E3331A" w:rsidRDefault="00464E0A" w:rsidP="00EC4AAF">
            <w:pPr>
              <w:pStyle w:val="Tablecontents"/>
            </w:pPr>
            <w:r w:rsidRPr="00E3331A">
              <w:t>I: n = 14</w:t>
            </w:r>
          </w:p>
          <w:p w:rsidR="00464E0A" w:rsidRPr="00E3331A" w:rsidRDefault="00464E0A" w:rsidP="00EC4AAF">
            <w:pPr>
              <w:pStyle w:val="Tablecontents"/>
            </w:pPr>
            <w:r w:rsidRPr="00E3331A">
              <w:t>C: n = 14</w:t>
            </w:r>
          </w:p>
          <w:p w:rsidR="00464E0A" w:rsidRPr="00E3331A" w:rsidRDefault="00464E0A" w:rsidP="00EC4AAF">
            <w:pPr>
              <w:pStyle w:val="Tablecontents"/>
            </w:pPr>
            <w:r w:rsidRPr="00E3331A">
              <w:t>Age</w:t>
            </w:r>
          </w:p>
          <w:p w:rsidR="00464E0A" w:rsidRPr="00E3331A" w:rsidRDefault="00464E0A" w:rsidP="00EC4AAF">
            <w:pPr>
              <w:pStyle w:val="Tablecontents"/>
            </w:pPr>
            <w:r w:rsidRPr="00E3331A">
              <w:t>I: med 46.5 range 22-76</w:t>
            </w:r>
          </w:p>
          <w:p w:rsidR="00464E0A" w:rsidRPr="00E3331A" w:rsidRDefault="00464E0A" w:rsidP="00EC4AAF">
            <w:pPr>
              <w:pStyle w:val="Tablecontents"/>
            </w:pPr>
            <w:r w:rsidRPr="00E3331A">
              <w:t>C: med 50 (range 9-83)</w:t>
            </w:r>
          </w:p>
          <w:p w:rsidR="00464E0A" w:rsidRPr="00E3331A" w:rsidRDefault="00464E0A" w:rsidP="00EC4AAF">
            <w:pPr>
              <w:pStyle w:val="Tablecontents"/>
            </w:pPr>
            <w:r w:rsidRPr="00E3331A">
              <w:t>% male</w:t>
            </w:r>
          </w:p>
          <w:p w:rsidR="00464E0A" w:rsidRPr="00E3331A" w:rsidRDefault="00464E0A" w:rsidP="00EC4AAF">
            <w:pPr>
              <w:pStyle w:val="Tablecontents"/>
            </w:pPr>
            <w:r w:rsidRPr="00E3331A">
              <w:t>I: 71%</w:t>
            </w:r>
          </w:p>
          <w:p w:rsidR="00464E0A" w:rsidRPr="00E3331A" w:rsidRDefault="00464E0A" w:rsidP="00EC4AAF">
            <w:pPr>
              <w:pStyle w:val="Tablecontents"/>
            </w:pPr>
            <w:r w:rsidRPr="00E3331A">
              <w:t>C: 64%</w:t>
            </w:r>
          </w:p>
        </w:tc>
        <w:tc>
          <w:tcPr>
            <w:tcW w:w="577" w:type="pct"/>
            <w:shd w:val="clear" w:color="auto" w:fill="auto"/>
          </w:tcPr>
          <w:p w:rsidR="00464E0A" w:rsidRPr="00E3331A" w:rsidRDefault="00464E0A" w:rsidP="00EC4AAF">
            <w:pPr>
              <w:pStyle w:val="Tablecontents"/>
            </w:pPr>
            <w:r w:rsidRPr="00E3331A">
              <w:t>Status: NR</w:t>
            </w:r>
          </w:p>
          <w:p w:rsidR="00464E0A" w:rsidRPr="00E3331A" w:rsidRDefault="00464E0A" w:rsidP="00EC4AAF">
            <w:pPr>
              <w:pStyle w:val="Tablecontents"/>
            </w:pPr>
            <w:r w:rsidRPr="00E3331A">
              <w:t>Type: chronic progressive: 14, recurrent: 14</w:t>
            </w:r>
          </w:p>
          <w:p w:rsidR="00464E0A" w:rsidRPr="00E3331A" w:rsidRDefault="00464E0A" w:rsidP="00EC4AAF">
            <w:pPr>
              <w:pStyle w:val="Tablecontents"/>
            </w:pPr>
            <w:r w:rsidRPr="00E3331A">
              <w:t>Time since diagnosis</w:t>
            </w:r>
          </w:p>
          <w:p w:rsidR="00464E0A" w:rsidRPr="00E3331A" w:rsidRDefault="00464E0A" w:rsidP="00EC4AAF">
            <w:pPr>
              <w:pStyle w:val="Tablecontents"/>
            </w:pPr>
            <w:r w:rsidRPr="00E3331A">
              <w:t>I median 25 mo (range 6-84)</w:t>
            </w:r>
          </w:p>
          <w:p w:rsidR="00464E0A" w:rsidRPr="00E3331A" w:rsidRDefault="00464E0A" w:rsidP="00EC4AAF">
            <w:pPr>
              <w:pStyle w:val="Tablecontents"/>
            </w:pPr>
            <w:r w:rsidRPr="00E3331A">
              <w:t>C median 32 mo (range 8-168)</w:t>
            </w:r>
          </w:p>
        </w:tc>
        <w:tc>
          <w:tcPr>
            <w:tcW w:w="557" w:type="pct"/>
            <w:shd w:val="clear" w:color="auto" w:fill="auto"/>
          </w:tcPr>
          <w:p w:rsidR="00464E0A" w:rsidRPr="00E3331A" w:rsidRDefault="00464E0A" w:rsidP="00EC4AAF">
            <w:pPr>
              <w:pStyle w:val="Tablecontents"/>
            </w:pPr>
            <w:r w:rsidRPr="00E3331A">
              <w:t>NDS</w:t>
            </w:r>
          </w:p>
          <w:p w:rsidR="00464E0A" w:rsidRPr="00E3331A" w:rsidRDefault="00464E0A" w:rsidP="00EC4AAF">
            <w:pPr>
              <w:pStyle w:val="Tablecontents"/>
            </w:pPr>
            <w:r w:rsidRPr="00E3331A">
              <w:t>I: med 74 (range 31-123)</w:t>
            </w:r>
          </w:p>
          <w:p w:rsidR="00464E0A" w:rsidRPr="00E3331A" w:rsidRDefault="00464E0A" w:rsidP="00EC4AAF">
            <w:pPr>
              <w:pStyle w:val="Tablecontents"/>
            </w:pPr>
            <w:r w:rsidRPr="00E3331A">
              <w:t>C: med 74 range 28-137</w:t>
            </w:r>
          </w:p>
          <w:p w:rsidR="00464E0A" w:rsidRPr="00E3331A" w:rsidRDefault="00464E0A" w:rsidP="00EC4AAF">
            <w:pPr>
              <w:pStyle w:val="Tablecontents"/>
            </w:pPr>
          </w:p>
        </w:tc>
        <w:tc>
          <w:tcPr>
            <w:tcW w:w="537" w:type="pct"/>
            <w:shd w:val="clear" w:color="auto" w:fill="auto"/>
          </w:tcPr>
          <w:p w:rsidR="00464E0A" w:rsidRPr="00E3331A" w:rsidRDefault="00464E0A" w:rsidP="00EC4AAF">
            <w:pPr>
              <w:pStyle w:val="Tablecontents"/>
            </w:pPr>
            <w:r w:rsidRPr="00E3331A">
              <w:t>Prednisone 120 mg alternate days; 5 mg alternate days tapering to 0 mg over 13 weks</w:t>
            </w:r>
          </w:p>
        </w:tc>
        <w:tc>
          <w:tcPr>
            <w:tcW w:w="626" w:type="pct"/>
            <w:shd w:val="clear" w:color="auto" w:fill="auto"/>
          </w:tcPr>
          <w:p w:rsidR="00464E0A" w:rsidRPr="00E3331A" w:rsidRDefault="00464E0A" w:rsidP="00EC4AAF">
            <w:pPr>
              <w:pStyle w:val="Tablecontents"/>
            </w:pPr>
            <w:r w:rsidRPr="00E3331A">
              <w:t>No treatment</w:t>
            </w:r>
          </w:p>
        </w:tc>
        <w:tc>
          <w:tcPr>
            <w:tcW w:w="624" w:type="pct"/>
            <w:shd w:val="clear" w:color="auto" w:fill="auto"/>
          </w:tcPr>
          <w:p w:rsidR="00464E0A" w:rsidRPr="00E3331A" w:rsidRDefault="00464E0A" w:rsidP="00EC4AAF">
            <w:pPr>
              <w:pStyle w:val="Tablecontents"/>
            </w:pPr>
          </w:p>
        </w:tc>
      </w:tr>
      <w:tr w:rsidR="00464E0A" w:rsidRPr="00E3331A" w:rsidTr="00EC4AAF">
        <w:tc>
          <w:tcPr>
            <w:tcW w:w="454" w:type="pct"/>
            <w:shd w:val="clear" w:color="auto" w:fill="auto"/>
          </w:tcPr>
          <w:p w:rsidR="00464E0A" w:rsidRPr="00E3331A" w:rsidRDefault="00464E0A" w:rsidP="00EC4AAF">
            <w:pPr>
              <w:pStyle w:val="Tablecontents"/>
            </w:pPr>
            <w:r w:rsidRPr="00E3331A">
              <w:t>Zinman et al. (2005)</w:t>
            </w:r>
          </w:p>
        </w:tc>
        <w:tc>
          <w:tcPr>
            <w:tcW w:w="477" w:type="pct"/>
            <w:shd w:val="clear" w:color="auto" w:fill="auto"/>
          </w:tcPr>
          <w:p w:rsidR="00464E0A" w:rsidRPr="00E3331A" w:rsidRDefault="00464E0A" w:rsidP="00EC4AAF">
            <w:pPr>
              <w:pStyle w:val="Tablecontents"/>
            </w:pPr>
            <w:r w:rsidRPr="00E3331A">
              <w:t>Ig (I) vs Ia (C)</w:t>
            </w:r>
          </w:p>
          <w:p w:rsidR="00464E0A" w:rsidRPr="00E3331A" w:rsidRDefault="00464E0A" w:rsidP="00EC4AAF">
            <w:pPr>
              <w:pStyle w:val="Tablecontents"/>
            </w:pPr>
          </w:p>
        </w:tc>
        <w:tc>
          <w:tcPr>
            <w:tcW w:w="657" w:type="pct"/>
            <w:shd w:val="clear" w:color="auto" w:fill="auto"/>
            <w:vAlign w:val="center"/>
          </w:tcPr>
          <w:p w:rsidR="00464E0A" w:rsidRPr="00E3331A" w:rsidRDefault="00464E0A" w:rsidP="00EC4AAF">
            <w:pPr>
              <w:pStyle w:val="Tablecontents"/>
            </w:pPr>
            <w:r w:rsidRPr="00E3331A">
              <w:t>Patients aged 18-70 years with motor and/or sensory CIDP &gt; 2 months. Patients treated with Ig, Is or PE in last 6 months excluded.</w:t>
            </w:r>
          </w:p>
        </w:tc>
        <w:tc>
          <w:tcPr>
            <w:tcW w:w="492" w:type="pct"/>
            <w:shd w:val="clear" w:color="auto" w:fill="auto"/>
          </w:tcPr>
          <w:p w:rsidR="00464E0A" w:rsidRPr="00E3331A" w:rsidRDefault="00464E0A" w:rsidP="00EC4AAF">
            <w:pPr>
              <w:pStyle w:val="Tablecontents"/>
            </w:pPr>
            <w:r w:rsidRPr="00E3331A">
              <w:t>I: 9</w:t>
            </w:r>
          </w:p>
          <w:p w:rsidR="00464E0A" w:rsidRPr="00E3331A" w:rsidRDefault="00464E0A" w:rsidP="00EC4AAF">
            <w:pPr>
              <w:pStyle w:val="Tablecontents"/>
            </w:pPr>
            <w:r w:rsidRPr="00E3331A">
              <w:t>C: 5</w:t>
            </w:r>
          </w:p>
          <w:p w:rsidR="00464E0A" w:rsidRPr="00E3331A" w:rsidRDefault="00464E0A" w:rsidP="00EC4AAF">
            <w:pPr>
              <w:pStyle w:val="Tablecontents"/>
            </w:pPr>
            <w:r w:rsidRPr="00E3331A">
              <w:t>Age</w:t>
            </w:r>
          </w:p>
          <w:p w:rsidR="00464E0A" w:rsidRPr="00E3331A" w:rsidRDefault="00464E0A" w:rsidP="00EC4AAF">
            <w:pPr>
              <w:pStyle w:val="Tablecontents"/>
              <w:rPr>
                <w:rFonts w:ascii="Calibri" w:hAnsi="Calibri"/>
              </w:rPr>
            </w:pPr>
            <w:r w:rsidRPr="00E3331A">
              <w:t>I: 63.5</w:t>
            </w:r>
            <w:r w:rsidRPr="00E3331A">
              <w:rPr>
                <w:rFonts w:ascii="Calibri" w:hAnsi="Calibri"/>
              </w:rPr>
              <w:t>± 8.7</w:t>
            </w:r>
          </w:p>
          <w:p w:rsidR="00464E0A" w:rsidRPr="00E3331A" w:rsidRDefault="00464E0A" w:rsidP="00EC4AAF">
            <w:pPr>
              <w:pStyle w:val="Tablecontents"/>
              <w:rPr>
                <w:rFonts w:ascii="Calibri" w:hAnsi="Calibri"/>
              </w:rPr>
            </w:pPr>
            <w:r w:rsidRPr="00E3331A">
              <w:t xml:space="preserve">C: 63.8 </w:t>
            </w:r>
            <w:r w:rsidRPr="00E3331A">
              <w:rPr>
                <w:rFonts w:ascii="Calibri" w:hAnsi="Calibri"/>
              </w:rPr>
              <w:t>± 9.3</w:t>
            </w:r>
          </w:p>
          <w:p w:rsidR="00464E0A" w:rsidRPr="00E3331A" w:rsidRDefault="00464E0A" w:rsidP="00EC4AAF">
            <w:pPr>
              <w:pStyle w:val="Tablecontents"/>
            </w:pPr>
            <w:r w:rsidRPr="00E3331A">
              <w:t>% male</w:t>
            </w:r>
          </w:p>
          <w:p w:rsidR="00464E0A" w:rsidRPr="00E3331A" w:rsidRDefault="00464E0A" w:rsidP="00EC4AAF">
            <w:pPr>
              <w:pStyle w:val="Tablecontents"/>
            </w:pPr>
            <w:r w:rsidRPr="00E3331A">
              <w:t>I: 62.5%</w:t>
            </w:r>
          </w:p>
          <w:p w:rsidR="00464E0A" w:rsidRPr="00E3331A" w:rsidRDefault="00464E0A" w:rsidP="00EC4AAF">
            <w:pPr>
              <w:pStyle w:val="Tablecontents"/>
            </w:pPr>
            <w:r w:rsidRPr="00E3331A">
              <w:t>C: 100%</w:t>
            </w:r>
          </w:p>
          <w:p w:rsidR="00464E0A" w:rsidRPr="00E3331A" w:rsidRDefault="00464E0A" w:rsidP="00EC4AAF">
            <w:pPr>
              <w:pStyle w:val="Tablecontents"/>
            </w:pPr>
          </w:p>
        </w:tc>
        <w:tc>
          <w:tcPr>
            <w:tcW w:w="577" w:type="pct"/>
            <w:shd w:val="clear" w:color="auto" w:fill="auto"/>
          </w:tcPr>
          <w:p w:rsidR="00464E0A" w:rsidRPr="00E3331A" w:rsidRDefault="00464E0A" w:rsidP="00EC4AAF">
            <w:pPr>
              <w:pStyle w:val="Tablecontents"/>
            </w:pPr>
            <w:r w:rsidRPr="00E3331A">
              <w:t>Status: NR</w:t>
            </w:r>
          </w:p>
          <w:p w:rsidR="00464E0A" w:rsidRPr="00E3331A" w:rsidRDefault="00464E0A" w:rsidP="00EC4AAF">
            <w:pPr>
              <w:pStyle w:val="Tablecontents"/>
            </w:pPr>
            <w:r w:rsidRPr="00E3331A">
              <w:t>Type: NR</w:t>
            </w:r>
          </w:p>
          <w:p w:rsidR="00464E0A" w:rsidRPr="00E3331A" w:rsidRDefault="00464E0A" w:rsidP="00EC4AAF">
            <w:pPr>
              <w:pStyle w:val="Tablecontents"/>
            </w:pPr>
            <w:r w:rsidRPr="00E3331A">
              <w:t>Time since diagnosis</w:t>
            </w:r>
          </w:p>
          <w:p w:rsidR="00464E0A" w:rsidRPr="00E3331A" w:rsidRDefault="00464E0A" w:rsidP="00EC4AAF">
            <w:pPr>
              <w:pStyle w:val="Tablecontents"/>
              <w:rPr>
                <w:rFonts w:ascii="Calibri" w:hAnsi="Calibri"/>
              </w:rPr>
            </w:pPr>
            <w:r w:rsidRPr="00E3331A">
              <w:t xml:space="preserve">I: 2.32 </w:t>
            </w:r>
            <w:r w:rsidRPr="00E3331A">
              <w:rPr>
                <w:rFonts w:ascii="Calibri" w:hAnsi="Calibri"/>
              </w:rPr>
              <w:t>± 2.05 yrs</w:t>
            </w:r>
          </w:p>
          <w:p w:rsidR="00464E0A" w:rsidRPr="00E3331A" w:rsidRDefault="00464E0A" w:rsidP="00EC4AAF">
            <w:pPr>
              <w:pStyle w:val="Tablecontents"/>
            </w:pPr>
            <w:r w:rsidRPr="00E3331A">
              <w:t xml:space="preserve">C: 1.32 </w:t>
            </w:r>
            <w:r w:rsidRPr="00E3331A">
              <w:rPr>
                <w:rFonts w:ascii="Calibri" w:hAnsi="Calibri"/>
              </w:rPr>
              <w:t>± 1.30 yrs</w:t>
            </w:r>
          </w:p>
        </w:tc>
        <w:tc>
          <w:tcPr>
            <w:tcW w:w="557" w:type="pct"/>
            <w:shd w:val="clear" w:color="auto" w:fill="auto"/>
          </w:tcPr>
          <w:p w:rsidR="00464E0A" w:rsidRPr="00E3331A" w:rsidRDefault="00464E0A" w:rsidP="00EC4AAF">
            <w:pPr>
              <w:pStyle w:val="Tablecontents"/>
            </w:pPr>
            <w:r w:rsidRPr="00E3331A">
              <w:t xml:space="preserve">TCNS </w:t>
            </w:r>
          </w:p>
          <w:p w:rsidR="00464E0A" w:rsidRPr="00E3331A" w:rsidRDefault="00464E0A" w:rsidP="00EC4AAF">
            <w:pPr>
              <w:pStyle w:val="Tablecontents"/>
              <w:rPr>
                <w:rFonts w:ascii="Calibri" w:hAnsi="Calibri"/>
              </w:rPr>
            </w:pPr>
            <w:r w:rsidRPr="00E3331A">
              <w:t xml:space="preserve">I: 13.3 </w:t>
            </w:r>
            <w:r w:rsidRPr="00E3331A">
              <w:rPr>
                <w:rFonts w:ascii="Calibri" w:hAnsi="Calibri"/>
              </w:rPr>
              <w:t>± 4.7</w:t>
            </w:r>
          </w:p>
          <w:p w:rsidR="00464E0A" w:rsidRPr="00E3331A" w:rsidRDefault="00464E0A" w:rsidP="00EC4AAF">
            <w:pPr>
              <w:pStyle w:val="Tablecontents"/>
              <w:rPr>
                <w:rFonts w:ascii="Calibri" w:hAnsi="Calibri"/>
              </w:rPr>
            </w:pPr>
            <w:r w:rsidRPr="00E3331A">
              <w:t xml:space="preserve">C: 11.2 </w:t>
            </w:r>
            <w:r w:rsidRPr="00E3331A">
              <w:rPr>
                <w:rFonts w:ascii="Calibri" w:hAnsi="Calibri"/>
              </w:rPr>
              <w:t>± 3.5</w:t>
            </w:r>
          </w:p>
          <w:p w:rsidR="00464E0A" w:rsidRPr="00E3331A" w:rsidRDefault="00464E0A" w:rsidP="00EC4AAF">
            <w:pPr>
              <w:pStyle w:val="Tablecontents"/>
            </w:pPr>
            <w:r w:rsidRPr="00E3331A">
              <w:t>Hughes score</w:t>
            </w:r>
          </w:p>
          <w:p w:rsidR="00464E0A" w:rsidRPr="00E3331A" w:rsidRDefault="00464E0A" w:rsidP="00EC4AAF">
            <w:pPr>
              <w:pStyle w:val="Tablecontents"/>
            </w:pPr>
            <w:r w:rsidRPr="00E3331A">
              <w:t>I med 2.5</w:t>
            </w:r>
          </w:p>
          <w:p w:rsidR="00464E0A" w:rsidRPr="00E3331A" w:rsidRDefault="00464E0A" w:rsidP="00EC4AAF">
            <w:pPr>
              <w:pStyle w:val="Tablecontents"/>
            </w:pPr>
            <w:r w:rsidRPr="00E3331A">
              <w:t>C: med 2.0</w:t>
            </w:r>
          </w:p>
          <w:p w:rsidR="00464E0A" w:rsidRPr="00E3331A" w:rsidRDefault="00464E0A" w:rsidP="00EC4AAF">
            <w:pPr>
              <w:pStyle w:val="Tablecontents"/>
            </w:pPr>
            <w:r w:rsidRPr="00E3331A">
              <w:t>AMS</w:t>
            </w:r>
          </w:p>
          <w:p w:rsidR="00464E0A" w:rsidRPr="00E3331A" w:rsidRDefault="00464E0A" w:rsidP="00EC4AAF">
            <w:pPr>
              <w:pStyle w:val="Tablecontents"/>
              <w:rPr>
                <w:rFonts w:ascii="Calibri" w:hAnsi="Calibri"/>
              </w:rPr>
            </w:pPr>
            <w:r w:rsidRPr="00E3331A">
              <w:t xml:space="preserve">I: 273 </w:t>
            </w:r>
            <w:r w:rsidRPr="00E3331A">
              <w:rPr>
                <w:rFonts w:ascii="Calibri" w:hAnsi="Calibri"/>
              </w:rPr>
              <w:t>± 28.2</w:t>
            </w:r>
          </w:p>
          <w:p w:rsidR="00464E0A" w:rsidRPr="00E3331A" w:rsidRDefault="00464E0A" w:rsidP="00EC4AAF">
            <w:pPr>
              <w:pStyle w:val="Tablecontents"/>
              <w:rPr>
                <w:rFonts w:ascii="Calibri" w:hAnsi="Calibri"/>
              </w:rPr>
            </w:pPr>
            <w:r w:rsidRPr="00E3331A">
              <w:t xml:space="preserve">C: 294 </w:t>
            </w:r>
            <w:r w:rsidRPr="00E3331A">
              <w:rPr>
                <w:rFonts w:ascii="Calibri" w:hAnsi="Calibri"/>
              </w:rPr>
              <w:t>± 12.3</w:t>
            </w:r>
          </w:p>
        </w:tc>
        <w:tc>
          <w:tcPr>
            <w:tcW w:w="537" w:type="pct"/>
            <w:shd w:val="clear" w:color="auto" w:fill="auto"/>
          </w:tcPr>
          <w:p w:rsidR="00464E0A" w:rsidRPr="00E3331A" w:rsidRDefault="00464E0A" w:rsidP="00EC4AAF">
            <w:pPr>
              <w:pStyle w:val="Tablecontents"/>
            </w:pPr>
            <w:r w:rsidRPr="00E3331A">
              <w:t>IVIg (brand NR) 1g/kg/day, two days per month for 6 months</w:t>
            </w:r>
          </w:p>
        </w:tc>
        <w:tc>
          <w:tcPr>
            <w:tcW w:w="626" w:type="pct"/>
            <w:shd w:val="clear" w:color="auto" w:fill="auto"/>
          </w:tcPr>
          <w:p w:rsidR="00464E0A" w:rsidRPr="00E3331A" w:rsidRDefault="00464E0A" w:rsidP="00EC4AAF">
            <w:pPr>
              <w:pStyle w:val="Tablecontents"/>
            </w:pPr>
            <w:r w:rsidRPr="00E3331A">
              <w:t>Ia (Excorim system Citem 10 device) with Protein A matrix column (2 in parallel, 10 min cycles). Access via antecuital or forearm vein. 3 plasma volumes over 7 days monthly for 6 months</w:t>
            </w:r>
          </w:p>
        </w:tc>
        <w:tc>
          <w:tcPr>
            <w:tcW w:w="624" w:type="pct"/>
            <w:shd w:val="clear" w:color="auto" w:fill="auto"/>
          </w:tcPr>
          <w:p w:rsidR="00464E0A" w:rsidRPr="00E3331A" w:rsidRDefault="00464E0A" w:rsidP="00EC4AAF">
            <w:pPr>
              <w:pStyle w:val="Tablecontents"/>
            </w:pPr>
            <w:r w:rsidRPr="00E3331A">
              <w:t>Low</w:t>
            </w:r>
          </w:p>
          <w:p w:rsidR="00464E0A" w:rsidRPr="00E3331A" w:rsidRDefault="00464E0A" w:rsidP="00EC4AAF">
            <w:pPr>
              <w:pStyle w:val="Tablecontents"/>
            </w:pPr>
            <w:r w:rsidRPr="00E3331A">
              <w:t>24 weeks</w:t>
            </w:r>
          </w:p>
        </w:tc>
      </w:tr>
      <w:tr w:rsidR="00464E0A" w:rsidRPr="00E3331A" w:rsidTr="00EC4AAF">
        <w:tc>
          <w:tcPr>
            <w:tcW w:w="454" w:type="pct"/>
            <w:shd w:val="clear" w:color="auto" w:fill="auto"/>
          </w:tcPr>
          <w:p w:rsidR="00464E0A" w:rsidRPr="00E3331A" w:rsidRDefault="00464E0A" w:rsidP="00EC4AAF">
            <w:pPr>
              <w:pStyle w:val="Tablecontents"/>
            </w:pPr>
            <w:r w:rsidRPr="00E3331A">
              <w:t>PREDICT study van Schaik et al. (2010), Eftimov et al. (2012)</w:t>
            </w:r>
          </w:p>
        </w:tc>
        <w:tc>
          <w:tcPr>
            <w:tcW w:w="477" w:type="pct"/>
            <w:shd w:val="clear" w:color="auto" w:fill="auto"/>
          </w:tcPr>
          <w:p w:rsidR="00464E0A" w:rsidRPr="00E3331A" w:rsidRDefault="00464E0A" w:rsidP="00EC4AAF">
            <w:pPr>
              <w:pStyle w:val="Tablecontents"/>
            </w:pPr>
            <w:r w:rsidRPr="00E3331A">
              <w:t>St (I) vs St (C)</w:t>
            </w:r>
          </w:p>
          <w:p w:rsidR="00464E0A" w:rsidRPr="00E3331A" w:rsidRDefault="00464E0A" w:rsidP="00EC4AAF">
            <w:pPr>
              <w:pStyle w:val="Tablecontents"/>
            </w:pPr>
            <w:r w:rsidRPr="00E3331A">
              <w:t>MC, DB,</w:t>
            </w:r>
          </w:p>
          <w:p w:rsidR="00464E0A" w:rsidRPr="00E3331A" w:rsidRDefault="00464E0A" w:rsidP="00EC4AAF">
            <w:pPr>
              <w:pStyle w:val="Tablecontents"/>
            </w:pPr>
          </w:p>
        </w:tc>
        <w:tc>
          <w:tcPr>
            <w:tcW w:w="657" w:type="pct"/>
            <w:shd w:val="clear" w:color="auto" w:fill="auto"/>
            <w:vAlign w:val="center"/>
          </w:tcPr>
          <w:p w:rsidR="00464E0A" w:rsidRPr="00E3331A" w:rsidRDefault="00464E0A" w:rsidP="00EC4AAF">
            <w:pPr>
              <w:pStyle w:val="Tablecontents"/>
            </w:pPr>
            <w:r w:rsidRPr="00E3331A">
              <w:t xml:space="preserve">Patients aged </w:t>
            </w:r>
            <w:r w:rsidRPr="00E3331A">
              <w:rPr>
                <w:rFonts w:hint="eastAsia"/>
              </w:rPr>
              <w:t>≥</w:t>
            </w:r>
            <w:r w:rsidRPr="00E3331A">
              <w:t xml:space="preserve"> 18 years with newly diagnosed definite or probable CIDP</w:t>
            </w:r>
            <w:r w:rsidRPr="00E3331A">
              <w:rPr>
                <w:vertAlign w:val="superscript"/>
              </w:rPr>
              <w:t>B</w:t>
            </w:r>
            <w:r w:rsidRPr="00E3331A">
              <w:t xml:space="preserve"> Required to have signs and symptoms severe enough to warrant treatment. Treatment naïve.</w:t>
            </w:r>
          </w:p>
        </w:tc>
        <w:tc>
          <w:tcPr>
            <w:tcW w:w="492" w:type="pct"/>
            <w:shd w:val="clear" w:color="auto" w:fill="auto"/>
          </w:tcPr>
          <w:p w:rsidR="00464E0A" w:rsidRPr="00E3331A" w:rsidRDefault="00464E0A" w:rsidP="00EC4AAF">
            <w:pPr>
              <w:pStyle w:val="Tablecontents"/>
            </w:pPr>
            <w:r w:rsidRPr="00E3331A">
              <w:t>I: 24</w:t>
            </w:r>
          </w:p>
          <w:p w:rsidR="00464E0A" w:rsidRPr="00E3331A" w:rsidRDefault="00464E0A" w:rsidP="00EC4AAF">
            <w:pPr>
              <w:pStyle w:val="Tablecontents"/>
            </w:pPr>
            <w:r w:rsidRPr="00E3331A">
              <w:t>C: 17</w:t>
            </w:r>
          </w:p>
          <w:p w:rsidR="00464E0A" w:rsidRPr="00E3331A" w:rsidRDefault="00464E0A" w:rsidP="00EC4AAF">
            <w:pPr>
              <w:pStyle w:val="Tablecontents"/>
            </w:pPr>
            <w:r w:rsidRPr="00E3331A">
              <w:t>Age</w:t>
            </w:r>
          </w:p>
          <w:p w:rsidR="00464E0A" w:rsidRPr="00E3331A" w:rsidRDefault="00464E0A" w:rsidP="00EC4AAF">
            <w:pPr>
              <w:pStyle w:val="Tablecontents"/>
            </w:pPr>
            <w:r w:rsidRPr="00E3331A">
              <w:t>I: med 59.9 [IQR 25.8-80.2]</w:t>
            </w:r>
          </w:p>
          <w:p w:rsidR="00464E0A" w:rsidRPr="00E3331A" w:rsidRDefault="00464E0A" w:rsidP="00EC4AAF">
            <w:pPr>
              <w:pStyle w:val="Tablecontents"/>
            </w:pPr>
            <w:r w:rsidRPr="00E3331A">
              <w:t>C:med 60.8 [IQR 25.3 to 87.7]</w:t>
            </w:r>
          </w:p>
          <w:p w:rsidR="00464E0A" w:rsidRPr="00E3331A" w:rsidRDefault="00464E0A" w:rsidP="00EC4AAF">
            <w:pPr>
              <w:pStyle w:val="Tablecontents"/>
            </w:pPr>
            <w:r w:rsidRPr="00E3331A">
              <w:t>% male</w:t>
            </w:r>
          </w:p>
          <w:p w:rsidR="00464E0A" w:rsidRPr="00E3331A" w:rsidRDefault="00464E0A" w:rsidP="00EC4AAF">
            <w:pPr>
              <w:pStyle w:val="Tablecontents"/>
            </w:pPr>
            <w:r w:rsidRPr="00E3331A">
              <w:t>NR</w:t>
            </w:r>
          </w:p>
        </w:tc>
        <w:tc>
          <w:tcPr>
            <w:tcW w:w="577" w:type="pct"/>
            <w:shd w:val="clear" w:color="auto" w:fill="auto"/>
          </w:tcPr>
          <w:p w:rsidR="00464E0A" w:rsidRPr="00E3331A" w:rsidRDefault="00464E0A" w:rsidP="00EC4AAF">
            <w:pPr>
              <w:pStyle w:val="Tablecontents"/>
            </w:pPr>
            <w:r w:rsidRPr="00E3331A">
              <w:t>Status: NR</w:t>
            </w:r>
          </w:p>
          <w:p w:rsidR="00464E0A" w:rsidRPr="00E3331A" w:rsidRDefault="00464E0A" w:rsidP="00EC4AAF">
            <w:pPr>
              <w:pStyle w:val="Tablecontents"/>
            </w:pPr>
            <w:r w:rsidRPr="00E3331A">
              <w:t>Type: NR</w:t>
            </w:r>
          </w:p>
          <w:p w:rsidR="00464E0A" w:rsidRPr="00E3331A" w:rsidRDefault="00464E0A" w:rsidP="00EC4AAF">
            <w:pPr>
              <w:pStyle w:val="Tablecontents"/>
            </w:pPr>
            <w:r w:rsidRPr="00E3331A">
              <w:t>Time since diagnosis</w:t>
            </w:r>
          </w:p>
          <w:p w:rsidR="00464E0A" w:rsidRPr="00E3331A" w:rsidRDefault="00464E0A" w:rsidP="00EC4AAF">
            <w:pPr>
              <w:pStyle w:val="Tablecontents"/>
              <w:rPr>
                <w:rFonts w:ascii="Calibri" w:hAnsi="Calibri"/>
              </w:rPr>
            </w:pPr>
            <w:r w:rsidRPr="00E3331A">
              <w:t>I: med 13.5 mo IQR 5.3-28.5</w:t>
            </w:r>
          </w:p>
          <w:p w:rsidR="00464E0A" w:rsidRPr="00E3331A" w:rsidRDefault="00464E0A" w:rsidP="00EC4AAF">
            <w:pPr>
              <w:pStyle w:val="Tablecontents"/>
            </w:pPr>
            <w:r w:rsidRPr="00E3331A">
              <w:t>C: 8.5 mo IQR 6-15</w:t>
            </w:r>
          </w:p>
        </w:tc>
        <w:tc>
          <w:tcPr>
            <w:tcW w:w="557" w:type="pct"/>
            <w:shd w:val="clear" w:color="auto" w:fill="auto"/>
          </w:tcPr>
          <w:p w:rsidR="00464E0A" w:rsidRPr="00E3331A" w:rsidRDefault="00464E0A" w:rsidP="00EC4AAF">
            <w:pPr>
              <w:pStyle w:val="Tablecontents"/>
            </w:pPr>
            <w:r w:rsidRPr="00E3331A">
              <w:t>INCAT</w:t>
            </w:r>
          </w:p>
          <w:p w:rsidR="00464E0A" w:rsidRPr="00E3331A" w:rsidRDefault="00464E0A" w:rsidP="00EC4AAF">
            <w:pPr>
              <w:pStyle w:val="Tablecontents"/>
            </w:pPr>
            <w:r w:rsidRPr="00E3331A">
              <w:t>I: med 8.5 IQR 1-15</w:t>
            </w:r>
          </w:p>
          <w:p w:rsidR="00464E0A" w:rsidRPr="00E3331A" w:rsidRDefault="00464E0A" w:rsidP="00EC4AAF">
            <w:pPr>
              <w:pStyle w:val="Tablecontents"/>
            </w:pPr>
            <w:r w:rsidRPr="00E3331A">
              <w:t>C:med 9 IQR 0-17</w:t>
            </w:r>
          </w:p>
          <w:p w:rsidR="00464E0A" w:rsidRPr="00E3331A" w:rsidRDefault="00464E0A" w:rsidP="00EC4AAF">
            <w:pPr>
              <w:pStyle w:val="Tablecontents"/>
            </w:pPr>
            <w:r w:rsidRPr="00E3331A">
              <w:t>ALDS</w:t>
            </w:r>
          </w:p>
          <w:p w:rsidR="00464E0A" w:rsidRPr="00E3331A" w:rsidRDefault="00464E0A" w:rsidP="00EC4AAF">
            <w:pPr>
              <w:pStyle w:val="Tablecontents"/>
            </w:pPr>
            <w:r w:rsidRPr="00E3331A">
              <w:t xml:space="preserve">I: 69.9 </w:t>
            </w:r>
            <w:r w:rsidRPr="00E3331A">
              <w:rPr>
                <w:rFonts w:ascii="Calibri" w:hAnsi="Calibri"/>
              </w:rPr>
              <w:t>± 16.1</w:t>
            </w:r>
          </w:p>
          <w:p w:rsidR="00464E0A" w:rsidRPr="00E3331A" w:rsidRDefault="00464E0A" w:rsidP="00EC4AAF">
            <w:pPr>
              <w:pStyle w:val="Tablecontents"/>
            </w:pPr>
            <w:r w:rsidRPr="00E3331A">
              <w:t xml:space="preserve">C: 63.2 </w:t>
            </w:r>
            <w:r w:rsidRPr="00E3331A">
              <w:rPr>
                <w:rFonts w:ascii="Calibri" w:hAnsi="Calibri"/>
              </w:rPr>
              <w:t>± 21.2</w:t>
            </w:r>
          </w:p>
          <w:p w:rsidR="00464E0A" w:rsidRPr="00E3331A" w:rsidRDefault="00464E0A" w:rsidP="00EC4AAF">
            <w:pPr>
              <w:pStyle w:val="Tablecontents"/>
            </w:pPr>
            <w:r w:rsidRPr="00E3331A">
              <w:t>MRC</w:t>
            </w:r>
          </w:p>
          <w:p w:rsidR="00464E0A" w:rsidRPr="00E3331A" w:rsidRDefault="00464E0A" w:rsidP="00EC4AAF">
            <w:pPr>
              <w:pStyle w:val="Tablecontents"/>
            </w:pPr>
            <w:r w:rsidRPr="00E3331A">
              <w:t>I: med 50 IQR 24-57</w:t>
            </w:r>
          </w:p>
          <w:p w:rsidR="00464E0A" w:rsidRPr="00E3331A" w:rsidRDefault="00464E0A" w:rsidP="00EC4AAF">
            <w:pPr>
              <w:pStyle w:val="Tablecontents"/>
            </w:pPr>
            <w:r w:rsidRPr="00E3331A">
              <w:t>C: med 50 IQR 35-59</w:t>
            </w:r>
          </w:p>
        </w:tc>
        <w:tc>
          <w:tcPr>
            <w:tcW w:w="537" w:type="pct"/>
            <w:shd w:val="clear" w:color="auto" w:fill="auto"/>
          </w:tcPr>
          <w:p w:rsidR="00464E0A" w:rsidRPr="00E3331A" w:rsidRDefault="00464E0A" w:rsidP="00EC4AAF">
            <w:pPr>
              <w:pStyle w:val="Tablecontents"/>
            </w:pPr>
            <w:r w:rsidRPr="00E3331A">
              <w:t>Oral dexamethasone 40 mg/day for four days then placebo for 24 days. 6 cycles</w:t>
            </w:r>
          </w:p>
        </w:tc>
        <w:tc>
          <w:tcPr>
            <w:tcW w:w="626" w:type="pct"/>
            <w:shd w:val="clear" w:color="auto" w:fill="auto"/>
          </w:tcPr>
          <w:p w:rsidR="00464E0A" w:rsidRPr="00E3331A" w:rsidRDefault="00464E0A" w:rsidP="00EC4AAF">
            <w:pPr>
              <w:pStyle w:val="Tablecontents"/>
            </w:pPr>
            <w:r w:rsidRPr="00E3331A">
              <w:t>Oral prednisolone</w:t>
            </w:r>
          </w:p>
          <w:p w:rsidR="00464E0A" w:rsidRPr="00E3331A" w:rsidRDefault="00464E0A" w:rsidP="00EC4AAF">
            <w:pPr>
              <w:pStyle w:val="Tablecontents"/>
            </w:pPr>
            <w:r w:rsidRPr="00E3331A">
              <w:t>60 mg per day for 5 weeks then tapering to 0mg over 27 weeks</w:t>
            </w:r>
          </w:p>
        </w:tc>
        <w:tc>
          <w:tcPr>
            <w:tcW w:w="624" w:type="pct"/>
            <w:shd w:val="clear" w:color="auto" w:fill="auto"/>
          </w:tcPr>
          <w:p w:rsidR="00464E0A" w:rsidRPr="00E3331A" w:rsidRDefault="00464E0A" w:rsidP="00EC4AAF">
            <w:pPr>
              <w:pStyle w:val="Tablecontents"/>
            </w:pPr>
            <w:r w:rsidRPr="00E3331A">
              <w:t xml:space="preserve">High </w:t>
            </w:r>
          </w:p>
          <w:p w:rsidR="00464E0A" w:rsidRPr="00E3331A" w:rsidRDefault="00464E0A" w:rsidP="00EC4AAF">
            <w:pPr>
              <w:pStyle w:val="Tablecontents"/>
            </w:pPr>
            <w:r w:rsidRPr="00E3331A">
              <w:t>52 weeks</w:t>
            </w:r>
          </w:p>
        </w:tc>
      </w:tr>
      <w:tr w:rsidR="00464E0A" w:rsidRPr="00E3331A" w:rsidTr="00EC4AAF">
        <w:tc>
          <w:tcPr>
            <w:tcW w:w="454" w:type="pct"/>
            <w:shd w:val="clear" w:color="auto" w:fill="auto"/>
          </w:tcPr>
          <w:p w:rsidR="00464E0A" w:rsidRPr="00E3331A" w:rsidRDefault="00464E0A" w:rsidP="00EC4AAF">
            <w:pPr>
              <w:pStyle w:val="Tablecontents"/>
            </w:pPr>
            <w:r w:rsidRPr="00E3331A">
              <w:lastRenderedPageBreak/>
              <w:t>Hahn et al. (1996a) and Ashworth et al. (2000)</w:t>
            </w:r>
          </w:p>
        </w:tc>
        <w:tc>
          <w:tcPr>
            <w:tcW w:w="477" w:type="pct"/>
            <w:shd w:val="clear" w:color="auto" w:fill="auto"/>
          </w:tcPr>
          <w:p w:rsidR="00464E0A" w:rsidRPr="00E3331A" w:rsidRDefault="00464E0A" w:rsidP="00EC4AAF">
            <w:pPr>
              <w:pStyle w:val="Tablecontents"/>
            </w:pPr>
            <w:r w:rsidRPr="00E3331A">
              <w:t>PE vs Pl</w:t>
            </w:r>
          </w:p>
          <w:p w:rsidR="00464E0A" w:rsidRPr="00E3331A" w:rsidRDefault="00464E0A" w:rsidP="00EC4AAF">
            <w:pPr>
              <w:pStyle w:val="Tablecontents"/>
            </w:pPr>
            <w:r w:rsidRPr="00E3331A">
              <w:t>SC, CO, DB</w:t>
            </w:r>
          </w:p>
          <w:p w:rsidR="00464E0A" w:rsidRPr="00E3331A" w:rsidRDefault="00464E0A" w:rsidP="00EC4AAF">
            <w:pPr>
              <w:pStyle w:val="Tablecontents"/>
            </w:pPr>
          </w:p>
        </w:tc>
        <w:tc>
          <w:tcPr>
            <w:tcW w:w="657" w:type="pct"/>
            <w:shd w:val="clear" w:color="auto" w:fill="auto"/>
            <w:vAlign w:val="center"/>
          </w:tcPr>
          <w:p w:rsidR="00464E0A" w:rsidRPr="00E3331A" w:rsidRDefault="00464E0A" w:rsidP="00EC4AAF">
            <w:pPr>
              <w:pStyle w:val="Tablecontents"/>
            </w:pPr>
            <w:r w:rsidRPr="00E3331A">
              <w:t>Patients aged &gt;18 years with newly diagnosed CIDP</w:t>
            </w:r>
            <w:r w:rsidRPr="00E3331A">
              <w:rPr>
                <w:vertAlign w:val="superscript"/>
              </w:rPr>
              <w:t>A</w:t>
            </w:r>
            <w:r w:rsidRPr="00E3331A">
              <w:t>, progressive for 8-104 weeks. Significant muscle weakness (NDS ≥ 50). Treatment naïve.</w:t>
            </w:r>
          </w:p>
        </w:tc>
        <w:tc>
          <w:tcPr>
            <w:tcW w:w="492" w:type="pct"/>
            <w:shd w:val="clear" w:color="auto" w:fill="auto"/>
          </w:tcPr>
          <w:p w:rsidR="00464E0A" w:rsidRPr="00E3331A" w:rsidRDefault="00464E0A" w:rsidP="00EC4AAF">
            <w:pPr>
              <w:pStyle w:val="Tablecontents"/>
            </w:pPr>
            <w:r w:rsidRPr="00E3331A">
              <w:t>I: 9</w:t>
            </w:r>
          </w:p>
          <w:p w:rsidR="00464E0A" w:rsidRPr="00E3331A" w:rsidRDefault="00464E0A" w:rsidP="00EC4AAF">
            <w:pPr>
              <w:pStyle w:val="Tablecontents"/>
            </w:pPr>
            <w:r w:rsidRPr="00E3331A">
              <w:t>C: 9</w:t>
            </w:r>
          </w:p>
          <w:p w:rsidR="00464E0A" w:rsidRPr="00E3331A" w:rsidRDefault="00464E0A" w:rsidP="00EC4AAF">
            <w:pPr>
              <w:pStyle w:val="Tablecontents"/>
            </w:pPr>
            <w:r w:rsidRPr="00E3331A">
              <w:t xml:space="preserve">Age: </w:t>
            </w:r>
          </w:p>
          <w:p w:rsidR="00464E0A" w:rsidRPr="00E3331A" w:rsidRDefault="00464E0A" w:rsidP="00EC4AAF">
            <w:pPr>
              <w:pStyle w:val="Tablecontents"/>
            </w:pPr>
            <w:r w:rsidRPr="00E3331A">
              <w:t>NR</w:t>
            </w:r>
          </w:p>
          <w:p w:rsidR="00464E0A" w:rsidRPr="00E3331A" w:rsidRDefault="00464E0A" w:rsidP="00EC4AAF">
            <w:pPr>
              <w:pStyle w:val="Tablecontents"/>
            </w:pPr>
            <w:r w:rsidRPr="00E3331A">
              <w:t>% male</w:t>
            </w:r>
          </w:p>
          <w:p w:rsidR="00464E0A" w:rsidRPr="00E3331A" w:rsidRDefault="00464E0A" w:rsidP="00EC4AAF">
            <w:pPr>
              <w:pStyle w:val="Tablecontents"/>
            </w:pPr>
            <w:r w:rsidRPr="00E3331A">
              <w:t>72%</w:t>
            </w:r>
          </w:p>
          <w:p w:rsidR="00464E0A" w:rsidRPr="00E3331A" w:rsidRDefault="00464E0A" w:rsidP="00EC4AAF">
            <w:pPr>
              <w:pStyle w:val="Tablecontents"/>
            </w:pPr>
          </w:p>
        </w:tc>
        <w:tc>
          <w:tcPr>
            <w:tcW w:w="577" w:type="pct"/>
            <w:shd w:val="clear" w:color="auto" w:fill="auto"/>
          </w:tcPr>
          <w:p w:rsidR="00464E0A" w:rsidRPr="00E3331A" w:rsidRDefault="00464E0A" w:rsidP="00EC4AAF">
            <w:pPr>
              <w:pStyle w:val="Tablecontents"/>
            </w:pPr>
            <w:r w:rsidRPr="00E3331A">
              <w:t>Status:18/18 definite</w:t>
            </w:r>
          </w:p>
          <w:p w:rsidR="00464E0A" w:rsidRPr="00E3331A" w:rsidRDefault="00464E0A" w:rsidP="00EC4AAF">
            <w:pPr>
              <w:pStyle w:val="Tablecontents"/>
            </w:pPr>
            <w:r w:rsidRPr="00E3331A">
              <w:t>Type:</w:t>
            </w:r>
          </w:p>
          <w:p w:rsidR="00464E0A" w:rsidRPr="00E3331A" w:rsidRDefault="00464E0A" w:rsidP="00EC4AAF">
            <w:pPr>
              <w:pStyle w:val="Tablecontents"/>
            </w:pPr>
            <w:r w:rsidRPr="00E3331A">
              <w:t>Chronic progressive n = 9</w:t>
            </w:r>
          </w:p>
          <w:p w:rsidR="00464E0A" w:rsidRPr="00E3331A" w:rsidRDefault="00464E0A" w:rsidP="00EC4AAF">
            <w:pPr>
              <w:pStyle w:val="Tablecontents"/>
            </w:pPr>
            <w:r w:rsidRPr="00E3331A">
              <w:t>Chronic relapsing n = 9</w:t>
            </w:r>
          </w:p>
          <w:p w:rsidR="00464E0A" w:rsidRPr="00E3331A" w:rsidRDefault="00464E0A" w:rsidP="00EC4AAF">
            <w:pPr>
              <w:pStyle w:val="Tablecontents"/>
            </w:pPr>
            <w:r w:rsidRPr="00E3331A">
              <w:t>Time since diagnosis</w:t>
            </w:r>
          </w:p>
          <w:p w:rsidR="00464E0A" w:rsidRPr="00E3331A" w:rsidRDefault="00464E0A" w:rsidP="00EC4AAF">
            <w:pPr>
              <w:pStyle w:val="Tablecontents"/>
            </w:pPr>
            <w:r w:rsidRPr="00E3331A">
              <w:t>Mean 4.5 mo range 3-18 mo</w:t>
            </w:r>
          </w:p>
        </w:tc>
        <w:tc>
          <w:tcPr>
            <w:tcW w:w="557" w:type="pct"/>
            <w:shd w:val="clear" w:color="auto" w:fill="auto"/>
          </w:tcPr>
          <w:p w:rsidR="00464E0A" w:rsidRPr="00E3331A" w:rsidRDefault="00464E0A" w:rsidP="00EC4AAF">
            <w:pPr>
              <w:pStyle w:val="Tablecontents"/>
            </w:pPr>
            <w:r w:rsidRPr="00E3331A">
              <w:t>NDS</w:t>
            </w:r>
          </w:p>
          <w:p w:rsidR="00464E0A" w:rsidRPr="00E3331A" w:rsidRDefault="00464E0A" w:rsidP="00EC4AAF">
            <w:pPr>
              <w:pStyle w:val="Tablecontents"/>
              <w:rPr>
                <w:rFonts w:ascii="Calibri" w:hAnsi="Calibri"/>
              </w:rPr>
            </w:pPr>
            <w:r w:rsidRPr="00E3331A">
              <w:t xml:space="preserve">I: 73.3 </w:t>
            </w:r>
            <w:r w:rsidRPr="00E3331A">
              <w:rPr>
                <w:rFonts w:ascii="Calibri" w:hAnsi="Calibri"/>
              </w:rPr>
              <w:t>± 5.3</w:t>
            </w:r>
          </w:p>
          <w:p w:rsidR="00464E0A" w:rsidRPr="00E3331A" w:rsidRDefault="00464E0A" w:rsidP="00EC4AAF">
            <w:pPr>
              <w:pStyle w:val="Tablecontents"/>
              <w:rPr>
                <w:rFonts w:ascii="Calibri" w:hAnsi="Calibri"/>
              </w:rPr>
            </w:pPr>
            <w:r w:rsidRPr="00E3331A">
              <w:t xml:space="preserve">C: 69.4 </w:t>
            </w:r>
            <w:r w:rsidRPr="00E3331A">
              <w:rPr>
                <w:rFonts w:ascii="Calibri" w:hAnsi="Calibri"/>
              </w:rPr>
              <w:t>± 6.4</w:t>
            </w:r>
          </w:p>
          <w:p w:rsidR="00464E0A" w:rsidRPr="00E3331A" w:rsidRDefault="00464E0A" w:rsidP="00EC4AAF">
            <w:pPr>
              <w:pStyle w:val="Tablecontents"/>
            </w:pPr>
            <w:r w:rsidRPr="00E3331A">
              <w:t>Clinical grade</w:t>
            </w:r>
          </w:p>
          <w:p w:rsidR="00464E0A" w:rsidRPr="00E3331A" w:rsidRDefault="00464E0A" w:rsidP="00EC4AAF">
            <w:pPr>
              <w:pStyle w:val="Tablecontents"/>
              <w:rPr>
                <w:rFonts w:ascii="Calibri" w:hAnsi="Calibri"/>
              </w:rPr>
            </w:pPr>
            <w:r w:rsidRPr="00E3331A">
              <w:t xml:space="preserve">I: 4.6 </w:t>
            </w:r>
            <w:r w:rsidRPr="00E3331A">
              <w:rPr>
                <w:rFonts w:ascii="Calibri" w:hAnsi="Calibri"/>
              </w:rPr>
              <w:t>± 0.4</w:t>
            </w:r>
          </w:p>
          <w:p w:rsidR="00464E0A" w:rsidRPr="00E3331A" w:rsidRDefault="00464E0A" w:rsidP="00EC4AAF">
            <w:pPr>
              <w:pStyle w:val="Tablecontents"/>
            </w:pPr>
            <w:r w:rsidRPr="00E3331A">
              <w:t xml:space="preserve">C: 4.3 </w:t>
            </w:r>
            <w:r w:rsidRPr="00E3331A">
              <w:rPr>
                <w:rFonts w:ascii="Calibri" w:hAnsi="Calibri"/>
              </w:rPr>
              <w:t>± 0.4</w:t>
            </w:r>
          </w:p>
        </w:tc>
        <w:tc>
          <w:tcPr>
            <w:tcW w:w="537" w:type="pct"/>
            <w:shd w:val="clear" w:color="auto" w:fill="auto"/>
          </w:tcPr>
          <w:p w:rsidR="00464E0A" w:rsidRPr="00E3331A" w:rsidRDefault="00464E0A" w:rsidP="00EC4AAF">
            <w:pPr>
              <w:pStyle w:val="Tablecontents"/>
            </w:pPr>
            <w:r w:rsidRPr="00E3331A">
              <w:t>PE antecubital access using continuous or intermittent cell separator (Cobe TPE Cobe Spectra and V-50 Haemonetics apheresis system) 10 exchanges over 4 weeks</w:t>
            </w:r>
          </w:p>
        </w:tc>
        <w:tc>
          <w:tcPr>
            <w:tcW w:w="626" w:type="pct"/>
            <w:shd w:val="clear" w:color="auto" w:fill="auto"/>
          </w:tcPr>
          <w:p w:rsidR="00464E0A" w:rsidRPr="00E3331A" w:rsidRDefault="00464E0A" w:rsidP="00EC4AAF">
            <w:pPr>
              <w:pStyle w:val="Tablecontents"/>
            </w:pPr>
            <w:r w:rsidRPr="00E3331A">
              <w:t>Sham exchange</w:t>
            </w:r>
          </w:p>
          <w:p w:rsidR="00464E0A" w:rsidRPr="00E3331A" w:rsidRDefault="00464E0A" w:rsidP="00EC4AAF">
            <w:pPr>
              <w:pStyle w:val="Tablecontents"/>
            </w:pPr>
            <w:r w:rsidRPr="00E3331A">
              <w:t>10 exchanges over 4 weeks</w:t>
            </w:r>
          </w:p>
        </w:tc>
        <w:tc>
          <w:tcPr>
            <w:tcW w:w="624" w:type="pct"/>
            <w:shd w:val="clear" w:color="auto" w:fill="auto"/>
          </w:tcPr>
          <w:p w:rsidR="00464E0A" w:rsidRPr="00E3331A" w:rsidRDefault="00464E0A" w:rsidP="00EC4AAF">
            <w:pPr>
              <w:pStyle w:val="Tablecontents"/>
            </w:pPr>
            <w:r w:rsidRPr="00E3331A">
              <w:t>Low</w:t>
            </w:r>
          </w:p>
          <w:p w:rsidR="00464E0A" w:rsidRPr="00E3331A" w:rsidRDefault="00464E0A" w:rsidP="00EC4AAF">
            <w:pPr>
              <w:pStyle w:val="Tablecontents"/>
            </w:pPr>
            <w:r w:rsidRPr="00E3331A">
              <w:t>9 weeks (some patients followed for much longer)</w:t>
            </w:r>
          </w:p>
        </w:tc>
      </w:tr>
      <w:tr w:rsidR="00464E0A" w:rsidRPr="00E3331A" w:rsidTr="00EC4AAF">
        <w:tc>
          <w:tcPr>
            <w:tcW w:w="454" w:type="pct"/>
            <w:shd w:val="clear" w:color="auto" w:fill="auto"/>
          </w:tcPr>
          <w:p w:rsidR="00464E0A" w:rsidRPr="00E3331A" w:rsidRDefault="00464E0A" w:rsidP="00EC4AAF">
            <w:pPr>
              <w:pStyle w:val="Tablecontents"/>
            </w:pPr>
            <w:r w:rsidRPr="00E3331A">
              <w:t>Dyck et al. (1994)</w:t>
            </w:r>
          </w:p>
        </w:tc>
        <w:tc>
          <w:tcPr>
            <w:tcW w:w="477" w:type="pct"/>
            <w:shd w:val="clear" w:color="auto" w:fill="auto"/>
          </w:tcPr>
          <w:p w:rsidR="00464E0A" w:rsidRPr="00E3331A" w:rsidRDefault="00464E0A" w:rsidP="00EC4AAF">
            <w:pPr>
              <w:pStyle w:val="Tablecontents"/>
            </w:pPr>
            <w:r w:rsidRPr="00E3331A">
              <w:t>Ig vs PE</w:t>
            </w:r>
          </w:p>
          <w:p w:rsidR="00464E0A" w:rsidRPr="00E3331A" w:rsidRDefault="00464E0A" w:rsidP="00EC4AAF">
            <w:pPr>
              <w:pStyle w:val="Tablecontents"/>
            </w:pPr>
            <w:r w:rsidRPr="00E3331A">
              <w:t>CO</w:t>
            </w:r>
          </w:p>
        </w:tc>
        <w:tc>
          <w:tcPr>
            <w:tcW w:w="657" w:type="pct"/>
            <w:shd w:val="clear" w:color="auto" w:fill="auto"/>
            <w:vAlign w:val="center"/>
          </w:tcPr>
          <w:p w:rsidR="00464E0A" w:rsidRPr="00E3331A" w:rsidRDefault="00464E0A" w:rsidP="00EC4AAF">
            <w:pPr>
              <w:pStyle w:val="Tablecontents"/>
            </w:pPr>
            <w:r w:rsidRPr="00E3331A">
              <w:t xml:space="preserve">CIDP diagnosis with static or worsening neurological disability. NDS-W </w:t>
            </w:r>
            <w:r w:rsidRPr="00E3331A">
              <w:rPr>
                <w:rFonts w:hint="eastAsia"/>
              </w:rPr>
              <w:t>≥</w:t>
            </w:r>
            <w:r w:rsidRPr="00E3331A">
              <w:t xml:space="preserve"> 5 points.</w:t>
            </w:r>
          </w:p>
        </w:tc>
        <w:tc>
          <w:tcPr>
            <w:tcW w:w="492" w:type="pct"/>
            <w:shd w:val="clear" w:color="auto" w:fill="auto"/>
          </w:tcPr>
          <w:p w:rsidR="00464E0A" w:rsidRPr="00E3331A" w:rsidRDefault="00464E0A" w:rsidP="00EC4AAF">
            <w:pPr>
              <w:pStyle w:val="Tablecontents"/>
            </w:pPr>
            <w:r w:rsidRPr="00E3331A">
              <w:t>I: 10</w:t>
            </w:r>
          </w:p>
          <w:p w:rsidR="00464E0A" w:rsidRPr="00E3331A" w:rsidRDefault="00464E0A" w:rsidP="00EC4AAF">
            <w:pPr>
              <w:pStyle w:val="Tablecontents"/>
            </w:pPr>
            <w:r w:rsidRPr="00E3331A">
              <w:t>C: 9</w:t>
            </w:r>
          </w:p>
          <w:p w:rsidR="00464E0A" w:rsidRPr="00E3331A" w:rsidRDefault="00464E0A" w:rsidP="00EC4AAF">
            <w:pPr>
              <w:pStyle w:val="Tablecontents"/>
            </w:pPr>
            <w:r w:rsidRPr="00E3331A">
              <w:t>Age</w:t>
            </w:r>
          </w:p>
          <w:p w:rsidR="00464E0A" w:rsidRPr="00E3331A" w:rsidRDefault="00464E0A" w:rsidP="00EC4AAF">
            <w:pPr>
              <w:pStyle w:val="Tablecontents"/>
              <w:rPr>
                <w:rFonts w:ascii="Calibri" w:hAnsi="Calibri"/>
              </w:rPr>
            </w:pPr>
            <w:r w:rsidRPr="00E3331A">
              <w:t xml:space="preserve">I: 51 </w:t>
            </w:r>
            <w:r w:rsidRPr="00E3331A">
              <w:rPr>
                <w:rFonts w:ascii="Calibri" w:hAnsi="Calibri"/>
              </w:rPr>
              <w:t>± 18</w:t>
            </w:r>
          </w:p>
          <w:p w:rsidR="00464E0A" w:rsidRPr="00E3331A" w:rsidRDefault="00464E0A" w:rsidP="00EC4AAF">
            <w:pPr>
              <w:pStyle w:val="Tablecontents"/>
              <w:rPr>
                <w:rFonts w:ascii="Calibri" w:hAnsi="Calibri"/>
              </w:rPr>
            </w:pPr>
            <w:r w:rsidRPr="00E3331A">
              <w:t xml:space="preserve">C: 39 </w:t>
            </w:r>
            <w:r w:rsidRPr="00E3331A">
              <w:rPr>
                <w:rFonts w:ascii="Calibri" w:hAnsi="Calibri"/>
              </w:rPr>
              <w:t>± 17</w:t>
            </w:r>
          </w:p>
          <w:p w:rsidR="00464E0A" w:rsidRPr="00E3331A" w:rsidRDefault="00464E0A" w:rsidP="00EC4AAF">
            <w:pPr>
              <w:pStyle w:val="Tablecontents"/>
            </w:pPr>
            <w:r w:rsidRPr="00E3331A">
              <w:t>% male</w:t>
            </w:r>
          </w:p>
          <w:p w:rsidR="00464E0A" w:rsidRPr="00E3331A" w:rsidRDefault="00464E0A" w:rsidP="00EC4AAF">
            <w:pPr>
              <w:pStyle w:val="Tablecontents"/>
            </w:pPr>
            <w:r w:rsidRPr="00E3331A">
              <w:t>I; 60%</w:t>
            </w:r>
          </w:p>
          <w:p w:rsidR="00464E0A" w:rsidRPr="00E3331A" w:rsidRDefault="00464E0A" w:rsidP="00EC4AAF">
            <w:pPr>
              <w:pStyle w:val="Tablecontents"/>
            </w:pPr>
            <w:r w:rsidRPr="00E3331A">
              <w:t>C: 44%</w:t>
            </w:r>
          </w:p>
          <w:p w:rsidR="00464E0A" w:rsidRPr="00E3331A" w:rsidRDefault="00464E0A" w:rsidP="00EC4AAF">
            <w:pPr>
              <w:pStyle w:val="Tablecontents"/>
            </w:pPr>
          </w:p>
        </w:tc>
        <w:tc>
          <w:tcPr>
            <w:tcW w:w="577" w:type="pct"/>
            <w:shd w:val="clear" w:color="auto" w:fill="auto"/>
          </w:tcPr>
          <w:p w:rsidR="00464E0A" w:rsidRPr="00E3331A" w:rsidRDefault="00464E0A" w:rsidP="00EC4AAF">
            <w:pPr>
              <w:pStyle w:val="Tablecontents"/>
            </w:pPr>
            <w:r w:rsidRPr="00E3331A">
              <w:t>NR</w:t>
            </w:r>
          </w:p>
        </w:tc>
        <w:tc>
          <w:tcPr>
            <w:tcW w:w="557" w:type="pct"/>
            <w:shd w:val="clear" w:color="auto" w:fill="auto"/>
          </w:tcPr>
          <w:p w:rsidR="00464E0A" w:rsidRPr="00E3331A" w:rsidRDefault="00464E0A" w:rsidP="00EC4AAF">
            <w:pPr>
              <w:pStyle w:val="Tablecontents"/>
            </w:pPr>
            <w:r w:rsidRPr="00E3331A">
              <w:t>NDS</w:t>
            </w:r>
          </w:p>
          <w:p w:rsidR="00464E0A" w:rsidRPr="00E3331A" w:rsidRDefault="00464E0A" w:rsidP="00EC4AAF">
            <w:pPr>
              <w:pStyle w:val="Tablecontents"/>
              <w:rPr>
                <w:rFonts w:ascii="Calibri" w:hAnsi="Calibri"/>
              </w:rPr>
            </w:pPr>
            <w:r w:rsidRPr="00E3331A">
              <w:t xml:space="preserve">I: 68 </w:t>
            </w:r>
            <w:r w:rsidRPr="00E3331A">
              <w:rPr>
                <w:rFonts w:ascii="Calibri" w:hAnsi="Calibri"/>
              </w:rPr>
              <w:t>± 28</w:t>
            </w:r>
          </w:p>
          <w:p w:rsidR="00464E0A" w:rsidRPr="00E3331A" w:rsidRDefault="00464E0A" w:rsidP="00EC4AAF">
            <w:pPr>
              <w:pStyle w:val="Tablecontents"/>
              <w:rPr>
                <w:rFonts w:ascii="Calibri" w:hAnsi="Calibri"/>
              </w:rPr>
            </w:pPr>
            <w:r w:rsidRPr="00E3331A">
              <w:t xml:space="preserve">C: 83 </w:t>
            </w:r>
            <w:r w:rsidRPr="00E3331A">
              <w:rPr>
                <w:rFonts w:ascii="Calibri" w:hAnsi="Calibri"/>
              </w:rPr>
              <w:t>± 40</w:t>
            </w:r>
          </w:p>
          <w:p w:rsidR="00464E0A" w:rsidRPr="00E3331A" w:rsidRDefault="00464E0A" w:rsidP="00EC4AAF">
            <w:pPr>
              <w:pStyle w:val="Tablecontents"/>
            </w:pPr>
          </w:p>
        </w:tc>
        <w:tc>
          <w:tcPr>
            <w:tcW w:w="537" w:type="pct"/>
            <w:shd w:val="clear" w:color="auto" w:fill="auto"/>
          </w:tcPr>
          <w:p w:rsidR="00464E0A" w:rsidRPr="00E3331A" w:rsidRDefault="00464E0A" w:rsidP="00EC4AAF">
            <w:pPr>
              <w:pStyle w:val="Tablecontents"/>
            </w:pPr>
            <w:r w:rsidRPr="00E3331A">
              <w:t>IVIg (Gamimune, Miles Biological Products) 0.4 g/kg/wk for 3 weeks then 0.2 g/kg/wk for 3 weeks</w:t>
            </w:r>
          </w:p>
        </w:tc>
        <w:tc>
          <w:tcPr>
            <w:tcW w:w="626" w:type="pct"/>
            <w:shd w:val="clear" w:color="auto" w:fill="auto"/>
          </w:tcPr>
          <w:p w:rsidR="00464E0A" w:rsidRPr="00E3331A" w:rsidRDefault="00464E0A" w:rsidP="00EC4AAF">
            <w:pPr>
              <w:pStyle w:val="Tablecontents"/>
            </w:pPr>
            <w:r w:rsidRPr="00E3331A">
              <w:t>PE (machine NR)</w:t>
            </w:r>
          </w:p>
          <w:p w:rsidR="00464E0A" w:rsidRPr="00E3331A" w:rsidRDefault="00464E0A" w:rsidP="00EC4AAF">
            <w:pPr>
              <w:pStyle w:val="Tablecontents"/>
            </w:pPr>
            <w:r w:rsidRPr="00E3331A">
              <w:t>Twice weekly for 3 weeks then weekly for 3 weeks</w:t>
            </w:r>
          </w:p>
        </w:tc>
        <w:tc>
          <w:tcPr>
            <w:tcW w:w="624" w:type="pct"/>
            <w:shd w:val="clear" w:color="auto" w:fill="auto"/>
          </w:tcPr>
          <w:p w:rsidR="00464E0A" w:rsidRPr="00E3331A" w:rsidRDefault="00464E0A" w:rsidP="00EC4AAF">
            <w:pPr>
              <w:pStyle w:val="Tablecontents"/>
            </w:pPr>
            <w:r w:rsidRPr="00E3331A">
              <w:t xml:space="preserve">Low </w:t>
            </w:r>
          </w:p>
          <w:p w:rsidR="00464E0A" w:rsidRPr="00E3331A" w:rsidRDefault="00464E0A" w:rsidP="00EC4AAF">
            <w:pPr>
              <w:pStyle w:val="Tablecontents"/>
            </w:pPr>
            <w:r w:rsidRPr="00E3331A">
              <w:t>up to 12 weeks with washout period (some patients followed for much longer)</w:t>
            </w:r>
          </w:p>
        </w:tc>
      </w:tr>
      <w:tr w:rsidR="00464E0A" w:rsidRPr="00E3331A" w:rsidTr="00EC4AAF">
        <w:tc>
          <w:tcPr>
            <w:tcW w:w="454" w:type="pct"/>
            <w:shd w:val="clear" w:color="auto" w:fill="auto"/>
          </w:tcPr>
          <w:p w:rsidR="00464E0A" w:rsidRPr="00E3331A" w:rsidRDefault="00464E0A" w:rsidP="00EC4AAF">
            <w:pPr>
              <w:pStyle w:val="Tablecontents"/>
            </w:pPr>
            <w:r w:rsidRPr="00E3331A">
              <w:t>Hughes et al. (2001)</w:t>
            </w:r>
          </w:p>
        </w:tc>
        <w:tc>
          <w:tcPr>
            <w:tcW w:w="477" w:type="pct"/>
            <w:shd w:val="clear" w:color="auto" w:fill="auto"/>
          </w:tcPr>
          <w:p w:rsidR="00464E0A" w:rsidRPr="00E3331A" w:rsidRDefault="00464E0A" w:rsidP="00EC4AAF">
            <w:pPr>
              <w:pStyle w:val="Tablecontents"/>
            </w:pPr>
            <w:r w:rsidRPr="00E3331A">
              <w:t>Ig (I) vs St (C)</w:t>
            </w:r>
          </w:p>
          <w:p w:rsidR="00464E0A" w:rsidRPr="00E3331A" w:rsidRDefault="00464E0A" w:rsidP="00EC4AAF">
            <w:pPr>
              <w:pStyle w:val="Tablecontents"/>
            </w:pPr>
            <w:r w:rsidRPr="00E3331A">
              <w:t>CO, DB</w:t>
            </w:r>
          </w:p>
        </w:tc>
        <w:tc>
          <w:tcPr>
            <w:tcW w:w="657" w:type="pct"/>
            <w:shd w:val="clear" w:color="auto" w:fill="auto"/>
            <w:vAlign w:val="center"/>
          </w:tcPr>
          <w:p w:rsidR="00464E0A" w:rsidRPr="00E3331A" w:rsidRDefault="00464E0A" w:rsidP="00EC4AAF">
            <w:pPr>
              <w:pStyle w:val="Tablecontents"/>
            </w:pPr>
            <w:r w:rsidRPr="00E3331A">
              <w:t xml:space="preserve">Diagnosis of CIDP by neurologist, progressive or relapsing motor and sensory dysfunction of &gt;1 limb resulting from neuropathy developing over &gt; 2 months. Significant disability in upper or lower limb functions. stable or worsening clinical condition </w:t>
            </w:r>
          </w:p>
        </w:tc>
        <w:tc>
          <w:tcPr>
            <w:tcW w:w="492" w:type="pct"/>
            <w:shd w:val="clear" w:color="auto" w:fill="auto"/>
          </w:tcPr>
          <w:p w:rsidR="00464E0A" w:rsidRPr="00E3331A" w:rsidRDefault="00464E0A" w:rsidP="00EC4AAF">
            <w:pPr>
              <w:pStyle w:val="Tablecontents"/>
            </w:pPr>
            <w:r w:rsidRPr="00E3331A">
              <w:t>I: 17</w:t>
            </w:r>
          </w:p>
          <w:p w:rsidR="00464E0A" w:rsidRPr="00E3331A" w:rsidRDefault="00464E0A" w:rsidP="00EC4AAF">
            <w:pPr>
              <w:pStyle w:val="Tablecontents"/>
            </w:pPr>
            <w:r w:rsidRPr="00E3331A">
              <w:t>C: 15</w:t>
            </w:r>
          </w:p>
          <w:p w:rsidR="00464E0A" w:rsidRPr="00E3331A" w:rsidRDefault="00464E0A" w:rsidP="00EC4AAF">
            <w:pPr>
              <w:pStyle w:val="Tablecontents"/>
            </w:pPr>
            <w:r w:rsidRPr="00E3331A">
              <w:t>Age</w:t>
            </w:r>
          </w:p>
          <w:p w:rsidR="00464E0A" w:rsidRPr="00E3331A" w:rsidRDefault="00464E0A" w:rsidP="00EC4AAF">
            <w:pPr>
              <w:pStyle w:val="Tablecontents"/>
              <w:rPr>
                <w:rFonts w:ascii="Calibri" w:hAnsi="Calibri"/>
              </w:rPr>
            </w:pPr>
            <w:r w:rsidRPr="00E3331A">
              <w:t xml:space="preserve">I: 55.8 </w:t>
            </w:r>
            <w:r w:rsidRPr="00E3331A">
              <w:rPr>
                <w:rFonts w:ascii="Calibri" w:hAnsi="Calibri"/>
              </w:rPr>
              <w:t>± 16.2</w:t>
            </w:r>
          </w:p>
          <w:p w:rsidR="00464E0A" w:rsidRPr="00E3331A" w:rsidRDefault="00464E0A" w:rsidP="00EC4AAF">
            <w:pPr>
              <w:pStyle w:val="Tablecontents"/>
              <w:rPr>
                <w:rFonts w:ascii="Calibri" w:hAnsi="Calibri"/>
              </w:rPr>
            </w:pPr>
            <w:r w:rsidRPr="00E3331A">
              <w:t xml:space="preserve">C: 52.1 </w:t>
            </w:r>
            <w:r w:rsidRPr="00E3331A">
              <w:rPr>
                <w:rFonts w:ascii="Calibri" w:hAnsi="Calibri"/>
              </w:rPr>
              <w:t>± 18.3</w:t>
            </w:r>
          </w:p>
          <w:p w:rsidR="00464E0A" w:rsidRPr="00E3331A" w:rsidRDefault="00464E0A" w:rsidP="00EC4AAF">
            <w:pPr>
              <w:pStyle w:val="Tablecontents"/>
            </w:pPr>
            <w:r w:rsidRPr="00E3331A">
              <w:t>% male</w:t>
            </w:r>
          </w:p>
          <w:p w:rsidR="00464E0A" w:rsidRPr="00E3331A" w:rsidRDefault="00464E0A" w:rsidP="00EC4AAF">
            <w:pPr>
              <w:pStyle w:val="Tablecontents"/>
            </w:pPr>
            <w:r w:rsidRPr="00E3331A">
              <w:t>I: 71%</w:t>
            </w:r>
          </w:p>
          <w:p w:rsidR="00464E0A" w:rsidRPr="00E3331A" w:rsidRDefault="00464E0A" w:rsidP="00EC4AAF">
            <w:pPr>
              <w:pStyle w:val="Tablecontents"/>
            </w:pPr>
            <w:r w:rsidRPr="00E3331A">
              <w:t>C: 60%</w:t>
            </w:r>
          </w:p>
          <w:p w:rsidR="00464E0A" w:rsidRPr="00E3331A" w:rsidRDefault="00464E0A" w:rsidP="00EC4AAF">
            <w:pPr>
              <w:pStyle w:val="Tablecontents"/>
            </w:pPr>
          </w:p>
        </w:tc>
        <w:tc>
          <w:tcPr>
            <w:tcW w:w="577" w:type="pct"/>
            <w:shd w:val="clear" w:color="auto" w:fill="auto"/>
          </w:tcPr>
          <w:p w:rsidR="00464E0A" w:rsidRPr="00E3331A" w:rsidRDefault="00464E0A" w:rsidP="00EC4AAF">
            <w:pPr>
              <w:pStyle w:val="Tablecontents"/>
            </w:pPr>
            <w:r w:rsidRPr="00E3331A">
              <w:t>Status: NR</w:t>
            </w:r>
          </w:p>
          <w:p w:rsidR="00464E0A" w:rsidRPr="00E3331A" w:rsidRDefault="00464E0A" w:rsidP="00EC4AAF">
            <w:pPr>
              <w:pStyle w:val="Tablecontents"/>
            </w:pPr>
            <w:r w:rsidRPr="00E3331A">
              <w:t>Type: progressive n = 12, relapsing n = 20</w:t>
            </w:r>
          </w:p>
          <w:p w:rsidR="00464E0A" w:rsidRPr="00E3331A" w:rsidRDefault="00464E0A" w:rsidP="00EC4AAF">
            <w:pPr>
              <w:pStyle w:val="Tablecontents"/>
            </w:pPr>
            <w:r w:rsidRPr="00E3331A">
              <w:t>Time since diagnosis</w:t>
            </w:r>
          </w:p>
          <w:p w:rsidR="00464E0A" w:rsidRPr="00E3331A" w:rsidRDefault="00464E0A" w:rsidP="00EC4AAF">
            <w:pPr>
              <w:pStyle w:val="Tablecontents"/>
              <w:rPr>
                <w:rFonts w:ascii="Calibri" w:hAnsi="Calibri"/>
              </w:rPr>
            </w:pPr>
            <w:r w:rsidRPr="00E3331A">
              <w:t xml:space="preserve">I: 5.3 </w:t>
            </w:r>
            <w:r w:rsidRPr="00E3331A">
              <w:rPr>
                <w:rFonts w:ascii="Calibri" w:hAnsi="Calibri"/>
              </w:rPr>
              <w:t>± 7.8 yrs</w:t>
            </w:r>
          </w:p>
          <w:p w:rsidR="00464E0A" w:rsidRPr="00E3331A" w:rsidRDefault="00464E0A" w:rsidP="00EC4AAF">
            <w:pPr>
              <w:pStyle w:val="Tablecontents"/>
            </w:pPr>
            <w:r w:rsidRPr="00E3331A">
              <w:t xml:space="preserve">C: 5.2 </w:t>
            </w:r>
            <w:r w:rsidRPr="00E3331A">
              <w:rPr>
                <w:rFonts w:ascii="Calibri" w:hAnsi="Calibri"/>
              </w:rPr>
              <w:t>± 6.5 yrs</w:t>
            </w:r>
          </w:p>
        </w:tc>
        <w:tc>
          <w:tcPr>
            <w:tcW w:w="557" w:type="pct"/>
            <w:shd w:val="clear" w:color="auto" w:fill="auto"/>
          </w:tcPr>
          <w:p w:rsidR="00464E0A" w:rsidRPr="00E3331A" w:rsidRDefault="00464E0A" w:rsidP="00EC4AAF">
            <w:pPr>
              <w:pStyle w:val="Tablecontents"/>
            </w:pPr>
            <w:r w:rsidRPr="00E3331A">
              <w:t>INCAT</w:t>
            </w:r>
          </w:p>
          <w:p w:rsidR="00464E0A" w:rsidRPr="00E3331A" w:rsidRDefault="00464E0A" w:rsidP="00EC4AAF">
            <w:pPr>
              <w:pStyle w:val="Tablecontents"/>
              <w:rPr>
                <w:rFonts w:ascii="Calibri" w:hAnsi="Calibri"/>
              </w:rPr>
            </w:pPr>
            <w:r w:rsidRPr="00E3331A">
              <w:t xml:space="preserve">I: 4.11 </w:t>
            </w:r>
            <w:r w:rsidRPr="00E3331A">
              <w:rPr>
                <w:rFonts w:ascii="Calibri" w:hAnsi="Calibri"/>
              </w:rPr>
              <w:t>± 2</w:t>
            </w:r>
          </w:p>
          <w:p w:rsidR="00464E0A" w:rsidRPr="00E3331A" w:rsidRDefault="00464E0A" w:rsidP="00EC4AAF">
            <w:pPr>
              <w:pStyle w:val="Tablecontents"/>
            </w:pPr>
            <w:r w:rsidRPr="00E3331A">
              <w:t xml:space="preserve">C: 3.47 </w:t>
            </w:r>
            <w:r w:rsidRPr="00E3331A">
              <w:rPr>
                <w:rFonts w:ascii="Calibri" w:hAnsi="Calibri"/>
              </w:rPr>
              <w:t>± 1.3</w:t>
            </w:r>
          </w:p>
        </w:tc>
        <w:tc>
          <w:tcPr>
            <w:tcW w:w="537" w:type="pct"/>
            <w:shd w:val="clear" w:color="auto" w:fill="auto"/>
          </w:tcPr>
          <w:p w:rsidR="00464E0A" w:rsidRPr="00E3331A" w:rsidRDefault="00464E0A" w:rsidP="00EC4AAF">
            <w:pPr>
              <w:pStyle w:val="Tablecontents"/>
            </w:pPr>
            <w:r w:rsidRPr="00E3331A">
              <w:t>IVIg (Sandoglobulin)</w:t>
            </w:r>
          </w:p>
          <w:p w:rsidR="00464E0A" w:rsidRPr="00E3331A" w:rsidRDefault="00464E0A" w:rsidP="00EC4AAF">
            <w:pPr>
              <w:pStyle w:val="Tablecontents"/>
            </w:pPr>
            <w:r w:rsidRPr="00E3331A">
              <w:t>1 g/kg/day for 2 days</w:t>
            </w:r>
          </w:p>
          <w:p w:rsidR="00464E0A" w:rsidRPr="00E3331A" w:rsidRDefault="00464E0A" w:rsidP="00EC4AAF">
            <w:pPr>
              <w:pStyle w:val="Tablecontents"/>
            </w:pPr>
            <w:r w:rsidRPr="00E3331A">
              <w:t>+ placebo St</w:t>
            </w:r>
          </w:p>
        </w:tc>
        <w:tc>
          <w:tcPr>
            <w:tcW w:w="626" w:type="pct"/>
            <w:shd w:val="clear" w:color="auto" w:fill="auto"/>
          </w:tcPr>
          <w:p w:rsidR="00464E0A" w:rsidRPr="00E3331A" w:rsidRDefault="00464E0A" w:rsidP="00EC4AAF">
            <w:pPr>
              <w:pStyle w:val="Tablecontents"/>
            </w:pPr>
            <w:r w:rsidRPr="00E3331A">
              <w:t>Oral prednisolone</w:t>
            </w:r>
          </w:p>
          <w:p w:rsidR="00464E0A" w:rsidRPr="00E3331A" w:rsidRDefault="00464E0A" w:rsidP="00EC4AAF">
            <w:pPr>
              <w:pStyle w:val="Tablecontents"/>
            </w:pPr>
            <w:r w:rsidRPr="00E3331A">
              <w:t>60 mg daily tapering to 10 mg daily over 6 weeks</w:t>
            </w:r>
          </w:p>
          <w:p w:rsidR="00464E0A" w:rsidRPr="00E3331A" w:rsidRDefault="00464E0A" w:rsidP="00EC4AAF">
            <w:pPr>
              <w:pStyle w:val="Tablecontents"/>
            </w:pPr>
            <w:r w:rsidRPr="00E3331A">
              <w:t>+ placebo Ig</w:t>
            </w:r>
          </w:p>
        </w:tc>
        <w:tc>
          <w:tcPr>
            <w:tcW w:w="624" w:type="pct"/>
            <w:shd w:val="clear" w:color="auto" w:fill="auto"/>
          </w:tcPr>
          <w:p w:rsidR="00464E0A" w:rsidRPr="00E3331A" w:rsidRDefault="00464E0A" w:rsidP="00EC4AAF">
            <w:pPr>
              <w:pStyle w:val="Tablecontents"/>
            </w:pPr>
            <w:r w:rsidRPr="00E3331A">
              <w:t xml:space="preserve">Moderate </w:t>
            </w:r>
          </w:p>
          <w:p w:rsidR="00464E0A" w:rsidRPr="00E3331A" w:rsidRDefault="00464E0A" w:rsidP="00EC4AAF">
            <w:pPr>
              <w:pStyle w:val="Tablecontents"/>
            </w:pPr>
            <w:r w:rsidRPr="00E3331A">
              <w:t>&lt; 8 weeks</w:t>
            </w:r>
          </w:p>
        </w:tc>
      </w:tr>
      <w:tr w:rsidR="00464E0A" w:rsidRPr="00E3331A" w:rsidTr="00EC4AAF">
        <w:tc>
          <w:tcPr>
            <w:tcW w:w="454" w:type="pct"/>
            <w:shd w:val="clear" w:color="auto" w:fill="auto"/>
          </w:tcPr>
          <w:p w:rsidR="00464E0A" w:rsidRPr="00E3331A" w:rsidRDefault="00464E0A" w:rsidP="00EC4AAF">
            <w:pPr>
              <w:pStyle w:val="Tablecontents"/>
            </w:pPr>
            <w:r w:rsidRPr="00E3331A">
              <w:lastRenderedPageBreak/>
              <w:t xml:space="preserve">Mendell </w:t>
            </w:r>
            <w:r w:rsidR="00983BA7">
              <w:t xml:space="preserve">et al. </w:t>
            </w:r>
            <w:r w:rsidRPr="00E3331A">
              <w:t>(2001)</w:t>
            </w:r>
          </w:p>
        </w:tc>
        <w:tc>
          <w:tcPr>
            <w:tcW w:w="477" w:type="pct"/>
            <w:shd w:val="clear" w:color="auto" w:fill="auto"/>
          </w:tcPr>
          <w:p w:rsidR="00464E0A" w:rsidRPr="00E3331A" w:rsidRDefault="00464E0A" w:rsidP="00EC4AAF">
            <w:pPr>
              <w:pStyle w:val="Tablecontents"/>
            </w:pPr>
            <w:r w:rsidRPr="00E3331A">
              <w:t>Ig vs Pl</w:t>
            </w:r>
          </w:p>
        </w:tc>
        <w:tc>
          <w:tcPr>
            <w:tcW w:w="657" w:type="pct"/>
            <w:shd w:val="clear" w:color="auto" w:fill="auto"/>
            <w:vAlign w:val="center"/>
          </w:tcPr>
          <w:p w:rsidR="00464E0A" w:rsidRPr="00E3331A" w:rsidRDefault="00464E0A" w:rsidP="00EC4AAF">
            <w:pPr>
              <w:pStyle w:val="Tablecontents"/>
            </w:pPr>
            <w:r w:rsidRPr="00E3331A">
              <w:t>Patients fulfilling diagnostic criteria for definite or probable CIDP. Patients receiving treatment in past 3 months excluded</w:t>
            </w:r>
          </w:p>
        </w:tc>
        <w:tc>
          <w:tcPr>
            <w:tcW w:w="492" w:type="pct"/>
            <w:shd w:val="clear" w:color="auto" w:fill="auto"/>
          </w:tcPr>
          <w:p w:rsidR="00464E0A" w:rsidRPr="00E3331A" w:rsidRDefault="00464E0A" w:rsidP="00EC4AAF">
            <w:pPr>
              <w:pStyle w:val="Tablecontents"/>
            </w:pPr>
            <w:r w:rsidRPr="00E3331A">
              <w:t>I: n = 29</w:t>
            </w:r>
          </w:p>
          <w:p w:rsidR="00464E0A" w:rsidRPr="00E3331A" w:rsidRDefault="00464E0A" w:rsidP="00EC4AAF">
            <w:pPr>
              <w:pStyle w:val="Tablecontents"/>
            </w:pPr>
            <w:r w:rsidRPr="00E3331A">
              <w:t>C: n = 21</w:t>
            </w:r>
          </w:p>
          <w:p w:rsidR="00464E0A" w:rsidRPr="00E3331A" w:rsidRDefault="00464E0A" w:rsidP="00EC4AAF">
            <w:pPr>
              <w:pStyle w:val="Tablecontents"/>
            </w:pPr>
            <w:r w:rsidRPr="00E3331A">
              <w:t>Age</w:t>
            </w:r>
          </w:p>
          <w:p w:rsidR="00464E0A" w:rsidRPr="00E3331A" w:rsidRDefault="00464E0A" w:rsidP="00EC4AAF">
            <w:pPr>
              <w:pStyle w:val="Tablecontents"/>
              <w:rPr>
                <w:rFonts w:ascii="Calibri" w:hAnsi="Calibri"/>
              </w:rPr>
            </w:pPr>
            <w:r w:rsidRPr="00E3331A">
              <w:t xml:space="preserve">I: 54 </w:t>
            </w:r>
            <w:r w:rsidRPr="00E3331A">
              <w:rPr>
                <w:rFonts w:ascii="Calibri" w:hAnsi="Calibri"/>
              </w:rPr>
              <w:t>± 20</w:t>
            </w:r>
          </w:p>
          <w:p w:rsidR="00464E0A" w:rsidRPr="00E3331A" w:rsidRDefault="00464E0A" w:rsidP="00EC4AAF">
            <w:pPr>
              <w:pStyle w:val="Tablecontents"/>
              <w:rPr>
                <w:rFonts w:ascii="Calibri" w:hAnsi="Calibri"/>
              </w:rPr>
            </w:pPr>
            <w:r w:rsidRPr="00E3331A">
              <w:t xml:space="preserve">C: 50 </w:t>
            </w:r>
            <w:r w:rsidRPr="00E3331A">
              <w:rPr>
                <w:rFonts w:ascii="Calibri" w:hAnsi="Calibri"/>
              </w:rPr>
              <w:t>± 18</w:t>
            </w:r>
          </w:p>
          <w:p w:rsidR="00464E0A" w:rsidRPr="00E3331A" w:rsidRDefault="00464E0A" w:rsidP="00EC4AAF">
            <w:pPr>
              <w:pStyle w:val="Tablecontents"/>
            </w:pPr>
            <w:r w:rsidRPr="00E3331A">
              <w:t>% male</w:t>
            </w:r>
          </w:p>
          <w:p w:rsidR="00464E0A" w:rsidRPr="00E3331A" w:rsidRDefault="00464E0A" w:rsidP="00EC4AAF">
            <w:pPr>
              <w:pStyle w:val="Tablecontents"/>
            </w:pPr>
            <w:r w:rsidRPr="00E3331A">
              <w:t>55%</w:t>
            </w:r>
          </w:p>
          <w:p w:rsidR="00464E0A" w:rsidRPr="00E3331A" w:rsidRDefault="00464E0A" w:rsidP="00EC4AAF">
            <w:pPr>
              <w:pStyle w:val="Tablecontents"/>
            </w:pPr>
          </w:p>
        </w:tc>
        <w:tc>
          <w:tcPr>
            <w:tcW w:w="577" w:type="pct"/>
            <w:shd w:val="clear" w:color="auto" w:fill="auto"/>
          </w:tcPr>
          <w:p w:rsidR="00464E0A" w:rsidRPr="00E3331A" w:rsidRDefault="00464E0A" w:rsidP="00EC4AAF">
            <w:pPr>
              <w:pStyle w:val="Tablecontents"/>
            </w:pPr>
            <w:r w:rsidRPr="00E3331A">
              <w:t>Status: NR</w:t>
            </w:r>
          </w:p>
          <w:p w:rsidR="00464E0A" w:rsidRPr="00E3331A" w:rsidRDefault="00464E0A" w:rsidP="00EC4AAF">
            <w:pPr>
              <w:pStyle w:val="Tablecontents"/>
            </w:pPr>
            <w:r w:rsidRPr="00E3331A">
              <w:t>Type: NR</w:t>
            </w:r>
          </w:p>
          <w:p w:rsidR="00464E0A" w:rsidRPr="00E3331A" w:rsidRDefault="00464E0A" w:rsidP="00EC4AAF">
            <w:pPr>
              <w:pStyle w:val="Tablecontents"/>
            </w:pPr>
            <w:r w:rsidRPr="00E3331A">
              <w:t>Time since diagnosis: NR</w:t>
            </w:r>
          </w:p>
        </w:tc>
        <w:tc>
          <w:tcPr>
            <w:tcW w:w="557" w:type="pct"/>
            <w:shd w:val="clear" w:color="auto" w:fill="auto"/>
          </w:tcPr>
          <w:p w:rsidR="00464E0A" w:rsidRPr="00E3331A" w:rsidRDefault="00464E0A" w:rsidP="00EC4AAF">
            <w:pPr>
              <w:pStyle w:val="Tablecontents"/>
            </w:pPr>
            <w:r w:rsidRPr="00E3331A">
              <w:t>AMS:</w:t>
            </w:r>
          </w:p>
          <w:p w:rsidR="00464E0A" w:rsidRPr="00E3331A" w:rsidRDefault="00464E0A" w:rsidP="00EC4AAF">
            <w:pPr>
              <w:pStyle w:val="Tablecontents"/>
              <w:rPr>
                <w:rFonts w:ascii="Calibri" w:hAnsi="Calibri"/>
              </w:rPr>
            </w:pPr>
            <w:r w:rsidRPr="00E3331A">
              <w:t xml:space="preserve">I: 7.06 </w:t>
            </w:r>
            <w:r w:rsidRPr="00E3331A">
              <w:rPr>
                <w:rFonts w:ascii="Calibri" w:hAnsi="Calibri"/>
              </w:rPr>
              <w:t>± 1.31</w:t>
            </w:r>
          </w:p>
          <w:p w:rsidR="00464E0A" w:rsidRPr="00E3331A" w:rsidRDefault="00464E0A" w:rsidP="00EC4AAF">
            <w:pPr>
              <w:pStyle w:val="Tablecontents"/>
            </w:pPr>
            <w:r w:rsidRPr="00E3331A">
              <w:t xml:space="preserve">C: 7.28 </w:t>
            </w:r>
            <w:r w:rsidRPr="00E3331A">
              <w:rPr>
                <w:rFonts w:ascii="Calibri" w:hAnsi="Calibri"/>
              </w:rPr>
              <w:t>± 1.18</w:t>
            </w:r>
          </w:p>
        </w:tc>
        <w:tc>
          <w:tcPr>
            <w:tcW w:w="537" w:type="pct"/>
            <w:shd w:val="clear" w:color="auto" w:fill="auto"/>
          </w:tcPr>
          <w:p w:rsidR="00464E0A" w:rsidRPr="00E3331A" w:rsidRDefault="00464E0A" w:rsidP="00EC4AAF">
            <w:pPr>
              <w:pStyle w:val="Tablecontents"/>
            </w:pPr>
            <w:r w:rsidRPr="00E3331A">
              <w:t>IVIg (Pasteurised Gammar IV (Aventis Behring LLC)) 1.0 g/kg on days 1, 2 and 21</w:t>
            </w:r>
          </w:p>
        </w:tc>
        <w:tc>
          <w:tcPr>
            <w:tcW w:w="626" w:type="pct"/>
            <w:shd w:val="clear" w:color="auto" w:fill="auto"/>
          </w:tcPr>
          <w:p w:rsidR="00464E0A" w:rsidRPr="00E3331A" w:rsidRDefault="00464E0A" w:rsidP="00EC4AAF">
            <w:pPr>
              <w:pStyle w:val="Tablecontents"/>
            </w:pPr>
            <w:r w:rsidRPr="00E3331A">
              <w:t>Placebo 5% albumin on days 1, 2 and 21</w:t>
            </w:r>
          </w:p>
        </w:tc>
        <w:tc>
          <w:tcPr>
            <w:tcW w:w="624" w:type="pct"/>
            <w:shd w:val="clear" w:color="auto" w:fill="auto"/>
          </w:tcPr>
          <w:p w:rsidR="00464E0A" w:rsidRPr="00E3331A" w:rsidRDefault="00464E0A" w:rsidP="00EC4AAF">
            <w:pPr>
              <w:pStyle w:val="Tablecontents"/>
            </w:pPr>
            <w:r w:rsidRPr="00E3331A">
              <w:t xml:space="preserve">Moderate </w:t>
            </w:r>
          </w:p>
          <w:p w:rsidR="00464E0A" w:rsidRPr="00E3331A" w:rsidRDefault="00464E0A" w:rsidP="00EC4AAF">
            <w:pPr>
              <w:pStyle w:val="Tablecontents"/>
            </w:pPr>
            <w:r w:rsidRPr="00E3331A">
              <w:t>6 weeks</w:t>
            </w:r>
          </w:p>
        </w:tc>
      </w:tr>
      <w:tr w:rsidR="00464E0A" w:rsidRPr="00E3331A" w:rsidTr="00EC4AAF">
        <w:tc>
          <w:tcPr>
            <w:tcW w:w="454" w:type="pct"/>
            <w:shd w:val="clear" w:color="auto" w:fill="auto"/>
          </w:tcPr>
          <w:p w:rsidR="00464E0A" w:rsidRPr="00E3331A" w:rsidRDefault="00464E0A" w:rsidP="00EC4AAF">
            <w:pPr>
              <w:pStyle w:val="Tablecontents"/>
            </w:pPr>
            <w:r w:rsidRPr="00E3331A">
              <w:t xml:space="preserve">Vermeulem </w:t>
            </w:r>
            <w:r w:rsidR="00983BA7">
              <w:t xml:space="preserve">et al. </w:t>
            </w:r>
            <w:r w:rsidRPr="00E3331A">
              <w:t>(1993)</w:t>
            </w:r>
          </w:p>
        </w:tc>
        <w:tc>
          <w:tcPr>
            <w:tcW w:w="477" w:type="pct"/>
            <w:shd w:val="clear" w:color="auto" w:fill="auto"/>
          </w:tcPr>
          <w:p w:rsidR="00464E0A" w:rsidRPr="00E3331A" w:rsidRDefault="00464E0A" w:rsidP="00EC4AAF">
            <w:pPr>
              <w:pStyle w:val="Tablecontents"/>
            </w:pPr>
            <w:r w:rsidRPr="00E3331A">
              <w:t>Ig vs Pl</w:t>
            </w:r>
          </w:p>
        </w:tc>
        <w:tc>
          <w:tcPr>
            <w:tcW w:w="657" w:type="pct"/>
            <w:shd w:val="clear" w:color="auto" w:fill="auto"/>
            <w:vAlign w:val="center"/>
          </w:tcPr>
          <w:p w:rsidR="00464E0A" w:rsidRPr="00E3331A" w:rsidRDefault="00464E0A" w:rsidP="00EC4AAF">
            <w:pPr>
              <w:pStyle w:val="Tablecontents"/>
            </w:pPr>
            <w:r w:rsidRPr="00E3331A">
              <w:t xml:space="preserve">Newly diagnosed CIDP with progression of weakness over &gt;8 weeks. Disability </w:t>
            </w:r>
            <w:r w:rsidRPr="00E3331A">
              <w:rPr>
                <w:rFonts w:hint="eastAsia"/>
              </w:rPr>
              <w:t>≥</w:t>
            </w:r>
            <w:r w:rsidRPr="00E3331A">
              <w:t xml:space="preserve"> 3 on modified Rankin Scale. Treatment naïve. </w:t>
            </w:r>
          </w:p>
        </w:tc>
        <w:tc>
          <w:tcPr>
            <w:tcW w:w="492" w:type="pct"/>
            <w:shd w:val="clear" w:color="auto" w:fill="auto"/>
          </w:tcPr>
          <w:p w:rsidR="00464E0A" w:rsidRPr="00E3331A" w:rsidRDefault="00464E0A" w:rsidP="00EC4AAF">
            <w:pPr>
              <w:pStyle w:val="Tablecontents"/>
            </w:pPr>
            <w:r w:rsidRPr="00E3331A">
              <w:t>I: n = 15</w:t>
            </w:r>
          </w:p>
          <w:p w:rsidR="00464E0A" w:rsidRPr="00E3331A" w:rsidRDefault="00464E0A" w:rsidP="00EC4AAF">
            <w:pPr>
              <w:pStyle w:val="Tablecontents"/>
            </w:pPr>
            <w:r w:rsidRPr="00E3331A">
              <w:t>C: n = 13</w:t>
            </w:r>
          </w:p>
          <w:p w:rsidR="00464E0A" w:rsidRPr="00E3331A" w:rsidRDefault="00464E0A" w:rsidP="00EC4AAF">
            <w:pPr>
              <w:pStyle w:val="Tablecontents"/>
            </w:pPr>
            <w:r w:rsidRPr="00E3331A">
              <w:t>Age</w:t>
            </w:r>
          </w:p>
          <w:p w:rsidR="00464E0A" w:rsidRPr="00E3331A" w:rsidRDefault="00464E0A" w:rsidP="00EC4AAF">
            <w:pPr>
              <w:pStyle w:val="Tablecontents"/>
            </w:pPr>
            <w:r w:rsidRPr="00E3331A">
              <w:t>I: mean 45 yrs</w:t>
            </w:r>
          </w:p>
          <w:p w:rsidR="00464E0A" w:rsidRPr="00E3331A" w:rsidRDefault="00464E0A" w:rsidP="00EC4AAF">
            <w:pPr>
              <w:pStyle w:val="Tablecontents"/>
            </w:pPr>
            <w:r w:rsidRPr="00E3331A">
              <w:t>C: mean 50 years</w:t>
            </w:r>
          </w:p>
          <w:p w:rsidR="00464E0A" w:rsidRPr="00E3331A" w:rsidRDefault="00464E0A" w:rsidP="00EC4AAF">
            <w:pPr>
              <w:pStyle w:val="Tablecontents"/>
            </w:pPr>
            <w:r w:rsidRPr="00E3331A">
              <w:t>% male</w:t>
            </w:r>
          </w:p>
          <w:p w:rsidR="00464E0A" w:rsidRPr="00E3331A" w:rsidRDefault="00464E0A" w:rsidP="00EC4AAF">
            <w:pPr>
              <w:pStyle w:val="Tablecontents"/>
            </w:pPr>
            <w:r w:rsidRPr="00E3331A">
              <w:t>I: 73%</w:t>
            </w:r>
          </w:p>
          <w:p w:rsidR="00464E0A" w:rsidRPr="00E3331A" w:rsidRDefault="00464E0A" w:rsidP="00EC4AAF">
            <w:pPr>
              <w:pStyle w:val="Tablecontents"/>
            </w:pPr>
            <w:r w:rsidRPr="00E3331A">
              <w:t>C: 69%</w:t>
            </w:r>
          </w:p>
          <w:p w:rsidR="00464E0A" w:rsidRPr="00E3331A" w:rsidRDefault="00464E0A" w:rsidP="00EC4AAF">
            <w:pPr>
              <w:pStyle w:val="Tablecontents"/>
            </w:pPr>
          </w:p>
        </w:tc>
        <w:tc>
          <w:tcPr>
            <w:tcW w:w="577" w:type="pct"/>
            <w:shd w:val="clear" w:color="auto" w:fill="auto"/>
          </w:tcPr>
          <w:p w:rsidR="00464E0A" w:rsidRPr="00E3331A" w:rsidRDefault="00464E0A" w:rsidP="00EC4AAF">
            <w:pPr>
              <w:pStyle w:val="Tablecontents"/>
            </w:pPr>
            <w:r w:rsidRPr="00E3331A">
              <w:t>Status: NR</w:t>
            </w:r>
          </w:p>
          <w:p w:rsidR="00464E0A" w:rsidRPr="00E3331A" w:rsidRDefault="00464E0A" w:rsidP="00EC4AAF">
            <w:pPr>
              <w:pStyle w:val="Tablecontents"/>
            </w:pPr>
            <w:r w:rsidRPr="00E3331A">
              <w:t>Type: NR</w:t>
            </w:r>
          </w:p>
          <w:p w:rsidR="00464E0A" w:rsidRPr="00E3331A" w:rsidRDefault="00464E0A" w:rsidP="00EC4AAF">
            <w:pPr>
              <w:pStyle w:val="Tablecontents"/>
            </w:pPr>
            <w:r w:rsidRPr="00E3331A">
              <w:t>Time since diagnosis: mean 1 years 2 months</w:t>
            </w:r>
          </w:p>
        </w:tc>
        <w:tc>
          <w:tcPr>
            <w:tcW w:w="557" w:type="pct"/>
            <w:shd w:val="clear" w:color="auto" w:fill="auto"/>
          </w:tcPr>
          <w:p w:rsidR="00464E0A" w:rsidRPr="00E3331A" w:rsidRDefault="00464E0A" w:rsidP="00EC4AAF">
            <w:pPr>
              <w:pStyle w:val="Tablecontents"/>
            </w:pPr>
            <w:r w:rsidRPr="00E3331A">
              <w:t>MRC</w:t>
            </w:r>
          </w:p>
          <w:p w:rsidR="00464E0A" w:rsidRPr="00E3331A" w:rsidRDefault="00464E0A" w:rsidP="00EC4AAF">
            <w:pPr>
              <w:pStyle w:val="Tablecontents"/>
            </w:pPr>
            <w:r w:rsidRPr="00E3331A">
              <w:t>I: median 52</w:t>
            </w:r>
          </w:p>
          <w:p w:rsidR="00464E0A" w:rsidRPr="00E3331A" w:rsidRDefault="00464E0A" w:rsidP="00EC4AAF">
            <w:pPr>
              <w:pStyle w:val="Tablecontents"/>
            </w:pPr>
            <w:r w:rsidRPr="00E3331A">
              <w:t>C: median 43</w:t>
            </w:r>
          </w:p>
          <w:p w:rsidR="00464E0A" w:rsidRPr="00E3331A" w:rsidRDefault="00464E0A" w:rsidP="00EC4AAF">
            <w:pPr>
              <w:pStyle w:val="Tablecontents"/>
            </w:pPr>
            <w:r w:rsidRPr="00E3331A">
              <w:t>Rankin scale</w:t>
            </w:r>
          </w:p>
          <w:p w:rsidR="00464E0A" w:rsidRPr="00E3331A" w:rsidRDefault="00464E0A" w:rsidP="00EC4AAF">
            <w:pPr>
              <w:pStyle w:val="Tablecontents"/>
            </w:pPr>
            <w:r w:rsidRPr="00E3331A">
              <w:t>I: median 3</w:t>
            </w:r>
          </w:p>
          <w:p w:rsidR="00464E0A" w:rsidRPr="00E3331A" w:rsidRDefault="00464E0A" w:rsidP="00EC4AAF">
            <w:pPr>
              <w:pStyle w:val="Tablecontents"/>
            </w:pPr>
            <w:r w:rsidRPr="00E3331A">
              <w:t>C: median 3</w:t>
            </w:r>
          </w:p>
        </w:tc>
        <w:tc>
          <w:tcPr>
            <w:tcW w:w="537" w:type="pct"/>
            <w:shd w:val="clear" w:color="auto" w:fill="auto"/>
          </w:tcPr>
          <w:p w:rsidR="00464E0A" w:rsidRPr="00E3331A" w:rsidRDefault="00464E0A" w:rsidP="00EC4AAF">
            <w:pPr>
              <w:pStyle w:val="Tablecontents"/>
            </w:pPr>
            <w:r w:rsidRPr="00E3331A">
              <w:t>IVIg (Prepared by the Central Laboratory of the Netherlands Red Cross Blood Transfusion Service, Amsterdam)</w:t>
            </w:r>
          </w:p>
          <w:p w:rsidR="00464E0A" w:rsidRPr="00E3331A" w:rsidRDefault="00464E0A" w:rsidP="00EC4AAF">
            <w:pPr>
              <w:pStyle w:val="Tablecontents"/>
            </w:pPr>
            <w:r w:rsidRPr="00E3331A">
              <w:t>0.4 g/kg/day for 5 consecutive days</w:t>
            </w:r>
          </w:p>
        </w:tc>
        <w:tc>
          <w:tcPr>
            <w:tcW w:w="626" w:type="pct"/>
            <w:shd w:val="clear" w:color="auto" w:fill="auto"/>
          </w:tcPr>
          <w:p w:rsidR="00464E0A" w:rsidRPr="00E3331A" w:rsidRDefault="00464E0A" w:rsidP="00EC4AAF">
            <w:pPr>
              <w:pStyle w:val="Tablecontents"/>
            </w:pPr>
            <w:r w:rsidRPr="00E3331A">
              <w:t>Placebo (Prepared from 20% albumin solution in which less than 0.1% IgG could be detected)</w:t>
            </w:r>
          </w:p>
          <w:p w:rsidR="00464E0A" w:rsidRPr="00E3331A" w:rsidRDefault="00464E0A" w:rsidP="00EC4AAF">
            <w:pPr>
              <w:pStyle w:val="Tablecontents"/>
            </w:pPr>
            <w:r w:rsidRPr="00E3331A">
              <w:t>5 consecutive days</w:t>
            </w:r>
          </w:p>
        </w:tc>
        <w:tc>
          <w:tcPr>
            <w:tcW w:w="624" w:type="pct"/>
            <w:shd w:val="clear" w:color="auto" w:fill="auto"/>
          </w:tcPr>
          <w:p w:rsidR="00464E0A" w:rsidRPr="00E3331A" w:rsidRDefault="00464E0A" w:rsidP="00EC4AAF">
            <w:pPr>
              <w:pStyle w:val="Tablecontents"/>
            </w:pPr>
          </w:p>
        </w:tc>
      </w:tr>
      <w:tr w:rsidR="00464E0A" w:rsidRPr="00E3331A" w:rsidTr="00EC4AAF">
        <w:tc>
          <w:tcPr>
            <w:tcW w:w="454" w:type="pct"/>
            <w:shd w:val="clear" w:color="auto" w:fill="auto"/>
          </w:tcPr>
          <w:p w:rsidR="00464E0A" w:rsidRPr="00E3331A" w:rsidRDefault="00464E0A" w:rsidP="00EC4AAF">
            <w:pPr>
              <w:pStyle w:val="Tablecontents"/>
            </w:pPr>
            <w:r w:rsidRPr="00E3331A">
              <w:t>Dyck et al. (1986)</w:t>
            </w:r>
          </w:p>
        </w:tc>
        <w:tc>
          <w:tcPr>
            <w:tcW w:w="477" w:type="pct"/>
            <w:shd w:val="clear" w:color="auto" w:fill="auto"/>
          </w:tcPr>
          <w:p w:rsidR="00464E0A" w:rsidRPr="00E3331A" w:rsidRDefault="00464E0A" w:rsidP="00EC4AAF">
            <w:pPr>
              <w:pStyle w:val="Tablecontents"/>
            </w:pPr>
            <w:r w:rsidRPr="00E3331A">
              <w:t>PE vs sham</w:t>
            </w:r>
          </w:p>
        </w:tc>
        <w:tc>
          <w:tcPr>
            <w:tcW w:w="657" w:type="pct"/>
            <w:shd w:val="clear" w:color="auto" w:fill="auto"/>
            <w:vAlign w:val="center"/>
          </w:tcPr>
          <w:p w:rsidR="00464E0A" w:rsidRPr="00E3331A" w:rsidRDefault="00464E0A" w:rsidP="00EC4AAF">
            <w:pPr>
              <w:pStyle w:val="Tablecontents"/>
            </w:pPr>
            <w:r w:rsidRPr="00E3331A">
              <w:t xml:space="preserve">Patients with CIDP and a neurologic status that was static or worsening. NDS </w:t>
            </w:r>
            <w:r w:rsidRPr="00E3331A">
              <w:rPr>
                <w:rFonts w:hint="eastAsia"/>
              </w:rPr>
              <w:t>≥</w:t>
            </w:r>
            <w:r w:rsidRPr="00E3331A">
              <w:t xml:space="preserve"> 50 points. No change to immunotherapy, in preceding six weeks.</w:t>
            </w:r>
          </w:p>
        </w:tc>
        <w:tc>
          <w:tcPr>
            <w:tcW w:w="492" w:type="pct"/>
            <w:shd w:val="clear" w:color="auto" w:fill="auto"/>
          </w:tcPr>
          <w:p w:rsidR="00464E0A" w:rsidRPr="00E3331A" w:rsidRDefault="00464E0A" w:rsidP="00EC4AAF">
            <w:pPr>
              <w:pStyle w:val="Tablecontents"/>
            </w:pPr>
            <w:r w:rsidRPr="00E3331A">
              <w:t>I: n = 15</w:t>
            </w:r>
          </w:p>
          <w:p w:rsidR="00464E0A" w:rsidRPr="00E3331A" w:rsidRDefault="00464E0A" w:rsidP="00EC4AAF">
            <w:pPr>
              <w:pStyle w:val="Tablecontents"/>
            </w:pPr>
            <w:r w:rsidRPr="00E3331A">
              <w:t>C: n = 14</w:t>
            </w:r>
          </w:p>
          <w:p w:rsidR="00464E0A" w:rsidRPr="00E3331A" w:rsidRDefault="00464E0A" w:rsidP="00EC4AAF">
            <w:pPr>
              <w:pStyle w:val="Tablecontents"/>
            </w:pPr>
            <w:r w:rsidRPr="00E3331A">
              <w:t>Age</w:t>
            </w:r>
          </w:p>
          <w:p w:rsidR="00464E0A" w:rsidRPr="00E3331A" w:rsidRDefault="00464E0A" w:rsidP="00EC4AAF">
            <w:pPr>
              <w:pStyle w:val="Tablecontents"/>
            </w:pPr>
            <w:r w:rsidRPr="00E3331A">
              <w:t>R</w:t>
            </w:r>
          </w:p>
          <w:p w:rsidR="00464E0A" w:rsidRPr="00E3331A" w:rsidRDefault="00464E0A" w:rsidP="00EC4AAF">
            <w:pPr>
              <w:pStyle w:val="Tablecontents"/>
            </w:pPr>
            <w:r w:rsidRPr="00E3331A">
              <w:t>% Male NR</w:t>
            </w:r>
          </w:p>
        </w:tc>
        <w:tc>
          <w:tcPr>
            <w:tcW w:w="577" w:type="pct"/>
            <w:shd w:val="clear" w:color="auto" w:fill="auto"/>
          </w:tcPr>
          <w:p w:rsidR="00464E0A" w:rsidRPr="00E3331A" w:rsidRDefault="00464E0A" w:rsidP="00EC4AAF">
            <w:pPr>
              <w:pStyle w:val="Tablecontents"/>
            </w:pPr>
            <w:r w:rsidRPr="00E3331A">
              <w:t>Status: NR</w:t>
            </w:r>
          </w:p>
          <w:p w:rsidR="00464E0A" w:rsidRPr="00E3331A" w:rsidRDefault="00464E0A" w:rsidP="00EC4AAF">
            <w:pPr>
              <w:pStyle w:val="Tablecontents"/>
            </w:pPr>
            <w:r w:rsidRPr="00E3331A">
              <w:t>Type: NR</w:t>
            </w:r>
          </w:p>
          <w:p w:rsidR="00464E0A" w:rsidRPr="00E3331A" w:rsidRDefault="00464E0A" w:rsidP="00EC4AAF">
            <w:pPr>
              <w:pStyle w:val="Tablecontents"/>
            </w:pPr>
            <w:r w:rsidRPr="00E3331A">
              <w:t>Time since diagnosis: NR</w:t>
            </w:r>
          </w:p>
        </w:tc>
        <w:tc>
          <w:tcPr>
            <w:tcW w:w="557" w:type="pct"/>
            <w:shd w:val="clear" w:color="auto" w:fill="auto"/>
          </w:tcPr>
          <w:p w:rsidR="00464E0A" w:rsidRPr="00E3331A" w:rsidRDefault="00464E0A" w:rsidP="00EC4AAF">
            <w:pPr>
              <w:pStyle w:val="Tablecontents"/>
            </w:pPr>
            <w:r w:rsidRPr="00E3331A">
              <w:t>NR</w:t>
            </w:r>
          </w:p>
        </w:tc>
        <w:tc>
          <w:tcPr>
            <w:tcW w:w="537" w:type="pct"/>
            <w:shd w:val="clear" w:color="auto" w:fill="auto"/>
          </w:tcPr>
          <w:p w:rsidR="00464E0A" w:rsidRPr="00E3331A" w:rsidRDefault="00464E0A" w:rsidP="00EC4AAF">
            <w:pPr>
              <w:pStyle w:val="Tablecontents"/>
            </w:pPr>
            <w:r w:rsidRPr="00E3331A">
              <w:t>PE (intermittent or continuous flow cell separator</w:t>
            </w:r>
            <w:r w:rsidR="001B576E">
              <w:t>)</w:t>
            </w:r>
            <w:r w:rsidRPr="00E3331A">
              <w:t xml:space="preserve"> (Haemonetics model 30 or IBM 2997)</w:t>
            </w:r>
          </w:p>
          <w:p w:rsidR="00464E0A" w:rsidRPr="00E3331A" w:rsidRDefault="00464E0A" w:rsidP="00EC4AAF">
            <w:pPr>
              <w:pStyle w:val="Tablecontents"/>
            </w:pPr>
            <w:r w:rsidRPr="00E3331A">
              <w:t>47 ml/kg, mean 3.5 L exchanged per session)</w:t>
            </w:r>
          </w:p>
          <w:p w:rsidR="00464E0A" w:rsidRPr="00E3331A" w:rsidRDefault="00464E0A" w:rsidP="00EC4AAF">
            <w:pPr>
              <w:pStyle w:val="Tablecontents"/>
            </w:pPr>
            <w:r w:rsidRPr="00E3331A">
              <w:t>Access via antecubital or subclavian veins</w:t>
            </w:r>
          </w:p>
        </w:tc>
        <w:tc>
          <w:tcPr>
            <w:tcW w:w="626" w:type="pct"/>
            <w:shd w:val="clear" w:color="auto" w:fill="auto"/>
          </w:tcPr>
          <w:p w:rsidR="00464E0A" w:rsidRPr="00E3331A" w:rsidRDefault="00464E0A" w:rsidP="00EC4AAF">
            <w:pPr>
              <w:pStyle w:val="Tablecontents"/>
            </w:pPr>
            <w:r w:rsidRPr="00E3331A">
              <w:t>Sham (same schedule as for PE)</w:t>
            </w:r>
          </w:p>
        </w:tc>
        <w:tc>
          <w:tcPr>
            <w:tcW w:w="624" w:type="pct"/>
            <w:shd w:val="clear" w:color="auto" w:fill="auto"/>
          </w:tcPr>
          <w:p w:rsidR="00464E0A" w:rsidRPr="00E3331A" w:rsidRDefault="00464E0A" w:rsidP="00EC4AAF">
            <w:pPr>
              <w:pStyle w:val="Tablecontents"/>
            </w:pPr>
          </w:p>
        </w:tc>
      </w:tr>
      <w:tr w:rsidR="00464E0A" w:rsidRPr="00E3331A" w:rsidTr="00EC4AAF">
        <w:tc>
          <w:tcPr>
            <w:tcW w:w="454" w:type="pct"/>
            <w:shd w:val="clear" w:color="auto" w:fill="auto"/>
          </w:tcPr>
          <w:p w:rsidR="00464E0A" w:rsidRPr="00E3331A" w:rsidRDefault="00464E0A" w:rsidP="00EC4AAF">
            <w:pPr>
              <w:pStyle w:val="Tablecontents"/>
            </w:pPr>
            <w:r w:rsidRPr="00E3331A">
              <w:t>Dyck et al. (1985)</w:t>
            </w:r>
          </w:p>
        </w:tc>
        <w:tc>
          <w:tcPr>
            <w:tcW w:w="477" w:type="pct"/>
            <w:shd w:val="clear" w:color="auto" w:fill="auto"/>
          </w:tcPr>
          <w:p w:rsidR="00464E0A" w:rsidRPr="00E3331A" w:rsidRDefault="00464E0A" w:rsidP="00EC4AAF">
            <w:pPr>
              <w:pStyle w:val="Tablecontents"/>
            </w:pPr>
            <w:r w:rsidRPr="00E3331A">
              <w:t>St + Is vs St</w:t>
            </w:r>
          </w:p>
        </w:tc>
        <w:tc>
          <w:tcPr>
            <w:tcW w:w="657" w:type="pct"/>
            <w:shd w:val="clear" w:color="auto" w:fill="auto"/>
            <w:vAlign w:val="center"/>
          </w:tcPr>
          <w:p w:rsidR="00464E0A" w:rsidRPr="00E3331A" w:rsidRDefault="00464E0A" w:rsidP="00EC4AAF">
            <w:pPr>
              <w:pStyle w:val="Tablecontents"/>
            </w:pPr>
            <w:r w:rsidRPr="00E3331A">
              <w:t xml:space="preserve">Static or worsening CIDP with symptoms for </w:t>
            </w:r>
            <w:r w:rsidRPr="00E3331A">
              <w:rPr>
                <w:rFonts w:hint="eastAsia"/>
              </w:rPr>
              <w:t>≥</w:t>
            </w:r>
            <w:r w:rsidRPr="00E3331A">
              <w:t xml:space="preserve"> 6 months, NDS </w:t>
            </w:r>
            <w:r w:rsidRPr="00E3331A">
              <w:rPr>
                <w:rFonts w:hint="eastAsia"/>
              </w:rPr>
              <w:lastRenderedPageBreak/>
              <w:t>≥</w:t>
            </w:r>
            <w:r w:rsidRPr="00E3331A">
              <w:t xml:space="preserve"> 50 points, no treatment with prednisone or immunotherapy for at least 3 months</w:t>
            </w:r>
          </w:p>
        </w:tc>
        <w:tc>
          <w:tcPr>
            <w:tcW w:w="492" w:type="pct"/>
            <w:shd w:val="clear" w:color="auto" w:fill="auto"/>
          </w:tcPr>
          <w:p w:rsidR="00464E0A" w:rsidRPr="00E3331A" w:rsidRDefault="00464E0A" w:rsidP="00EC4AAF">
            <w:pPr>
              <w:pStyle w:val="Tablecontents"/>
            </w:pPr>
            <w:r w:rsidRPr="00E3331A">
              <w:lastRenderedPageBreak/>
              <w:t>I: n = 15</w:t>
            </w:r>
          </w:p>
          <w:p w:rsidR="00464E0A" w:rsidRPr="00E3331A" w:rsidRDefault="00464E0A" w:rsidP="00EC4AAF">
            <w:pPr>
              <w:pStyle w:val="Tablecontents"/>
            </w:pPr>
            <w:r w:rsidRPr="00E3331A">
              <w:t>C: n = 14</w:t>
            </w:r>
          </w:p>
          <w:p w:rsidR="00464E0A" w:rsidRPr="00E3331A" w:rsidRDefault="00464E0A" w:rsidP="00EC4AAF">
            <w:pPr>
              <w:pStyle w:val="Tablecontents"/>
            </w:pPr>
            <w:r w:rsidRPr="00E3331A">
              <w:t>Age</w:t>
            </w:r>
          </w:p>
          <w:p w:rsidR="00464E0A" w:rsidRPr="00E3331A" w:rsidRDefault="00464E0A" w:rsidP="00EC4AAF">
            <w:pPr>
              <w:pStyle w:val="Tablecontents"/>
            </w:pPr>
            <w:r w:rsidRPr="00E3331A">
              <w:lastRenderedPageBreak/>
              <w:t>I: median 41 (range 18-63)</w:t>
            </w:r>
          </w:p>
          <w:p w:rsidR="00464E0A" w:rsidRPr="00E3331A" w:rsidRDefault="00464E0A" w:rsidP="00EC4AAF">
            <w:pPr>
              <w:pStyle w:val="Tablecontents"/>
            </w:pPr>
            <w:r w:rsidRPr="00E3331A">
              <w:t>C: median 46 (range 19-70)</w:t>
            </w:r>
          </w:p>
          <w:p w:rsidR="00464E0A" w:rsidRPr="00E3331A" w:rsidRDefault="00464E0A" w:rsidP="00EC4AAF">
            <w:pPr>
              <w:pStyle w:val="Tablecontents"/>
            </w:pPr>
            <w:r w:rsidRPr="00E3331A">
              <w:t>% male</w:t>
            </w:r>
          </w:p>
          <w:p w:rsidR="00464E0A" w:rsidRPr="00E3331A" w:rsidRDefault="00464E0A" w:rsidP="00EC4AAF">
            <w:pPr>
              <w:pStyle w:val="Tablecontents"/>
            </w:pPr>
            <w:r w:rsidRPr="00E3331A">
              <w:t>I: 46%</w:t>
            </w:r>
          </w:p>
          <w:p w:rsidR="00464E0A" w:rsidRPr="00E3331A" w:rsidRDefault="00464E0A" w:rsidP="00EC4AAF">
            <w:pPr>
              <w:pStyle w:val="Tablecontents"/>
            </w:pPr>
            <w:r w:rsidRPr="00E3331A">
              <w:t>C: 70%</w:t>
            </w:r>
          </w:p>
        </w:tc>
        <w:tc>
          <w:tcPr>
            <w:tcW w:w="577" w:type="pct"/>
            <w:shd w:val="clear" w:color="auto" w:fill="auto"/>
          </w:tcPr>
          <w:p w:rsidR="00464E0A" w:rsidRPr="00E3331A" w:rsidRDefault="00464E0A" w:rsidP="00EC4AAF">
            <w:pPr>
              <w:pStyle w:val="Tablecontents"/>
            </w:pPr>
            <w:r w:rsidRPr="00E3331A">
              <w:lastRenderedPageBreak/>
              <w:t>Status: NR</w:t>
            </w:r>
          </w:p>
          <w:p w:rsidR="00464E0A" w:rsidRPr="00E3331A" w:rsidRDefault="00464E0A" w:rsidP="00EC4AAF">
            <w:pPr>
              <w:pStyle w:val="Tablecontents"/>
            </w:pPr>
            <w:r w:rsidRPr="00E3331A">
              <w:t>Type: NR</w:t>
            </w:r>
          </w:p>
          <w:p w:rsidR="00464E0A" w:rsidRPr="00E3331A" w:rsidRDefault="00464E0A" w:rsidP="00EC4AAF">
            <w:pPr>
              <w:pStyle w:val="Tablecontents"/>
            </w:pPr>
            <w:r w:rsidRPr="00E3331A">
              <w:lastRenderedPageBreak/>
              <w:t xml:space="preserve">Time since diagnosis: </w:t>
            </w:r>
          </w:p>
          <w:p w:rsidR="00464E0A" w:rsidRPr="00E3331A" w:rsidRDefault="00464E0A" w:rsidP="00EC4AAF">
            <w:pPr>
              <w:pStyle w:val="Tablecontents"/>
            </w:pPr>
            <w:r w:rsidRPr="00E3331A">
              <w:t>I median 29 ms (range 8-168 mo)</w:t>
            </w:r>
          </w:p>
          <w:p w:rsidR="00464E0A" w:rsidRPr="00E3331A" w:rsidRDefault="00464E0A" w:rsidP="00EC4AAF">
            <w:pPr>
              <w:pStyle w:val="Tablecontents"/>
            </w:pPr>
            <w:r w:rsidRPr="00E3331A">
              <w:t>C: 21 mo (range 6-84 mo)</w:t>
            </w:r>
          </w:p>
        </w:tc>
        <w:tc>
          <w:tcPr>
            <w:tcW w:w="557" w:type="pct"/>
            <w:shd w:val="clear" w:color="auto" w:fill="auto"/>
          </w:tcPr>
          <w:p w:rsidR="00464E0A" w:rsidRPr="00E3331A" w:rsidRDefault="00464E0A" w:rsidP="00EC4AAF">
            <w:pPr>
              <w:pStyle w:val="Tablecontents"/>
            </w:pPr>
            <w:r w:rsidRPr="00E3331A">
              <w:lastRenderedPageBreak/>
              <w:t>NDS</w:t>
            </w:r>
          </w:p>
          <w:p w:rsidR="00464E0A" w:rsidRPr="00E3331A" w:rsidRDefault="00464E0A" w:rsidP="00EC4AAF">
            <w:pPr>
              <w:pStyle w:val="Tablecontents"/>
            </w:pPr>
            <w:r w:rsidRPr="00E3331A">
              <w:t>I median 119 range 70-203</w:t>
            </w:r>
          </w:p>
          <w:p w:rsidR="00464E0A" w:rsidRPr="00E3331A" w:rsidRDefault="00464E0A" w:rsidP="00EC4AAF">
            <w:pPr>
              <w:pStyle w:val="Tablecontents"/>
            </w:pPr>
            <w:r w:rsidRPr="00E3331A">
              <w:lastRenderedPageBreak/>
              <w:t>C: median 110 (range 53-164)</w:t>
            </w:r>
          </w:p>
        </w:tc>
        <w:tc>
          <w:tcPr>
            <w:tcW w:w="537" w:type="pct"/>
            <w:shd w:val="clear" w:color="auto" w:fill="auto"/>
          </w:tcPr>
          <w:p w:rsidR="00464E0A" w:rsidRPr="00E3331A" w:rsidRDefault="00464E0A" w:rsidP="00EC4AAF">
            <w:pPr>
              <w:pStyle w:val="Tablecontents"/>
            </w:pPr>
            <w:r w:rsidRPr="00E3331A">
              <w:lastRenderedPageBreak/>
              <w:t xml:space="preserve">Prednisone 120 mg alternate days tapering over 13 </w:t>
            </w:r>
            <w:r w:rsidRPr="00E3331A">
              <w:lastRenderedPageBreak/>
              <w:t>weeks + azathioprine 2 mg/kg/day</w:t>
            </w:r>
          </w:p>
        </w:tc>
        <w:tc>
          <w:tcPr>
            <w:tcW w:w="626" w:type="pct"/>
            <w:shd w:val="clear" w:color="auto" w:fill="auto"/>
          </w:tcPr>
          <w:p w:rsidR="00464E0A" w:rsidRPr="00E3331A" w:rsidRDefault="00464E0A" w:rsidP="00EC4AAF">
            <w:pPr>
              <w:pStyle w:val="Tablecontents"/>
            </w:pPr>
            <w:r w:rsidRPr="00E3331A">
              <w:lastRenderedPageBreak/>
              <w:t xml:space="preserve">Prednisone 120 mg alternate days </w:t>
            </w:r>
            <w:r w:rsidRPr="00E3331A">
              <w:lastRenderedPageBreak/>
              <w:t>tapering over 13 weeks</w:t>
            </w:r>
          </w:p>
        </w:tc>
        <w:tc>
          <w:tcPr>
            <w:tcW w:w="624" w:type="pct"/>
            <w:shd w:val="clear" w:color="auto" w:fill="auto"/>
          </w:tcPr>
          <w:p w:rsidR="00464E0A" w:rsidRPr="00E3331A" w:rsidRDefault="00464E0A" w:rsidP="00EC4AAF">
            <w:pPr>
              <w:pStyle w:val="Tablecontents"/>
            </w:pPr>
          </w:p>
        </w:tc>
      </w:tr>
      <w:tr w:rsidR="00464E0A" w:rsidRPr="00E3331A" w:rsidTr="00EC4AAF">
        <w:tc>
          <w:tcPr>
            <w:tcW w:w="454" w:type="pct"/>
            <w:shd w:val="clear" w:color="auto" w:fill="auto"/>
          </w:tcPr>
          <w:p w:rsidR="00464E0A" w:rsidRPr="00E3331A" w:rsidRDefault="00464E0A" w:rsidP="00EC4AAF">
            <w:pPr>
              <w:pStyle w:val="Tablecontents"/>
            </w:pPr>
            <w:r w:rsidRPr="00E3331A">
              <w:t>Nobile-Orazio et al. (2012)</w:t>
            </w:r>
          </w:p>
        </w:tc>
        <w:tc>
          <w:tcPr>
            <w:tcW w:w="477" w:type="pct"/>
            <w:shd w:val="clear" w:color="auto" w:fill="auto"/>
          </w:tcPr>
          <w:p w:rsidR="00464E0A" w:rsidRPr="00E3331A" w:rsidRDefault="00464E0A" w:rsidP="00EC4AAF">
            <w:pPr>
              <w:pStyle w:val="Tablecontents"/>
            </w:pPr>
            <w:r w:rsidRPr="00E3331A">
              <w:t>Ig vs St</w:t>
            </w:r>
          </w:p>
        </w:tc>
        <w:tc>
          <w:tcPr>
            <w:tcW w:w="657" w:type="pct"/>
            <w:shd w:val="clear" w:color="auto" w:fill="auto"/>
            <w:vAlign w:val="center"/>
          </w:tcPr>
          <w:p w:rsidR="00464E0A" w:rsidRPr="00E3331A" w:rsidRDefault="00464E0A" w:rsidP="00EC4AAF">
            <w:pPr>
              <w:pStyle w:val="Tablecontents"/>
            </w:pPr>
            <w:r w:rsidRPr="00E3331A">
              <w:t xml:space="preserve">Definite typical </w:t>
            </w:r>
            <w:r w:rsidR="00AB7B11">
              <w:t>CIDP</w:t>
            </w:r>
            <w:r w:rsidRPr="00E3331A">
              <w:t>.</w:t>
            </w:r>
            <w:r w:rsidRPr="00E3331A">
              <w:rPr>
                <w:vertAlign w:val="superscript"/>
              </w:rPr>
              <w:t>C</w:t>
            </w:r>
            <w:r w:rsidRPr="00E3331A">
              <w:t xml:space="preserve"> ONLS or modified Rankin core </w:t>
            </w:r>
            <w:r w:rsidRPr="00E3331A">
              <w:rPr>
                <w:rFonts w:hint="eastAsia"/>
              </w:rPr>
              <w:t>≥</w:t>
            </w:r>
            <w:r w:rsidRPr="00E3331A">
              <w:t xml:space="preserve"> 2. Active or stationary disease phase but not in remission.</w:t>
            </w:r>
          </w:p>
        </w:tc>
        <w:tc>
          <w:tcPr>
            <w:tcW w:w="492" w:type="pct"/>
            <w:shd w:val="clear" w:color="auto" w:fill="auto"/>
          </w:tcPr>
          <w:p w:rsidR="00464E0A" w:rsidRPr="00E3331A" w:rsidRDefault="00464E0A" w:rsidP="00EC4AAF">
            <w:pPr>
              <w:pStyle w:val="Tablecontents"/>
            </w:pPr>
            <w:r w:rsidRPr="00E3331A">
              <w:t>I: n = 24</w:t>
            </w:r>
          </w:p>
          <w:p w:rsidR="00464E0A" w:rsidRPr="00E3331A" w:rsidRDefault="00464E0A" w:rsidP="00EC4AAF">
            <w:pPr>
              <w:pStyle w:val="Tablecontents"/>
            </w:pPr>
            <w:r w:rsidRPr="00E3331A">
              <w:t>C: n = 21</w:t>
            </w:r>
          </w:p>
          <w:p w:rsidR="00464E0A" w:rsidRPr="00E3331A" w:rsidRDefault="00464E0A" w:rsidP="00EC4AAF">
            <w:pPr>
              <w:pStyle w:val="Tablecontents"/>
            </w:pPr>
            <w:r w:rsidRPr="00E3331A">
              <w:t>Age</w:t>
            </w:r>
          </w:p>
          <w:p w:rsidR="00464E0A" w:rsidRPr="00E3331A" w:rsidRDefault="00464E0A" w:rsidP="00EC4AAF">
            <w:pPr>
              <w:pStyle w:val="Tablecontents"/>
            </w:pPr>
            <w:r w:rsidRPr="00E3331A">
              <w:t>I: med 54 range 19-83</w:t>
            </w:r>
          </w:p>
          <w:p w:rsidR="00464E0A" w:rsidRPr="00E3331A" w:rsidRDefault="00464E0A" w:rsidP="00EC4AAF">
            <w:pPr>
              <w:pStyle w:val="Tablecontents"/>
            </w:pPr>
            <w:r w:rsidRPr="00E3331A">
              <w:t>C: med 66 range 39-79</w:t>
            </w:r>
          </w:p>
          <w:p w:rsidR="00464E0A" w:rsidRPr="00E3331A" w:rsidRDefault="00464E0A" w:rsidP="00EC4AAF">
            <w:pPr>
              <w:pStyle w:val="Tablecontents"/>
            </w:pPr>
            <w:r w:rsidRPr="00E3331A">
              <w:t xml:space="preserve">% male </w:t>
            </w:r>
          </w:p>
          <w:p w:rsidR="00464E0A" w:rsidRPr="00E3331A" w:rsidRDefault="00464E0A" w:rsidP="00EC4AAF">
            <w:pPr>
              <w:pStyle w:val="Tablecontents"/>
            </w:pPr>
            <w:r w:rsidRPr="00E3331A">
              <w:t>I: 63%</w:t>
            </w:r>
          </w:p>
          <w:p w:rsidR="00464E0A" w:rsidRPr="00E3331A" w:rsidRDefault="00464E0A" w:rsidP="00EC4AAF">
            <w:pPr>
              <w:pStyle w:val="Tablecontents"/>
            </w:pPr>
            <w:r w:rsidRPr="00E3331A">
              <w:t>C: 71%</w:t>
            </w:r>
          </w:p>
        </w:tc>
        <w:tc>
          <w:tcPr>
            <w:tcW w:w="577" w:type="pct"/>
            <w:shd w:val="clear" w:color="auto" w:fill="auto"/>
          </w:tcPr>
          <w:p w:rsidR="00464E0A" w:rsidRPr="00E3331A" w:rsidRDefault="00464E0A" w:rsidP="00EC4AAF">
            <w:pPr>
              <w:pStyle w:val="Tablecontents"/>
            </w:pPr>
            <w:r w:rsidRPr="00E3331A">
              <w:t>Status: all definite</w:t>
            </w:r>
          </w:p>
          <w:p w:rsidR="00464E0A" w:rsidRPr="00E3331A" w:rsidRDefault="00464E0A" w:rsidP="00EC4AAF">
            <w:pPr>
              <w:pStyle w:val="Tablecontents"/>
            </w:pPr>
            <w:r w:rsidRPr="00E3331A">
              <w:t>Type:</w:t>
            </w:r>
          </w:p>
          <w:p w:rsidR="00464E0A" w:rsidRPr="00E3331A" w:rsidRDefault="00464E0A" w:rsidP="00EC4AAF">
            <w:pPr>
              <w:pStyle w:val="Tablecontents"/>
            </w:pPr>
            <w:r w:rsidRPr="00E3331A">
              <w:t>Progressive 17/45</w:t>
            </w:r>
          </w:p>
          <w:p w:rsidR="00464E0A" w:rsidRPr="00E3331A" w:rsidRDefault="00464E0A" w:rsidP="00EC4AAF">
            <w:pPr>
              <w:pStyle w:val="Tablecontents"/>
            </w:pPr>
            <w:r w:rsidRPr="00E3331A">
              <w:t>Relapsing 18/45</w:t>
            </w:r>
          </w:p>
          <w:p w:rsidR="00464E0A" w:rsidRPr="00E3331A" w:rsidRDefault="00464E0A" w:rsidP="00EC4AAF">
            <w:pPr>
              <w:pStyle w:val="Tablecontents"/>
            </w:pPr>
            <w:r w:rsidRPr="00E3331A">
              <w:t>Time since diagnosis:</w:t>
            </w:r>
          </w:p>
          <w:p w:rsidR="00464E0A" w:rsidRPr="00E3331A" w:rsidRDefault="00464E0A" w:rsidP="00EC4AAF">
            <w:pPr>
              <w:pStyle w:val="Tablecontents"/>
            </w:pPr>
            <w:r w:rsidRPr="00E3331A">
              <w:t>I: Median 4 years range 0-12</w:t>
            </w:r>
          </w:p>
          <w:p w:rsidR="00464E0A" w:rsidRPr="00E3331A" w:rsidRDefault="00464E0A" w:rsidP="00EC4AAF">
            <w:pPr>
              <w:pStyle w:val="Tablecontents"/>
            </w:pPr>
            <w:r w:rsidRPr="00E3331A">
              <w:t>C: Median 6 years range 0-29</w:t>
            </w:r>
          </w:p>
        </w:tc>
        <w:tc>
          <w:tcPr>
            <w:tcW w:w="557" w:type="pct"/>
            <w:shd w:val="clear" w:color="auto" w:fill="auto"/>
          </w:tcPr>
          <w:p w:rsidR="00464E0A" w:rsidRPr="00E3331A" w:rsidRDefault="00464E0A" w:rsidP="00EC4AAF">
            <w:pPr>
              <w:pStyle w:val="Tablecontents"/>
            </w:pPr>
            <w:r w:rsidRPr="00E3331A">
              <w:t>Modified Rankin score</w:t>
            </w:r>
          </w:p>
          <w:p w:rsidR="00464E0A" w:rsidRPr="00E3331A" w:rsidRDefault="00464E0A" w:rsidP="00EC4AAF">
            <w:pPr>
              <w:pStyle w:val="Tablecontents"/>
            </w:pPr>
            <w:r w:rsidRPr="00E3331A">
              <w:t>I median 2 range 1-4</w:t>
            </w:r>
          </w:p>
          <w:p w:rsidR="00464E0A" w:rsidRPr="00E3331A" w:rsidRDefault="00464E0A" w:rsidP="00EC4AAF">
            <w:pPr>
              <w:pStyle w:val="Tablecontents"/>
            </w:pPr>
            <w:r w:rsidRPr="00E3331A">
              <w:t>C: median 3 range 2-5</w:t>
            </w:r>
          </w:p>
          <w:p w:rsidR="00464E0A" w:rsidRPr="00E3331A" w:rsidRDefault="00464E0A" w:rsidP="00EC4AAF">
            <w:pPr>
              <w:pStyle w:val="Tablecontents"/>
            </w:pPr>
            <w:r w:rsidRPr="00E3331A">
              <w:t>ONLS</w:t>
            </w:r>
          </w:p>
          <w:p w:rsidR="00464E0A" w:rsidRPr="00E3331A" w:rsidRDefault="00464E0A" w:rsidP="00EC4AAF">
            <w:pPr>
              <w:pStyle w:val="Tablecontents"/>
            </w:pPr>
            <w:r w:rsidRPr="00E3331A">
              <w:t>I: median 3 range 2-5</w:t>
            </w:r>
          </w:p>
          <w:p w:rsidR="00464E0A" w:rsidRPr="00E3331A" w:rsidRDefault="00464E0A" w:rsidP="00EC4AAF">
            <w:pPr>
              <w:pStyle w:val="Tablecontents"/>
            </w:pPr>
            <w:r w:rsidRPr="00E3331A">
              <w:t>C: median 4 range 2-9</w:t>
            </w:r>
          </w:p>
          <w:p w:rsidR="00464E0A" w:rsidRPr="00E3331A" w:rsidRDefault="00464E0A" w:rsidP="00EC4AAF">
            <w:pPr>
              <w:pStyle w:val="Tablecontents"/>
            </w:pPr>
          </w:p>
        </w:tc>
        <w:tc>
          <w:tcPr>
            <w:tcW w:w="537" w:type="pct"/>
            <w:shd w:val="clear" w:color="auto" w:fill="auto"/>
          </w:tcPr>
          <w:p w:rsidR="00464E0A" w:rsidRPr="00E3331A" w:rsidRDefault="00464E0A" w:rsidP="00EC4AAF">
            <w:pPr>
              <w:pStyle w:val="Tablecontents"/>
            </w:pPr>
            <w:r w:rsidRPr="00E3331A">
              <w:t>IVIg (IgVena, Kedrion, Italy)</w:t>
            </w:r>
          </w:p>
          <w:p w:rsidR="00464E0A" w:rsidRPr="00E3331A" w:rsidRDefault="00464E0A" w:rsidP="00EC4AAF">
            <w:pPr>
              <w:pStyle w:val="Tablecontents"/>
            </w:pPr>
            <w:r w:rsidRPr="00E3331A">
              <w:t>0.5 g/kg/day for 4 consecutive days each month for 6 months</w:t>
            </w:r>
          </w:p>
        </w:tc>
        <w:tc>
          <w:tcPr>
            <w:tcW w:w="626" w:type="pct"/>
            <w:shd w:val="clear" w:color="auto" w:fill="auto"/>
          </w:tcPr>
          <w:p w:rsidR="00464E0A" w:rsidRPr="00E3331A" w:rsidRDefault="00464E0A" w:rsidP="00EC4AAF">
            <w:pPr>
              <w:pStyle w:val="Tablecontents"/>
            </w:pPr>
            <w:r w:rsidRPr="00E3331A">
              <w:t>IV methylprednisolone 0.5g for 4 consecutive days each month for 6 months</w:t>
            </w:r>
          </w:p>
        </w:tc>
        <w:tc>
          <w:tcPr>
            <w:tcW w:w="624" w:type="pct"/>
            <w:shd w:val="clear" w:color="auto" w:fill="auto"/>
          </w:tcPr>
          <w:p w:rsidR="00464E0A" w:rsidRPr="00E3331A" w:rsidRDefault="00464E0A" w:rsidP="00EC4AAF">
            <w:pPr>
              <w:pStyle w:val="Tablecontents"/>
            </w:pPr>
            <w:r w:rsidRPr="00E3331A">
              <w:t xml:space="preserve">High </w:t>
            </w:r>
          </w:p>
          <w:p w:rsidR="00464E0A" w:rsidRPr="00E3331A" w:rsidRDefault="00464E0A" w:rsidP="00EC4AAF">
            <w:pPr>
              <w:pStyle w:val="Tablecontents"/>
            </w:pPr>
            <w:r w:rsidRPr="00E3331A">
              <w:t>52 weeks</w:t>
            </w:r>
          </w:p>
        </w:tc>
      </w:tr>
      <w:tr w:rsidR="00464E0A" w:rsidRPr="00E3331A" w:rsidTr="00EC4AAF">
        <w:tc>
          <w:tcPr>
            <w:tcW w:w="454" w:type="pct"/>
            <w:shd w:val="clear" w:color="auto" w:fill="auto"/>
          </w:tcPr>
          <w:p w:rsidR="00464E0A" w:rsidRPr="00E3331A" w:rsidRDefault="00464E0A" w:rsidP="00EC4AAF">
            <w:pPr>
              <w:pStyle w:val="Tablecontents"/>
            </w:pPr>
            <w:r w:rsidRPr="00E3331A">
              <w:t>Markvardsen et al. (2017) note IVIg vs SCIg</w:t>
            </w:r>
          </w:p>
        </w:tc>
        <w:tc>
          <w:tcPr>
            <w:tcW w:w="477" w:type="pct"/>
            <w:shd w:val="clear" w:color="auto" w:fill="auto"/>
          </w:tcPr>
          <w:p w:rsidR="00464E0A" w:rsidRPr="00E3331A" w:rsidRDefault="00464E0A" w:rsidP="00EC4AAF">
            <w:pPr>
              <w:pStyle w:val="Tablecontents"/>
            </w:pPr>
            <w:r w:rsidRPr="00E3331A">
              <w:t>IVIg vs SCIg</w:t>
            </w:r>
          </w:p>
        </w:tc>
        <w:tc>
          <w:tcPr>
            <w:tcW w:w="657" w:type="pct"/>
            <w:shd w:val="clear" w:color="auto" w:fill="auto"/>
            <w:vAlign w:val="center"/>
          </w:tcPr>
          <w:p w:rsidR="00464E0A" w:rsidRPr="00E3331A" w:rsidRDefault="00464E0A" w:rsidP="00EC4AAF">
            <w:pPr>
              <w:pStyle w:val="Tablecontents"/>
            </w:pPr>
            <w:r w:rsidRPr="00E3331A">
              <w:t>Patients aged 18-80 with definite or pure motor CIDP naïve to immune modulatory therapy and fulfilling EFN/PNS criteria.</w:t>
            </w:r>
          </w:p>
        </w:tc>
        <w:tc>
          <w:tcPr>
            <w:tcW w:w="492" w:type="pct"/>
            <w:shd w:val="clear" w:color="auto" w:fill="auto"/>
          </w:tcPr>
          <w:p w:rsidR="00464E0A" w:rsidRPr="00E3331A" w:rsidRDefault="00464E0A" w:rsidP="00EC4AAF">
            <w:pPr>
              <w:pStyle w:val="Tablecontents"/>
            </w:pPr>
            <w:r w:rsidRPr="00E3331A">
              <w:t>I: n = 10</w:t>
            </w:r>
          </w:p>
          <w:p w:rsidR="00464E0A" w:rsidRPr="00E3331A" w:rsidRDefault="00464E0A" w:rsidP="00EC4AAF">
            <w:pPr>
              <w:pStyle w:val="Tablecontents"/>
            </w:pPr>
            <w:r w:rsidRPr="00E3331A">
              <w:t>C: n = 10</w:t>
            </w:r>
          </w:p>
          <w:p w:rsidR="00464E0A" w:rsidRPr="00E3331A" w:rsidRDefault="00464E0A" w:rsidP="00EC4AAF">
            <w:pPr>
              <w:pStyle w:val="Tablecontents"/>
            </w:pPr>
            <w:r w:rsidRPr="00E3331A">
              <w:t>Age</w:t>
            </w:r>
          </w:p>
          <w:p w:rsidR="00464E0A" w:rsidRPr="00E3331A" w:rsidRDefault="00464E0A" w:rsidP="00EC4AAF">
            <w:pPr>
              <w:pStyle w:val="Tablecontents"/>
              <w:rPr>
                <w:rFonts w:ascii="Calibri" w:hAnsi="Calibri"/>
              </w:rPr>
            </w:pPr>
            <w:r w:rsidRPr="00E3331A">
              <w:t xml:space="preserve">I: 52.3 </w:t>
            </w:r>
            <w:r w:rsidRPr="00E3331A">
              <w:rPr>
                <w:rFonts w:ascii="Calibri" w:hAnsi="Calibri"/>
              </w:rPr>
              <w:t>± 12.8 yrs</w:t>
            </w:r>
          </w:p>
          <w:p w:rsidR="00464E0A" w:rsidRPr="00E3331A" w:rsidRDefault="00464E0A" w:rsidP="00EC4AAF">
            <w:pPr>
              <w:pStyle w:val="Tablecontents"/>
              <w:rPr>
                <w:rFonts w:ascii="Calibri" w:hAnsi="Calibri"/>
              </w:rPr>
            </w:pPr>
            <w:r w:rsidRPr="00E3331A">
              <w:t xml:space="preserve">C: 56.7 </w:t>
            </w:r>
            <w:r w:rsidRPr="00E3331A">
              <w:rPr>
                <w:rFonts w:ascii="Calibri" w:hAnsi="Calibri"/>
              </w:rPr>
              <w:t>± 8.1</w:t>
            </w:r>
          </w:p>
          <w:p w:rsidR="00464E0A" w:rsidRPr="00E3331A" w:rsidRDefault="00464E0A" w:rsidP="00EC4AAF">
            <w:pPr>
              <w:pStyle w:val="Tablecontents"/>
            </w:pPr>
            <w:r w:rsidRPr="00E3331A">
              <w:t>% male</w:t>
            </w:r>
          </w:p>
          <w:p w:rsidR="00464E0A" w:rsidRPr="00E3331A" w:rsidRDefault="00464E0A" w:rsidP="00EC4AAF">
            <w:pPr>
              <w:pStyle w:val="Tablecontents"/>
            </w:pPr>
            <w:r w:rsidRPr="00E3331A">
              <w:t>I: 80%</w:t>
            </w:r>
          </w:p>
          <w:p w:rsidR="00464E0A" w:rsidRPr="00E3331A" w:rsidRDefault="00464E0A" w:rsidP="00EC4AAF">
            <w:pPr>
              <w:pStyle w:val="Tablecontents"/>
            </w:pPr>
            <w:r w:rsidRPr="00E3331A">
              <w:t>C: 90%</w:t>
            </w:r>
          </w:p>
        </w:tc>
        <w:tc>
          <w:tcPr>
            <w:tcW w:w="577" w:type="pct"/>
            <w:shd w:val="clear" w:color="auto" w:fill="auto"/>
          </w:tcPr>
          <w:p w:rsidR="00464E0A" w:rsidRPr="00E3331A" w:rsidRDefault="00464E0A" w:rsidP="00EC4AAF">
            <w:pPr>
              <w:pStyle w:val="Tablecontents"/>
            </w:pPr>
            <w:r w:rsidRPr="00E3331A">
              <w:t>Status: NR</w:t>
            </w:r>
          </w:p>
          <w:p w:rsidR="00464E0A" w:rsidRPr="00E3331A" w:rsidRDefault="00464E0A" w:rsidP="00EC4AAF">
            <w:pPr>
              <w:pStyle w:val="Tablecontents"/>
            </w:pPr>
            <w:r w:rsidRPr="00E3331A">
              <w:t>Type: NR</w:t>
            </w:r>
          </w:p>
          <w:p w:rsidR="00464E0A" w:rsidRPr="00E3331A" w:rsidRDefault="00464E0A" w:rsidP="00EC4AAF">
            <w:pPr>
              <w:pStyle w:val="Tablecontents"/>
            </w:pPr>
            <w:r w:rsidRPr="00E3331A">
              <w:t xml:space="preserve">Time since diagnosis: </w:t>
            </w:r>
          </w:p>
          <w:p w:rsidR="00464E0A" w:rsidRPr="00E3331A" w:rsidRDefault="00464E0A" w:rsidP="00EC4AAF">
            <w:pPr>
              <w:pStyle w:val="Tablecontents"/>
              <w:rPr>
                <w:rFonts w:ascii="Calibri" w:hAnsi="Calibri"/>
              </w:rPr>
            </w:pPr>
            <w:r w:rsidRPr="00E3331A">
              <w:t xml:space="preserve">I: 23 </w:t>
            </w:r>
            <w:r w:rsidRPr="00E3331A">
              <w:rPr>
                <w:rFonts w:ascii="Calibri" w:hAnsi="Calibri"/>
              </w:rPr>
              <w:t>± 20.7</w:t>
            </w:r>
          </w:p>
          <w:p w:rsidR="00464E0A" w:rsidRPr="00E3331A" w:rsidRDefault="00464E0A" w:rsidP="00EC4AAF">
            <w:pPr>
              <w:pStyle w:val="Tablecontents"/>
            </w:pPr>
            <w:r w:rsidRPr="00E3331A">
              <w:t xml:space="preserve">C: 8.5 </w:t>
            </w:r>
            <w:r w:rsidRPr="00E3331A">
              <w:rPr>
                <w:rFonts w:ascii="Calibri" w:hAnsi="Calibri"/>
              </w:rPr>
              <w:t>± 7.3</w:t>
            </w:r>
          </w:p>
          <w:p w:rsidR="00464E0A" w:rsidRPr="00E3331A" w:rsidRDefault="00464E0A" w:rsidP="00EC4AAF">
            <w:pPr>
              <w:pStyle w:val="Tablecontents"/>
            </w:pPr>
          </w:p>
        </w:tc>
        <w:tc>
          <w:tcPr>
            <w:tcW w:w="557" w:type="pct"/>
            <w:shd w:val="clear" w:color="auto" w:fill="auto"/>
          </w:tcPr>
          <w:p w:rsidR="00464E0A" w:rsidRPr="00E3331A" w:rsidRDefault="00464E0A" w:rsidP="00EC4AAF">
            <w:pPr>
              <w:pStyle w:val="Tablecontents"/>
            </w:pPr>
            <w:r w:rsidRPr="00E3331A">
              <w:t>MRC</w:t>
            </w:r>
          </w:p>
          <w:p w:rsidR="00464E0A" w:rsidRPr="00E3331A" w:rsidRDefault="00464E0A" w:rsidP="00EC4AAF">
            <w:pPr>
              <w:pStyle w:val="Tablecontents"/>
              <w:rPr>
                <w:rFonts w:ascii="Calibri" w:hAnsi="Calibri"/>
              </w:rPr>
            </w:pPr>
            <w:r w:rsidRPr="00E3331A">
              <w:t xml:space="preserve">I: 84.0 </w:t>
            </w:r>
            <w:r w:rsidRPr="00E3331A">
              <w:rPr>
                <w:rFonts w:ascii="Calibri" w:hAnsi="Calibri"/>
              </w:rPr>
              <w:t xml:space="preserve">± 5.3 </w:t>
            </w:r>
          </w:p>
          <w:p w:rsidR="00464E0A" w:rsidRPr="00E3331A" w:rsidRDefault="00464E0A" w:rsidP="00EC4AAF">
            <w:pPr>
              <w:pStyle w:val="Tablecontents"/>
              <w:rPr>
                <w:rFonts w:ascii="Calibri" w:hAnsi="Calibri"/>
              </w:rPr>
            </w:pPr>
            <w:r w:rsidRPr="00E3331A">
              <w:t xml:space="preserve">C:83.9 </w:t>
            </w:r>
            <w:r w:rsidRPr="00E3331A">
              <w:rPr>
                <w:rFonts w:ascii="Calibri" w:hAnsi="Calibri"/>
              </w:rPr>
              <w:t>± 5.1</w:t>
            </w:r>
          </w:p>
          <w:p w:rsidR="00464E0A" w:rsidRPr="00E3331A" w:rsidRDefault="00464E0A" w:rsidP="00EC4AAF">
            <w:pPr>
              <w:pStyle w:val="Tablecontents"/>
            </w:pPr>
            <w:r w:rsidRPr="00E3331A">
              <w:t>ODSS</w:t>
            </w:r>
          </w:p>
          <w:p w:rsidR="00464E0A" w:rsidRPr="00E3331A" w:rsidRDefault="00464E0A" w:rsidP="00EC4AAF">
            <w:pPr>
              <w:pStyle w:val="Tablecontents"/>
              <w:rPr>
                <w:rFonts w:ascii="Calibri" w:hAnsi="Calibri"/>
              </w:rPr>
            </w:pPr>
            <w:r w:rsidRPr="00E3331A">
              <w:t xml:space="preserve">I: 3.5 </w:t>
            </w:r>
            <w:r w:rsidRPr="00E3331A">
              <w:rPr>
                <w:rFonts w:ascii="Calibri" w:hAnsi="Calibri"/>
              </w:rPr>
              <w:t>± 1.4</w:t>
            </w:r>
          </w:p>
          <w:p w:rsidR="00464E0A" w:rsidRPr="00E3331A" w:rsidRDefault="00464E0A" w:rsidP="00EC4AAF">
            <w:pPr>
              <w:pStyle w:val="Tablecontents"/>
            </w:pPr>
            <w:r w:rsidRPr="00E3331A">
              <w:t xml:space="preserve">C: 3.5 </w:t>
            </w:r>
            <w:r w:rsidRPr="00E3331A">
              <w:rPr>
                <w:rFonts w:ascii="Calibri" w:hAnsi="Calibri"/>
              </w:rPr>
              <w:t>± 1.6</w:t>
            </w:r>
          </w:p>
        </w:tc>
        <w:tc>
          <w:tcPr>
            <w:tcW w:w="537" w:type="pct"/>
            <w:shd w:val="clear" w:color="auto" w:fill="auto"/>
          </w:tcPr>
          <w:p w:rsidR="00464E0A" w:rsidRPr="00E3331A" w:rsidRDefault="00464E0A" w:rsidP="00EC4AAF">
            <w:pPr>
              <w:pStyle w:val="Tablecontents"/>
            </w:pPr>
            <w:r w:rsidRPr="00E3331A">
              <w:t>IVIg (Privigen, CSL Behring) 2g/kg for 5 days</w:t>
            </w:r>
          </w:p>
        </w:tc>
        <w:tc>
          <w:tcPr>
            <w:tcW w:w="626" w:type="pct"/>
            <w:shd w:val="clear" w:color="auto" w:fill="auto"/>
          </w:tcPr>
          <w:p w:rsidR="00464E0A" w:rsidRPr="00E3331A" w:rsidRDefault="00464E0A" w:rsidP="00EC4AAF">
            <w:pPr>
              <w:pStyle w:val="Tablecontents"/>
            </w:pPr>
            <w:r w:rsidRPr="00E3331A">
              <w:t>(Hizentra, CSL Behring, Sockholm, Sweden) 0.4 g/kg delivered in 2-3 infusion weekly weekly for 5 weeks</w:t>
            </w:r>
          </w:p>
        </w:tc>
        <w:tc>
          <w:tcPr>
            <w:tcW w:w="624" w:type="pct"/>
            <w:shd w:val="clear" w:color="auto" w:fill="auto"/>
          </w:tcPr>
          <w:p w:rsidR="00464E0A" w:rsidRPr="00E3331A" w:rsidRDefault="00464E0A" w:rsidP="00EC4AAF">
            <w:pPr>
              <w:pStyle w:val="Tablecontents"/>
            </w:pPr>
          </w:p>
        </w:tc>
      </w:tr>
      <w:tr w:rsidR="00464E0A" w:rsidRPr="00E3331A" w:rsidTr="00EC4AAF">
        <w:tc>
          <w:tcPr>
            <w:tcW w:w="454" w:type="pct"/>
            <w:shd w:val="clear" w:color="auto" w:fill="auto"/>
          </w:tcPr>
          <w:p w:rsidR="00464E0A" w:rsidRPr="00E3331A" w:rsidRDefault="00464E0A" w:rsidP="00EC4AAF">
            <w:pPr>
              <w:pStyle w:val="Tablecontents"/>
            </w:pPr>
            <w:r w:rsidRPr="00E3331A">
              <w:t>Studies investigating maintenance of treatment</w:t>
            </w:r>
          </w:p>
        </w:tc>
        <w:tc>
          <w:tcPr>
            <w:tcW w:w="477" w:type="pct"/>
            <w:shd w:val="clear" w:color="auto" w:fill="auto"/>
          </w:tcPr>
          <w:p w:rsidR="00464E0A" w:rsidRPr="00E3331A" w:rsidRDefault="00464E0A" w:rsidP="00EC4AAF">
            <w:pPr>
              <w:pStyle w:val="Tablecontents"/>
            </w:pPr>
          </w:p>
        </w:tc>
        <w:tc>
          <w:tcPr>
            <w:tcW w:w="657" w:type="pct"/>
            <w:shd w:val="clear" w:color="auto" w:fill="auto"/>
          </w:tcPr>
          <w:p w:rsidR="00464E0A" w:rsidRPr="00E3331A" w:rsidRDefault="00464E0A" w:rsidP="00EC4AAF">
            <w:pPr>
              <w:pStyle w:val="Tablecontents"/>
            </w:pPr>
          </w:p>
        </w:tc>
        <w:tc>
          <w:tcPr>
            <w:tcW w:w="492" w:type="pct"/>
            <w:shd w:val="clear" w:color="auto" w:fill="auto"/>
          </w:tcPr>
          <w:p w:rsidR="00464E0A" w:rsidRPr="00E3331A" w:rsidRDefault="00464E0A" w:rsidP="00EC4AAF">
            <w:pPr>
              <w:pStyle w:val="Tablecontents"/>
            </w:pPr>
            <w:r w:rsidRPr="00E3331A">
              <w:t xml:space="preserve">I: </w:t>
            </w:r>
          </w:p>
        </w:tc>
        <w:tc>
          <w:tcPr>
            <w:tcW w:w="577" w:type="pct"/>
            <w:shd w:val="clear" w:color="auto" w:fill="auto"/>
          </w:tcPr>
          <w:p w:rsidR="00464E0A" w:rsidRPr="00E3331A" w:rsidRDefault="00464E0A" w:rsidP="00EC4AAF">
            <w:pPr>
              <w:pStyle w:val="Tablecontents"/>
            </w:pPr>
          </w:p>
        </w:tc>
        <w:tc>
          <w:tcPr>
            <w:tcW w:w="557" w:type="pct"/>
            <w:shd w:val="clear" w:color="auto" w:fill="auto"/>
          </w:tcPr>
          <w:p w:rsidR="00464E0A" w:rsidRPr="00E3331A" w:rsidRDefault="00464E0A" w:rsidP="00EC4AAF">
            <w:pPr>
              <w:pStyle w:val="Tablecontents"/>
            </w:pPr>
          </w:p>
        </w:tc>
        <w:tc>
          <w:tcPr>
            <w:tcW w:w="537" w:type="pct"/>
            <w:shd w:val="clear" w:color="auto" w:fill="auto"/>
          </w:tcPr>
          <w:p w:rsidR="00464E0A" w:rsidRPr="00E3331A" w:rsidRDefault="00464E0A" w:rsidP="00EC4AAF">
            <w:pPr>
              <w:pStyle w:val="Tablecontents"/>
            </w:pPr>
          </w:p>
        </w:tc>
        <w:tc>
          <w:tcPr>
            <w:tcW w:w="626" w:type="pct"/>
            <w:shd w:val="clear" w:color="auto" w:fill="auto"/>
          </w:tcPr>
          <w:p w:rsidR="00464E0A" w:rsidRPr="00E3331A" w:rsidRDefault="00464E0A" w:rsidP="00EC4AAF">
            <w:pPr>
              <w:pStyle w:val="Tablecontents"/>
            </w:pPr>
          </w:p>
        </w:tc>
        <w:tc>
          <w:tcPr>
            <w:tcW w:w="624" w:type="pct"/>
            <w:shd w:val="clear" w:color="auto" w:fill="auto"/>
          </w:tcPr>
          <w:p w:rsidR="00464E0A" w:rsidRPr="00E3331A" w:rsidRDefault="00464E0A" w:rsidP="00EC4AAF">
            <w:pPr>
              <w:pStyle w:val="Tablecontents"/>
            </w:pPr>
          </w:p>
        </w:tc>
      </w:tr>
      <w:tr w:rsidR="00464E0A" w:rsidRPr="00E3331A" w:rsidTr="00EC4AAF">
        <w:tc>
          <w:tcPr>
            <w:tcW w:w="454" w:type="pct"/>
            <w:shd w:val="clear" w:color="auto" w:fill="auto"/>
          </w:tcPr>
          <w:p w:rsidR="00464E0A" w:rsidRPr="00E3331A" w:rsidRDefault="00464E0A" w:rsidP="00EC4AAF">
            <w:pPr>
              <w:pStyle w:val="Tablecontents"/>
            </w:pPr>
            <w:r w:rsidRPr="00E3331A">
              <w:lastRenderedPageBreak/>
              <w:t>Kuitwaard et al. (2010)</w:t>
            </w:r>
          </w:p>
        </w:tc>
        <w:tc>
          <w:tcPr>
            <w:tcW w:w="477" w:type="pct"/>
            <w:shd w:val="clear" w:color="auto" w:fill="auto"/>
          </w:tcPr>
          <w:p w:rsidR="00464E0A" w:rsidRPr="00E3331A" w:rsidRDefault="00464E0A" w:rsidP="00EC4AAF">
            <w:pPr>
              <w:pStyle w:val="Tablecontents"/>
            </w:pPr>
            <w:r w:rsidRPr="00E3331A">
              <w:t>Ig vs Ig</w:t>
            </w:r>
          </w:p>
        </w:tc>
        <w:tc>
          <w:tcPr>
            <w:tcW w:w="657" w:type="pct"/>
            <w:shd w:val="clear" w:color="auto" w:fill="auto"/>
          </w:tcPr>
          <w:p w:rsidR="00464E0A" w:rsidRPr="00E3331A" w:rsidRDefault="00464E0A" w:rsidP="00EC4AAF">
            <w:pPr>
              <w:pStyle w:val="Tablecontents"/>
            </w:pPr>
            <w:r w:rsidRPr="00E3331A">
              <w:t xml:space="preserve">Patients aged </w:t>
            </w:r>
            <w:r w:rsidRPr="00E3331A">
              <w:rPr>
                <w:rFonts w:hint="eastAsia"/>
              </w:rPr>
              <w:t>≥</w:t>
            </w:r>
            <w:r w:rsidRPr="00E3331A">
              <w:t xml:space="preserve"> 18 with CIDP</w:t>
            </w:r>
            <w:r w:rsidRPr="00E3331A">
              <w:rPr>
                <w:vertAlign w:val="superscript"/>
              </w:rPr>
              <w:t>A</w:t>
            </w:r>
            <w:r w:rsidRPr="00E3331A">
              <w:t xml:space="preserve"> observed and documented improvement of muscle function after first use of Gammagard S/D; ODSS ≥ 2 or MRC grade ≤ 4 before start of trial or following reduction of IVIg dose within last 12 months. Ongoing intermittent treatment with Gammagard leads to stable condition; stable does for last 8 weeks.</w:t>
            </w:r>
          </w:p>
        </w:tc>
        <w:tc>
          <w:tcPr>
            <w:tcW w:w="492" w:type="pct"/>
            <w:shd w:val="clear" w:color="auto" w:fill="auto"/>
          </w:tcPr>
          <w:p w:rsidR="00464E0A" w:rsidRPr="00E3331A" w:rsidRDefault="00464E0A" w:rsidP="00EC4AAF">
            <w:pPr>
              <w:pStyle w:val="Tablecontents"/>
            </w:pPr>
            <w:r w:rsidRPr="00E3331A">
              <w:t>I: n = 13</w:t>
            </w:r>
          </w:p>
          <w:p w:rsidR="00464E0A" w:rsidRPr="00E3331A" w:rsidRDefault="00464E0A" w:rsidP="00EC4AAF">
            <w:pPr>
              <w:pStyle w:val="Tablecontents"/>
            </w:pPr>
            <w:r w:rsidRPr="00E3331A">
              <w:t>C: n = 14</w:t>
            </w:r>
          </w:p>
          <w:p w:rsidR="00464E0A" w:rsidRPr="00E3331A" w:rsidRDefault="00464E0A" w:rsidP="00EC4AAF">
            <w:pPr>
              <w:pStyle w:val="Tablecontents"/>
            </w:pPr>
            <w:r w:rsidRPr="00E3331A">
              <w:t>Age</w:t>
            </w:r>
          </w:p>
          <w:p w:rsidR="00464E0A" w:rsidRPr="00E3331A" w:rsidRDefault="00464E0A" w:rsidP="00EC4AAF">
            <w:pPr>
              <w:pStyle w:val="Tablecontents"/>
              <w:rPr>
                <w:rFonts w:ascii="Calibri" w:hAnsi="Calibri"/>
              </w:rPr>
            </w:pPr>
            <w:r w:rsidRPr="00E3331A">
              <w:t xml:space="preserve">I: 54 </w:t>
            </w:r>
            <w:r w:rsidRPr="00E3331A">
              <w:rPr>
                <w:rFonts w:ascii="Calibri" w:hAnsi="Calibri"/>
              </w:rPr>
              <w:t>± 12 yrs</w:t>
            </w:r>
          </w:p>
          <w:p w:rsidR="00464E0A" w:rsidRPr="00E3331A" w:rsidRDefault="00464E0A" w:rsidP="00EC4AAF">
            <w:pPr>
              <w:pStyle w:val="Tablecontents"/>
              <w:rPr>
                <w:rFonts w:ascii="Calibri" w:hAnsi="Calibri"/>
              </w:rPr>
            </w:pPr>
            <w:r w:rsidRPr="00E3331A">
              <w:t xml:space="preserve">C: 54.6 </w:t>
            </w:r>
            <w:r w:rsidRPr="00E3331A">
              <w:rPr>
                <w:rFonts w:ascii="Calibri" w:hAnsi="Calibri"/>
              </w:rPr>
              <w:t>± 13.8</w:t>
            </w:r>
          </w:p>
          <w:p w:rsidR="00464E0A" w:rsidRPr="00E3331A" w:rsidRDefault="00464E0A" w:rsidP="00EC4AAF">
            <w:pPr>
              <w:pStyle w:val="Tablecontents"/>
            </w:pPr>
            <w:r w:rsidRPr="00E3331A">
              <w:t>% male</w:t>
            </w:r>
          </w:p>
          <w:p w:rsidR="00464E0A" w:rsidRPr="00E3331A" w:rsidRDefault="00464E0A" w:rsidP="00EC4AAF">
            <w:pPr>
              <w:pStyle w:val="Tablecontents"/>
            </w:pPr>
            <w:r w:rsidRPr="00E3331A">
              <w:t>I: 62%</w:t>
            </w:r>
          </w:p>
          <w:p w:rsidR="00464E0A" w:rsidRPr="00E3331A" w:rsidRDefault="00464E0A" w:rsidP="00EC4AAF">
            <w:pPr>
              <w:pStyle w:val="Tablecontents"/>
            </w:pPr>
            <w:r w:rsidRPr="00E3331A">
              <w:t>C: 86%</w:t>
            </w:r>
          </w:p>
        </w:tc>
        <w:tc>
          <w:tcPr>
            <w:tcW w:w="577" w:type="pct"/>
            <w:shd w:val="clear" w:color="auto" w:fill="auto"/>
          </w:tcPr>
          <w:p w:rsidR="00464E0A" w:rsidRPr="00E3331A" w:rsidRDefault="00464E0A" w:rsidP="00EC4AAF">
            <w:pPr>
              <w:pStyle w:val="Tablecontents"/>
            </w:pPr>
            <w:r w:rsidRPr="00E3331A">
              <w:t>Status: NR</w:t>
            </w:r>
          </w:p>
          <w:p w:rsidR="00464E0A" w:rsidRPr="00E3331A" w:rsidRDefault="00464E0A" w:rsidP="00EC4AAF">
            <w:pPr>
              <w:pStyle w:val="Tablecontents"/>
            </w:pPr>
            <w:r w:rsidRPr="00E3331A">
              <w:t>Type: NR</w:t>
            </w:r>
          </w:p>
          <w:p w:rsidR="00464E0A" w:rsidRPr="00E3331A" w:rsidRDefault="00464E0A" w:rsidP="00EC4AAF">
            <w:pPr>
              <w:pStyle w:val="Tablecontents"/>
            </w:pPr>
            <w:r w:rsidRPr="00E3331A">
              <w:t xml:space="preserve">Time since diagnosis: </w:t>
            </w:r>
          </w:p>
          <w:p w:rsidR="00464E0A" w:rsidRPr="00E3331A" w:rsidRDefault="00464E0A" w:rsidP="00EC4AAF">
            <w:pPr>
              <w:pStyle w:val="Tablecontents"/>
            </w:pPr>
            <w:r w:rsidRPr="00E3331A">
              <w:t>NR</w:t>
            </w:r>
          </w:p>
          <w:p w:rsidR="00464E0A" w:rsidRPr="00E3331A" w:rsidRDefault="00464E0A" w:rsidP="00EC4AAF">
            <w:pPr>
              <w:pStyle w:val="Tablecontents"/>
            </w:pPr>
            <w:r w:rsidRPr="00E3331A">
              <w:t>Current treatment:</w:t>
            </w:r>
          </w:p>
          <w:p w:rsidR="00464E0A" w:rsidRPr="00E3331A" w:rsidRDefault="00464E0A" w:rsidP="00EC4AAF">
            <w:pPr>
              <w:pStyle w:val="Tablecontents"/>
            </w:pPr>
            <w:r w:rsidRPr="00E3331A">
              <w:t>Ig (mean 5 years, range 5 months – 13 years)</w:t>
            </w:r>
          </w:p>
        </w:tc>
        <w:tc>
          <w:tcPr>
            <w:tcW w:w="557" w:type="pct"/>
            <w:shd w:val="clear" w:color="auto" w:fill="auto"/>
          </w:tcPr>
          <w:p w:rsidR="00464E0A" w:rsidRPr="00E3331A" w:rsidRDefault="00464E0A" w:rsidP="00EC4AAF">
            <w:pPr>
              <w:pStyle w:val="Tablecontents"/>
            </w:pPr>
            <w:r w:rsidRPr="00E3331A">
              <w:t>MRC</w:t>
            </w:r>
          </w:p>
          <w:p w:rsidR="00464E0A" w:rsidRPr="00E3331A" w:rsidRDefault="00464E0A" w:rsidP="00EC4AAF">
            <w:pPr>
              <w:pStyle w:val="Tablecontents"/>
              <w:rPr>
                <w:rFonts w:ascii="Calibri" w:hAnsi="Calibri"/>
              </w:rPr>
            </w:pPr>
            <w:r w:rsidRPr="00E3331A">
              <w:t xml:space="preserve">I: 53.6 </w:t>
            </w:r>
            <w:r w:rsidRPr="00E3331A">
              <w:rPr>
                <w:rFonts w:ascii="Calibri" w:hAnsi="Calibri"/>
              </w:rPr>
              <w:t xml:space="preserve">± 4.4 </w:t>
            </w:r>
          </w:p>
          <w:p w:rsidR="00464E0A" w:rsidRPr="00E3331A" w:rsidRDefault="00464E0A" w:rsidP="00EC4AAF">
            <w:pPr>
              <w:pStyle w:val="Tablecontents"/>
              <w:rPr>
                <w:rFonts w:ascii="Calibri" w:hAnsi="Calibri"/>
              </w:rPr>
            </w:pPr>
            <w:r w:rsidRPr="00E3331A">
              <w:t xml:space="preserve">C:54.6 </w:t>
            </w:r>
            <w:r w:rsidRPr="00E3331A">
              <w:rPr>
                <w:rFonts w:ascii="Calibri" w:hAnsi="Calibri"/>
              </w:rPr>
              <w:t>± 3.4</w:t>
            </w:r>
          </w:p>
          <w:p w:rsidR="00464E0A" w:rsidRPr="00E3331A" w:rsidRDefault="00464E0A" w:rsidP="00EC4AAF">
            <w:pPr>
              <w:pStyle w:val="Tablecontents"/>
            </w:pPr>
            <w:r w:rsidRPr="00E3331A">
              <w:t>ODSS</w:t>
            </w:r>
          </w:p>
          <w:p w:rsidR="00464E0A" w:rsidRPr="00E3331A" w:rsidRDefault="00464E0A" w:rsidP="00EC4AAF">
            <w:pPr>
              <w:pStyle w:val="Tablecontents"/>
              <w:rPr>
                <w:rFonts w:ascii="Calibri" w:hAnsi="Calibri"/>
              </w:rPr>
            </w:pPr>
            <w:r w:rsidRPr="00E3331A">
              <w:t>I: median 3.0 range 0-7</w:t>
            </w:r>
          </w:p>
          <w:p w:rsidR="00464E0A" w:rsidRPr="00E3331A" w:rsidRDefault="00464E0A" w:rsidP="00EC4AAF">
            <w:pPr>
              <w:pStyle w:val="Tablecontents"/>
            </w:pPr>
            <w:r w:rsidRPr="00E3331A">
              <w:t>C: median 3.7 range 1-5</w:t>
            </w:r>
          </w:p>
        </w:tc>
        <w:tc>
          <w:tcPr>
            <w:tcW w:w="537" w:type="pct"/>
            <w:shd w:val="clear" w:color="auto" w:fill="auto"/>
          </w:tcPr>
          <w:p w:rsidR="00464E0A" w:rsidRPr="00E3331A" w:rsidRDefault="00464E0A" w:rsidP="00EC4AAF">
            <w:pPr>
              <w:pStyle w:val="Tablecontents"/>
            </w:pPr>
            <w:r w:rsidRPr="00E3331A">
              <w:t>IVIg (Gammagard S/D, Baxter AG, Vienna, Austria, 5% (50g/l) freeze dried)</w:t>
            </w:r>
          </w:p>
          <w:p w:rsidR="00464E0A" w:rsidRPr="00E3331A" w:rsidRDefault="00464E0A" w:rsidP="00EC4AAF">
            <w:pPr>
              <w:pStyle w:val="Tablecontents"/>
            </w:pPr>
            <w:r w:rsidRPr="00E3331A">
              <w:t xml:space="preserve">Dose: 8-30 g per week, mean interval 18.8 days </w:t>
            </w:r>
            <w:r w:rsidRPr="00E3331A">
              <w:rPr>
                <w:rFonts w:ascii="Calibri" w:hAnsi="Calibri"/>
              </w:rPr>
              <w:t>± 5.3 days</w:t>
            </w:r>
          </w:p>
        </w:tc>
        <w:tc>
          <w:tcPr>
            <w:tcW w:w="626" w:type="pct"/>
            <w:shd w:val="clear" w:color="auto" w:fill="auto"/>
          </w:tcPr>
          <w:p w:rsidR="00464E0A" w:rsidRPr="00E3331A" w:rsidRDefault="00464E0A" w:rsidP="00EC4AAF">
            <w:pPr>
              <w:pStyle w:val="Tablecontents"/>
            </w:pPr>
            <w:r w:rsidRPr="00E3331A">
              <w:t>IVIg (Koivig, Baxter AG, Vienna, 10% 10g/l liquid)</w:t>
            </w:r>
          </w:p>
          <w:p w:rsidR="00464E0A" w:rsidRPr="00E3331A" w:rsidRDefault="00464E0A" w:rsidP="00EC4AAF">
            <w:pPr>
              <w:pStyle w:val="Tablecontents"/>
            </w:pPr>
            <w:r w:rsidRPr="00E3331A">
              <w:t xml:space="preserve">Dose: 10-38 g per week, mean interval 15.5 days </w:t>
            </w:r>
            <w:r w:rsidRPr="00E3331A">
              <w:rPr>
                <w:rFonts w:ascii="Calibri" w:hAnsi="Calibri"/>
              </w:rPr>
              <w:t>± 4.1 days</w:t>
            </w:r>
          </w:p>
        </w:tc>
        <w:tc>
          <w:tcPr>
            <w:tcW w:w="624" w:type="pct"/>
            <w:shd w:val="clear" w:color="auto" w:fill="auto"/>
          </w:tcPr>
          <w:p w:rsidR="00464E0A" w:rsidRPr="00E3331A" w:rsidRDefault="00464E0A" w:rsidP="00EC4AAF">
            <w:pPr>
              <w:pStyle w:val="Tablecontents"/>
            </w:pPr>
          </w:p>
        </w:tc>
      </w:tr>
      <w:tr w:rsidR="00464E0A" w:rsidRPr="00E3331A" w:rsidTr="00EC4AAF">
        <w:tc>
          <w:tcPr>
            <w:tcW w:w="454" w:type="pct"/>
            <w:shd w:val="clear" w:color="auto" w:fill="auto"/>
          </w:tcPr>
          <w:p w:rsidR="00464E0A" w:rsidRPr="00E3331A" w:rsidRDefault="00464E0A" w:rsidP="00EC4AAF">
            <w:pPr>
              <w:pStyle w:val="Tablecontents"/>
            </w:pPr>
            <w:r w:rsidRPr="00E3331A">
              <w:t>van Schaik et al. (2018)</w:t>
            </w:r>
          </w:p>
        </w:tc>
        <w:tc>
          <w:tcPr>
            <w:tcW w:w="477" w:type="pct"/>
            <w:shd w:val="clear" w:color="auto" w:fill="auto"/>
          </w:tcPr>
          <w:p w:rsidR="00464E0A" w:rsidRPr="00E3331A" w:rsidRDefault="00464E0A" w:rsidP="00EC4AAF">
            <w:pPr>
              <w:pStyle w:val="Tablecontents"/>
            </w:pPr>
            <w:r w:rsidRPr="00E3331A">
              <w:t>Ig vs Pl</w:t>
            </w:r>
          </w:p>
        </w:tc>
        <w:tc>
          <w:tcPr>
            <w:tcW w:w="657" w:type="pct"/>
            <w:shd w:val="clear" w:color="auto" w:fill="auto"/>
            <w:vAlign w:val="center"/>
          </w:tcPr>
          <w:p w:rsidR="00464E0A" w:rsidRPr="00E3331A" w:rsidRDefault="00464E0A" w:rsidP="00EC4AAF">
            <w:pPr>
              <w:pStyle w:val="Tablecontents"/>
            </w:pPr>
            <w:r w:rsidRPr="00E3331A">
              <w:t>Patients aged 18 year and over, definite or probable CIDP.</w:t>
            </w:r>
            <w:r w:rsidRPr="00E3331A">
              <w:rPr>
                <w:vertAlign w:val="superscript"/>
              </w:rPr>
              <w:t>C</w:t>
            </w:r>
            <w:r w:rsidRPr="00E3331A">
              <w:t xml:space="preserve"> Last IVIg treatment within 8 weeks of study; Ig</w:t>
            </w:r>
            <w:r w:rsidR="000C0E99">
              <w:t>-</w:t>
            </w:r>
            <w:r w:rsidRPr="00E3331A">
              <w:t>dependent disease.</w:t>
            </w:r>
          </w:p>
        </w:tc>
        <w:tc>
          <w:tcPr>
            <w:tcW w:w="492" w:type="pct"/>
            <w:shd w:val="clear" w:color="auto" w:fill="auto"/>
          </w:tcPr>
          <w:p w:rsidR="00464E0A" w:rsidRPr="00E3331A" w:rsidRDefault="00464E0A" w:rsidP="00EC4AAF">
            <w:pPr>
              <w:pStyle w:val="Tablecontents"/>
            </w:pPr>
            <w:r w:rsidRPr="00E3331A">
              <w:t>I1: n = 57</w:t>
            </w:r>
          </w:p>
          <w:p w:rsidR="00464E0A" w:rsidRPr="00E3331A" w:rsidRDefault="00464E0A" w:rsidP="00EC4AAF">
            <w:pPr>
              <w:pStyle w:val="Tablecontents"/>
            </w:pPr>
            <w:r w:rsidRPr="00E3331A">
              <w:t>I2: n = 58</w:t>
            </w:r>
          </w:p>
          <w:p w:rsidR="00464E0A" w:rsidRPr="00E3331A" w:rsidRDefault="00464E0A" w:rsidP="00EC4AAF">
            <w:pPr>
              <w:pStyle w:val="Tablecontents"/>
            </w:pPr>
            <w:r w:rsidRPr="00E3331A">
              <w:t>C: n = 57</w:t>
            </w:r>
          </w:p>
          <w:p w:rsidR="00464E0A" w:rsidRPr="00E3331A" w:rsidRDefault="00464E0A" w:rsidP="00EC4AAF">
            <w:pPr>
              <w:pStyle w:val="Tablecontents"/>
            </w:pPr>
            <w:r w:rsidRPr="00E3331A">
              <w:t>Age: median (IQR)</w:t>
            </w:r>
          </w:p>
          <w:p w:rsidR="00464E0A" w:rsidRPr="00E3331A" w:rsidRDefault="00464E0A" w:rsidP="00EC4AAF">
            <w:pPr>
              <w:pStyle w:val="Tablecontents"/>
            </w:pPr>
            <w:r w:rsidRPr="00E3331A">
              <w:t>I1: 58.9 (50.5-66.5)</w:t>
            </w:r>
          </w:p>
          <w:p w:rsidR="00464E0A" w:rsidRPr="00E3331A" w:rsidRDefault="00464E0A" w:rsidP="00EC4AAF">
            <w:pPr>
              <w:pStyle w:val="Tablecontents"/>
            </w:pPr>
            <w:r w:rsidRPr="00E3331A">
              <w:t>I2:55.2 (49.2-66.4)</w:t>
            </w:r>
          </w:p>
          <w:p w:rsidR="00464E0A" w:rsidRPr="00E3331A" w:rsidRDefault="00464E0A" w:rsidP="00EC4AAF">
            <w:pPr>
              <w:pStyle w:val="Tablecontents"/>
            </w:pPr>
            <w:r w:rsidRPr="00E3331A">
              <w:t>C: 57.6 (46.7-56.9)</w:t>
            </w:r>
          </w:p>
          <w:p w:rsidR="00464E0A" w:rsidRPr="00E3331A" w:rsidRDefault="00464E0A" w:rsidP="00EC4AAF">
            <w:pPr>
              <w:pStyle w:val="Tablecontents"/>
            </w:pPr>
            <w:r w:rsidRPr="00E3331A">
              <w:t>% male</w:t>
            </w:r>
          </w:p>
          <w:p w:rsidR="00464E0A" w:rsidRPr="00E3331A" w:rsidRDefault="00464E0A" w:rsidP="00EC4AAF">
            <w:pPr>
              <w:pStyle w:val="Tablecontents"/>
            </w:pPr>
            <w:r w:rsidRPr="00E3331A">
              <w:t>I1: 74%</w:t>
            </w:r>
          </w:p>
          <w:p w:rsidR="00464E0A" w:rsidRPr="00E3331A" w:rsidRDefault="00464E0A" w:rsidP="00EC4AAF">
            <w:pPr>
              <w:pStyle w:val="Tablecontents"/>
            </w:pPr>
            <w:r w:rsidRPr="00E3331A">
              <w:t>I2: 53%</w:t>
            </w:r>
          </w:p>
          <w:p w:rsidR="00464E0A" w:rsidRPr="00E3331A" w:rsidRDefault="00464E0A" w:rsidP="00EC4AAF">
            <w:pPr>
              <w:pStyle w:val="Tablecontents"/>
            </w:pPr>
            <w:r w:rsidRPr="00E3331A">
              <w:t>C: 65%</w:t>
            </w:r>
          </w:p>
        </w:tc>
        <w:tc>
          <w:tcPr>
            <w:tcW w:w="577" w:type="pct"/>
            <w:shd w:val="clear" w:color="auto" w:fill="auto"/>
          </w:tcPr>
          <w:p w:rsidR="00464E0A" w:rsidRPr="00E3331A" w:rsidRDefault="00464E0A" w:rsidP="00EC4AAF">
            <w:pPr>
              <w:pStyle w:val="Tablecontents"/>
            </w:pPr>
            <w:r w:rsidRPr="00E3331A">
              <w:t xml:space="preserve">Status: </w:t>
            </w:r>
          </w:p>
          <w:p w:rsidR="00464E0A" w:rsidRPr="00E3331A" w:rsidRDefault="00464E0A" w:rsidP="00EC4AAF">
            <w:pPr>
              <w:pStyle w:val="Tablecontents"/>
            </w:pPr>
            <w:r w:rsidRPr="00E3331A">
              <w:t>Definite vs probable</w:t>
            </w:r>
          </w:p>
          <w:p w:rsidR="00464E0A" w:rsidRPr="00E3331A" w:rsidRDefault="00464E0A" w:rsidP="00EC4AAF">
            <w:pPr>
              <w:pStyle w:val="Tablecontents"/>
            </w:pPr>
            <w:r w:rsidRPr="00E3331A">
              <w:t>I1: 98% vs 11%</w:t>
            </w:r>
          </w:p>
          <w:p w:rsidR="00464E0A" w:rsidRPr="00E3331A" w:rsidRDefault="00464E0A" w:rsidP="00EC4AAF">
            <w:pPr>
              <w:pStyle w:val="Tablecontents"/>
            </w:pPr>
            <w:r w:rsidRPr="00E3331A">
              <w:t>I2: 91 vs 9%</w:t>
            </w:r>
          </w:p>
          <w:p w:rsidR="00464E0A" w:rsidRPr="00E3331A" w:rsidRDefault="00464E0A" w:rsidP="00EC4AAF">
            <w:pPr>
              <w:pStyle w:val="Tablecontents"/>
            </w:pPr>
            <w:r w:rsidRPr="00E3331A">
              <w:t>C: 93% vs 7%</w:t>
            </w:r>
          </w:p>
          <w:p w:rsidR="00464E0A" w:rsidRPr="00E3331A" w:rsidRDefault="00464E0A" w:rsidP="00EC4AAF">
            <w:pPr>
              <w:pStyle w:val="Tablecontents"/>
            </w:pPr>
            <w:r w:rsidRPr="00E3331A">
              <w:t>Type:</w:t>
            </w:r>
          </w:p>
          <w:p w:rsidR="00464E0A" w:rsidRPr="00E3331A" w:rsidRDefault="00464E0A" w:rsidP="00EC4AAF">
            <w:pPr>
              <w:pStyle w:val="Tablecontents"/>
            </w:pPr>
            <w:r w:rsidRPr="00E3331A">
              <w:t>NR</w:t>
            </w:r>
          </w:p>
          <w:p w:rsidR="00464E0A" w:rsidRPr="00E3331A" w:rsidRDefault="00464E0A" w:rsidP="00EC4AAF">
            <w:pPr>
              <w:pStyle w:val="Tablecontents"/>
            </w:pPr>
            <w:r w:rsidRPr="00E3331A">
              <w:t>Time since diagnosis median (IQR)</w:t>
            </w:r>
          </w:p>
          <w:p w:rsidR="00464E0A" w:rsidRPr="00E3331A" w:rsidRDefault="00464E0A" w:rsidP="00EC4AAF">
            <w:pPr>
              <w:pStyle w:val="Tablecontents"/>
            </w:pPr>
            <w:r w:rsidRPr="00E3331A">
              <w:t>I1: 2.8 yrs (1.4-5.0)</w:t>
            </w:r>
          </w:p>
          <w:p w:rsidR="00464E0A" w:rsidRPr="00E3331A" w:rsidRDefault="00464E0A" w:rsidP="00EC4AAF">
            <w:pPr>
              <w:pStyle w:val="Tablecontents"/>
            </w:pPr>
            <w:r w:rsidRPr="00E3331A">
              <w:t>I2: 3.3 yrs (1.3-8.6)</w:t>
            </w:r>
          </w:p>
          <w:p w:rsidR="00464E0A" w:rsidRPr="00E3331A" w:rsidRDefault="00464E0A" w:rsidP="00EC4AAF">
            <w:pPr>
              <w:pStyle w:val="Tablecontents"/>
            </w:pPr>
            <w:r w:rsidRPr="00E3331A">
              <w:t>C: 2.7 yrs (1.1-4.7)</w:t>
            </w:r>
          </w:p>
          <w:p w:rsidR="00464E0A" w:rsidRPr="00E3331A" w:rsidRDefault="00464E0A" w:rsidP="00EC4AAF">
            <w:pPr>
              <w:pStyle w:val="Tablecontents"/>
            </w:pPr>
            <w:r w:rsidRPr="00E3331A">
              <w:t>Current treatment:</w:t>
            </w:r>
          </w:p>
          <w:p w:rsidR="00464E0A" w:rsidRPr="00E3331A" w:rsidRDefault="00464E0A" w:rsidP="00EC4AAF">
            <w:pPr>
              <w:pStyle w:val="Tablecontents"/>
            </w:pPr>
            <w:r w:rsidRPr="00E3331A">
              <w:t>100% on IVIg</w:t>
            </w:r>
          </w:p>
        </w:tc>
        <w:tc>
          <w:tcPr>
            <w:tcW w:w="557" w:type="pct"/>
            <w:shd w:val="clear" w:color="auto" w:fill="auto"/>
          </w:tcPr>
          <w:p w:rsidR="00464E0A" w:rsidRPr="00E3331A" w:rsidRDefault="00464E0A" w:rsidP="00EC4AAF">
            <w:pPr>
              <w:pStyle w:val="Tablecontents"/>
            </w:pPr>
            <w:r w:rsidRPr="00E3331A">
              <w:t>All median (IQR)</w:t>
            </w:r>
          </w:p>
          <w:p w:rsidR="00464E0A" w:rsidRPr="00E3331A" w:rsidRDefault="00464E0A" w:rsidP="00EC4AAF">
            <w:pPr>
              <w:pStyle w:val="Tablecontents"/>
            </w:pPr>
            <w:r w:rsidRPr="00E3331A">
              <w:t xml:space="preserve">INCAT </w:t>
            </w:r>
          </w:p>
          <w:p w:rsidR="00464E0A" w:rsidRPr="00E3331A" w:rsidRDefault="00464E0A" w:rsidP="00EC4AAF">
            <w:pPr>
              <w:pStyle w:val="Tablecontents"/>
            </w:pPr>
            <w:r w:rsidRPr="00E3331A">
              <w:t>I1: 2 (1-3)</w:t>
            </w:r>
          </w:p>
          <w:p w:rsidR="00464E0A" w:rsidRPr="00E3331A" w:rsidRDefault="00464E0A" w:rsidP="00EC4AAF">
            <w:pPr>
              <w:pStyle w:val="Tablecontents"/>
            </w:pPr>
            <w:r w:rsidRPr="00E3331A">
              <w:t>I2: 2 (1-3)</w:t>
            </w:r>
          </w:p>
          <w:p w:rsidR="00464E0A" w:rsidRPr="00E3331A" w:rsidRDefault="00464E0A" w:rsidP="00EC4AAF">
            <w:pPr>
              <w:pStyle w:val="Tablecontents"/>
            </w:pPr>
            <w:r w:rsidRPr="00E3331A">
              <w:t>C: 2 (1-3)</w:t>
            </w:r>
          </w:p>
          <w:p w:rsidR="00464E0A" w:rsidRPr="00E3331A" w:rsidRDefault="00464E0A" w:rsidP="00EC4AAF">
            <w:pPr>
              <w:pStyle w:val="Tablecontents"/>
            </w:pPr>
            <w:r w:rsidRPr="00E3331A">
              <w:t>I-RODS</w:t>
            </w:r>
          </w:p>
          <w:p w:rsidR="00464E0A" w:rsidRPr="00E3331A" w:rsidRDefault="00464E0A" w:rsidP="00EC4AAF">
            <w:pPr>
              <w:pStyle w:val="Tablecontents"/>
            </w:pPr>
            <w:r w:rsidRPr="00E3331A">
              <w:t>I1: 63 (51-73)</w:t>
            </w:r>
          </w:p>
          <w:p w:rsidR="00464E0A" w:rsidRPr="00E3331A" w:rsidRDefault="00464E0A" w:rsidP="00EC4AAF">
            <w:pPr>
              <w:pStyle w:val="Tablecontents"/>
            </w:pPr>
            <w:r w:rsidRPr="00E3331A">
              <w:t>I2: 69 (54-80)</w:t>
            </w:r>
          </w:p>
          <w:p w:rsidR="00464E0A" w:rsidRPr="00E3331A" w:rsidRDefault="00464E0A" w:rsidP="00EC4AAF">
            <w:pPr>
              <w:pStyle w:val="Tablecontents"/>
            </w:pPr>
            <w:r w:rsidRPr="00E3331A">
              <w:t>C: 68 (51-83)</w:t>
            </w:r>
          </w:p>
          <w:p w:rsidR="00464E0A" w:rsidRPr="00E3331A" w:rsidRDefault="00464E0A" w:rsidP="00EC4AAF">
            <w:pPr>
              <w:pStyle w:val="Tablecontents"/>
            </w:pPr>
            <w:r w:rsidRPr="00E3331A">
              <w:t>MRC</w:t>
            </w:r>
          </w:p>
          <w:p w:rsidR="00464E0A" w:rsidRPr="00E3331A" w:rsidRDefault="00464E0A" w:rsidP="00EC4AAF">
            <w:pPr>
              <w:pStyle w:val="Tablecontents"/>
            </w:pPr>
            <w:r w:rsidRPr="00E3331A">
              <w:t>I1: 75 (70-78)</w:t>
            </w:r>
          </w:p>
          <w:p w:rsidR="00464E0A" w:rsidRPr="00E3331A" w:rsidRDefault="00464E0A" w:rsidP="00EC4AAF">
            <w:pPr>
              <w:pStyle w:val="Tablecontents"/>
            </w:pPr>
            <w:r w:rsidRPr="00E3331A">
              <w:t>I2: 76 (70-79)</w:t>
            </w:r>
          </w:p>
          <w:p w:rsidR="00464E0A" w:rsidRPr="00E3331A" w:rsidRDefault="00464E0A" w:rsidP="00EC4AAF">
            <w:pPr>
              <w:pStyle w:val="Tablecontents"/>
            </w:pPr>
            <w:r w:rsidRPr="00E3331A">
              <w:t>C: 76 (72-78)</w:t>
            </w:r>
          </w:p>
        </w:tc>
        <w:tc>
          <w:tcPr>
            <w:tcW w:w="537" w:type="pct"/>
            <w:shd w:val="clear" w:color="auto" w:fill="auto"/>
          </w:tcPr>
          <w:p w:rsidR="00464E0A" w:rsidRPr="00E3331A" w:rsidRDefault="00464E0A" w:rsidP="00EC4AAF">
            <w:pPr>
              <w:pStyle w:val="Tablecontents"/>
            </w:pPr>
            <w:r w:rsidRPr="00E3331A">
              <w:t>I1: SCIg (low dose)</w:t>
            </w:r>
          </w:p>
          <w:p w:rsidR="00464E0A" w:rsidRPr="00E3331A" w:rsidRDefault="00464E0A" w:rsidP="00EC4AAF">
            <w:pPr>
              <w:pStyle w:val="Tablecontents"/>
            </w:pPr>
            <w:r w:rsidRPr="00E3331A">
              <w:t xml:space="preserve">IgPro20 (Hizentra, CSL Behring, Bern, Switzerland) 0.2 g/kg given weekly in 2 sessions </w:t>
            </w:r>
          </w:p>
          <w:p w:rsidR="00464E0A" w:rsidRPr="00E3331A" w:rsidRDefault="00464E0A" w:rsidP="00EC4AAF">
            <w:pPr>
              <w:pStyle w:val="Tablecontents"/>
            </w:pPr>
            <w:r w:rsidRPr="00E3331A">
              <w:t>I2: SCIg (high-dose)</w:t>
            </w:r>
          </w:p>
          <w:p w:rsidR="00464E0A" w:rsidRPr="00E3331A" w:rsidRDefault="00464E0A" w:rsidP="00EC4AAF">
            <w:pPr>
              <w:pStyle w:val="Tablecontents"/>
            </w:pPr>
            <w:r w:rsidRPr="00E3331A">
              <w:t xml:space="preserve">IgPro20 (Hizentra, CSL Behring, Bern, Switzerland) 0.4 g/kg given weekly in 2 sessions </w:t>
            </w:r>
          </w:p>
        </w:tc>
        <w:tc>
          <w:tcPr>
            <w:tcW w:w="626" w:type="pct"/>
            <w:shd w:val="clear" w:color="auto" w:fill="auto"/>
          </w:tcPr>
          <w:p w:rsidR="00464E0A" w:rsidRPr="00E3331A" w:rsidRDefault="00464E0A" w:rsidP="00EC4AAF">
            <w:pPr>
              <w:pStyle w:val="Tablecontents"/>
            </w:pPr>
            <w:r w:rsidRPr="00E3331A">
              <w:t>Placebo (2% human albumin) given in 2 sessions weekly.</w:t>
            </w:r>
          </w:p>
        </w:tc>
        <w:tc>
          <w:tcPr>
            <w:tcW w:w="624" w:type="pct"/>
            <w:shd w:val="clear" w:color="auto" w:fill="auto"/>
          </w:tcPr>
          <w:p w:rsidR="00464E0A" w:rsidRPr="00E3331A" w:rsidRDefault="00464E0A" w:rsidP="00EC4AAF">
            <w:pPr>
              <w:pStyle w:val="Tablecontents"/>
            </w:pPr>
          </w:p>
        </w:tc>
      </w:tr>
      <w:tr w:rsidR="00464E0A" w:rsidRPr="00E3331A" w:rsidTr="00EC4AAF">
        <w:tc>
          <w:tcPr>
            <w:tcW w:w="454" w:type="pct"/>
            <w:shd w:val="clear" w:color="auto" w:fill="auto"/>
          </w:tcPr>
          <w:p w:rsidR="00464E0A" w:rsidRPr="00E3331A" w:rsidRDefault="00464E0A" w:rsidP="00EC4AAF">
            <w:pPr>
              <w:pStyle w:val="Tablecontents"/>
            </w:pPr>
            <w:r w:rsidRPr="00E3331A">
              <w:lastRenderedPageBreak/>
              <w:t>Markvardsen et al. (2013)</w:t>
            </w:r>
          </w:p>
        </w:tc>
        <w:tc>
          <w:tcPr>
            <w:tcW w:w="477" w:type="pct"/>
            <w:shd w:val="clear" w:color="auto" w:fill="auto"/>
          </w:tcPr>
          <w:p w:rsidR="00464E0A" w:rsidRPr="00E3331A" w:rsidRDefault="00464E0A" w:rsidP="00EC4AAF">
            <w:pPr>
              <w:pStyle w:val="Tablecontents"/>
            </w:pPr>
            <w:r w:rsidRPr="00E3331A">
              <w:t>Ig vs Pl</w:t>
            </w:r>
          </w:p>
        </w:tc>
        <w:tc>
          <w:tcPr>
            <w:tcW w:w="657" w:type="pct"/>
            <w:shd w:val="clear" w:color="auto" w:fill="auto"/>
            <w:vAlign w:val="center"/>
          </w:tcPr>
          <w:p w:rsidR="00464E0A" w:rsidRPr="00E3331A" w:rsidRDefault="00464E0A" w:rsidP="00EC4AAF">
            <w:pPr>
              <w:pStyle w:val="Tablecontents"/>
            </w:pPr>
            <w:r w:rsidRPr="00E3331A">
              <w:t>CIDP</w:t>
            </w:r>
            <w:r w:rsidRPr="00E3331A">
              <w:rPr>
                <w:vertAlign w:val="superscript"/>
              </w:rPr>
              <w:t xml:space="preserve">C </w:t>
            </w:r>
            <w:r w:rsidRPr="00E3331A">
              <w:t xml:space="preserve">patients aged 18-80 years in maintenance therapy with IVIg. All were Ig responders and received treatment every 3-10 weeks. </w:t>
            </w:r>
          </w:p>
        </w:tc>
        <w:tc>
          <w:tcPr>
            <w:tcW w:w="492" w:type="pct"/>
            <w:shd w:val="clear" w:color="auto" w:fill="auto"/>
          </w:tcPr>
          <w:p w:rsidR="00464E0A" w:rsidRPr="00E3331A" w:rsidRDefault="00464E0A" w:rsidP="00EC4AAF">
            <w:pPr>
              <w:pStyle w:val="Tablecontents"/>
            </w:pPr>
            <w:r w:rsidRPr="00E3331A">
              <w:t>I: n = 15</w:t>
            </w:r>
          </w:p>
          <w:p w:rsidR="00464E0A" w:rsidRPr="00E3331A" w:rsidRDefault="00464E0A" w:rsidP="00EC4AAF">
            <w:pPr>
              <w:pStyle w:val="Tablecontents"/>
            </w:pPr>
            <w:r w:rsidRPr="00E3331A">
              <w:t>C: n = 15</w:t>
            </w:r>
          </w:p>
          <w:p w:rsidR="00464E0A" w:rsidRPr="00E3331A" w:rsidRDefault="00464E0A" w:rsidP="00EC4AAF">
            <w:pPr>
              <w:pStyle w:val="Tablecontents"/>
            </w:pPr>
            <w:r w:rsidRPr="00E3331A">
              <w:t>Age</w:t>
            </w:r>
          </w:p>
          <w:p w:rsidR="00464E0A" w:rsidRPr="00E3331A" w:rsidRDefault="00464E0A" w:rsidP="00EC4AAF">
            <w:pPr>
              <w:pStyle w:val="Tablecontents"/>
              <w:rPr>
                <w:rFonts w:ascii="Calibri" w:hAnsi="Calibri"/>
              </w:rPr>
            </w:pPr>
            <w:r w:rsidRPr="00E3331A">
              <w:t xml:space="preserve">I: 53.4 </w:t>
            </w:r>
            <w:r w:rsidRPr="00E3331A">
              <w:rPr>
                <w:rFonts w:ascii="Calibri" w:hAnsi="Calibri"/>
              </w:rPr>
              <w:t>± 11.9</w:t>
            </w:r>
          </w:p>
          <w:p w:rsidR="00464E0A" w:rsidRPr="00E3331A" w:rsidRDefault="00464E0A" w:rsidP="00EC4AAF">
            <w:pPr>
              <w:pStyle w:val="Tablecontents"/>
              <w:rPr>
                <w:rFonts w:ascii="Calibri" w:hAnsi="Calibri"/>
              </w:rPr>
            </w:pPr>
            <w:r w:rsidRPr="00E3331A">
              <w:t xml:space="preserve">C: 61.4 </w:t>
            </w:r>
            <w:r w:rsidRPr="00E3331A">
              <w:rPr>
                <w:rFonts w:ascii="Calibri" w:hAnsi="Calibri"/>
              </w:rPr>
              <w:t>± 9.4</w:t>
            </w:r>
          </w:p>
          <w:p w:rsidR="00464E0A" w:rsidRPr="00E3331A" w:rsidRDefault="00464E0A" w:rsidP="00EC4AAF">
            <w:pPr>
              <w:pStyle w:val="Tablecontents"/>
            </w:pPr>
            <w:r w:rsidRPr="00E3331A">
              <w:t>% male</w:t>
            </w:r>
          </w:p>
          <w:p w:rsidR="00464E0A" w:rsidRPr="00E3331A" w:rsidRDefault="00464E0A" w:rsidP="00EC4AAF">
            <w:pPr>
              <w:pStyle w:val="Tablecontents"/>
            </w:pPr>
            <w:r w:rsidRPr="00E3331A">
              <w:t>I: 73%</w:t>
            </w:r>
          </w:p>
          <w:p w:rsidR="00464E0A" w:rsidRPr="00E3331A" w:rsidRDefault="00464E0A" w:rsidP="00EC4AAF">
            <w:pPr>
              <w:pStyle w:val="Tablecontents"/>
            </w:pPr>
            <w:r w:rsidRPr="00E3331A">
              <w:t>C: 73%</w:t>
            </w:r>
          </w:p>
        </w:tc>
        <w:tc>
          <w:tcPr>
            <w:tcW w:w="577" w:type="pct"/>
            <w:shd w:val="clear" w:color="auto" w:fill="auto"/>
          </w:tcPr>
          <w:p w:rsidR="00464E0A" w:rsidRPr="00E3331A" w:rsidRDefault="00464E0A" w:rsidP="00EC4AAF">
            <w:pPr>
              <w:pStyle w:val="Tablecontents"/>
            </w:pPr>
            <w:r w:rsidRPr="00E3331A">
              <w:t>Status: NR</w:t>
            </w:r>
          </w:p>
          <w:p w:rsidR="00464E0A" w:rsidRPr="00E3331A" w:rsidRDefault="00464E0A" w:rsidP="00EC4AAF">
            <w:pPr>
              <w:pStyle w:val="Tablecontents"/>
            </w:pPr>
            <w:r w:rsidRPr="00E3331A">
              <w:t>Type: NR</w:t>
            </w:r>
          </w:p>
          <w:p w:rsidR="00464E0A" w:rsidRPr="00E3331A" w:rsidRDefault="00464E0A" w:rsidP="00EC4AAF">
            <w:pPr>
              <w:pStyle w:val="Tablecontents"/>
            </w:pPr>
            <w:r w:rsidRPr="00E3331A">
              <w:t xml:space="preserve">Time since diagnosis: </w:t>
            </w:r>
          </w:p>
          <w:p w:rsidR="00464E0A" w:rsidRPr="00B73E3D" w:rsidRDefault="00464E0A" w:rsidP="00EC4AAF">
            <w:pPr>
              <w:pStyle w:val="Tablecontents"/>
            </w:pPr>
            <w:r w:rsidRPr="00E3331A">
              <w:t xml:space="preserve">I: 4.6 </w:t>
            </w:r>
            <w:r w:rsidRPr="00B73E3D">
              <w:t>± 3.2 yrs</w:t>
            </w:r>
          </w:p>
          <w:p w:rsidR="00464E0A" w:rsidRPr="00E3331A" w:rsidRDefault="00464E0A" w:rsidP="00EC4AAF">
            <w:pPr>
              <w:pStyle w:val="Tablecontents"/>
            </w:pPr>
            <w:r w:rsidRPr="00E3331A">
              <w:t xml:space="preserve">C: 5.4 </w:t>
            </w:r>
            <w:r w:rsidRPr="00B73E3D">
              <w:t>± 6.1 yrs</w:t>
            </w:r>
          </w:p>
          <w:p w:rsidR="00464E0A" w:rsidRPr="00E3331A" w:rsidRDefault="00464E0A" w:rsidP="00EC4AAF">
            <w:pPr>
              <w:pStyle w:val="Tablecontents"/>
            </w:pPr>
            <w:r w:rsidRPr="00E3331A">
              <w:t>Current treatment:</w:t>
            </w:r>
          </w:p>
          <w:p w:rsidR="00464E0A" w:rsidRPr="00E3331A" w:rsidRDefault="00464E0A" w:rsidP="00EC4AAF">
            <w:pPr>
              <w:pStyle w:val="Tablecontents"/>
            </w:pPr>
            <w:r w:rsidRPr="00E3331A">
              <w:t xml:space="preserve">IVIg mean dose 0.31 </w:t>
            </w:r>
            <w:r w:rsidRPr="00B73E3D">
              <w:t>± 0.1 g/kg/week</w:t>
            </w:r>
          </w:p>
        </w:tc>
        <w:tc>
          <w:tcPr>
            <w:tcW w:w="557" w:type="pct"/>
            <w:shd w:val="clear" w:color="auto" w:fill="auto"/>
          </w:tcPr>
          <w:p w:rsidR="00464E0A" w:rsidRPr="00E3331A" w:rsidRDefault="00464E0A" w:rsidP="00EC4AAF">
            <w:pPr>
              <w:pStyle w:val="Tablecontents"/>
            </w:pPr>
            <w:r w:rsidRPr="00E3331A">
              <w:t>ODSS</w:t>
            </w:r>
          </w:p>
          <w:p w:rsidR="00464E0A" w:rsidRPr="00E3331A" w:rsidRDefault="00464E0A" w:rsidP="00EC4AAF">
            <w:pPr>
              <w:pStyle w:val="Tablecontents"/>
              <w:rPr>
                <w:rFonts w:ascii="Calibri" w:hAnsi="Calibri"/>
              </w:rPr>
            </w:pPr>
            <w:r w:rsidRPr="00E3331A">
              <w:t xml:space="preserve">I: 3.07 </w:t>
            </w:r>
            <w:r w:rsidRPr="00E3331A">
              <w:rPr>
                <w:rFonts w:ascii="Calibri" w:hAnsi="Calibri"/>
              </w:rPr>
              <w:t>± 1.91</w:t>
            </w:r>
          </w:p>
          <w:p w:rsidR="00464E0A" w:rsidRPr="00E3331A" w:rsidRDefault="00464E0A" w:rsidP="00EC4AAF">
            <w:pPr>
              <w:pStyle w:val="Tablecontents"/>
              <w:rPr>
                <w:rFonts w:ascii="Calibri" w:hAnsi="Calibri"/>
              </w:rPr>
            </w:pPr>
            <w:r w:rsidRPr="00E3331A">
              <w:t xml:space="preserve">C: 3.00 </w:t>
            </w:r>
            <w:r w:rsidRPr="00E3331A">
              <w:rPr>
                <w:rFonts w:ascii="Calibri" w:hAnsi="Calibri"/>
              </w:rPr>
              <w:t>± 1.46</w:t>
            </w:r>
          </w:p>
          <w:p w:rsidR="00464E0A" w:rsidRPr="00E3331A" w:rsidRDefault="00464E0A" w:rsidP="00EC4AAF">
            <w:pPr>
              <w:pStyle w:val="Tablecontents"/>
            </w:pPr>
            <w:r w:rsidRPr="00E3331A">
              <w:t>NIS</w:t>
            </w:r>
          </w:p>
          <w:p w:rsidR="00464E0A" w:rsidRPr="00E3331A" w:rsidRDefault="00464E0A" w:rsidP="00EC4AAF">
            <w:pPr>
              <w:pStyle w:val="Tablecontents"/>
              <w:rPr>
                <w:rFonts w:ascii="Calibri" w:hAnsi="Calibri"/>
              </w:rPr>
            </w:pPr>
            <w:r w:rsidRPr="00E3331A">
              <w:t xml:space="preserve">I: 40.4 </w:t>
            </w:r>
            <w:r w:rsidRPr="00E3331A">
              <w:rPr>
                <w:rFonts w:ascii="Calibri" w:hAnsi="Calibri"/>
              </w:rPr>
              <w:t>± 26</w:t>
            </w:r>
          </w:p>
          <w:p w:rsidR="00464E0A" w:rsidRPr="00E3331A" w:rsidRDefault="00464E0A" w:rsidP="00EC4AAF">
            <w:pPr>
              <w:pStyle w:val="Tablecontents"/>
              <w:rPr>
                <w:rFonts w:ascii="Calibri" w:hAnsi="Calibri"/>
              </w:rPr>
            </w:pPr>
            <w:r w:rsidRPr="00E3331A">
              <w:t xml:space="preserve">C: 48.5 </w:t>
            </w:r>
            <w:r w:rsidRPr="00E3331A">
              <w:rPr>
                <w:rFonts w:ascii="Calibri" w:hAnsi="Calibri"/>
              </w:rPr>
              <w:t>± 22</w:t>
            </w:r>
          </w:p>
          <w:p w:rsidR="00464E0A" w:rsidRPr="00E3331A" w:rsidRDefault="00464E0A" w:rsidP="00EC4AAF">
            <w:pPr>
              <w:pStyle w:val="Tablecontents"/>
            </w:pPr>
            <w:r w:rsidRPr="00E3331A">
              <w:t>MRC</w:t>
            </w:r>
          </w:p>
          <w:p w:rsidR="00464E0A" w:rsidRPr="00E3331A" w:rsidRDefault="00464E0A" w:rsidP="00EC4AAF">
            <w:pPr>
              <w:pStyle w:val="Tablecontents"/>
              <w:rPr>
                <w:rFonts w:ascii="Calibri" w:hAnsi="Calibri"/>
              </w:rPr>
            </w:pPr>
            <w:r w:rsidRPr="00E3331A">
              <w:t xml:space="preserve">I: 84.7 </w:t>
            </w:r>
            <w:r w:rsidRPr="00E3331A">
              <w:rPr>
                <w:rFonts w:ascii="Calibri" w:hAnsi="Calibri"/>
              </w:rPr>
              <w:t>± 6.19</w:t>
            </w:r>
          </w:p>
          <w:p w:rsidR="00464E0A" w:rsidRPr="00E3331A" w:rsidRDefault="00464E0A" w:rsidP="00EC4AAF">
            <w:pPr>
              <w:pStyle w:val="Tablecontents"/>
            </w:pPr>
            <w:r w:rsidRPr="00E3331A">
              <w:t xml:space="preserve">C: 83.2 </w:t>
            </w:r>
            <w:r w:rsidRPr="00E3331A">
              <w:rPr>
                <w:rFonts w:ascii="Calibri" w:hAnsi="Calibri"/>
              </w:rPr>
              <w:t>± 5.02</w:t>
            </w:r>
          </w:p>
        </w:tc>
        <w:tc>
          <w:tcPr>
            <w:tcW w:w="537" w:type="pct"/>
            <w:shd w:val="clear" w:color="auto" w:fill="auto"/>
          </w:tcPr>
          <w:p w:rsidR="00464E0A" w:rsidRPr="00E3331A" w:rsidRDefault="00464E0A" w:rsidP="00EC4AAF">
            <w:pPr>
              <w:pStyle w:val="Tablecontents"/>
            </w:pPr>
            <w:r w:rsidRPr="00E3331A">
              <w:t>SCIg (Subcuvia 16% Baxter A/S, Fresenius-Kabi AB, Uppsla, Sweden)</w:t>
            </w:r>
          </w:p>
          <w:p w:rsidR="00464E0A" w:rsidRPr="00E3331A" w:rsidRDefault="00464E0A" w:rsidP="00EC4AAF">
            <w:pPr>
              <w:pStyle w:val="Tablecontents"/>
            </w:pPr>
            <w:r w:rsidRPr="00E3331A">
              <w:t>Dose: equivalent to previous IVIg dose (range 4.8-48 g)</w:t>
            </w:r>
          </w:p>
          <w:p w:rsidR="00464E0A" w:rsidRPr="00E3331A" w:rsidRDefault="00464E0A" w:rsidP="00EC4AAF">
            <w:pPr>
              <w:pStyle w:val="Tablecontents"/>
            </w:pPr>
            <w:r w:rsidRPr="00E3331A">
              <w:t>2-3 times weekly for 12 weeks</w:t>
            </w:r>
          </w:p>
        </w:tc>
        <w:tc>
          <w:tcPr>
            <w:tcW w:w="626" w:type="pct"/>
            <w:shd w:val="clear" w:color="auto" w:fill="auto"/>
          </w:tcPr>
          <w:p w:rsidR="00464E0A" w:rsidRPr="00E3331A" w:rsidRDefault="00464E0A" w:rsidP="00EC4AAF">
            <w:pPr>
              <w:pStyle w:val="Tablecontents"/>
            </w:pPr>
            <w:r w:rsidRPr="00E3331A">
              <w:t>Placebo (saline) in equal volume to prior IVIg usage, 2-3 infusion weekly for 12 weeks</w:t>
            </w:r>
          </w:p>
        </w:tc>
        <w:tc>
          <w:tcPr>
            <w:tcW w:w="624" w:type="pct"/>
            <w:shd w:val="clear" w:color="auto" w:fill="auto"/>
          </w:tcPr>
          <w:p w:rsidR="00464E0A" w:rsidRPr="00E3331A" w:rsidRDefault="00464E0A" w:rsidP="00EC4AAF">
            <w:pPr>
              <w:pStyle w:val="Tablecontents"/>
            </w:pPr>
          </w:p>
        </w:tc>
      </w:tr>
      <w:tr w:rsidR="00464E0A" w:rsidRPr="00E3331A" w:rsidTr="00EC4AAF">
        <w:tc>
          <w:tcPr>
            <w:tcW w:w="454" w:type="pct"/>
            <w:shd w:val="clear" w:color="auto" w:fill="auto"/>
          </w:tcPr>
          <w:p w:rsidR="00464E0A" w:rsidRPr="00E3331A" w:rsidRDefault="00464E0A" w:rsidP="00EC4AAF">
            <w:pPr>
              <w:pStyle w:val="Tablecontents"/>
            </w:pPr>
            <w:r w:rsidRPr="00E3331A">
              <w:t>Mahdi-Rogers et al. (2009)</w:t>
            </w:r>
          </w:p>
        </w:tc>
        <w:tc>
          <w:tcPr>
            <w:tcW w:w="477" w:type="pct"/>
            <w:shd w:val="clear" w:color="auto" w:fill="auto"/>
          </w:tcPr>
          <w:p w:rsidR="00464E0A" w:rsidRPr="00E3331A" w:rsidRDefault="00464E0A" w:rsidP="00EC4AAF">
            <w:pPr>
              <w:pStyle w:val="Tablecontents"/>
            </w:pPr>
            <w:r w:rsidRPr="00E3331A">
              <w:t>Is vs Pl as Ig and St</w:t>
            </w:r>
            <w:r w:rsidR="00417823">
              <w:t>-</w:t>
            </w:r>
            <w:r w:rsidRPr="00E3331A">
              <w:t>sparing agent</w:t>
            </w:r>
          </w:p>
        </w:tc>
        <w:tc>
          <w:tcPr>
            <w:tcW w:w="657" w:type="pct"/>
            <w:shd w:val="clear" w:color="auto" w:fill="auto"/>
            <w:vAlign w:val="center"/>
          </w:tcPr>
          <w:p w:rsidR="00464E0A" w:rsidRPr="00E3331A" w:rsidRDefault="00464E0A" w:rsidP="00EC4AAF">
            <w:pPr>
              <w:pStyle w:val="Tablecontents"/>
            </w:pPr>
            <w:r w:rsidRPr="00E3331A">
              <w:t>Diagnosed CIDP</w:t>
            </w:r>
            <w:r w:rsidRPr="00E3331A">
              <w:rPr>
                <w:vertAlign w:val="superscript"/>
              </w:rPr>
              <w:t>D</w:t>
            </w:r>
            <w:r w:rsidRPr="00E3331A">
              <w:t xml:space="preserve"> with chronically progressive, stepwise, or recurrent weakness of all extremities, developing over </w:t>
            </w:r>
            <w:r w:rsidRPr="00E3331A">
              <w:rPr>
                <w:rFonts w:hint="eastAsia"/>
              </w:rPr>
              <w:t>≥</w:t>
            </w:r>
            <w:r w:rsidRPr="00E3331A">
              <w:t xml:space="preserve"> 2 months and present for </w:t>
            </w:r>
            <w:r w:rsidRPr="00E3331A">
              <w:rPr>
                <w:rFonts w:hint="eastAsia"/>
              </w:rPr>
              <w:t>≥</w:t>
            </w:r>
            <w:r w:rsidRPr="00E3331A">
              <w:t xml:space="preserve"> 6 months. ONLS </w:t>
            </w:r>
            <w:r w:rsidRPr="00E3331A">
              <w:rPr>
                <w:rFonts w:hint="eastAsia"/>
              </w:rPr>
              <w:t>≥</w:t>
            </w:r>
            <w:r w:rsidRPr="00E3331A">
              <w:t xml:space="preserve"> 2 and MRC ≤4. Patients must have responded to and still be receiving stable dose of IVIg (equivalent to at least 0.4 g/kg every 4 weeks and given at least every 8 weeks) or corticosteroids (equivalent to at least 15 mg daily prednisolone). Ig- or steroid-dependent </w:t>
            </w:r>
            <w:r w:rsidRPr="00E3331A">
              <w:lastRenderedPageBreak/>
              <w:t>disease demonstrated in last 12 months..</w:t>
            </w:r>
          </w:p>
        </w:tc>
        <w:tc>
          <w:tcPr>
            <w:tcW w:w="492" w:type="pct"/>
            <w:shd w:val="clear" w:color="auto" w:fill="auto"/>
          </w:tcPr>
          <w:p w:rsidR="00464E0A" w:rsidRPr="00E3331A" w:rsidRDefault="00464E0A" w:rsidP="00EC4AAF">
            <w:pPr>
              <w:pStyle w:val="Tablecontents"/>
            </w:pPr>
            <w:r w:rsidRPr="00E3331A">
              <w:lastRenderedPageBreak/>
              <w:t>I: n = 28</w:t>
            </w:r>
          </w:p>
          <w:p w:rsidR="00464E0A" w:rsidRPr="00E3331A" w:rsidRDefault="00464E0A" w:rsidP="00EC4AAF">
            <w:pPr>
              <w:pStyle w:val="Tablecontents"/>
            </w:pPr>
            <w:r w:rsidRPr="00E3331A">
              <w:t>C: n = 32</w:t>
            </w:r>
          </w:p>
          <w:p w:rsidR="00464E0A" w:rsidRPr="00E3331A" w:rsidRDefault="00464E0A" w:rsidP="00EC4AAF">
            <w:pPr>
              <w:pStyle w:val="Tablecontents"/>
            </w:pPr>
            <w:r w:rsidRPr="00E3331A">
              <w:t>Age (median (IQR)):</w:t>
            </w:r>
          </w:p>
          <w:p w:rsidR="00464E0A" w:rsidRPr="00E3331A" w:rsidRDefault="00464E0A" w:rsidP="00EC4AAF">
            <w:pPr>
              <w:pStyle w:val="Tablecontents"/>
            </w:pPr>
            <w:r w:rsidRPr="00E3331A">
              <w:t>I: 57 (48-63)</w:t>
            </w:r>
          </w:p>
          <w:p w:rsidR="00464E0A" w:rsidRPr="00E3331A" w:rsidRDefault="00464E0A" w:rsidP="00EC4AAF">
            <w:pPr>
              <w:pStyle w:val="Tablecontents"/>
            </w:pPr>
            <w:r w:rsidRPr="00E3331A">
              <w:t>C: 59 (46-66)</w:t>
            </w:r>
          </w:p>
          <w:p w:rsidR="00464E0A" w:rsidRPr="00E3331A" w:rsidRDefault="00464E0A" w:rsidP="00EC4AAF">
            <w:pPr>
              <w:pStyle w:val="Tablecontents"/>
            </w:pPr>
            <w:r w:rsidRPr="00E3331A">
              <w:t>% male</w:t>
            </w:r>
          </w:p>
          <w:p w:rsidR="00464E0A" w:rsidRPr="00E3331A" w:rsidRDefault="00464E0A" w:rsidP="00EC4AAF">
            <w:pPr>
              <w:pStyle w:val="Tablecontents"/>
            </w:pPr>
            <w:r w:rsidRPr="00E3331A">
              <w:t>I: 57%</w:t>
            </w:r>
          </w:p>
          <w:p w:rsidR="00464E0A" w:rsidRPr="00E3331A" w:rsidRDefault="00464E0A" w:rsidP="00EC4AAF">
            <w:pPr>
              <w:pStyle w:val="Tablecontents"/>
            </w:pPr>
            <w:r w:rsidRPr="00E3331A">
              <w:t>C: 84%</w:t>
            </w:r>
          </w:p>
          <w:p w:rsidR="00464E0A" w:rsidRPr="00E3331A" w:rsidRDefault="00464E0A" w:rsidP="00EC4AAF">
            <w:pPr>
              <w:pStyle w:val="Tablecontents"/>
            </w:pPr>
          </w:p>
        </w:tc>
        <w:tc>
          <w:tcPr>
            <w:tcW w:w="577" w:type="pct"/>
            <w:shd w:val="clear" w:color="auto" w:fill="auto"/>
          </w:tcPr>
          <w:p w:rsidR="00464E0A" w:rsidRPr="00E3331A" w:rsidRDefault="00464E0A" w:rsidP="00EC4AAF">
            <w:pPr>
              <w:pStyle w:val="Tablecontents"/>
            </w:pPr>
            <w:r w:rsidRPr="00E3331A">
              <w:t>Status: NR</w:t>
            </w:r>
          </w:p>
          <w:p w:rsidR="00464E0A" w:rsidRPr="00E3331A" w:rsidRDefault="00464E0A" w:rsidP="00EC4AAF">
            <w:pPr>
              <w:pStyle w:val="Tablecontents"/>
            </w:pPr>
            <w:r w:rsidRPr="00E3331A">
              <w:t>Type: NR</w:t>
            </w:r>
          </w:p>
          <w:p w:rsidR="00464E0A" w:rsidRPr="00E3331A" w:rsidRDefault="00464E0A" w:rsidP="00EC4AAF">
            <w:pPr>
              <w:pStyle w:val="Tablecontents"/>
            </w:pPr>
            <w:r w:rsidRPr="00E3331A">
              <w:t xml:space="preserve">Time since diagnosis: </w:t>
            </w:r>
          </w:p>
          <w:p w:rsidR="00464E0A" w:rsidRPr="00E3331A" w:rsidRDefault="00464E0A" w:rsidP="00EC4AAF">
            <w:pPr>
              <w:pStyle w:val="Tablecontents"/>
            </w:pPr>
            <w:r w:rsidRPr="00E3331A">
              <w:t>NR</w:t>
            </w:r>
          </w:p>
          <w:p w:rsidR="00464E0A" w:rsidRPr="00E3331A" w:rsidRDefault="00464E0A" w:rsidP="00EC4AAF">
            <w:pPr>
              <w:pStyle w:val="Tablecontents"/>
            </w:pPr>
            <w:r w:rsidRPr="00E3331A">
              <w:t>Current treatment:</w:t>
            </w:r>
          </w:p>
          <w:p w:rsidR="00464E0A" w:rsidRPr="00E3331A" w:rsidRDefault="00464E0A" w:rsidP="00EC4AAF">
            <w:pPr>
              <w:pStyle w:val="Tablecontents"/>
            </w:pPr>
            <w:r w:rsidRPr="00E3331A">
              <w:t>See intervention and comparator columns for details</w:t>
            </w:r>
          </w:p>
          <w:p w:rsidR="00464E0A" w:rsidRPr="00E3331A" w:rsidRDefault="00464E0A" w:rsidP="00EC4AAF">
            <w:pPr>
              <w:pStyle w:val="Tablecontents"/>
            </w:pPr>
          </w:p>
        </w:tc>
        <w:tc>
          <w:tcPr>
            <w:tcW w:w="557" w:type="pct"/>
            <w:shd w:val="clear" w:color="auto" w:fill="auto"/>
          </w:tcPr>
          <w:p w:rsidR="00464E0A" w:rsidRPr="00E3331A" w:rsidRDefault="00464E0A" w:rsidP="00EC4AAF">
            <w:pPr>
              <w:pStyle w:val="Tablecontents"/>
            </w:pPr>
            <w:r w:rsidRPr="00E3331A">
              <w:t>All median (IQR)</w:t>
            </w:r>
          </w:p>
          <w:p w:rsidR="00464E0A" w:rsidRPr="00E3331A" w:rsidRDefault="00464E0A" w:rsidP="00EC4AAF">
            <w:pPr>
              <w:pStyle w:val="Tablecontents"/>
            </w:pPr>
            <w:r w:rsidRPr="00E3331A">
              <w:t>MRC</w:t>
            </w:r>
          </w:p>
          <w:p w:rsidR="00464E0A" w:rsidRPr="00E3331A" w:rsidRDefault="00464E0A" w:rsidP="00EC4AAF">
            <w:pPr>
              <w:pStyle w:val="Tablecontents"/>
            </w:pPr>
            <w:r w:rsidRPr="00E3331A">
              <w:t>I: 71 (61-76)</w:t>
            </w:r>
          </w:p>
          <w:p w:rsidR="00464E0A" w:rsidRPr="00E3331A" w:rsidRDefault="00464E0A" w:rsidP="00EC4AAF">
            <w:pPr>
              <w:pStyle w:val="Tablecontents"/>
            </w:pPr>
            <w:r w:rsidRPr="00E3331A">
              <w:t>C: 72 (68-77)</w:t>
            </w:r>
          </w:p>
          <w:p w:rsidR="00464E0A" w:rsidRPr="00E3331A" w:rsidRDefault="00464E0A" w:rsidP="00EC4AAF">
            <w:pPr>
              <w:pStyle w:val="Tablecontents"/>
            </w:pPr>
            <w:r w:rsidRPr="00E3331A">
              <w:t>ONLS</w:t>
            </w:r>
          </w:p>
          <w:p w:rsidR="00464E0A" w:rsidRPr="00E3331A" w:rsidRDefault="00464E0A" w:rsidP="00EC4AAF">
            <w:pPr>
              <w:pStyle w:val="Tablecontents"/>
            </w:pPr>
            <w:r w:rsidRPr="00E3331A">
              <w:t>I: 4 (2-5)</w:t>
            </w:r>
          </w:p>
          <w:p w:rsidR="00464E0A" w:rsidRPr="00E3331A" w:rsidRDefault="00464E0A" w:rsidP="00EC4AAF">
            <w:pPr>
              <w:pStyle w:val="Tablecontents"/>
            </w:pPr>
            <w:r w:rsidRPr="00E3331A">
              <w:t>C: 4 (3-5)</w:t>
            </w:r>
          </w:p>
          <w:p w:rsidR="00464E0A" w:rsidRPr="00E3331A" w:rsidRDefault="00464E0A" w:rsidP="00EC4AAF">
            <w:pPr>
              <w:pStyle w:val="Tablecontents"/>
            </w:pPr>
            <w:r w:rsidRPr="00E3331A">
              <w:t>ISS</w:t>
            </w:r>
          </w:p>
          <w:p w:rsidR="00464E0A" w:rsidRPr="00E3331A" w:rsidRDefault="00464E0A" w:rsidP="00EC4AAF">
            <w:pPr>
              <w:pStyle w:val="Tablecontents"/>
            </w:pPr>
            <w:r w:rsidRPr="00E3331A">
              <w:t>I: 9 (3-22)</w:t>
            </w:r>
          </w:p>
          <w:p w:rsidR="00464E0A" w:rsidRPr="00E3331A" w:rsidRDefault="00464E0A" w:rsidP="00EC4AAF">
            <w:pPr>
              <w:pStyle w:val="Tablecontents"/>
            </w:pPr>
            <w:r w:rsidRPr="00E3331A">
              <w:t>C: 8.5 (4-20)</w:t>
            </w:r>
          </w:p>
        </w:tc>
        <w:tc>
          <w:tcPr>
            <w:tcW w:w="537" w:type="pct"/>
            <w:shd w:val="clear" w:color="auto" w:fill="auto"/>
          </w:tcPr>
          <w:p w:rsidR="00464E0A" w:rsidRPr="00E3331A" w:rsidRDefault="00464E0A" w:rsidP="00EC4AAF">
            <w:pPr>
              <w:pStyle w:val="Tablecontents"/>
            </w:pPr>
            <w:r w:rsidRPr="00E3331A">
              <w:t>Methotrexate (2.5 mg tablets; Pharmacia Maxtrex) 7.5 mg weekly increasing to 15 mg over 32 weeks</w:t>
            </w:r>
          </w:p>
          <w:p w:rsidR="00464E0A" w:rsidRPr="00E3331A" w:rsidRDefault="00464E0A" w:rsidP="00EC4AAF">
            <w:pPr>
              <w:pStyle w:val="Tablecontents"/>
            </w:pPr>
            <w:r w:rsidRPr="00E3331A">
              <w:t xml:space="preserve">Used in conjunction with </w:t>
            </w:r>
          </w:p>
          <w:p w:rsidR="00464E0A" w:rsidRPr="00E3331A" w:rsidRDefault="00464E0A" w:rsidP="00EC4AAF">
            <w:pPr>
              <w:pStyle w:val="Tablecontents"/>
            </w:pPr>
            <w:r w:rsidRPr="00E3331A">
              <w:t>IVIg n = 21/28</w:t>
            </w:r>
          </w:p>
          <w:p w:rsidR="00464E0A" w:rsidRPr="00E3331A" w:rsidRDefault="00464E0A" w:rsidP="00EC4AAF">
            <w:pPr>
              <w:pStyle w:val="Tablecontents"/>
              <w:rPr>
                <w:rFonts w:ascii="Calibri" w:hAnsi="Calibri"/>
              </w:rPr>
            </w:pPr>
            <w:r w:rsidRPr="00E3331A">
              <w:t xml:space="preserve">Mean dose 0.34 </w:t>
            </w:r>
            <w:r w:rsidRPr="00E3331A">
              <w:rPr>
                <w:rFonts w:ascii="Calibri" w:hAnsi="Calibri"/>
              </w:rPr>
              <w:t>± 0.21 g/kg/week</w:t>
            </w:r>
          </w:p>
          <w:p w:rsidR="00464E0A" w:rsidRPr="00E3331A" w:rsidRDefault="00464E0A" w:rsidP="00EC4AAF">
            <w:pPr>
              <w:pStyle w:val="Tablecontents"/>
            </w:pPr>
            <w:r w:rsidRPr="00E3331A">
              <w:t>Steroids n = 7/28</w:t>
            </w:r>
          </w:p>
          <w:p w:rsidR="00464E0A" w:rsidRPr="00E3331A" w:rsidRDefault="00464E0A" w:rsidP="00EC4AAF">
            <w:pPr>
              <w:pStyle w:val="Tablecontents"/>
            </w:pPr>
            <w:r w:rsidRPr="00E3331A">
              <w:t xml:space="preserve">Mean dose 210 </w:t>
            </w:r>
            <w:r w:rsidRPr="00E3331A">
              <w:rPr>
                <w:rFonts w:ascii="Calibri" w:hAnsi="Calibri"/>
              </w:rPr>
              <w:t>± 74 mg/week</w:t>
            </w:r>
          </w:p>
        </w:tc>
        <w:tc>
          <w:tcPr>
            <w:tcW w:w="626" w:type="pct"/>
            <w:shd w:val="clear" w:color="auto" w:fill="auto"/>
          </w:tcPr>
          <w:p w:rsidR="00464E0A" w:rsidRPr="00E3331A" w:rsidRDefault="00464E0A" w:rsidP="00EC4AAF">
            <w:pPr>
              <w:pStyle w:val="Tablecontents"/>
            </w:pPr>
            <w:r w:rsidRPr="00E3331A">
              <w:t>Placebo</w:t>
            </w:r>
          </w:p>
          <w:p w:rsidR="00464E0A" w:rsidRPr="00E3331A" w:rsidRDefault="00464E0A" w:rsidP="00EC4AAF">
            <w:pPr>
              <w:pStyle w:val="Tablecontents"/>
            </w:pPr>
            <w:r w:rsidRPr="00E3331A">
              <w:t xml:space="preserve">Used in conjunction with </w:t>
            </w:r>
          </w:p>
          <w:p w:rsidR="00464E0A" w:rsidRPr="00E3331A" w:rsidRDefault="00464E0A" w:rsidP="00EC4AAF">
            <w:pPr>
              <w:pStyle w:val="Tablecontents"/>
            </w:pPr>
            <w:r w:rsidRPr="00E3331A">
              <w:t>IVIg n = 28/32</w:t>
            </w:r>
          </w:p>
          <w:p w:rsidR="00464E0A" w:rsidRPr="00E3331A" w:rsidRDefault="00464E0A" w:rsidP="00EC4AAF">
            <w:pPr>
              <w:pStyle w:val="Tablecontents"/>
              <w:rPr>
                <w:rFonts w:ascii="Calibri" w:hAnsi="Calibri"/>
              </w:rPr>
            </w:pPr>
            <w:r w:rsidRPr="00E3331A">
              <w:t xml:space="preserve">Mean dose 0.33 </w:t>
            </w:r>
            <w:r w:rsidRPr="00E3331A">
              <w:rPr>
                <w:rFonts w:ascii="Calibri" w:hAnsi="Calibri"/>
              </w:rPr>
              <w:t>± 0.19 g/kg/week</w:t>
            </w:r>
          </w:p>
          <w:p w:rsidR="00464E0A" w:rsidRPr="00E3331A" w:rsidRDefault="00464E0A" w:rsidP="00EC4AAF">
            <w:pPr>
              <w:pStyle w:val="Tablecontents"/>
            </w:pPr>
            <w:r w:rsidRPr="00E3331A">
              <w:t>Steroids n = 4/32</w:t>
            </w:r>
          </w:p>
          <w:p w:rsidR="00464E0A" w:rsidRPr="00E3331A" w:rsidRDefault="00464E0A" w:rsidP="00EC4AAF">
            <w:pPr>
              <w:pStyle w:val="Tablecontents"/>
            </w:pPr>
            <w:r w:rsidRPr="00E3331A">
              <w:t xml:space="preserve">Mean dose 186 </w:t>
            </w:r>
            <w:r w:rsidRPr="00E3331A">
              <w:rPr>
                <w:rFonts w:ascii="Calibri" w:hAnsi="Calibri"/>
              </w:rPr>
              <w:t>± 88 mg/week</w:t>
            </w:r>
          </w:p>
        </w:tc>
        <w:tc>
          <w:tcPr>
            <w:tcW w:w="624" w:type="pct"/>
            <w:shd w:val="clear" w:color="auto" w:fill="auto"/>
          </w:tcPr>
          <w:p w:rsidR="00464E0A" w:rsidRPr="00E3331A" w:rsidRDefault="00464E0A" w:rsidP="00EC4AAF">
            <w:pPr>
              <w:pStyle w:val="Tablecontents"/>
            </w:pPr>
            <w:r w:rsidRPr="00E3331A">
              <w:t xml:space="preserve">High </w:t>
            </w:r>
          </w:p>
          <w:p w:rsidR="00464E0A" w:rsidRPr="00E3331A" w:rsidRDefault="00464E0A" w:rsidP="00EC4AAF">
            <w:pPr>
              <w:pStyle w:val="Tablecontents"/>
            </w:pPr>
            <w:r w:rsidRPr="00E3331A">
              <w:t>39-42 weeks</w:t>
            </w:r>
          </w:p>
        </w:tc>
      </w:tr>
      <w:tr w:rsidR="00464E0A" w:rsidRPr="00E3331A" w:rsidTr="00EC4AAF">
        <w:tc>
          <w:tcPr>
            <w:tcW w:w="454" w:type="pct"/>
            <w:shd w:val="clear" w:color="auto" w:fill="auto"/>
          </w:tcPr>
          <w:p w:rsidR="00464E0A" w:rsidRPr="00E3331A" w:rsidRDefault="00464E0A" w:rsidP="00EC4AAF">
            <w:pPr>
              <w:pStyle w:val="Tablecontents"/>
            </w:pPr>
            <w:r w:rsidRPr="00E3331A">
              <w:t>Hughes et al. (2018)</w:t>
            </w:r>
          </w:p>
        </w:tc>
        <w:tc>
          <w:tcPr>
            <w:tcW w:w="477" w:type="pct"/>
            <w:shd w:val="clear" w:color="auto" w:fill="auto"/>
          </w:tcPr>
          <w:p w:rsidR="00464E0A" w:rsidRPr="00E3331A" w:rsidRDefault="00464E0A" w:rsidP="00EC4AAF">
            <w:pPr>
              <w:pStyle w:val="Tablecontents"/>
            </w:pPr>
            <w:r w:rsidRPr="00E3331A">
              <w:t>Switch to Is or Pl</w:t>
            </w:r>
          </w:p>
        </w:tc>
        <w:tc>
          <w:tcPr>
            <w:tcW w:w="657" w:type="pct"/>
            <w:shd w:val="clear" w:color="auto" w:fill="auto"/>
            <w:vAlign w:val="center"/>
          </w:tcPr>
          <w:p w:rsidR="00464E0A" w:rsidRPr="00E3331A" w:rsidRDefault="00464E0A" w:rsidP="00EC4AAF">
            <w:pPr>
              <w:pStyle w:val="Tablecontents"/>
            </w:pPr>
            <w:r w:rsidRPr="00E3331A">
              <w:t>Patients with typical or atypical CIDP</w:t>
            </w:r>
            <w:r w:rsidRPr="00E3331A">
              <w:rPr>
                <w:vertAlign w:val="superscript"/>
              </w:rPr>
              <w:t>C</w:t>
            </w:r>
            <w:r w:rsidRPr="00E3331A">
              <w:t xml:space="preserve"> with INCAT disability score of 1-9, receipt of either IVIg (minimum dose equivalent to 0.4 g/kg every 4 weeks for a minimum of 12 weeks) or corticosteroids (minimum dose equivalent to prednisone 10 mg/day) documented clinically meaningful deterioration on interruption or reduction of therapy in the 18 months before screening. Sttable disease without a substantial change in treatment for the 6 weeks before randomisation.</w:t>
            </w:r>
          </w:p>
        </w:tc>
        <w:tc>
          <w:tcPr>
            <w:tcW w:w="492" w:type="pct"/>
            <w:shd w:val="clear" w:color="auto" w:fill="auto"/>
          </w:tcPr>
          <w:p w:rsidR="00464E0A" w:rsidRPr="00E3331A" w:rsidRDefault="00464E0A" w:rsidP="00EC4AAF">
            <w:pPr>
              <w:pStyle w:val="Tablecontents"/>
            </w:pPr>
            <w:r w:rsidRPr="00E3331A">
              <w:t>I: n = 54</w:t>
            </w:r>
          </w:p>
          <w:p w:rsidR="00464E0A" w:rsidRPr="00E3331A" w:rsidRDefault="00464E0A" w:rsidP="00EC4AAF">
            <w:pPr>
              <w:pStyle w:val="Tablecontents"/>
            </w:pPr>
            <w:r w:rsidRPr="00E3331A">
              <w:t>C: n = 52</w:t>
            </w:r>
          </w:p>
          <w:p w:rsidR="00464E0A" w:rsidRPr="00E3331A" w:rsidRDefault="00464E0A" w:rsidP="00EC4AAF">
            <w:pPr>
              <w:pStyle w:val="Tablecontents"/>
            </w:pPr>
            <w:r w:rsidRPr="00E3331A">
              <w:t>Age</w:t>
            </w:r>
          </w:p>
          <w:p w:rsidR="00464E0A" w:rsidRPr="00E3331A" w:rsidRDefault="00464E0A" w:rsidP="00EC4AAF">
            <w:pPr>
              <w:pStyle w:val="Tablecontents"/>
              <w:rPr>
                <w:rFonts w:ascii="Calibri" w:hAnsi="Calibri"/>
              </w:rPr>
            </w:pPr>
            <w:r w:rsidRPr="00E3331A">
              <w:t xml:space="preserve">I: 54.3 </w:t>
            </w:r>
            <w:r w:rsidRPr="00E3331A">
              <w:rPr>
                <w:rFonts w:ascii="Calibri" w:hAnsi="Calibri"/>
              </w:rPr>
              <w:t>± 13.3</w:t>
            </w:r>
          </w:p>
          <w:p w:rsidR="00464E0A" w:rsidRPr="00E3331A" w:rsidRDefault="00464E0A" w:rsidP="00EC4AAF">
            <w:pPr>
              <w:pStyle w:val="Tablecontents"/>
              <w:rPr>
                <w:rFonts w:ascii="Calibri" w:hAnsi="Calibri"/>
              </w:rPr>
            </w:pPr>
            <w:r w:rsidRPr="00E3331A">
              <w:t xml:space="preserve">C: 55.6 </w:t>
            </w:r>
            <w:r w:rsidRPr="00E3331A">
              <w:rPr>
                <w:rFonts w:ascii="Calibri" w:hAnsi="Calibri"/>
              </w:rPr>
              <w:t>± 11.7</w:t>
            </w:r>
          </w:p>
          <w:p w:rsidR="00464E0A" w:rsidRPr="00E3331A" w:rsidRDefault="00464E0A" w:rsidP="00EC4AAF">
            <w:pPr>
              <w:pStyle w:val="Tablecontents"/>
            </w:pPr>
            <w:r w:rsidRPr="00E3331A">
              <w:t>% male</w:t>
            </w:r>
          </w:p>
          <w:p w:rsidR="00464E0A" w:rsidRPr="00E3331A" w:rsidRDefault="00464E0A" w:rsidP="00EC4AAF">
            <w:pPr>
              <w:pStyle w:val="Tablecontents"/>
            </w:pPr>
            <w:r w:rsidRPr="00E3331A">
              <w:t>I: 69%</w:t>
            </w:r>
          </w:p>
          <w:p w:rsidR="00464E0A" w:rsidRPr="00E3331A" w:rsidRDefault="00464E0A" w:rsidP="00EC4AAF">
            <w:pPr>
              <w:pStyle w:val="Tablecontents"/>
            </w:pPr>
            <w:r w:rsidRPr="00E3331A">
              <w:t>C: 58%</w:t>
            </w:r>
          </w:p>
          <w:p w:rsidR="00464E0A" w:rsidRPr="00E3331A" w:rsidRDefault="00464E0A" w:rsidP="00EC4AAF">
            <w:pPr>
              <w:pStyle w:val="Tablecontents"/>
            </w:pPr>
          </w:p>
        </w:tc>
        <w:tc>
          <w:tcPr>
            <w:tcW w:w="577" w:type="pct"/>
            <w:shd w:val="clear" w:color="auto" w:fill="auto"/>
          </w:tcPr>
          <w:p w:rsidR="00464E0A" w:rsidRPr="00E3331A" w:rsidRDefault="00464E0A" w:rsidP="00EC4AAF">
            <w:pPr>
              <w:pStyle w:val="Tablecontents"/>
            </w:pPr>
            <w:r w:rsidRPr="00E3331A">
              <w:t>Status: NR</w:t>
            </w:r>
          </w:p>
          <w:p w:rsidR="00464E0A" w:rsidRPr="00E3331A" w:rsidRDefault="00464E0A" w:rsidP="00EC4AAF">
            <w:pPr>
              <w:pStyle w:val="Tablecontents"/>
            </w:pPr>
            <w:r w:rsidRPr="00E3331A">
              <w:t>Type: NR</w:t>
            </w:r>
          </w:p>
          <w:p w:rsidR="00464E0A" w:rsidRPr="00E3331A" w:rsidRDefault="00464E0A" w:rsidP="00EC4AAF">
            <w:pPr>
              <w:pStyle w:val="Tablecontents"/>
            </w:pPr>
            <w:r w:rsidRPr="00E3331A">
              <w:t xml:space="preserve">Time since diagnosis: </w:t>
            </w:r>
          </w:p>
          <w:p w:rsidR="00464E0A" w:rsidRPr="00E3331A" w:rsidRDefault="00464E0A" w:rsidP="00EC4AAF">
            <w:pPr>
              <w:pStyle w:val="Tablecontents"/>
              <w:rPr>
                <w:rFonts w:ascii="Calibri" w:hAnsi="Calibri"/>
              </w:rPr>
            </w:pPr>
            <w:r w:rsidRPr="00E3331A">
              <w:t xml:space="preserve">I: 5.6 </w:t>
            </w:r>
            <w:r w:rsidRPr="00E3331A">
              <w:rPr>
                <w:rFonts w:ascii="Calibri" w:hAnsi="Calibri"/>
              </w:rPr>
              <w:t>± 5.7 yrs</w:t>
            </w:r>
          </w:p>
          <w:p w:rsidR="00464E0A" w:rsidRPr="00E3331A" w:rsidRDefault="00464E0A" w:rsidP="00EC4AAF">
            <w:pPr>
              <w:pStyle w:val="Tablecontents"/>
            </w:pPr>
            <w:r w:rsidRPr="00E3331A">
              <w:t xml:space="preserve">C: 7.2 </w:t>
            </w:r>
            <w:r w:rsidRPr="00E3331A">
              <w:rPr>
                <w:rFonts w:ascii="Calibri" w:hAnsi="Calibri"/>
              </w:rPr>
              <w:t>± 6.5 yrs</w:t>
            </w:r>
          </w:p>
          <w:p w:rsidR="00464E0A" w:rsidRPr="00E3331A" w:rsidRDefault="00464E0A" w:rsidP="00EC4AAF">
            <w:pPr>
              <w:pStyle w:val="Tablecontents"/>
            </w:pPr>
            <w:r w:rsidRPr="00E3331A">
              <w:t>Current treatment:</w:t>
            </w:r>
          </w:p>
          <w:p w:rsidR="00464E0A" w:rsidRPr="00E3331A" w:rsidRDefault="00464E0A" w:rsidP="00EC4AAF">
            <w:pPr>
              <w:pStyle w:val="Tablecontents"/>
            </w:pPr>
            <w:r w:rsidRPr="00E3331A">
              <w:t>IVIg (77%)</w:t>
            </w:r>
          </w:p>
          <w:p w:rsidR="00464E0A" w:rsidRPr="00E3331A" w:rsidRDefault="00464E0A" w:rsidP="00EC4AAF">
            <w:pPr>
              <w:pStyle w:val="Tablecontents"/>
            </w:pPr>
            <w:r w:rsidRPr="00E3331A">
              <w:t>Steroids (23%)</w:t>
            </w:r>
          </w:p>
          <w:p w:rsidR="00464E0A" w:rsidRPr="00E3331A" w:rsidRDefault="00464E0A" w:rsidP="00EC4AAF">
            <w:pPr>
              <w:pStyle w:val="Tablecontents"/>
            </w:pPr>
            <w:r w:rsidRPr="00E3331A">
              <w:t>Note patients on steroids tapered their dose to 0 over 8 weeks</w:t>
            </w:r>
          </w:p>
          <w:p w:rsidR="00464E0A" w:rsidRPr="00E3331A" w:rsidRDefault="00464E0A" w:rsidP="00EC4AAF">
            <w:pPr>
              <w:pStyle w:val="Tablecontents"/>
            </w:pPr>
          </w:p>
        </w:tc>
        <w:tc>
          <w:tcPr>
            <w:tcW w:w="557" w:type="pct"/>
            <w:shd w:val="clear" w:color="auto" w:fill="auto"/>
          </w:tcPr>
          <w:p w:rsidR="00464E0A" w:rsidRPr="00E3331A" w:rsidRDefault="00464E0A" w:rsidP="00EC4AAF">
            <w:pPr>
              <w:pStyle w:val="Tablecontents"/>
            </w:pPr>
            <w:r w:rsidRPr="00E3331A">
              <w:t>INCAT</w:t>
            </w:r>
          </w:p>
          <w:p w:rsidR="00464E0A" w:rsidRPr="00E3331A" w:rsidRDefault="00464E0A" w:rsidP="00EC4AAF">
            <w:pPr>
              <w:pStyle w:val="Tablecontents"/>
              <w:rPr>
                <w:rFonts w:ascii="Calibri" w:hAnsi="Calibri"/>
              </w:rPr>
            </w:pPr>
            <w:r w:rsidRPr="00E3331A">
              <w:t xml:space="preserve">I: 2.7 </w:t>
            </w:r>
            <w:r w:rsidRPr="00E3331A">
              <w:rPr>
                <w:rFonts w:ascii="Calibri" w:hAnsi="Calibri"/>
              </w:rPr>
              <w:t>± 1.5</w:t>
            </w:r>
          </w:p>
          <w:p w:rsidR="00464E0A" w:rsidRPr="00E3331A" w:rsidRDefault="00464E0A" w:rsidP="00EC4AAF">
            <w:pPr>
              <w:pStyle w:val="Tablecontents"/>
              <w:rPr>
                <w:rFonts w:ascii="Calibri" w:hAnsi="Calibri"/>
              </w:rPr>
            </w:pPr>
            <w:r w:rsidRPr="00E3331A">
              <w:t xml:space="preserve">C: 2.7 </w:t>
            </w:r>
            <w:r w:rsidRPr="00E3331A">
              <w:rPr>
                <w:rFonts w:ascii="Calibri" w:hAnsi="Calibri"/>
              </w:rPr>
              <w:t>± 1.7</w:t>
            </w:r>
          </w:p>
          <w:p w:rsidR="00464E0A" w:rsidRPr="00E3331A" w:rsidRDefault="00464E0A" w:rsidP="00EC4AAF">
            <w:pPr>
              <w:pStyle w:val="Tablecontents"/>
            </w:pPr>
            <w:r w:rsidRPr="00E3331A">
              <w:t>MRC</w:t>
            </w:r>
          </w:p>
          <w:p w:rsidR="00464E0A" w:rsidRPr="00E3331A" w:rsidRDefault="00464E0A" w:rsidP="00EC4AAF">
            <w:pPr>
              <w:pStyle w:val="Tablecontents"/>
              <w:rPr>
                <w:rFonts w:ascii="Calibri" w:hAnsi="Calibri"/>
              </w:rPr>
            </w:pPr>
            <w:r w:rsidRPr="00E3331A">
              <w:t xml:space="preserve">I: 55.3 </w:t>
            </w:r>
            <w:r w:rsidRPr="00E3331A">
              <w:rPr>
                <w:rFonts w:ascii="Calibri" w:hAnsi="Calibri"/>
              </w:rPr>
              <w:t>± 5.3</w:t>
            </w:r>
          </w:p>
          <w:p w:rsidR="00464E0A" w:rsidRPr="00E3331A" w:rsidRDefault="00464E0A" w:rsidP="00EC4AAF">
            <w:pPr>
              <w:pStyle w:val="Tablecontents"/>
              <w:rPr>
                <w:rFonts w:ascii="Calibri" w:hAnsi="Calibri"/>
              </w:rPr>
            </w:pPr>
            <w:r w:rsidRPr="00E3331A">
              <w:t xml:space="preserve">C: 55.8 </w:t>
            </w:r>
            <w:r w:rsidRPr="00E3331A">
              <w:rPr>
                <w:rFonts w:ascii="Calibri" w:hAnsi="Calibri"/>
              </w:rPr>
              <w:t>± 5.5</w:t>
            </w:r>
          </w:p>
          <w:p w:rsidR="00464E0A" w:rsidRPr="00E3331A" w:rsidRDefault="00464E0A" w:rsidP="00EC4AAF">
            <w:pPr>
              <w:pStyle w:val="Tablecontents"/>
            </w:pPr>
            <w:r w:rsidRPr="00E3331A">
              <w:t>SF-36</w:t>
            </w:r>
          </w:p>
          <w:p w:rsidR="00464E0A" w:rsidRPr="00E3331A" w:rsidRDefault="00464E0A" w:rsidP="00EC4AAF">
            <w:pPr>
              <w:pStyle w:val="Tablecontents"/>
              <w:rPr>
                <w:rFonts w:ascii="Calibri" w:hAnsi="Calibri"/>
              </w:rPr>
            </w:pPr>
            <w:r w:rsidRPr="00E3331A">
              <w:t xml:space="preserve">I: 40.4 </w:t>
            </w:r>
            <w:r w:rsidRPr="00E3331A">
              <w:rPr>
                <w:rFonts w:ascii="Calibri" w:hAnsi="Calibri"/>
              </w:rPr>
              <w:t>± 9.2</w:t>
            </w:r>
          </w:p>
          <w:p w:rsidR="00464E0A" w:rsidRPr="00E3331A" w:rsidRDefault="00464E0A" w:rsidP="00EC4AAF">
            <w:pPr>
              <w:pStyle w:val="Tablecontents"/>
              <w:rPr>
                <w:rFonts w:ascii="Calibri" w:hAnsi="Calibri"/>
              </w:rPr>
            </w:pPr>
            <w:r w:rsidRPr="00E3331A">
              <w:t xml:space="preserve">C: 41.2 </w:t>
            </w:r>
            <w:r w:rsidRPr="00E3331A">
              <w:rPr>
                <w:rFonts w:ascii="Calibri" w:hAnsi="Calibri"/>
              </w:rPr>
              <w:t>± 8.8</w:t>
            </w:r>
          </w:p>
          <w:p w:rsidR="00464E0A" w:rsidRPr="00E3331A" w:rsidRDefault="00464E0A" w:rsidP="00EC4AAF">
            <w:pPr>
              <w:pStyle w:val="Tablecontents"/>
            </w:pPr>
            <w:r w:rsidRPr="00E3331A">
              <w:t>R-ODS</w:t>
            </w:r>
          </w:p>
          <w:p w:rsidR="00464E0A" w:rsidRPr="00E3331A" w:rsidRDefault="00464E0A" w:rsidP="00EC4AAF">
            <w:pPr>
              <w:pStyle w:val="Tablecontents"/>
              <w:rPr>
                <w:rFonts w:ascii="Calibri" w:hAnsi="Calibri"/>
              </w:rPr>
            </w:pPr>
            <w:r w:rsidRPr="00E3331A">
              <w:t xml:space="preserve">I: 65.7 </w:t>
            </w:r>
            <w:r w:rsidRPr="00E3331A">
              <w:rPr>
                <w:rFonts w:ascii="Calibri" w:hAnsi="Calibri"/>
              </w:rPr>
              <w:t>± 17.7</w:t>
            </w:r>
          </w:p>
          <w:p w:rsidR="00464E0A" w:rsidRPr="00E3331A" w:rsidRDefault="00464E0A" w:rsidP="00EC4AAF">
            <w:pPr>
              <w:pStyle w:val="Tablecontents"/>
            </w:pPr>
            <w:r w:rsidRPr="00E3331A">
              <w:t xml:space="preserve">C: 66.3 </w:t>
            </w:r>
            <w:r w:rsidRPr="00E3331A">
              <w:rPr>
                <w:rFonts w:ascii="Calibri" w:hAnsi="Calibri"/>
              </w:rPr>
              <w:t>± 19.6</w:t>
            </w:r>
          </w:p>
        </w:tc>
        <w:tc>
          <w:tcPr>
            <w:tcW w:w="537" w:type="pct"/>
            <w:shd w:val="clear" w:color="auto" w:fill="auto"/>
          </w:tcPr>
          <w:p w:rsidR="00464E0A" w:rsidRPr="00E3331A" w:rsidRDefault="00464E0A" w:rsidP="00EC4AAF">
            <w:pPr>
              <w:pStyle w:val="Tablecontents"/>
            </w:pPr>
            <w:r w:rsidRPr="00E3331A">
              <w:t>Oral fingolimod (0.5 mg) daily.</w:t>
            </w:r>
          </w:p>
          <w:p w:rsidR="00464E0A" w:rsidRPr="00E3331A" w:rsidRDefault="00464E0A" w:rsidP="00EC4AAF">
            <w:pPr>
              <w:pStyle w:val="Tablecontents"/>
            </w:pPr>
          </w:p>
        </w:tc>
        <w:tc>
          <w:tcPr>
            <w:tcW w:w="626" w:type="pct"/>
            <w:shd w:val="clear" w:color="auto" w:fill="auto"/>
          </w:tcPr>
          <w:p w:rsidR="00464E0A" w:rsidRPr="00E3331A" w:rsidRDefault="00464E0A" w:rsidP="00EC4AAF">
            <w:pPr>
              <w:pStyle w:val="Tablecontents"/>
            </w:pPr>
            <w:r w:rsidRPr="00E3331A">
              <w:t>Placebo (daily)</w:t>
            </w:r>
          </w:p>
        </w:tc>
        <w:tc>
          <w:tcPr>
            <w:tcW w:w="624" w:type="pct"/>
            <w:shd w:val="clear" w:color="auto" w:fill="auto"/>
          </w:tcPr>
          <w:p w:rsidR="00464E0A" w:rsidRPr="00E3331A" w:rsidRDefault="00464E0A" w:rsidP="00EC4AAF">
            <w:pPr>
              <w:pStyle w:val="Tablecontents"/>
            </w:pPr>
          </w:p>
        </w:tc>
      </w:tr>
      <w:tr w:rsidR="00464E0A" w:rsidRPr="00E3331A" w:rsidTr="00EC4AAF">
        <w:tc>
          <w:tcPr>
            <w:tcW w:w="454" w:type="pct"/>
            <w:shd w:val="clear" w:color="auto" w:fill="auto"/>
          </w:tcPr>
          <w:p w:rsidR="00464E0A" w:rsidRPr="00E3331A" w:rsidRDefault="00464E0A" w:rsidP="00EC4AAF">
            <w:pPr>
              <w:pStyle w:val="Tablecontents"/>
            </w:pPr>
            <w:r w:rsidRPr="00E3331A">
              <w:t>Studies investigating treatment refractory patients</w:t>
            </w:r>
          </w:p>
        </w:tc>
        <w:tc>
          <w:tcPr>
            <w:tcW w:w="477" w:type="pct"/>
            <w:shd w:val="clear" w:color="auto" w:fill="auto"/>
          </w:tcPr>
          <w:p w:rsidR="00464E0A" w:rsidRPr="00E3331A" w:rsidRDefault="00464E0A" w:rsidP="00EC4AAF">
            <w:pPr>
              <w:pStyle w:val="Tablecontents"/>
            </w:pPr>
          </w:p>
        </w:tc>
        <w:tc>
          <w:tcPr>
            <w:tcW w:w="657" w:type="pct"/>
            <w:shd w:val="clear" w:color="auto" w:fill="auto"/>
          </w:tcPr>
          <w:p w:rsidR="00464E0A" w:rsidRPr="00E3331A" w:rsidRDefault="00464E0A" w:rsidP="00EC4AAF">
            <w:pPr>
              <w:pStyle w:val="Tablecontents"/>
            </w:pPr>
          </w:p>
        </w:tc>
        <w:tc>
          <w:tcPr>
            <w:tcW w:w="492" w:type="pct"/>
            <w:shd w:val="clear" w:color="auto" w:fill="auto"/>
          </w:tcPr>
          <w:p w:rsidR="00464E0A" w:rsidRPr="00E3331A" w:rsidRDefault="00464E0A" w:rsidP="00EC4AAF">
            <w:pPr>
              <w:pStyle w:val="Tablecontents"/>
            </w:pPr>
          </w:p>
        </w:tc>
        <w:tc>
          <w:tcPr>
            <w:tcW w:w="577" w:type="pct"/>
            <w:shd w:val="clear" w:color="auto" w:fill="auto"/>
          </w:tcPr>
          <w:p w:rsidR="00464E0A" w:rsidRPr="00E3331A" w:rsidRDefault="00464E0A" w:rsidP="00EC4AAF">
            <w:pPr>
              <w:pStyle w:val="Tablecontents"/>
            </w:pPr>
          </w:p>
        </w:tc>
        <w:tc>
          <w:tcPr>
            <w:tcW w:w="557" w:type="pct"/>
            <w:shd w:val="clear" w:color="auto" w:fill="auto"/>
          </w:tcPr>
          <w:p w:rsidR="00464E0A" w:rsidRPr="00E3331A" w:rsidRDefault="00464E0A" w:rsidP="00EC4AAF">
            <w:pPr>
              <w:pStyle w:val="Tablecontents"/>
            </w:pPr>
          </w:p>
        </w:tc>
        <w:tc>
          <w:tcPr>
            <w:tcW w:w="537" w:type="pct"/>
            <w:shd w:val="clear" w:color="auto" w:fill="auto"/>
          </w:tcPr>
          <w:p w:rsidR="00464E0A" w:rsidRPr="00E3331A" w:rsidRDefault="00464E0A" w:rsidP="00EC4AAF">
            <w:pPr>
              <w:pStyle w:val="Tablecontents"/>
            </w:pPr>
          </w:p>
        </w:tc>
        <w:tc>
          <w:tcPr>
            <w:tcW w:w="626" w:type="pct"/>
            <w:shd w:val="clear" w:color="auto" w:fill="auto"/>
          </w:tcPr>
          <w:p w:rsidR="00464E0A" w:rsidRPr="00E3331A" w:rsidRDefault="00464E0A" w:rsidP="00EC4AAF">
            <w:pPr>
              <w:pStyle w:val="Tablecontents"/>
            </w:pPr>
          </w:p>
        </w:tc>
        <w:tc>
          <w:tcPr>
            <w:tcW w:w="624" w:type="pct"/>
            <w:shd w:val="clear" w:color="auto" w:fill="auto"/>
          </w:tcPr>
          <w:p w:rsidR="00464E0A" w:rsidRPr="00E3331A" w:rsidRDefault="00464E0A" w:rsidP="00EC4AAF">
            <w:pPr>
              <w:pStyle w:val="Tablecontents"/>
            </w:pPr>
          </w:p>
        </w:tc>
      </w:tr>
      <w:tr w:rsidR="00464E0A" w:rsidRPr="00E3331A" w:rsidTr="00EC4AAF">
        <w:tc>
          <w:tcPr>
            <w:tcW w:w="454" w:type="pct"/>
            <w:shd w:val="clear" w:color="auto" w:fill="auto"/>
          </w:tcPr>
          <w:p w:rsidR="00464E0A" w:rsidRPr="00E3331A" w:rsidRDefault="00464E0A" w:rsidP="00EC4AAF">
            <w:pPr>
              <w:pStyle w:val="Tablecontents"/>
            </w:pPr>
            <w:r w:rsidRPr="00E3331A">
              <w:t>Lieker et al. (2017)</w:t>
            </w:r>
          </w:p>
        </w:tc>
        <w:tc>
          <w:tcPr>
            <w:tcW w:w="477" w:type="pct"/>
            <w:shd w:val="clear" w:color="auto" w:fill="auto"/>
          </w:tcPr>
          <w:p w:rsidR="00464E0A" w:rsidRPr="00E3331A" w:rsidRDefault="00464E0A" w:rsidP="00EC4AAF">
            <w:pPr>
              <w:pStyle w:val="Tablecontents"/>
            </w:pPr>
            <w:r w:rsidRPr="00E3331A">
              <w:t>PE vs Ia</w:t>
            </w:r>
          </w:p>
        </w:tc>
        <w:tc>
          <w:tcPr>
            <w:tcW w:w="657" w:type="pct"/>
            <w:shd w:val="clear" w:color="auto" w:fill="auto"/>
            <w:vAlign w:val="center"/>
          </w:tcPr>
          <w:p w:rsidR="00464E0A" w:rsidRPr="00E3331A" w:rsidRDefault="00464E0A" w:rsidP="00EC4AAF">
            <w:pPr>
              <w:pStyle w:val="Tablecontents"/>
            </w:pPr>
            <w:r w:rsidRPr="00E3331A">
              <w:t xml:space="preserve">Met EFN/PNS 2010 diagnostic criteria for </w:t>
            </w:r>
            <w:r w:rsidRPr="00E3331A">
              <w:lastRenderedPageBreak/>
              <w:t>possible, probable or definite CIDP.</w:t>
            </w:r>
          </w:p>
        </w:tc>
        <w:tc>
          <w:tcPr>
            <w:tcW w:w="492" w:type="pct"/>
            <w:shd w:val="clear" w:color="auto" w:fill="auto"/>
          </w:tcPr>
          <w:p w:rsidR="00464E0A" w:rsidRPr="00E3331A" w:rsidRDefault="00464E0A" w:rsidP="00EC4AAF">
            <w:pPr>
              <w:pStyle w:val="Tablecontents"/>
            </w:pPr>
            <w:r w:rsidRPr="00E3331A">
              <w:lastRenderedPageBreak/>
              <w:t>I: n = 10</w:t>
            </w:r>
          </w:p>
          <w:p w:rsidR="00464E0A" w:rsidRPr="00E3331A" w:rsidRDefault="00464E0A" w:rsidP="00EC4AAF">
            <w:pPr>
              <w:pStyle w:val="Tablecontents"/>
            </w:pPr>
            <w:r w:rsidRPr="00E3331A">
              <w:t>C: n = 10</w:t>
            </w:r>
          </w:p>
          <w:p w:rsidR="00464E0A" w:rsidRPr="00E3331A" w:rsidRDefault="00464E0A" w:rsidP="00EC4AAF">
            <w:pPr>
              <w:pStyle w:val="Tablecontents"/>
            </w:pPr>
            <w:r w:rsidRPr="00E3331A">
              <w:t>Age</w:t>
            </w:r>
          </w:p>
          <w:p w:rsidR="00464E0A" w:rsidRPr="00E3331A" w:rsidRDefault="00464E0A" w:rsidP="00EC4AAF">
            <w:pPr>
              <w:pStyle w:val="Tablecontents"/>
              <w:rPr>
                <w:rFonts w:ascii="Calibri" w:hAnsi="Calibri"/>
              </w:rPr>
            </w:pPr>
            <w:r w:rsidRPr="00E3331A">
              <w:lastRenderedPageBreak/>
              <w:t xml:space="preserve">I: 65.44 </w:t>
            </w:r>
            <w:r w:rsidRPr="00E3331A">
              <w:rPr>
                <w:rFonts w:ascii="Calibri" w:hAnsi="Calibri"/>
              </w:rPr>
              <w:t>± 12.6</w:t>
            </w:r>
          </w:p>
          <w:p w:rsidR="00464E0A" w:rsidRPr="00E3331A" w:rsidRDefault="00464E0A" w:rsidP="00EC4AAF">
            <w:pPr>
              <w:pStyle w:val="Tablecontents"/>
              <w:rPr>
                <w:rFonts w:ascii="Calibri" w:hAnsi="Calibri"/>
              </w:rPr>
            </w:pPr>
            <w:r w:rsidRPr="00E3331A">
              <w:t xml:space="preserve">C: 65.4 </w:t>
            </w:r>
            <w:r w:rsidRPr="00E3331A">
              <w:rPr>
                <w:rFonts w:ascii="Calibri" w:hAnsi="Calibri"/>
              </w:rPr>
              <w:t>± 12.3</w:t>
            </w:r>
          </w:p>
          <w:p w:rsidR="00464E0A" w:rsidRPr="00E3331A" w:rsidRDefault="00464E0A" w:rsidP="00EC4AAF">
            <w:pPr>
              <w:pStyle w:val="Tablecontents"/>
            </w:pPr>
            <w:r w:rsidRPr="00E3331A">
              <w:t>% male</w:t>
            </w:r>
          </w:p>
          <w:p w:rsidR="00464E0A" w:rsidRPr="00E3331A" w:rsidRDefault="00464E0A" w:rsidP="00EC4AAF">
            <w:pPr>
              <w:pStyle w:val="Tablecontents"/>
            </w:pPr>
            <w:r w:rsidRPr="00E3331A">
              <w:t>I: 55.5%</w:t>
            </w:r>
          </w:p>
          <w:p w:rsidR="00464E0A" w:rsidRPr="00E3331A" w:rsidRDefault="00464E0A" w:rsidP="00EC4AAF">
            <w:pPr>
              <w:pStyle w:val="Tablecontents"/>
            </w:pPr>
            <w:r w:rsidRPr="00E3331A">
              <w:t>C: 77.8%</w:t>
            </w:r>
          </w:p>
          <w:p w:rsidR="00464E0A" w:rsidRPr="00E3331A" w:rsidRDefault="00464E0A" w:rsidP="00EC4AAF">
            <w:pPr>
              <w:pStyle w:val="Tablecontents"/>
            </w:pPr>
          </w:p>
        </w:tc>
        <w:tc>
          <w:tcPr>
            <w:tcW w:w="577" w:type="pct"/>
            <w:shd w:val="clear" w:color="auto" w:fill="auto"/>
          </w:tcPr>
          <w:p w:rsidR="00464E0A" w:rsidRPr="00E3331A" w:rsidRDefault="00464E0A" w:rsidP="00EC4AAF">
            <w:pPr>
              <w:pStyle w:val="Tablecontents"/>
            </w:pPr>
            <w:r w:rsidRPr="00E3331A">
              <w:lastRenderedPageBreak/>
              <w:t xml:space="preserve">Status: definite n = 9, </w:t>
            </w:r>
            <w:r w:rsidRPr="00E3331A">
              <w:lastRenderedPageBreak/>
              <w:t>probable/possible n = 9</w:t>
            </w:r>
          </w:p>
          <w:p w:rsidR="00464E0A" w:rsidRPr="00E3331A" w:rsidRDefault="00464E0A" w:rsidP="00EC4AAF">
            <w:pPr>
              <w:pStyle w:val="Tablecontents"/>
            </w:pPr>
            <w:r w:rsidRPr="00E3331A">
              <w:t>Type:</w:t>
            </w:r>
          </w:p>
          <w:p w:rsidR="00464E0A" w:rsidRPr="00E3331A" w:rsidRDefault="00464E0A" w:rsidP="00EC4AAF">
            <w:pPr>
              <w:pStyle w:val="Tablecontents"/>
            </w:pPr>
            <w:r w:rsidRPr="00E3331A">
              <w:t>Typica n = 7, atypical n = 11</w:t>
            </w:r>
          </w:p>
          <w:p w:rsidR="00464E0A" w:rsidRPr="00E3331A" w:rsidRDefault="00464E0A" w:rsidP="00EC4AAF">
            <w:pPr>
              <w:pStyle w:val="Tablecontents"/>
            </w:pPr>
            <w:r w:rsidRPr="00E3331A">
              <w:t>Time since diagnosis:</w:t>
            </w:r>
          </w:p>
          <w:p w:rsidR="00464E0A" w:rsidRPr="00E3331A" w:rsidRDefault="00464E0A" w:rsidP="00EC4AAF">
            <w:pPr>
              <w:pStyle w:val="Tablecontents"/>
              <w:rPr>
                <w:rFonts w:ascii="Calibri" w:hAnsi="Calibri"/>
              </w:rPr>
            </w:pPr>
            <w:r w:rsidRPr="00E3331A">
              <w:t xml:space="preserve">I: 5.2 </w:t>
            </w:r>
            <w:r w:rsidRPr="00E3331A">
              <w:rPr>
                <w:rFonts w:ascii="Calibri" w:hAnsi="Calibri"/>
              </w:rPr>
              <w:t>± 4.3 years</w:t>
            </w:r>
          </w:p>
          <w:p w:rsidR="00464E0A" w:rsidRPr="00E3331A" w:rsidRDefault="00464E0A" w:rsidP="00EC4AAF">
            <w:pPr>
              <w:pStyle w:val="Tablecontents"/>
            </w:pPr>
            <w:r w:rsidRPr="00E3331A">
              <w:t xml:space="preserve">C: 3.1 </w:t>
            </w:r>
            <w:r w:rsidRPr="00E3331A">
              <w:rPr>
                <w:rFonts w:ascii="Calibri" w:hAnsi="Calibri"/>
              </w:rPr>
              <w:t>± 2.3 yrs</w:t>
            </w:r>
          </w:p>
        </w:tc>
        <w:tc>
          <w:tcPr>
            <w:tcW w:w="557" w:type="pct"/>
            <w:shd w:val="clear" w:color="auto" w:fill="auto"/>
          </w:tcPr>
          <w:p w:rsidR="00464E0A" w:rsidRPr="00E3331A" w:rsidRDefault="00464E0A" w:rsidP="00EC4AAF">
            <w:pPr>
              <w:pStyle w:val="Tablecontents"/>
            </w:pPr>
            <w:r w:rsidRPr="00E3331A">
              <w:lastRenderedPageBreak/>
              <w:t>INCAT</w:t>
            </w:r>
          </w:p>
          <w:p w:rsidR="00464E0A" w:rsidRPr="00E3331A" w:rsidRDefault="00464E0A" w:rsidP="00EC4AAF">
            <w:pPr>
              <w:pStyle w:val="Tablecontents"/>
              <w:rPr>
                <w:rFonts w:ascii="Calibri" w:hAnsi="Calibri"/>
              </w:rPr>
            </w:pPr>
            <w:r w:rsidRPr="00E3331A">
              <w:t xml:space="preserve">I: 3.6 </w:t>
            </w:r>
            <w:r w:rsidRPr="00E3331A">
              <w:rPr>
                <w:rFonts w:ascii="Calibri" w:hAnsi="Calibri"/>
              </w:rPr>
              <w:t>± 1.7</w:t>
            </w:r>
          </w:p>
          <w:p w:rsidR="00464E0A" w:rsidRPr="00E3331A" w:rsidRDefault="00464E0A" w:rsidP="00EC4AAF">
            <w:pPr>
              <w:pStyle w:val="Tablecontents"/>
              <w:rPr>
                <w:rFonts w:ascii="Calibri" w:hAnsi="Calibri"/>
              </w:rPr>
            </w:pPr>
            <w:r w:rsidRPr="00E3331A">
              <w:t xml:space="preserve">C: 3.1 </w:t>
            </w:r>
            <w:r w:rsidRPr="00E3331A">
              <w:rPr>
                <w:rFonts w:ascii="Calibri" w:hAnsi="Calibri"/>
              </w:rPr>
              <w:t>± 1.7</w:t>
            </w:r>
          </w:p>
          <w:p w:rsidR="00464E0A" w:rsidRPr="00E3331A" w:rsidRDefault="00464E0A" w:rsidP="00EC4AAF">
            <w:pPr>
              <w:pStyle w:val="Tablecontents"/>
            </w:pPr>
            <w:r w:rsidRPr="00E3331A">
              <w:lastRenderedPageBreak/>
              <w:t>MRC</w:t>
            </w:r>
          </w:p>
          <w:p w:rsidR="00464E0A" w:rsidRPr="00E3331A" w:rsidRDefault="00464E0A" w:rsidP="00EC4AAF">
            <w:pPr>
              <w:pStyle w:val="Tablecontents"/>
              <w:rPr>
                <w:rFonts w:ascii="Calibri" w:hAnsi="Calibri"/>
              </w:rPr>
            </w:pPr>
            <w:r w:rsidRPr="00E3331A">
              <w:t xml:space="preserve">I: 61.7 </w:t>
            </w:r>
            <w:r w:rsidRPr="00E3331A">
              <w:rPr>
                <w:rFonts w:ascii="Calibri" w:hAnsi="Calibri"/>
              </w:rPr>
              <w:t>± 5.6</w:t>
            </w:r>
          </w:p>
          <w:p w:rsidR="00464E0A" w:rsidRPr="00E3331A" w:rsidRDefault="00464E0A" w:rsidP="00EC4AAF">
            <w:pPr>
              <w:pStyle w:val="Tablecontents"/>
            </w:pPr>
            <w:r w:rsidRPr="00E3331A">
              <w:t xml:space="preserve">C: 61.8 </w:t>
            </w:r>
            <w:r w:rsidRPr="00E3331A">
              <w:rPr>
                <w:rFonts w:ascii="Calibri" w:hAnsi="Calibri"/>
              </w:rPr>
              <w:t>± 4.1</w:t>
            </w:r>
          </w:p>
        </w:tc>
        <w:tc>
          <w:tcPr>
            <w:tcW w:w="537" w:type="pct"/>
            <w:shd w:val="clear" w:color="auto" w:fill="auto"/>
          </w:tcPr>
          <w:p w:rsidR="00464E0A" w:rsidRPr="00E3331A" w:rsidRDefault="00464E0A" w:rsidP="00EC4AAF">
            <w:pPr>
              <w:pStyle w:val="Tablecontents"/>
            </w:pPr>
            <w:r w:rsidRPr="00E3331A">
              <w:lastRenderedPageBreak/>
              <w:t xml:space="preserve">PE (tryptophan-linked polyvinyl alcohol adsorber </w:t>
            </w:r>
            <w:r w:rsidRPr="00E3331A">
              <w:lastRenderedPageBreak/>
              <w:t>TR-350, after membrane plasma separation with the polyethylene plasma separator (OP-05) (Asahi Kasei Kuraray Tokyo, Japan) in combination with the Octo Nova extracorporeal circuit technology (SW 4.30.2, front 4.30.0, Dimed Medizintechnik, Cologne, Germany))</w:t>
            </w:r>
          </w:p>
          <w:p w:rsidR="00464E0A" w:rsidRPr="00E3331A" w:rsidRDefault="00464E0A" w:rsidP="00EC4AAF">
            <w:pPr>
              <w:pStyle w:val="Tablecontents"/>
            </w:pPr>
            <w:r w:rsidRPr="00E3331A">
              <w:t>6 sessions with volume 2.5L over 12 days</w:t>
            </w:r>
          </w:p>
        </w:tc>
        <w:tc>
          <w:tcPr>
            <w:tcW w:w="626" w:type="pct"/>
            <w:shd w:val="clear" w:color="auto" w:fill="auto"/>
          </w:tcPr>
          <w:p w:rsidR="00464E0A" w:rsidRPr="00E3331A" w:rsidRDefault="00464E0A" w:rsidP="00EC4AAF">
            <w:pPr>
              <w:pStyle w:val="Tablecontents"/>
            </w:pPr>
            <w:r w:rsidRPr="00E3331A">
              <w:lastRenderedPageBreak/>
              <w:t xml:space="preserve">IA (tryptophan-linked polyvinyl alcohol adsorber TR-350, </w:t>
            </w:r>
            <w:r w:rsidRPr="00E3331A">
              <w:lastRenderedPageBreak/>
              <w:t>after membrane plasma separation with the polyethylene plasma separator (OP-05) (Asahi Kasei Kuraray Tokyo, Japan) in combination with the Octo Nova extracorporeal circuit technology (SW 4.30.2, front 4.30.0, Dimed Medizintechnik, Cologne, Germany))</w:t>
            </w:r>
          </w:p>
          <w:p w:rsidR="00464E0A" w:rsidRPr="00E3331A" w:rsidRDefault="00464E0A" w:rsidP="00EC4AAF">
            <w:pPr>
              <w:pStyle w:val="Tablecontents"/>
            </w:pPr>
            <w:r w:rsidRPr="00E3331A">
              <w:t>6 sessions with volume 2.5L over 12 days</w:t>
            </w:r>
          </w:p>
        </w:tc>
        <w:tc>
          <w:tcPr>
            <w:tcW w:w="624" w:type="pct"/>
            <w:shd w:val="clear" w:color="auto" w:fill="auto"/>
          </w:tcPr>
          <w:p w:rsidR="00464E0A" w:rsidRPr="00E3331A" w:rsidRDefault="00464E0A" w:rsidP="00EC4AAF">
            <w:pPr>
              <w:pStyle w:val="Tablecontents"/>
            </w:pPr>
          </w:p>
        </w:tc>
      </w:tr>
    </w:tbl>
    <w:p w:rsidR="00464E0A" w:rsidRPr="00E3331A" w:rsidRDefault="00464E0A" w:rsidP="00464E0A">
      <w:pPr>
        <w:pStyle w:val="Tablenotes1"/>
      </w:pPr>
      <w:r w:rsidRPr="00E3331A">
        <w:t>Abbreviations: I = intervention; C = comparator; MC = multicentre, DB = double blind; CO = crossover; TCNS = Toronto clinical neuropathy score; AMS = average muscle score.</w:t>
      </w:r>
    </w:p>
    <w:p w:rsidR="00464E0A" w:rsidRPr="00E3331A" w:rsidRDefault="00464E0A" w:rsidP="00464E0A">
      <w:pPr>
        <w:spacing w:after="0" w:line="240" w:lineRule="auto"/>
        <w:rPr>
          <w:rFonts w:ascii="Arial Narrow" w:hAnsi="Arial Narrow" w:cs="Arial"/>
          <w:snapToGrid w:val="0"/>
          <w:sz w:val="18"/>
          <w:szCs w:val="20"/>
          <w:lang w:eastAsia="en-US"/>
        </w:rPr>
      </w:pPr>
      <w:r w:rsidRPr="00E3331A">
        <w:br w:type="page"/>
      </w:r>
    </w:p>
    <w:p w:rsidR="00464E0A" w:rsidRPr="00E3331A" w:rsidRDefault="00464E0A" w:rsidP="00464E0A">
      <w:pPr>
        <w:pStyle w:val="Caption"/>
      </w:pPr>
      <w:bookmarkStart w:id="574" w:name="_Ref9956444"/>
      <w:bookmarkStart w:id="575" w:name="_Toc24103404"/>
      <w:r w:rsidRPr="00E3331A">
        <w:lastRenderedPageBreak/>
        <w:t xml:space="preserve">Table </w:t>
      </w:r>
      <w:r w:rsidR="006F35B9">
        <w:rPr>
          <w:noProof/>
        </w:rPr>
        <w:t>98</w:t>
      </w:r>
      <w:bookmarkEnd w:id="574"/>
      <w:r w:rsidRPr="00E3331A">
        <w:tab/>
        <w:t>Summary of effectiveness data for other comparisons</w:t>
      </w:r>
      <w:bookmarkEnd w:id="5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1098"/>
        <w:gridCol w:w="1355"/>
        <w:gridCol w:w="1234"/>
        <w:gridCol w:w="1618"/>
        <w:gridCol w:w="1755"/>
        <w:gridCol w:w="1346"/>
        <w:gridCol w:w="5333"/>
      </w:tblGrid>
      <w:tr w:rsidR="00464E0A" w:rsidRPr="00E3331A" w:rsidTr="00EC4AAF">
        <w:tc>
          <w:tcPr>
            <w:tcW w:w="458" w:type="pct"/>
            <w:shd w:val="clear" w:color="auto" w:fill="auto"/>
          </w:tcPr>
          <w:p w:rsidR="00464E0A" w:rsidRPr="00E3331A" w:rsidRDefault="00464E0A" w:rsidP="00EC4AAF">
            <w:pPr>
              <w:pStyle w:val="Tabletext1"/>
              <w:rPr>
                <w:b/>
              </w:rPr>
            </w:pPr>
            <w:r w:rsidRPr="00E3331A">
              <w:t>Study ID</w:t>
            </w:r>
          </w:p>
        </w:tc>
        <w:tc>
          <w:tcPr>
            <w:tcW w:w="363" w:type="pct"/>
            <w:shd w:val="clear" w:color="auto" w:fill="auto"/>
          </w:tcPr>
          <w:p w:rsidR="00464E0A" w:rsidRPr="00E3331A" w:rsidRDefault="00464E0A" w:rsidP="00EC4AAF">
            <w:pPr>
              <w:pStyle w:val="TableHeading"/>
            </w:pPr>
            <w:r w:rsidRPr="00E3331A">
              <w:t>Follow-up</w:t>
            </w:r>
          </w:p>
          <w:p w:rsidR="00464E0A" w:rsidRPr="00E3331A" w:rsidRDefault="00464E0A" w:rsidP="00EC4AAF">
            <w:pPr>
              <w:pStyle w:val="Tabletext1"/>
              <w:rPr>
                <w:b/>
              </w:rPr>
            </w:pPr>
            <w:r w:rsidRPr="00E3331A">
              <w:t>N</w:t>
            </w:r>
          </w:p>
        </w:tc>
        <w:tc>
          <w:tcPr>
            <w:tcW w:w="448" w:type="pct"/>
            <w:shd w:val="clear" w:color="auto" w:fill="auto"/>
          </w:tcPr>
          <w:p w:rsidR="00464E0A" w:rsidRPr="00E3331A" w:rsidRDefault="00464E0A" w:rsidP="00EC4AAF">
            <w:pPr>
              <w:pStyle w:val="Tabletext1"/>
              <w:rPr>
                <w:b/>
              </w:rPr>
            </w:pPr>
            <w:r w:rsidRPr="00E3331A">
              <w:t>INCAT</w:t>
            </w:r>
          </w:p>
        </w:tc>
        <w:tc>
          <w:tcPr>
            <w:tcW w:w="408" w:type="pct"/>
            <w:shd w:val="clear" w:color="auto" w:fill="auto"/>
          </w:tcPr>
          <w:p w:rsidR="00464E0A" w:rsidRPr="00E3331A" w:rsidRDefault="00464E0A" w:rsidP="00EC4AAF">
            <w:pPr>
              <w:pStyle w:val="Tabletext1"/>
              <w:rPr>
                <w:b/>
              </w:rPr>
            </w:pPr>
            <w:r w:rsidRPr="00E3331A">
              <w:t>MRC</w:t>
            </w:r>
          </w:p>
        </w:tc>
        <w:tc>
          <w:tcPr>
            <w:tcW w:w="535" w:type="pct"/>
            <w:shd w:val="clear" w:color="auto" w:fill="auto"/>
          </w:tcPr>
          <w:p w:rsidR="00464E0A" w:rsidRPr="00E3331A" w:rsidRDefault="00464E0A" w:rsidP="00EC4AAF">
            <w:pPr>
              <w:pStyle w:val="Tabletext1"/>
              <w:rPr>
                <w:b/>
              </w:rPr>
            </w:pPr>
            <w:r w:rsidRPr="00E3331A">
              <w:t>NDS</w:t>
            </w:r>
          </w:p>
        </w:tc>
        <w:tc>
          <w:tcPr>
            <w:tcW w:w="580" w:type="pct"/>
            <w:shd w:val="clear" w:color="auto" w:fill="auto"/>
          </w:tcPr>
          <w:p w:rsidR="00464E0A" w:rsidRPr="00E3331A" w:rsidRDefault="00464E0A" w:rsidP="00EC4AAF">
            <w:pPr>
              <w:pStyle w:val="Tabletext1"/>
              <w:rPr>
                <w:b/>
              </w:rPr>
            </w:pPr>
            <w:r w:rsidRPr="00E3331A">
              <w:t>Grip strength</w:t>
            </w:r>
          </w:p>
        </w:tc>
        <w:tc>
          <w:tcPr>
            <w:tcW w:w="445" w:type="pct"/>
            <w:shd w:val="clear" w:color="auto" w:fill="auto"/>
          </w:tcPr>
          <w:p w:rsidR="00464E0A" w:rsidRPr="00E3331A" w:rsidRDefault="00464E0A" w:rsidP="00EC4AAF">
            <w:pPr>
              <w:pStyle w:val="Tabletext1"/>
              <w:rPr>
                <w:b/>
              </w:rPr>
            </w:pPr>
            <w:r w:rsidRPr="00E3331A">
              <w:t>Clinically meaningful response</w:t>
            </w:r>
          </w:p>
        </w:tc>
        <w:tc>
          <w:tcPr>
            <w:tcW w:w="1763" w:type="pct"/>
            <w:shd w:val="clear" w:color="auto" w:fill="auto"/>
          </w:tcPr>
          <w:p w:rsidR="00464E0A" w:rsidRPr="00E3331A" w:rsidRDefault="00464E0A" w:rsidP="00EC4AAF">
            <w:pPr>
              <w:pStyle w:val="Tabletext1"/>
              <w:rPr>
                <w:b/>
              </w:rPr>
            </w:pPr>
            <w:r w:rsidRPr="00E3331A">
              <w:t>Other outcomes</w:t>
            </w:r>
          </w:p>
        </w:tc>
      </w:tr>
      <w:tr w:rsidR="00464E0A" w:rsidRPr="00E3331A" w:rsidTr="00EC4AAF">
        <w:tc>
          <w:tcPr>
            <w:tcW w:w="458" w:type="pct"/>
            <w:shd w:val="clear" w:color="auto" w:fill="auto"/>
          </w:tcPr>
          <w:p w:rsidR="00464E0A" w:rsidRPr="00E3331A" w:rsidRDefault="00464E0A" w:rsidP="00EC4AAF">
            <w:pPr>
              <w:pStyle w:val="Tabletext1"/>
              <w:rPr>
                <w:b/>
              </w:rPr>
            </w:pPr>
            <w:r w:rsidRPr="00E3331A">
              <w:rPr>
                <w:b/>
              </w:rPr>
              <w:t>Ig vs Ig</w:t>
            </w:r>
          </w:p>
        </w:tc>
        <w:tc>
          <w:tcPr>
            <w:tcW w:w="363" w:type="pct"/>
            <w:shd w:val="clear" w:color="auto" w:fill="auto"/>
          </w:tcPr>
          <w:p w:rsidR="00464E0A" w:rsidRPr="00E3331A" w:rsidRDefault="00464E0A" w:rsidP="00EC4AAF">
            <w:pPr>
              <w:pStyle w:val="Tabletext1"/>
              <w:rPr>
                <w:b/>
              </w:rPr>
            </w:pPr>
          </w:p>
        </w:tc>
        <w:tc>
          <w:tcPr>
            <w:tcW w:w="448" w:type="pct"/>
            <w:shd w:val="clear" w:color="auto" w:fill="auto"/>
          </w:tcPr>
          <w:p w:rsidR="00464E0A" w:rsidRPr="00E3331A" w:rsidRDefault="00464E0A" w:rsidP="00EC4AAF">
            <w:pPr>
              <w:pStyle w:val="Tabletext1"/>
              <w:rPr>
                <w:b/>
              </w:rPr>
            </w:pPr>
          </w:p>
        </w:tc>
        <w:tc>
          <w:tcPr>
            <w:tcW w:w="408" w:type="pct"/>
            <w:shd w:val="clear" w:color="auto" w:fill="auto"/>
          </w:tcPr>
          <w:p w:rsidR="00464E0A" w:rsidRPr="00E3331A" w:rsidRDefault="00464E0A" w:rsidP="00EC4AAF">
            <w:pPr>
              <w:pStyle w:val="Tabletext1"/>
              <w:rPr>
                <w:b/>
              </w:rPr>
            </w:pPr>
          </w:p>
        </w:tc>
        <w:tc>
          <w:tcPr>
            <w:tcW w:w="535" w:type="pct"/>
            <w:shd w:val="clear" w:color="auto" w:fill="auto"/>
          </w:tcPr>
          <w:p w:rsidR="00464E0A" w:rsidRPr="00E3331A" w:rsidRDefault="00464E0A" w:rsidP="00EC4AAF">
            <w:pPr>
              <w:pStyle w:val="Tabletext1"/>
              <w:rPr>
                <w:b/>
              </w:rPr>
            </w:pPr>
          </w:p>
        </w:tc>
        <w:tc>
          <w:tcPr>
            <w:tcW w:w="580" w:type="pct"/>
            <w:shd w:val="clear" w:color="auto" w:fill="auto"/>
          </w:tcPr>
          <w:p w:rsidR="00464E0A" w:rsidRPr="00E3331A" w:rsidRDefault="00464E0A" w:rsidP="00EC4AAF">
            <w:pPr>
              <w:pStyle w:val="Tabletext1"/>
              <w:rPr>
                <w:b/>
              </w:rPr>
            </w:pPr>
          </w:p>
        </w:tc>
        <w:tc>
          <w:tcPr>
            <w:tcW w:w="445" w:type="pct"/>
            <w:shd w:val="clear" w:color="auto" w:fill="auto"/>
          </w:tcPr>
          <w:p w:rsidR="00464E0A" w:rsidRPr="00E3331A" w:rsidRDefault="00464E0A" w:rsidP="00EC4AAF">
            <w:pPr>
              <w:pStyle w:val="Tabletext1"/>
              <w:rPr>
                <w:b/>
              </w:rPr>
            </w:pPr>
          </w:p>
        </w:tc>
        <w:tc>
          <w:tcPr>
            <w:tcW w:w="1763" w:type="pct"/>
            <w:shd w:val="clear" w:color="auto" w:fill="auto"/>
          </w:tcPr>
          <w:p w:rsidR="00464E0A" w:rsidRPr="00E3331A" w:rsidRDefault="00464E0A" w:rsidP="00EC4AAF">
            <w:pPr>
              <w:pStyle w:val="Tabletext1"/>
              <w:rPr>
                <w:b/>
              </w:rPr>
            </w:pPr>
          </w:p>
        </w:tc>
      </w:tr>
      <w:tr w:rsidR="00464E0A" w:rsidRPr="00E3331A" w:rsidTr="00EC4AAF">
        <w:tc>
          <w:tcPr>
            <w:tcW w:w="458" w:type="pct"/>
            <w:shd w:val="clear" w:color="auto" w:fill="auto"/>
          </w:tcPr>
          <w:p w:rsidR="00464E0A" w:rsidRPr="00E3331A" w:rsidRDefault="00464E0A" w:rsidP="00EC4AAF">
            <w:pPr>
              <w:pStyle w:val="Tabletext1"/>
            </w:pPr>
            <w:r w:rsidRPr="00E3331A">
              <w:t>Markvardsen et al. (2017) note IVIg vs SCIg</w:t>
            </w:r>
          </w:p>
        </w:tc>
        <w:tc>
          <w:tcPr>
            <w:tcW w:w="363" w:type="pct"/>
            <w:shd w:val="clear" w:color="auto" w:fill="auto"/>
          </w:tcPr>
          <w:p w:rsidR="00464E0A" w:rsidRPr="00E3331A" w:rsidRDefault="00464E0A" w:rsidP="00EC4AAF">
            <w:pPr>
              <w:pStyle w:val="Tabletext1"/>
            </w:pPr>
            <w:r w:rsidRPr="00E3331A">
              <w:t>10 weeks</w:t>
            </w:r>
          </w:p>
          <w:p w:rsidR="00464E0A" w:rsidRPr="00E3331A" w:rsidRDefault="00464E0A" w:rsidP="00EC4AAF">
            <w:pPr>
              <w:pStyle w:val="Tabletext1"/>
            </w:pPr>
            <w:r w:rsidRPr="00E3331A">
              <w:t>I: 10</w:t>
            </w:r>
          </w:p>
          <w:p w:rsidR="00464E0A" w:rsidRPr="00E3331A" w:rsidRDefault="00464E0A" w:rsidP="00EC4AAF">
            <w:pPr>
              <w:pStyle w:val="Tabletext1"/>
            </w:pPr>
            <w:r w:rsidRPr="00E3331A">
              <w:t>C: 10</w:t>
            </w:r>
          </w:p>
        </w:tc>
        <w:tc>
          <w:tcPr>
            <w:tcW w:w="448" w:type="pct"/>
            <w:shd w:val="clear" w:color="auto" w:fill="auto"/>
          </w:tcPr>
          <w:p w:rsidR="00464E0A" w:rsidRPr="00E3331A" w:rsidRDefault="00464E0A" w:rsidP="00EC4AAF">
            <w:pPr>
              <w:pStyle w:val="Tabletext1"/>
            </w:pPr>
          </w:p>
        </w:tc>
        <w:tc>
          <w:tcPr>
            <w:tcW w:w="408" w:type="pct"/>
            <w:shd w:val="clear" w:color="auto" w:fill="auto"/>
          </w:tcPr>
          <w:p w:rsidR="00464E0A" w:rsidRPr="00E3331A" w:rsidRDefault="00464E0A" w:rsidP="00EC4AAF">
            <w:pPr>
              <w:pStyle w:val="Tabletext1"/>
            </w:pPr>
            <w:r w:rsidRPr="00E3331A">
              <w:t>I: 0.5 ± 5.5</w:t>
            </w:r>
          </w:p>
          <w:p w:rsidR="00464E0A" w:rsidRPr="00E3331A" w:rsidRDefault="00464E0A" w:rsidP="00EC4AAF">
            <w:pPr>
              <w:pStyle w:val="Tabletext1"/>
            </w:pPr>
            <w:r w:rsidRPr="00E3331A">
              <w:t>C: 1.1 ± 5.1</w:t>
            </w:r>
          </w:p>
          <w:p w:rsidR="00464E0A" w:rsidRPr="00E3331A" w:rsidRDefault="00464E0A" w:rsidP="00EC4AAF">
            <w:pPr>
              <w:pStyle w:val="Tabletext1"/>
            </w:pPr>
            <w:r w:rsidRPr="00E3331A">
              <w:rPr>
                <w:i/>
              </w:rPr>
              <w:t>P</w:t>
            </w:r>
            <w:r w:rsidRPr="00E3331A">
              <w:t xml:space="preserve"> = NS (NR)</w:t>
            </w:r>
          </w:p>
        </w:tc>
        <w:tc>
          <w:tcPr>
            <w:tcW w:w="535" w:type="pct"/>
            <w:shd w:val="clear" w:color="auto" w:fill="auto"/>
          </w:tcPr>
          <w:p w:rsidR="00464E0A" w:rsidRPr="00E3331A" w:rsidRDefault="00464E0A" w:rsidP="00EC4AAF">
            <w:pPr>
              <w:pStyle w:val="Tabletext1"/>
            </w:pPr>
          </w:p>
        </w:tc>
        <w:tc>
          <w:tcPr>
            <w:tcW w:w="580" w:type="pct"/>
            <w:shd w:val="clear" w:color="auto" w:fill="auto"/>
          </w:tcPr>
          <w:p w:rsidR="00464E0A" w:rsidRPr="00E3331A" w:rsidRDefault="00464E0A" w:rsidP="00EC4AAF">
            <w:pPr>
              <w:pStyle w:val="Tabletext1"/>
            </w:pPr>
            <w:r w:rsidRPr="00E3331A">
              <w:t xml:space="preserve">2.1 kg ± 14.71 </w:t>
            </w:r>
          </w:p>
          <w:p w:rsidR="00464E0A" w:rsidRPr="00E3331A" w:rsidRDefault="00464E0A" w:rsidP="00EC4AAF">
            <w:pPr>
              <w:pStyle w:val="Tabletext1"/>
            </w:pPr>
            <w:r w:rsidRPr="00E3331A">
              <w:t xml:space="preserve">C: 1.2 kg </w:t>
            </w:r>
            <w:r w:rsidRPr="00E3331A">
              <w:rPr>
                <w:rFonts w:ascii="Calibri" w:hAnsi="Calibri"/>
              </w:rPr>
              <w:t>±</w:t>
            </w:r>
            <w:r w:rsidRPr="00E3331A">
              <w:t xml:space="preserve">14.84 </w:t>
            </w:r>
          </w:p>
          <w:p w:rsidR="00464E0A" w:rsidRPr="00E3331A" w:rsidRDefault="00464E0A" w:rsidP="00EC4AAF">
            <w:pPr>
              <w:pStyle w:val="Tabletext1"/>
            </w:pPr>
            <w:r w:rsidRPr="00E3331A">
              <w:t>P = NS (NR)</w:t>
            </w:r>
          </w:p>
        </w:tc>
        <w:tc>
          <w:tcPr>
            <w:tcW w:w="445" w:type="pct"/>
            <w:shd w:val="clear" w:color="auto" w:fill="auto"/>
          </w:tcPr>
          <w:p w:rsidR="00464E0A" w:rsidRPr="00E3331A" w:rsidRDefault="00464E0A" w:rsidP="00EC4AAF">
            <w:pPr>
              <w:pStyle w:val="Tabletext1"/>
            </w:pPr>
          </w:p>
        </w:tc>
        <w:tc>
          <w:tcPr>
            <w:tcW w:w="1763" w:type="pct"/>
            <w:shd w:val="clear" w:color="auto" w:fill="auto"/>
          </w:tcPr>
          <w:p w:rsidR="00464E0A" w:rsidRPr="00E3331A" w:rsidRDefault="00464E0A" w:rsidP="00EC4AAF">
            <w:pPr>
              <w:pStyle w:val="Tabletext1"/>
            </w:pPr>
            <w:r w:rsidRPr="00E3331A">
              <w:t>9PHT (s)</w:t>
            </w:r>
          </w:p>
          <w:p w:rsidR="00464E0A" w:rsidRPr="00E3331A" w:rsidRDefault="00464E0A" w:rsidP="00EC4AAF">
            <w:pPr>
              <w:pStyle w:val="Tabletext1"/>
            </w:pPr>
            <w:r w:rsidRPr="00E3331A">
              <w:t xml:space="preserve">I: -4.3 </w:t>
            </w:r>
            <w:r w:rsidRPr="00E3331A">
              <w:rPr>
                <w:rFonts w:ascii="Calibri" w:hAnsi="Calibri"/>
              </w:rPr>
              <w:t>± 40.65, C: -2 ± 20.31, p = NS (NR)</w:t>
            </w:r>
          </w:p>
          <w:p w:rsidR="00464E0A" w:rsidRPr="00E3331A" w:rsidRDefault="00464E0A" w:rsidP="00EC4AAF">
            <w:pPr>
              <w:pStyle w:val="Tabletext1"/>
            </w:pPr>
            <w:r w:rsidRPr="00E3331A">
              <w:t>40MWT (s)</w:t>
            </w:r>
          </w:p>
          <w:p w:rsidR="00464E0A" w:rsidRPr="00E3331A" w:rsidRDefault="00464E0A" w:rsidP="00EC4AAF">
            <w:pPr>
              <w:pStyle w:val="Tabletext1"/>
              <w:rPr>
                <w:rFonts w:ascii="Calibri" w:hAnsi="Calibri"/>
              </w:rPr>
            </w:pPr>
            <w:r w:rsidRPr="00E3331A">
              <w:t xml:space="preserve">I: -1.2 </w:t>
            </w:r>
            <w:r w:rsidRPr="00E3331A">
              <w:rPr>
                <w:rFonts w:ascii="Calibri" w:hAnsi="Calibri"/>
              </w:rPr>
              <w:t>± 7.763, C: -1.2 ± 6.62, p = NS (NR)</w:t>
            </w:r>
          </w:p>
          <w:p w:rsidR="00464E0A" w:rsidRPr="00E3331A" w:rsidRDefault="00464E0A" w:rsidP="00EC4AAF">
            <w:pPr>
              <w:pStyle w:val="Tabletext1"/>
            </w:pPr>
            <w:r w:rsidRPr="00E3331A">
              <w:t>ODSS</w:t>
            </w:r>
          </w:p>
          <w:p w:rsidR="00464E0A" w:rsidRPr="00E3331A" w:rsidRDefault="00464E0A" w:rsidP="00EC4AAF">
            <w:pPr>
              <w:pStyle w:val="Tabletext1"/>
            </w:pPr>
            <w:r w:rsidRPr="00E3331A">
              <w:t xml:space="preserve">I: -0.2 </w:t>
            </w:r>
            <w:r w:rsidRPr="00E3331A">
              <w:rPr>
                <w:rFonts w:ascii="Calibri" w:hAnsi="Calibri"/>
              </w:rPr>
              <w:t>± 1.56, C: -0.6 ± 1.64, p = NS (NR)</w:t>
            </w:r>
          </w:p>
        </w:tc>
      </w:tr>
      <w:tr w:rsidR="00464E0A" w:rsidRPr="00E3331A" w:rsidTr="00EC4AAF">
        <w:tc>
          <w:tcPr>
            <w:tcW w:w="458" w:type="pct"/>
            <w:shd w:val="clear" w:color="auto" w:fill="auto"/>
          </w:tcPr>
          <w:p w:rsidR="00464E0A" w:rsidRPr="00E3331A" w:rsidRDefault="00464E0A" w:rsidP="00EC4AAF">
            <w:pPr>
              <w:pStyle w:val="Tabletext1"/>
            </w:pPr>
            <w:r w:rsidRPr="00E3331A">
              <w:t>Kuitwaard et al. (2010)</w:t>
            </w:r>
          </w:p>
        </w:tc>
        <w:tc>
          <w:tcPr>
            <w:tcW w:w="363" w:type="pct"/>
            <w:shd w:val="clear" w:color="auto" w:fill="auto"/>
          </w:tcPr>
          <w:p w:rsidR="00464E0A" w:rsidRPr="00E3331A" w:rsidRDefault="00464E0A" w:rsidP="00EC4AAF">
            <w:pPr>
              <w:pStyle w:val="Tabletext1"/>
            </w:pPr>
            <w:r w:rsidRPr="00E3331A">
              <w:t>Ig vs Ig</w:t>
            </w:r>
          </w:p>
          <w:p w:rsidR="00464E0A" w:rsidRPr="00E3331A" w:rsidRDefault="00464E0A" w:rsidP="00EC4AAF">
            <w:pPr>
              <w:pStyle w:val="Tabletext1"/>
            </w:pPr>
            <w:r w:rsidRPr="00E3331A">
              <w:t>NR</w:t>
            </w:r>
          </w:p>
        </w:tc>
        <w:tc>
          <w:tcPr>
            <w:tcW w:w="448" w:type="pct"/>
            <w:shd w:val="clear" w:color="auto" w:fill="auto"/>
          </w:tcPr>
          <w:p w:rsidR="00464E0A" w:rsidRPr="00E3331A" w:rsidRDefault="00464E0A" w:rsidP="00EC4AAF">
            <w:pPr>
              <w:pStyle w:val="Tabletext1"/>
            </w:pPr>
            <w:r w:rsidRPr="00E3331A">
              <w:t>MD 0.59 (95% CI -0.7, 1.8)</w:t>
            </w:r>
          </w:p>
          <w:p w:rsidR="00464E0A" w:rsidRPr="00E3331A" w:rsidRDefault="00464E0A" w:rsidP="00EC4AAF">
            <w:pPr>
              <w:pStyle w:val="Tabletext1"/>
            </w:pPr>
            <w:r w:rsidRPr="00E3331A">
              <w:t>P = NS</w:t>
            </w:r>
          </w:p>
        </w:tc>
        <w:tc>
          <w:tcPr>
            <w:tcW w:w="408" w:type="pct"/>
            <w:shd w:val="clear" w:color="auto" w:fill="auto"/>
          </w:tcPr>
          <w:p w:rsidR="00464E0A" w:rsidRPr="00E3331A" w:rsidRDefault="00464E0A" w:rsidP="00EC4AAF">
            <w:pPr>
              <w:pStyle w:val="Tabletext1"/>
            </w:pPr>
          </w:p>
        </w:tc>
        <w:tc>
          <w:tcPr>
            <w:tcW w:w="535" w:type="pct"/>
            <w:shd w:val="clear" w:color="auto" w:fill="auto"/>
          </w:tcPr>
          <w:p w:rsidR="00464E0A" w:rsidRPr="00E3331A" w:rsidRDefault="00464E0A" w:rsidP="00EC4AAF">
            <w:pPr>
              <w:pStyle w:val="Tabletext1"/>
            </w:pPr>
          </w:p>
        </w:tc>
        <w:tc>
          <w:tcPr>
            <w:tcW w:w="580" w:type="pct"/>
            <w:shd w:val="clear" w:color="auto" w:fill="auto"/>
          </w:tcPr>
          <w:p w:rsidR="00464E0A" w:rsidRPr="00E3331A" w:rsidRDefault="00464E0A" w:rsidP="00EC4AAF">
            <w:pPr>
              <w:pStyle w:val="Tabletext1"/>
            </w:pPr>
            <w:r w:rsidRPr="00E3331A">
              <w:t>MD (95% CI)</w:t>
            </w:r>
          </w:p>
          <w:p w:rsidR="00464E0A" w:rsidRPr="00E3331A" w:rsidRDefault="00464E0A" w:rsidP="00EC4AAF">
            <w:pPr>
              <w:pStyle w:val="Tabletext1"/>
            </w:pPr>
            <w:r w:rsidRPr="00E3331A">
              <w:t>0.54 kPa (-0.7, 1.8)</w:t>
            </w:r>
          </w:p>
        </w:tc>
        <w:tc>
          <w:tcPr>
            <w:tcW w:w="445" w:type="pct"/>
            <w:shd w:val="clear" w:color="auto" w:fill="auto"/>
          </w:tcPr>
          <w:p w:rsidR="00464E0A" w:rsidRPr="00E3331A" w:rsidRDefault="00464E0A" w:rsidP="00EC4AAF">
            <w:pPr>
              <w:pStyle w:val="Tabletext1"/>
            </w:pPr>
          </w:p>
        </w:tc>
        <w:tc>
          <w:tcPr>
            <w:tcW w:w="1763" w:type="pct"/>
            <w:shd w:val="clear" w:color="auto" w:fill="auto"/>
          </w:tcPr>
          <w:p w:rsidR="00464E0A" w:rsidRPr="00E3331A" w:rsidRDefault="00464E0A" w:rsidP="00EC4AAF">
            <w:pPr>
              <w:pStyle w:val="Tabletext1"/>
            </w:pPr>
            <w:r w:rsidRPr="00E3331A">
              <w:t>All MD (95% CI)</w:t>
            </w:r>
          </w:p>
          <w:p w:rsidR="00464E0A" w:rsidRPr="00E3331A" w:rsidRDefault="00464E0A" w:rsidP="00EC4AAF">
            <w:pPr>
              <w:pStyle w:val="Tabletext1"/>
            </w:pPr>
            <w:r w:rsidRPr="00E3331A">
              <w:t>ODSS</w:t>
            </w:r>
          </w:p>
          <w:p w:rsidR="00464E0A" w:rsidRPr="00E3331A" w:rsidRDefault="00464E0A" w:rsidP="00EC4AAF">
            <w:pPr>
              <w:pStyle w:val="Tabletext1"/>
            </w:pPr>
            <w:r w:rsidRPr="00E3331A">
              <w:t>0.004 (-.4, 0.4) p = NS</w:t>
            </w:r>
          </w:p>
          <w:p w:rsidR="00464E0A" w:rsidRPr="00E3331A" w:rsidRDefault="00464E0A" w:rsidP="00EC4AAF">
            <w:pPr>
              <w:pStyle w:val="Tabletext1"/>
            </w:pPr>
            <w:r w:rsidRPr="00E3331A">
              <w:t>FSS</w:t>
            </w:r>
          </w:p>
          <w:p w:rsidR="00464E0A" w:rsidRPr="00E3331A" w:rsidRDefault="00464E0A" w:rsidP="00EC4AAF">
            <w:pPr>
              <w:pStyle w:val="Tabletext1"/>
            </w:pPr>
            <w:r w:rsidRPr="00E3331A">
              <w:t>0.18 (-1.9, 0.6) p = NS</w:t>
            </w:r>
          </w:p>
          <w:p w:rsidR="00464E0A" w:rsidRPr="00E3331A" w:rsidRDefault="00464E0A" w:rsidP="00EC4AAF">
            <w:pPr>
              <w:pStyle w:val="Tabletext1"/>
            </w:pPr>
            <w:r w:rsidRPr="00E3331A">
              <w:t>Clinical grading</w:t>
            </w:r>
          </w:p>
          <w:p w:rsidR="00464E0A" w:rsidRPr="00E3331A" w:rsidRDefault="00464E0A" w:rsidP="00EC4AAF">
            <w:pPr>
              <w:pStyle w:val="Tabletext1"/>
            </w:pPr>
            <w:r w:rsidRPr="00E3331A">
              <w:t>-0.58 (-1.9, 0.7) p = NS</w:t>
            </w:r>
          </w:p>
        </w:tc>
      </w:tr>
      <w:tr w:rsidR="00464E0A" w:rsidRPr="00E3331A" w:rsidTr="00EC4AAF">
        <w:tc>
          <w:tcPr>
            <w:tcW w:w="458" w:type="pct"/>
            <w:shd w:val="clear" w:color="auto" w:fill="auto"/>
          </w:tcPr>
          <w:p w:rsidR="00464E0A" w:rsidRPr="00E3331A" w:rsidRDefault="00464E0A" w:rsidP="00EC4AAF">
            <w:pPr>
              <w:pStyle w:val="Tabletext1"/>
              <w:rPr>
                <w:b/>
              </w:rPr>
            </w:pPr>
            <w:r w:rsidRPr="00E3331A">
              <w:rPr>
                <w:b/>
              </w:rPr>
              <w:t>Ig vs Ia</w:t>
            </w:r>
          </w:p>
        </w:tc>
        <w:tc>
          <w:tcPr>
            <w:tcW w:w="363" w:type="pct"/>
            <w:shd w:val="clear" w:color="auto" w:fill="auto"/>
          </w:tcPr>
          <w:p w:rsidR="00464E0A" w:rsidRPr="00E3331A" w:rsidRDefault="00464E0A" w:rsidP="00EC4AAF">
            <w:pPr>
              <w:pStyle w:val="Tabletext1"/>
              <w:rPr>
                <w:b/>
              </w:rPr>
            </w:pPr>
          </w:p>
        </w:tc>
        <w:tc>
          <w:tcPr>
            <w:tcW w:w="448" w:type="pct"/>
            <w:shd w:val="clear" w:color="auto" w:fill="auto"/>
          </w:tcPr>
          <w:p w:rsidR="00464E0A" w:rsidRPr="00E3331A" w:rsidRDefault="00464E0A" w:rsidP="00EC4AAF">
            <w:pPr>
              <w:pStyle w:val="Tabletext1"/>
              <w:rPr>
                <w:b/>
              </w:rPr>
            </w:pPr>
          </w:p>
        </w:tc>
        <w:tc>
          <w:tcPr>
            <w:tcW w:w="408" w:type="pct"/>
            <w:shd w:val="clear" w:color="auto" w:fill="auto"/>
          </w:tcPr>
          <w:p w:rsidR="00464E0A" w:rsidRPr="00E3331A" w:rsidRDefault="00464E0A" w:rsidP="00EC4AAF">
            <w:pPr>
              <w:pStyle w:val="Tabletext1"/>
              <w:rPr>
                <w:b/>
              </w:rPr>
            </w:pPr>
          </w:p>
        </w:tc>
        <w:tc>
          <w:tcPr>
            <w:tcW w:w="535" w:type="pct"/>
            <w:shd w:val="clear" w:color="auto" w:fill="auto"/>
          </w:tcPr>
          <w:p w:rsidR="00464E0A" w:rsidRPr="00E3331A" w:rsidRDefault="00464E0A" w:rsidP="00EC4AAF">
            <w:pPr>
              <w:pStyle w:val="Tabletext1"/>
              <w:rPr>
                <w:b/>
              </w:rPr>
            </w:pPr>
          </w:p>
        </w:tc>
        <w:tc>
          <w:tcPr>
            <w:tcW w:w="580" w:type="pct"/>
            <w:shd w:val="clear" w:color="auto" w:fill="auto"/>
          </w:tcPr>
          <w:p w:rsidR="00464E0A" w:rsidRPr="00E3331A" w:rsidRDefault="00464E0A" w:rsidP="00EC4AAF">
            <w:pPr>
              <w:pStyle w:val="Tabletext1"/>
              <w:rPr>
                <w:b/>
              </w:rPr>
            </w:pPr>
          </w:p>
        </w:tc>
        <w:tc>
          <w:tcPr>
            <w:tcW w:w="445" w:type="pct"/>
            <w:shd w:val="clear" w:color="auto" w:fill="auto"/>
          </w:tcPr>
          <w:p w:rsidR="00464E0A" w:rsidRPr="00E3331A" w:rsidRDefault="00464E0A" w:rsidP="00EC4AAF">
            <w:pPr>
              <w:pStyle w:val="Tabletext1"/>
              <w:rPr>
                <w:b/>
              </w:rPr>
            </w:pPr>
          </w:p>
        </w:tc>
        <w:tc>
          <w:tcPr>
            <w:tcW w:w="1763" w:type="pct"/>
            <w:shd w:val="clear" w:color="auto" w:fill="auto"/>
          </w:tcPr>
          <w:p w:rsidR="00464E0A" w:rsidRPr="00E3331A" w:rsidRDefault="00464E0A" w:rsidP="00EC4AAF">
            <w:pPr>
              <w:pStyle w:val="Tabletext1"/>
              <w:rPr>
                <w:b/>
              </w:rPr>
            </w:pPr>
          </w:p>
        </w:tc>
      </w:tr>
      <w:tr w:rsidR="00464E0A" w:rsidRPr="00E3331A" w:rsidTr="00EC4AAF">
        <w:tc>
          <w:tcPr>
            <w:tcW w:w="458" w:type="pct"/>
            <w:shd w:val="clear" w:color="auto" w:fill="auto"/>
          </w:tcPr>
          <w:p w:rsidR="00464E0A" w:rsidRPr="00E3331A" w:rsidRDefault="00464E0A" w:rsidP="00EC4AAF">
            <w:pPr>
              <w:pStyle w:val="Tabletext1"/>
            </w:pPr>
            <w:r w:rsidRPr="00E3331A">
              <w:t>Zinman et al. (2005)</w:t>
            </w:r>
          </w:p>
        </w:tc>
        <w:tc>
          <w:tcPr>
            <w:tcW w:w="363" w:type="pct"/>
            <w:shd w:val="clear" w:color="auto" w:fill="auto"/>
          </w:tcPr>
          <w:p w:rsidR="00464E0A" w:rsidRPr="00E3331A" w:rsidRDefault="00464E0A" w:rsidP="00EC4AAF">
            <w:pPr>
              <w:pStyle w:val="Tabletext1"/>
            </w:pPr>
            <w:r w:rsidRPr="00E3331A">
              <w:t>26 weeks</w:t>
            </w:r>
          </w:p>
          <w:p w:rsidR="00464E0A" w:rsidRPr="00E3331A" w:rsidRDefault="00464E0A" w:rsidP="00EC4AAF">
            <w:pPr>
              <w:pStyle w:val="Tabletext1"/>
            </w:pPr>
            <w:r w:rsidRPr="00E3331A">
              <w:t>I: 6</w:t>
            </w:r>
          </w:p>
          <w:p w:rsidR="00464E0A" w:rsidRPr="00E3331A" w:rsidRDefault="00464E0A" w:rsidP="00EC4AAF">
            <w:pPr>
              <w:pStyle w:val="Tabletext1"/>
            </w:pPr>
            <w:r w:rsidRPr="00E3331A">
              <w:t>C: 4</w:t>
            </w:r>
          </w:p>
        </w:tc>
        <w:tc>
          <w:tcPr>
            <w:tcW w:w="448" w:type="pct"/>
            <w:shd w:val="clear" w:color="auto" w:fill="auto"/>
          </w:tcPr>
          <w:p w:rsidR="00464E0A" w:rsidRPr="00E3331A" w:rsidRDefault="00464E0A" w:rsidP="00EC4AAF">
            <w:pPr>
              <w:pStyle w:val="Tabletext1"/>
            </w:pPr>
          </w:p>
        </w:tc>
        <w:tc>
          <w:tcPr>
            <w:tcW w:w="408" w:type="pct"/>
            <w:shd w:val="clear" w:color="auto" w:fill="auto"/>
          </w:tcPr>
          <w:p w:rsidR="00464E0A" w:rsidRPr="00E3331A" w:rsidRDefault="00464E0A" w:rsidP="00EC4AAF">
            <w:pPr>
              <w:pStyle w:val="Tabletext1"/>
            </w:pPr>
          </w:p>
        </w:tc>
        <w:tc>
          <w:tcPr>
            <w:tcW w:w="535" w:type="pct"/>
            <w:shd w:val="clear" w:color="auto" w:fill="auto"/>
          </w:tcPr>
          <w:p w:rsidR="00464E0A" w:rsidRPr="00E3331A" w:rsidRDefault="00464E0A" w:rsidP="00EC4AAF">
            <w:pPr>
              <w:pStyle w:val="Tabletext1"/>
            </w:pPr>
          </w:p>
        </w:tc>
        <w:tc>
          <w:tcPr>
            <w:tcW w:w="580" w:type="pct"/>
            <w:shd w:val="clear" w:color="auto" w:fill="auto"/>
          </w:tcPr>
          <w:p w:rsidR="00464E0A" w:rsidRPr="00E3331A" w:rsidRDefault="00464E0A" w:rsidP="00EC4AAF">
            <w:pPr>
              <w:pStyle w:val="Tabletext1"/>
            </w:pPr>
          </w:p>
        </w:tc>
        <w:tc>
          <w:tcPr>
            <w:tcW w:w="445" w:type="pct"/>
            <w:shd w:val="clear" w:color="auto" w:fill="auto"/>
          </w:tcPr>
          <w:p w:rsidR="00464E0A" w:rsidRPr="00E3331A" w:rsidRDefault="00464E0A" w:rsidP="00EC4AAF">
            <w:pPr>
              <w:pStyle w:val="Tabletext1"/>
            </w:pPr>
            <w:r w:rsidRPr="00E3331A">
              <w:t>I: 3/6</w:t>
            </w:r>
          </w:p>
          <w:p w:rsidR="00464E0A" w:rsidRPr="00E3331A" w:rsidRDefault="00464E0A" w:rsidP="00EC4AAF">
            <w:pPr>
              <w:pStyle w:val="Tabletext1"/>
            </w:pPr>
            <w:r w:rsidRPr="00E3331A">
              <w:t>C: 4/4</w:t>
            </w:r>
          </w:p>
          <w:p w:rsidR="00464E0A" w:rsidRPr="00E3331A" w:rsidRDefault="00464E0A" w:rsidP="00EC4AAF">
            <w:pPr>
              <w:pStyle w:val="Tabletext1"/>
            </w:pPr>
            <w:r w:rsidRPr="00E3331A">
              <w:t>P = 0.2</w:t>
            </w:r>
          </w:p>
        </w:tc>
        <w:tc>
          <w:tcPr>
            <w:tcW w:w="1763" w:type="pct"/>
            <w:shd w:val="clear" w:color="auto" w:fill="auto"/>
          </w:tcPr>
          <w:p w:rsidR="00464E0A" w:rsidRPr="00E3331A" w:rsidRDefault="00464E0A" w:rsidP="00EC4AAF">
            <w:pPr>
              <w:pStyle w:val="Tabletext1"/>
            </w:pPr>
          </w:p>
        </w:tc>
      </w:tr>
      <w:tr w:rsidR="00464E0A" w:rsidRPr="00E3331A" w:rsidTr="00EC4AAF">
        <w:tc>
          <w:tcPr>
            <w:tcW w:w="458" w:type="pct"/>
            <w:shd w:val="clear" w:color="auto" w:fill="auto"/>
          </w:tcPr>
          <w:p w:rsidR="00464E0A" w:rsidRPr="00E3331A" w:rsidRDefault="00464E0A" w:rsidP="00EC4AAF">
            <w:pPr>
              <w:pStyle w:val="Tabletext1"/>
              <w:rPr>
                <w:b/>
              </w:rPr>
            </w:pPr>
            <w:r w:rsidRPr="00E3331A">
              <w:rPr>
                <w:b/>
              </w:rPr>
              <w:t>St vs Pl</w:t>
            </w:r>
          </w:p>
        </w:tc>
        <w:tc>
          <w:tcPr>
            <w:tcW w:w="363" w:type="pct"/>
            <w:shd w:val="clear" w:color="auto" w:fill="auto"/>
          </w:tcPr>
          <w:p w:rsidR="00464E0A" w:rsidRPr="00E3331A" w:rsidRDefault="00464E0A" w:rsidP="00EC4AAF">
            <w:pPr>
              <w:pStyle w:val="Tabletext1"/>
              <w:rPr>
                <w:b/>
              </w:rPr>
            </w:pPr>
          </w:p>
        </w:tc>
        <w:tc>
          <w:tcPr>
            <w:tcW w:w="448" w:type="pct"/>
            <w:shd w:val="clear" w:color="auto" w:fill="auto"/>
          </w:tcPr>
          <w:p w:rsidR="00464E0A" w:rsidRPr="00E3331A" w:rsidRDefault="00464E0A" w:rsidP="00EC4AAF">
            <w:pPr>
              <w:pStyle w:val="Tabletext1"/>
              <w:rPr>
                <w:b/>
              </w:rPr>
            </w:pPr>
          </w:p>
        </w:tc>
        <w:tc>
          <w:tcPr>
            <w:tcW w:w="408" w:type="pct"/>
            <w:shd w:val="clear" w:color="auto" w:fill="auto"/>
          </w:tcPr>
          <w:p w:rsidR="00464E0A" w:rsidRPr="00E3331A" w:rsidRDefault="00464E0A" w:rsidP="00EC4AAF">
            <w:pPr>
              <w:pStyle w:val="Tabletext1"/>
              <w:rPr>
                <w:b/>
              </w:rPr>
            </w:pPr>
          </w:p>
        </w:tc>
        <w:tc>
          <w:tcPr>
            <w:tcW w:w="535" w:type="pct"/>
            <w:shd w:val="clear" w:color="auto" w:fill="auto"/>
          </w:tcPr>
          <w:p w:rsidR="00464E0A" w:rsidRPr="00E3331A" w:rsidRDefault="00464E0A" w:rsidP="00EC4AAF">
            <w:pPr>
              <w:pStyle w:val="Tabletext1"/>
              <w:rPr>
                <w:b/>
              </w:rPr>
            </w:pPr>
          </w:p>
        </w:tc>
        <w:tc>
          <w:tcPr>
            <w:tcW w:w="580" w:type="pct"/>
            <w:shd w:val="clear" w:color="auto" w:fill="auto"/>
          </w:tcPr>
          <w:p w:rsidR="00464E0A" w:rsidRPr="00E3331A" w:rsidRDefault="00464E0A" w:rsidP="00EC4AAF">
            <w:pPr>
              <w:pStyle w:val="Tabletext1"/>
              <w:rPr>
                <w:b/>
              </w:rPr>
            </w:pPr>
          </w:p>
        </w:tc>
        <w:tc>
          <w:tcPr>
            <w:tcW w:w="445" w:type="pct"/>
            <w:shd w:val="clear" w:color="auto" w:fill="auto"/>
          </w:tcPr>
          <w:p w:rsidR="00464E0A" w:rsidRPr="00E3331A" w:rsidRDefault="00464E0A" w:rsidP="00EC4AAF">
            <w:pPr>
              <w:pStyle w:val="Tabletext1"/>
              <w:rPr>
                <w:b/>
              </w:rPr>
            </w:pPr>
          </w:p>
        </w:tc>
        <w:tc>
          <w:tcPr>
            <w:tcW w:w="1763" w:type="pct"/>
            <w:shd w:val="clear" w:color="auto" w:fill="auto"/>
          </w:tcPr>
          <w:p w:rsidR="00464E0A" w:rsidRPr="00E3331A" w:rsidRDefault="00464E0A" w:rsidP="00EC4AAF">
            <w:pPr>
              <w:pStyle w:val="Tabletext1"/>
              <w:rPr>
                <w:b/>
              </w:rPr>
            </w:pPr>
          </w:p>
        </w:tc>
      </w:tr>
      <w:tr w:rsidR="00464E0A" w:rsidRPr="00E3331A" w:rsidTr="00EC4AAF">
        <w:tc>
          <w:tcPr>
            <w:tcW w:w="458" w:type="pct"/>
            <w:shd w:val="clear" w:color="auto" w:fill="auto"/>
          </w:tcPr>
          <w:p w:rsidR="00464E0A" w:rsidRPr="00E3331A" w:rsidRDefault="00464E0A" w:rsidP="00EC4AAF">
            <w:pPr>
              <w:pStyle w:val="Tabletext1"/>
            </w:pPr>
            <w:r w:rsidRPr="00E3331A">
              <w:t>Dyck et al. (1982)</w:t>
            </w:r>
          </w:p>
          <w:p w:rsidR="00464E0A" w:rsidRPr="00E3331A" w:rsidRDefault="00464E0A" w:rsidP="00EC4AAF">
            <w:pPr>
              <w:pStyle w:val="Tabletext1"/>
            </w:pPr>
            <w:r w:rsidRPr="00E3331A">
              <w:t>USA</w:t>
            </w:r>
          </w:p>
        </w:tc>
        <w:tc>
          <w:tcPr>
            <w:tcW w:w="363" w:type="pct"/>
            <w:shd w:val="clear" w:color="auto" w:fill="auto"/>
          </w:tcPr>
          <w:p w:rsidR="00464E0A" w:rsidRPr="00E3331A" w:rsidRDefault="00464E0A" w:rsidP="00EC4AAF">
            <w:pPr>
              <w:pStyle w:val="Tabletext1"/>
            </w:pPr>
            <w:r w:rsidRPr="00E3331A">
              <w:t>6 weeks</w:t>
            </w:r>
          </w:p>
          <w:p w:rsidR="00464E0A" w:rsidRPr="00E3331A" w:rsidRDefault="00464E0A" w:rsidP="00EC4AAF">
            <w:pPr>
              <w:pStyle w:val="Tabletext1"/>
            </w:pPr>
            <w:r w:rsidRPr="00E3331A">
              <w:t>I: 14</w:t>
            </w:r>
          </w:p>
          <w:p w:rsidR="00464E0A" w:rsidRPr="00E3331A" w:rsidRDefault="00464E0A" w:rsidP="00EC4AAF">
            <w:pPr>
              <w:pStyle w:val="Tabletext1"/>
            </w:pPr>
            <w:r w:rsidRPr="00E3331A">
              <w:t>C: 14</w:t>
            </w:r>
          </w:p>
        </w:tc>
        <w:tc>
          <w:tcPr>
            <w:tcW w:w="448" w:type="pct"/>
            <w:shd w:val="clear" w:color="auto" w:fill="auto"/>
          </w:tcPr>
          <w:p w:rsidR="00464E0A" w:rsidRPr="00E3331A" w:rsidRDefault="00464E0A" w:rsidP="00EC4AAF">
            <w:pPr>
              <w:pStyle w:val="Tabletext1"/>
            </w:pPr>
          </w:p>
        </w:tc>
        <w:tc>
          <w:tcPr>
            <w:tcW w:w="408" w:type="pct"/>
            <w:shd w:val="clear" w:color="auto" w:fill="auto"/>
          </w:tcPr>
          <w:p w:rsidR="00464E0A" w:rsidRPr="00E3331A" w:rsidRDefault="00464E0A" w:rsidP="00EC4AAF">
            <w:pPr>
              <w:pStyle w:val="Tabletext1"/>
            </w:pPr>
          </w:p>
        </w:tc>
        <w:tc>
          <w:tcPr>
            <w:tcW w:w="535" w:type="pct"/>
            <w:shd w:val="clear" w:color="auto" w:fill="auto"/>
          </w:tcPr>
          <w:p w:rsidR="00464E0A" w:rsidRPr="00E3331A" w:rsidRDefault="00464E0A" w:rsidP="00EC4AAF">
            <w:pPr>
              <w:pStyle w:val="Tabletext1"/>
            </w:pPr>
            <w:r w:rsidRPr="00E3331A">
              <w:t>I: -20.64 ± 29.26</w:t>
            </w:r>
          </w:p>
          <w:p w:rsidR="00464E0A" w:rsidRPr="00E3331A" w:rsidRDefault="00464E0A" w:rsidP="00EC4AAF">
            <w:pPr>
              <w:pStyle w:val="Tabletext1"/>
            </w:pPr>
            <w:r w:rsidRPr="00E3331A">
              <w:t>C: -3.5 ± 28.87</w:t>
            </w:r>
          </w:p>
          <w:p w:rsidR="00464E0A" w:rsidRPr="00E3331A" w:rsidRDefault="00464E0A" w:rsidP="00EC4AAF">
            <w:pPr>
              <w:pStyle w:val="Tabletext1"/>
            </w:pPr>
            <w:r w:rsidRPr="00E3331A">
              <w:t>P = NR</w:t>
            </w:r>
          </w:p>
        </w:tc>
        <w:tc>
          <w:tcPr>
            <w:tcW w:w="580" w:type="pct"/>
            <w:shd w:val="clear" w:color="auto" w:fill="auto"/>
          </w:tcPr>
          <w:p w:rsidR="00464E0A" w:rsidRPr="00E3331A" w:rsidRDefault="00464E0A" w:rsidP="00EC4AAF">
            <w:pPr>
              <w:pStyle w:val="Tabletext1"/>
            </w:pPr>
          </w:p>
        </w:tc>
        <w:tc>
          <w:tcPr>
            <w:tcW w:w="445" w:type="pct"/>
            <w:shd w:val="clear" w:color="auto" w:fill="auto"/>
          </w:tcPr>
          <w:p w:rsidR="00464E0A" w:rsidRPr="00E3331A" w:rsidRDefault="00464E0A" w:rsidP="00EC4AAF">
            <w:pPr>
              <w:pStyle w:val="Tabletext1"/>
            </w:pPr>
            <w:r w:rsidRPr="00E3331A">
              <w:t>I: 5/14</w:t>
            </w:r>
          </w:p>
          <w:p w:rsidR="00464E0A" w:rsidRPr="00E3331A" w:rsidRDefault="00464E0A" w:rsidP="00EC4AAF">
            <w:pPr>
              <w:pStyle w:val="Tabletext1"/>
            </w:pPr>
            <w:r w:rsidRPr="00E3331A">
              <w:t>C: 3/14</w:t>
            </w:r>
          </w:p>
          <w:p w:rsidR="00464E0A" w:rsidRPr="00E3331A" w:rsidRDefault="00464E0A" w:rsidP="00EC4AAF">
            <w:pPr>
              <w:pStyle w:val="Tabletext1"/>
            </w:pPr>
            <w:r w:rsidRPr="00E3331A">
              <w:t>P = NR</w:t>
            </w:r>
          </w:p>
        </w:tc>
        <w:tc>
          <w:tcPr>
            <w:tcW w:w="1763" w:type="pct"/>
            <w:shd w:val="clear" w:color="auto" w:fill="auto"/>
          </w:tcPr>
          <w:p w:rsidR="00464E0A" w:rsidRPr="00E3331A" w:rsidRDefault="00464E0A" w:rsidP="00EC4AAF">
            <w:pPr>
              <w:pStyle w:val="Tabletext1"/>
            </w:pPr>
          </w:p>
        </w:tc>
      </w:tr>
      <w:tr w:rsidR="00464E0A" w:rsidRPr="00E3331A" w:rsidTr="00EC4AAF">
        <w:tc>
          <w:tcPr>
            <w:tcW w:w="458" w:type="pct"/>
            <w:shd w:val="clear" w:color="auto" w:fill="auto"/>
          </w:tcPr>
          <w:p w:rsidR="00464E0A" w:rsidRPr="00E3331A" w:rsidRDefault="00464E0A" w:rsidP="00EC4AAF">
            <w:pPr>
              <w:pStyle w:val="Tabletext1"/>
              <w:rPr>
                <w:b/>
              </w:rPr>
            </w:pPr>
            <w:r w:rsidRPr="00E3331A">
              <w:rPr>
                <w:b/>
              </w:rPr>
              <w:t>St vs St</w:t>
            </w:r>
          </w:p>
        </w:tc>
        <w:tc>
          <w:tcPr>
            <w:tcW w:w="363" w:type="pct"/>
            <w:shd w:val="clear" w:color="auto" w:fill="auto"/>
          </w:tcPr>
          <w:p w:rsidR="00464E0A" w:rsidRPr="00E3331A" w:rsidRDefault="00464E0A" w:rsidP="00EC4AAF">
            <w:pPr>
              <w:pStyle w:val="Tabletext1"/>
              <w:rPr>
                <w:b/>
              </w:rPr>
            </w:pPr>
          </w:p>
        </w:tc>
        <w:tc>
          <w:tcPr>
            <w:tcW w:w="448" w:type="pct"/>
            <w:shd w:val="clear" w:color="auto" w:fill="auto"/>
          </w:tcPr>
          <w:p w:rsidR="00464E0A" w:rsidRPr="00E3331A" w:rsidRDefault="00464E0A" w:rsidP="00EC4AAF">
            <w:pPr>
              <w:pStyle w:val="Tabletext1"/>
              <w:rPr>
                <w:b/>
              </w:rPr>
            </w:pPr>
          </w:p>
        </w:tc>
        <w:tc>
          <w:tcPr>
            <w:tcW w:w="408" w:type="pct"/>
            <w:shd w:val="clear" w:color="auto" w:fill="auto"/>
          </w:tcPr>
          <w:p w:rsidR="00464E0A" w:rsidRPr="00E3331A" w:rsidRDefault="00464E0A" w:rsidP="00EC4AAF">
            <w:pPr>
              <w:pStyle w:val="Tabletext1"/>
              <w:rPr>
                <w:b/>
              </w:rPr>
            </w:pPr>
          </w:p>
        </w:tc>
        <w:tc>
          <w:tcPr>
            <w:tcW w:w="535" w:type="pct"/>
            <w:shd w:val="clear" w:color="auto" w:fill="auto"/>
          </w:tcPr>
          <w:p w:rsidR="00464E0A" w:rsidRPr="00E3331A" w:rsidRDefault="00464E0A" w:rsidP="00EC4AAF">
            <w:pPr>
              <w:pStyle w:val="Tabletext1"/>
              <w:rPr>
                <w:b/>
              </w:rPr>
            </w:pPr>
          </w:p>
        </w:tc>
        <w:tc>
          <w:tcPr>
            <w:tcW w:w="580" w:type="pct"/>
            <w:shd w:val="clear" w:color="auto" w:fill="auto"/>
          </w:tcPr>
          <w:p w:rsidR="00464E0A" w:rsidRPr="00E3331A" w:rsidRDefault="00464E0A" w:rsidP="00EC4AAF">
            <w:pPr>
              <w:pStyle w:val="Tabletext1"/>
              <w:rPr>
                <w:b/>
              </w:rPr>
            </w:pPr>
          </w:p>
        </w:tc>
        <w:tc>
          <w:tcPr>
            <w:tcW w:w="445" w:type="pct"/>
            <w:shd w:val="clear" w:color="auto" w:fill="auto"/>
          </w:tcPr>
          <w:p w:rsidR="00464E0A" w:rsidRPr="00E3331A" w:rsidRDefault="00464E0A" w:rsidP="00EC4AAF">
            <w:pPr>
              <w:pStyle w:val="Tabletext1"/>
              <w:rPr>
                <w:b/>
              </w:rPr>
            </w:pPr>
          </w:p>
        </w:tc>
        <w:tc>
          <w:tcPr>
            <w:tcW w:w="1763" w:type="pct"/>
            <w:shd w:val="clear" w:color="auto" w:fill="auto"/>
          </w:tcPr>
          <w:p w:rsidR="00464E0A" w:rsidRPr="00E3331A" w:rsidRDefault="00464E0A" w:rsidP="00EC4AAF">
            <w:pPr>
              <w:pStyle w:val="Tabletext1"/>
              <w:rPr>
                <w:b/>
              </w:rPr>
            </w:pPr>
          </w:p>
        </w:tc>
      </w:tr>
      <w:tr w:rsidR="00464E0A" w:rsidRPr="00E3331A" w:rsidTr="00EC4AAF">
        <w:tc>
          <w:tcPr>
            <w:tcW w:w="458" w:type="pct"/>
            <w:shd w:val="clear" w:color="auto" w:fill="auto"/>
          </w:tcPr>
          <w:p w:rsidR="00464E0A" w:rsidRPr="00E3331A" w:rsidRDefault="00464E0A" w:rsidP="00EC4AAF">
            <w:pPr>
              <w:pStyle w:val="Tabletext1"/>
            </w:pPr>
            <w:r w:rsidRPr="00E3331A">
              <w:t xml:space="preserve">PREDICT study van Schaik et al. (2010), </w:t>
            </w:r>
            <w:r w:rsidRPr="00E3331A">
              <w:lastRenderedPageBreak/>
              <w:t>Eftimov et al. (2012)</w:t>
            </w:r>
          </w:p>
        </w:tc>
        <w:tc>
          <w:tcPr>
            <w:tcW w:w="363" w:type="pct"/>
            <w:shd w:val="clear" w:color="auto" w:fill="auto"/>
          </w:tcPr>
          <w:p w:rsidR="00464E0A" w:rsidRPr="00E3331A" w:rsidRDefault="00464E0A" w:rsidP="00EC4AAF">
            <w:pPr>
              <w:pStyle w:val="Tabletext1"/>
            </w:pPr>
            <w:r w:rsidRPr="00E3331A">
              <w:lastRenderedPageBreak/>
              <w:t>32 weeks</w:t>
            </w:r>
          </w:p>
          <w:p w:rsidR="00464E0A" w:rsidRPr="00E3331A" w:rsidRDefault="00464E0A" w:rsidP="00EC4AAF">
            <w:pPr>
              <w:pStyle w:val="Tabletext1"/>
            </w:pPr>
            <w:r w:rsidRPr="00E3331A">
              <w:t>I: 24</w:t>
            </w:r>
          </w:p>
          <w:p w:rsidR="00464E0A" w:rsidRPr="00E3331A" w:rsidRDefault="00464E0A" w:rsidP="00EC4AAF">
            <w:pPr>
              <w:pStyle w:val="Tabletext1"/>
            </w:pPr>
            <w:r w:rsidRPr="00E3331A">
              <w:t>C: 16</w:t>
            </w:r>
          </w:p>
        </w:tc>
        <w:tc>
          <w:tcPr>
            <w:tcW w:w="448" w:type="pct"/>
            <w:shd w:val="clear" w:color="auto" w:fill="auto"/>
          </w:tcPr>
          <w:p w:rsidR="00464E0A" w:rsidRPr="00E3331A" w:rsidRDefault="00464E0A" w:rsidP="00EC4AAF">
            <w:pPr>
              <w:pStyle w:val="Tabletext1"/>
            </w:pPr>
            <w:r w:rsidRPr="00E3331A">
              <w:t>I: -1.46 ± 2.72</w:t>
            </w:r>
          </w:p>
          <w:p w:rsidR="00464E0A" w:rsidRPr="00E3331A" w:rsidRDefault="00464E0A" w:rsidP="00EC4AAF">
            <w:pPr>
              <w:pStyle w:val="Tabletext1"/>
            </w:pPr>
            <w:r w:rsidRPr="00E3331A">
              <w:t>C: -0.1 ± 2.44</w:t>
            </w:r>
          </w:p>
          <w:p w:rsidR="00464E0A" w:rsidRPr="00E3331A" w:rsidRDefault="00464E0A" w:rsidP="00EC4AAF">
            <w:pPr>
              <w:pStyle w:val="Tabletext1"/>
            </w:pPr>
            <w:r w:rsidRPr="00E3331A">
              <w:rPr>
                <w:i/>
              </w:rPr>
              <w:t>P</w:t>
            </w:r>
            <w:r w:rsidRPr="00E3331A">
              <w:t xml:space="preserve"> = 0.19</w:t>
            </w:r>
          </w:p>
        </w:tc>
        <w:tc>
          <w:tcPr>
            <w:tcW w:w="408" w:type="pct"/>
            <w:shd w:val="clear" w:color="auto" w:fill="auto"/>
          </w:tcPr>
          <w:p w:rsidR="00464E0A" w:rsidRPr="00E3331A" w:rsidRDefault="00464E0A" w:rsidP="00EC4AAF">
            <w:pPr>
              <w:pStyle w:val="Tabletext1"/>
            </w:pPr>
            <w:r w:rsidRPr="00E3331A">
              <w:t>I: 4 ± 6.24</w:t>
            </w:r>
          </w:p>
          <w:p w:rsidR="00464E0A" w:rsidRPr="00E3331A" w:rsidRDefault="00464E0A" w:rsidP="00EC4AAF">
            <w:pPr>
              <w:pStyle w:val="Tabletext1"/>
            </w:pPr>
            <w:r w:rsidRPr="00E3331A">
              <w:t>C: 1.6 ± 6.29</w:t>
            </w:r>
          </w:p>
          <w:p w:rsidR="00464E0A" w:rsidRPr="00E3331A" w:rsidRDefault="00464E0A" w:rsidP="00EC4AAF">
            <w:pPr>
              <w:pStyle w:val="Tabletext1"/>
            </w:pPr>
            <w:r w:rsidRPr="00E3331A">
              <w:rPr>
                <w:i/>
              </w:rPr>
              <w:t>P</w:t>
            </w:r>
            <w:r w:rsidRPr="00E3331A">
              <w:t xml:space="preserve"> = 0.24</w:t>
            </w:r>
          </w:p>
        </w:tc>
        <w:tc>
          <w:tcPr>
            <w:tcW w:w="535" w:type="pct"/>
            <w:shd w:val="clear" w:color="auto" w:fill="auto"/>
          </w:tcPr>
          <w:p w:rsidR="00464E0A" w:rsidRPr="00E3331A" w:rsidRDefault="00464E0A" w:rsidP="00EC4AAF">
            <w:pPr>
              <w:pStyle w:val="Tabletext1"/>
            </w:pPr>
          </w:p>
        </w:tc>
        <w:tc>
          <w:tcPr>
            <w:tcW w:w="580" w:type="pct"/>
            <w:shd w:val="clear" w:color="auto" w:fill="auto"/>
          </w:tcPr>
          <w:p w:rsidR="00464E0A" w:rsidRPr="00E3331A" w:rsidRDefault="00464E0A" w:rsidP="00EC4AAF">
            <w:pPr>
              <w:pStyle w:val="Tabletext1"/>
            </w:pPr>
            <w:r w:rsidRPr="00E3331A">
              <w:t xml:space="preserve">I: 8.1 kPa ± 28.79 </w:t>
            </w:r>
          </w:p>
          <w:p w:rsidR="00464E0A" w:rsidRPr="00E3331A" w:rsidRDefault="00464E0A" w:rsidP="00EC4AAF">
            <w:pPr>
              <w:pStyle w:val="Tabletext1"/>
            </w:pPr>
            <w:r w:rsidRPr="00E3331A">
              <w:t xml:space="preserve">C: 13.4 kPa ± 35.21 </w:t>
            </w:r>
          </w:p>
          <w:p w:rsidR="00464E0A" w:rsidRPr="00E3331A" w:rsidRDefault="00464E0A" w:rsidP="00EC4AAF">
            <w:pPr>
              <w:pStyle w:val="Tabletext1"/>
            </w:pPr>
            <w:r w:rsidRPr="00E3331A">
              <w:t>P = 0.61</w:t>
            </w:r>
          </w:p>
        </w:tc>
        <w:tc>
          <w:tcPr>
            <w:tcW w:w="445" w:type="pct"/>
            <w:shd w:val="clear" w:color="auto" w:fill="auto"/>
          </w:tcPr>
          <w:p w:rsidR="00464E0A" w:rsidRPr="00E3331A" w:rsidRDefault="00464E0A" w:rsidP="00EC4AAF">
            <w:pPr>
              <w:pStyle w:val="Tabletext1"/>
            </w:pPr>
            <w:r w:rsidRPr="00E3331A">
              <w:t>I: 13/24</w:t>
            </w:r>
          </w:p>
          <w:p w:rsidR="00464E0A" w:rsidRPr="00E3331A" w:rsidRDefault="00464E0A" w:rsidP="00EC4AAF">
            <w:pPr>
              <w:pStyle w:val="Tabletext1"/>
            </w:pPr>
            <w:r w:rsidRPr="00E3331A">
              <w:t>C: 8/16</w:t>
            </w:r>
          </w:p>
          <w:p w:rsidR="00464E0A" w:rsidRPr="00E3331A" w:rsidRDefault="00464E0A" w:rsidP="00EC4AAF">
            <w:pPr>
              <w:pStyle w:val="Tabletext1"/>
            </w:pPr>
            <w:r w:rsidRPr="00E3331A">
              <w:t>P = NS</w:t>
            </w:r>
          </w:p>
        </w:tc>
        <w:tc>
          <w:tcPr>
            <w:tcW w:w="1763" w:type="pct"/>
            <w:shd w:val="clear" w:color="auto" w:fill="auto"/>
          </w:tcPr>
          <w:p w:rsidR="00464E0A" w:rsidRPr="00E3331A" w:rsidRDefault="00464E0A" w:rsidP="00EC4AAF">
            <w:pPr>
              <w:pStyle w:val="Tabletext1"/>
            </w:pPr>
            <w:r w:rsidRPr="00E3331A">
              <w:t>ALDS</w:t>
            </w:r>
          </w:p>
          <w:p w:rsidR="00464E0A" w:rsidRPr="00E3331A" w:rsidRDefault="00464E0A" w:rsidP="00EC4AAF">
            <w:pPr>
              <w:pStyle w:val="Tabletext1"/>
            </w:pPr>
            <w:r w:rsidRPr="00E3331A">
              <w:t xml:space="preserve">I: 13.5 ± 14.57, C: 16.9 ± 11.95, P = 0.47 </w:t>
            </w:r>
          </w:p>
          <w:p w:rsidR="00464E0A" w:rsidRPr="00E3331A" w:rsidRDefault="00464E0A" w:rsidP="00EC4AAF">
            <w:pPr>
              <w:pStyle w:val="Tabletext1"/>
            </w:pPr>
            <w:r w:rsidRPr="00E3331A">
              <w:t>SF36</w:t>
            </w:r>
          </w:p>
          <w:p w:rsidR="00464E0A" w:rsidRPr="00E3331A" w:rsidRDefault="00464E0A" w:rsidP="00EC4AAF">
            <w:pPr>
              <w:pStyle w:val="Tabletext1"/>
            </w:pPr>
            <w:r w:rsidRPr="00E3331A">
              <w:t>I: 7.4 ± 12.07, C: 4.5 ± 12.48, P = 0.69</w:t>
            </w:r>
          </w:p>
        </w:tc>
      </w:tr>
      <w:tr w:rsidR="00464E0A" w:rsidRPr="00E3331A" w:rsidTr="00EC4AAF">
        <w:tc>
          <w:tcPr>
            <w:tcW w:w="458" w:type="pct"/>
            <w:shd w:val="clear" w:color="auto" w:fill="auto"/>
          </w:tcPr>
          <w:p w:rsidR="00464E0A" w:rsidRPr="00E3331A" w:rsidRDefault="00464E0A" w:rsidP="00EC4AAF">
            <w:pPr>
              <w:pStyle w:val="Tabletext1"/>
              <w:rPr>
                <w:b/>
              </w:rPr>
            </w:pPr>
            <w:r w:rsidRPr="00E3331A">
              <w:rPr>
                <w:b/>
              </w:rPr>
              <w:t>St vs St + Is</w:t>
            </w:r>
          </w:p>
        </w:tc>
        <w:tc>
          <w:tcPr>
            <w:tcW w:w="363" w:type="pct"/>
            <w:shd w:val="clear" w:color="auto" w:fill="auto"/>
          </w:tcPr>
          <w:p w:rsidR="00464E0A" w:rsidRPr="00E3331A" w:rsidRDefault="00464E0A" w:rsidP="00EC4AAF">
            <w:pPr>
              <w:pStyle w:val="Tabletext1"/>
              <w:rPr>
                <w:b/>
              </w:rPr>
            </w:pPr>
          </w:p>
        </w:tc>
        <w:tc>
          <w:tcPr>
            <w:tcW w:w="448" w:type="pct"/>
            <w:shd w:val="clear" w:color="auto" w:fill="auto"/>
          </w:tcPr>
          <w:p w:rsidR="00464E0A" w:rsidRPr="00E3331A" w:rsidRDefault="00464E0A" w:rsidP="00EC4AAF">
            <w:pPr>
              <w:pStyle w:val="Tabletext1"/>
              <w:rPr>
                <w:b/>
              </w:rPr>
            </w:pPr>
          </w:p>
        </w:tc>
        <w:tc>
          <w:tcPr>
            <w:tcW w:w="408" w:type="pct"/>
            <w:shd w:val="clear" w:color="auto" w:fill="auto"/>
          </w:tcPr>
          <w:p w:rsidR="00464E0A" w:rsidRPr="00E3331A" w:rsidRDefault="00464E0A" w:rsidP="00EC4AAF">
            <w:pPr>
              <w:pStyle w:val="Tabletext1"/>
              <w:rPr>
                <w:b/>
              </w:rPr>
            </w:pPr>
          </w:p>
        </w:tc>
        <w:tc>
          <w:tcPr>
            <w:tcW w:w="535" w:type="pct"/>
            <w:shd w:val="clear" w:color="auto" w:fill="auto"/>
          </w:tcPr>
          <w:p w:rsidR="00464E0A" w:rsidRPr="00E3331A" w:rsidRDefault="00464E0A" w:rsidP="00EC4AAF">
            <w:pPr>
              <w:pStyle w:val="Tabletext1"/>
              <w:rPr>
                <w:b/>
              </w:rPr>
            </w:pPr>
          </w:p>
        </w:tc>
        <w:tc>
          <w:tcPr>
            <w:tcW w:w="580" w:type="pct"/>
            <w:shd w:val="clear" w:color="auto" w:fill="auto"/>
          </w:tcPr>
          <w:p w:rsidR="00464E0A" w:rsidRPr="00E3331A" w:rsidRDefault="00464E0A" w:rsidP="00EC4AAF">
            <w:pPr>
              <w:pStyle w:val="Tabletext1"/>
              <w:rPr>
                <w:b/>
              </w:rPr>
            </w:pPr>
          </w:p>
        </w:tc>
        <w:tc>
          <w:tcPr>
            <w:tcW w:w="445" w:type="pct"/>
            <w:shd w:val="clear" w:color="auto" w:fill="auto"/>
          </w:tcPr>
          <w:p w:rsidR="00464E0A" w:rsidRPr="00E3331A" w:rsidRDefault="00464E0A" w:rsidP="00EC4AAF">
            <w:pPr>
              <w:pStyle w:val="Tabletext1"/>
              <w:rPr>
                <w:b/>
              </w:rPr>
            </w:pPr>
          </w:p>
        </w:tc>
        <w:tc>
          <w:tcPr>
            <w:tcW w:w="1763" w:type="pct"/>
            <w:shd w:val="clear" w:color="auto" w:fill="auto"/>
          </w:tcPr>
          <w:p w:rsidR="00464E0A" w:rsidRPr="00E3331A" w:rsidRDefault="00464E0A" w:rsidP="00EC4AAF">
            <w:pPr>
              <w:pStyle w:val="Tabletext1"/>
              <w:rPr>
                <w:b/>
              </w:rPr>
            </w:pPr>
          </w:p>
        </w:tc>
      </w:tr>
      <w:tr w:rsidR="00464E0A" w:rsidRPr="00E3331A" w:rsidTr="00EC4AAF">
        <w:tc>
          <w:tcPr>
            <w:tcW w:w="458" w:type="pct"/>
            <w:shd w:val="clear" w:color="auto" w:fill="auto"/>
          </w:tcPr>
          <w:p w:rsidR="00464E0A" w:rsidRPr="00E3331A" w:rsidRDefault="00464E0A" w:rsidP="00EC4AAF">
            <w:pPr>
              <w:pStyle w:val="Tabletext1"/>
            </w:pPr>
            <w:r w:rsidRPr="00E3331A">
              <w:t>Dyck et al. (1985)</w:t>
            </w:r>
          </w:p>
        </w:tc>
        <w:tc>
          <w:tcPr>
            <w:tcW w:w="363" w:type="pct"/>
            <w:shd w:val="clear" w:color="auto" w:fill="auto"/>
          </w:tcPr>
          <w:p w:rsidR="00464E0A" w:rsidRPr="00E3331A" w:rsidRDefault="00464E0A" w:rsidP="00EC4AAF">
            <w:pPr>
              <w:pStyle w:val="Tabletext1"/>
            </w:pPr>
            <w:r w:rsidRPr="00E3331A">
              <w:t>26 weeks</w:t>
            </w:r>
          </w:p>
          <w:p w:rsidR="00464E0A" w:rsidRPr="00E3331A" w:rsidRDefault="00464E0A" w:rsidP="00EC4AAF">
            <w:pPr>
              <w:pStyle w:val="Tabletext1"/>
            </w:pPr>
            <w:r w:rsidRPr="00E3331A">
              <w:t>I: 10</w:t>
            </w:r>
          </w:p>
          <w:p w:rsidR="00464E0A" w:rsidRPr="00E3331A" w:rsidRDefault="00464E0A" w:rsidP="00EC4AAF">
            <w:pPr>
              <w:pStyle w:val="Tabletext1"/>
            </w:pPr>
            <w:r w:rsidRPr="00E3331A">
              <w:t>C: 13</w:t>
            </w:r>
          </w:p>
        </w:tc>
        <w:tc>
          <w:tcPr>
            <w:tcW w:w="448" w:type="pct"/>
            <w:shd w:val="clear" w:color="auto" w:fill="auto"/>
          </w:tcPr>
          <w:p w:rsidR="00464E0A" w:rsidRPr="00E3331A" w:rsidRDefault="00464E0A" w:rsidP="00EC4AAF">
            <w:pPr>
              <w:pStyle w:val="Tabletext1"/>
            </w:pPr>
          </w:p>
        </w:tc>
        <w:tc>
          <w:tcPr>
            <w:tcW w:w="408" w:type="pct"/>
            <w:shd w:val="clear" w:color="auto" w:fill="auto"/>
          </w:tcPr>
          <w:p w:rsidR="00464E0A" w:rsidRPr="00E3331A" w:rsidRDefault="00464E0A" w:rsidP="00EC4AAF">
            <w:pPr>
              <w:pStyle w:val="Tabletext1"/>
            </w:pPr>
          </w:p>
        </w:tc>
        <w:tc>
          <w:tcPr>
            <w:tcW w:w="535" w:type="pct"/>
            <w:shd w:val="clear" w:color="auto" w:fill="auto"/>
          </w:tcPr>
          <w:p w:rsidR="00464E0A" w:rsidRPr="00E3331A" w:rsidRDefault="00464E0A" w:rsidP="00EC4AAF">
            <w:pPr>
              <w:pStyle w:val="Tabletext1"/>
            </w:pPr>
            <w:r w:rsidRPr="00E3331A">
              <w:t>I: -30 [-104, 20]</w:t>
            </w:r>
          </w:p>
          <w:p w:rsidR="00464E0A" w:rsidRPr="00E3331A" w:rsidRDefault="00464E0A" w:rsidP="00EC4AAF">
            <w:pPr>
              <w:pStyle w:val="Tabletext1"/>
            </w:pPr>
            <w:r w:rsidRPr="00E3331A">
              <w:t>C: -29 [-84, 49]</w:t>
            </w:r>
          </w:p>
          <w:p w:rsidR="00464E0A" w:rsidRPr="00E3331A" w:rsidRDefault="00464E0A" w:rsidP="00EC4AAF">
            <w:pPr>
              <w:pStyle w:val="Tabletext1"/>
            </w:pPr>
            <w:r w:rsidRPr="00E3331A">
              <w:t>P = NR</w:t>
            </w:r>
          </w:p>
        </w:tc>
        <w:tc>
          <w:tcPr>
            <w:tcW w:w="580" w:type="pct"/>
            <w:shd w:val="clear" w:color="auto" w:fill="auto"/>
          </w:tcPr>
          <w:p w:rsidR="00464E0A" w:rsidRPr="00E3331A" w:rsidRDefault="00464E0A" w:rsidP="00EC4AAF">
            <w:pPr>
              <w:pStyle w:val="Tabletext1"/>
            </w:pPr>
            <w:r w:rsidRPr="00E3331A">
              <w:t xml:space="preserve">I: 1.2 kg [0.2, 15.3] </w:t>
            </w:r>
          </w:p>
          <w:p w:rsidR="00464E0A" w:rsidRPr="00E3331A" w:rsidRDefault="00464E0A" w:rsidP="00EC4AAF">
            <w:pPr>
              <w:pStyle w:val="Tabletext1"/>
            </w:pPr>
            <w:r w:rsidRPr="00E3331A">
              <w:t>C: 4.5 kg [-0.3, 18.3]</w:t>
            </w:r>
          </w:p>
          <w:p w:rsidR="00464E0A" w:rsidRPr="00E3331A" w:rsidRDefault="00464E0A" w:rsidP="00EC4AAF">
            <w:pPr>
              <w:pStyle w:val="Tabletext1"/>
            </w:pPr>
            <w:r w:rsidRPr="00E3331A">
              <w:t>P = NR</w:t>
            </w:r>
          </w:p>
        </w:tc>
        <w:tc>
          <w:tcPr>
            <w:tcW w:w="445" w:type="pct"/>
            <w:shd w:val="clear" w:color="auto" w:fill="auto"/>
          </w:tcPr>
          <w:p w:rsidR="00464E0A" w:rsidRPr="00E3331A" w:rsidRDefault="00464E0A" w:rsidP="00EC4AAF">
            <w:pPr>
              <w:pStyle w:val="Tabletext1"/>
            </w:pPr>
          </w:p>
        </w:tc>
        <w:tc>
          <w:tcPr>
            <w:tcW w:w="1763" w:type="pct"/>
            <w:shd w:val="clear" w:color="auto" w:fill="auto"/>
          </w:tcPr>
          <w:p w:rsidR="00464E0A" w:rsidRPr="00E3331A" w:rsidRDefault="00464E0A" w:rsidP="00EC4AAF">
            <w:pPr>
              <w:pStyle w:val="Tabletext1"/>
            </w:pPr>
          </w:p>
        </w:tc>
      </w:tr>
      <w:tr w:rsidR="00464E0A" w:rsidRPr="00E3331A" w:rsidTr="00EC4AAF">
        <w:tc>
          <w:tcPr>
            <w:tcW w:w="458" w:type="pct"/>
            <w:shd w:val="clear" w:color="auto" w:fill="auto"/>
          </w:tcPr>
          <w:p w:rsidR="00464E0A" w:rsidRPr="00E3331A" w:rsidRDefault="00464E0A" w:rsidP="00EC4AAF">
            <w:pPr>
              <w:pStyle w:val="Tabletext1"/>
              <w:rPr>
                <w:b/>
              </w:rPr>
            </w:pPr>
            <w:r w:rsidRPr="00E3331A">
              <w:rPr>
                <w:b/>
              </w:rPr>
              <w:t>PE vs pl</w:t>
            </w:r>
          </w:p>
        </w:tc>
        <w:tc>
          <w:tcPr>
            <w:tcW w:w="363" w:type="pct"/>
            <w:shd w:val="clear" w:color="auto" w:fill="auto"/>
          </w:tcPr>
          <w:p w:rsidR="00464E0A" w:rsidRPr="00E3331A" w:rsidRDefault="00464E0A" w:rsidP="00EC4AAF">
            <w:pPr>
              <w:pStyle w:val="Tabletext1"/>
              <w:rPr>
                <w:b/>
              </w:rPr>
            </w:pPr>
          </w:p>
        </w:tc>
        <w:tc>
          <w:tcPr>
            <w:tcW w:w="448" w:type="pct"/>
            <w:shd w:val="clear" w:color="auto" w:fill="auto"/>
          </w:tcPr>
          <w:p w:rsidR="00464E0A" w:rsidRPr="00E3331A" w:rsidRDefault="00464E0A" w:rsidP="00EC4AAF">
            <w:pPr>
              <w:pStyle w:val="Tabletext1"/>
              <w:rPr>
                <w:b/>
              </w:rPr>
            </w:pPr>
          </w:p>
        </w:tc>
        <w:tc>
          <w:tcPr>
            <w:tcW w:w="408" w:type="pct"/>
            <w:shd w:val="clear" w:color="auto" w:fill="auto"/>
          </w:tcPr>
          <w:p w:rsidR="00464E0A" w:rsidRPr="00E3331A" w:rsidRDefault="00464E0A" w:rsidP="00EC4AAF">
            <w:pPr>
              <w:pStyle w:val="Tabletext1"/>
              <w:rPr>
                <w:b/>
              </w:rPr>
            </w:pPr>
          </w:p>
        </w:tc>
        <w:tc>
          <w:tcPr>
            <w:tcW w:w="535" w:type="pct"/>
            <w:shd w:val="clear" w:color="auto" w:fill="auto"/>
          </w:tcPr>
          <w:p w:rsidR="00464E0A" w:rsidRPr="00E3331A" w:rsidRDefault="00464E0A" w:rsidP="00EC4AAF">
            <w:pPr>
              <w:pStyle w:val="Tabletext1"/>
              <w:rPr>
                <w:b/>
              </w:rPr>
            </w:pPr>
          </w:p>
        </w:tc>
        <w:tc>
          <w:tcPr>
            <w:tcW w:w="580" w:type="pct"/>
            <w:shd w:val="clear" w:color="auto" w:fill="auto"/>
          </w:tcPr>
          <w:p w:rsidR="00464E0A" w:rsidRPr="00E3331A" w:rsidRDefault="00464E0A" w:rsidP="00EC4AAF">
            <w:pPr>
              <w:pStyle w:val="Tabletext1"/>
              <w:rPr>
                <w:b/>
              </w:rPr>
            </w:pPr>
          </w:p>
        </w:tc>
        <w:tc>
          <w:tcPr>
            <w:tcW w:w="445" w:type="pct"/>
            <w:shd w:val="clear" w:color="auto" w:fill="auto"/>
          </w:tcPr>
          <w:p w:rsidR="00464E0A" w:rsidRPr="00E3331A" w:rsidRDefault="00464E0A" w:rsidP="00EC4AAF">
            <w:pPr>
              <w:pStyle w:val="Tabletext1"/>
              <w:rPr>
                <w:b/>
              </w:rPr>
            </w:pPr>
          </w:p>
        </w:tc>
        <w:tc>
          <w:tcPr>
            <w:tcW w:w="1763" w:type="pct"/>
            <w:shd w:val="clear" w:color="auto" w:fill="auto"/>
          </w:tcPr>
          <w:p w:rsidR="00464E0A" w:rsidRPr="00E3331A" w:rsidRDefault="00464E0A" w:rsidP="00EC4AAF">
            <w:pPr>
              <w:pStyle w:val="Tabletext1"/>
              <w:rPr>
                <w:b/>
              </w:rPr>
            </w:pPr>
          </w:p>
        </w:tc>
      </w:tr>
      <w:tr w:rsidR="00464E0A" w:rsidRPr="00E3331A" w:rsidTr="00EC4AAF">
        <w:tc>
          <w:tcPr>
            <w:tcW w:w="458" w:type="pct"/>
            <w:shd w:val="clear" w:color="auto" w:fill="auto"/>
          </w:tcPr>
          <w:p w:rsidR="00464E0A" w:rsidRPr="00E3331A" w:rsidRDefault="00464E0A" w:rsidP="00EC4AAF">
            <w:pPr>
              <w:pStyle w:val="Tabletext1"/>
            </w:pPr>
            <w:r w:rsidRPr="00E3331A">
              <w:t>Hahn et al. (1996a) and Ashworth et al. (2000)</w:t>
            </w:r>
          </w:p>
        </w:tc>
        <w:tc>
          <w:tcPr>
            <w:tcW w:w="363" w:type="pct"/>
            <w:shd w:val="clear" w:color="auto" w:fill="auto"/>
          </w:tcPr>
          <w:p w:rsidR="00464E0A" w:rsidRPr="00E3331A" w:rsidRDefault="00464E0A" w:rsidP="00EC4AAF">
            <w:pPr>
              <w:pStyle w:val="Tabletext1"/>
            </w:pPr>
            <w:r w:rsidRPr="00E3331A">
              <w:t>4 weeks</w:t>
            </w:r>
          </w:p>
          <w:p w:rsidR="00464E0A" w:rsidRPr="00E3331A" w:rsidRDefault="00464E0A" w:rsidP="00EC4AAF">
            <w:pPr>
              <w:pStyle w:val="Tabletext1"/>
            </w:pPr>
            <w:r w:rsidRPr="00E3331A">
              <w:t>I: 15</w:t>
            </w:r>
          </w:p>
          <w:p w:rsidR="00464E0A" w:rsidRPr="00E3331A" w:rsidRDefault="00464E0A" w:rsidP="00EC4AAF">
            <w:pPr>
              <w:pStyle w:val="Tabletext1"/>
            </w:pPr>
            <w:r w:rsidRPr="00E3331A">
              <w:t>C: 15</w:t>
            </w:r>
          </w:p>
        </w:tc>
        <w:tc>
          <w:tcPr>
            <w:tcW w:w="448" w:type="pct"/>
            <w:shd w:val="clear" w:color="auto" w:fill="auto"/>
          </w:tcPr>
          <w:p w:rsidR="00464E0A" w:rsidRPr="00E3331A" w:rsidRDefault="00464E0A" w:rsidP="00EC4AAF">
            <w:pPr>
              <w:pStyle w:val="Tabletext1"/>
            </w:pPr>
          </w:p>
        </w:tc>
        <w:tc>
          <w:tcPr>
            <w:tcW w:w="408" w:type="pct"/>
            <w:shd w:val="clear" w:color="auto" w:fill="auto"/>
          </w:tcPr>
          <w:p w:rsidR="00464E0A" w:rsidRPr="00E3331A" w:rsidRDefault="00464E0A" w:rsidP="00EC4AAF">
            <w:pPr>
              <w:pStyle w:val="Tabletext1"/>
            </w:pPr>
          </w:p>
        </w:tc>
        <w:tc>
          <w:tcPr>
            <w:tcW w:w="535" w:type="pct"/>
            <w:shd w:val="clear" w:color="auto" w:fill="auto"/>
          </w:tcPr>
          <w:p w:rsidR="00464E0A" w:rsidRPr="00E3331A" w:rsidRDefault="00464E0A" w:rsidP="00EC4AAF">
            <w:pPr>
              <w:pStyle w:val="Tabletext1"/>
            </w:pPr>
            <w:r w:rsidRPr="00E3331A">
              <w:t>I: -38 ± 6.95</w:t>
            </w:r>
          </w:p>
          <w:p w:rsidR="00464E0A" w:rsidRPr="00E3331A" w:rsidRDefault="00464E0A" w:rsidP="00EC4AAF">
            <w:pPr>
              <w:pStyle w:val="Tabletext1"/>
            </w:pPr>
            <w:r w:rsidRPr="00E3331A">
              <w:t>C: 1.7 ± 9.86</w:t>
            </w:r>
          </w:p>
          <w:p w:rsidR="00464E0A" w:rsidRPr="00E3331A" w:rsidRDefault="00464E0A" w:rsidP="00EC4AAF">
            <w:pPr>
              <w:pStyle w:val="Tabletext1"/>
            </w:pPr>
            <w:r w:rsidRPr="00E3331A">
              <w:t>P &lt; 0.001</w:t>
            </w:r>
          </w:p>
        </w:tc>
        <w:tc>
          <w:tcPr>
            <w:tcW w:w="580" w:type="pct"/>
            <w:shd w:val="clear" w:color="auto" w:fill="auto"/>
          </w:tcPr>
          <w:p w:rsidR="00464E0A" w:rsidRPr="00E3331A" w:rsidRDefault="00464E0A" w:rsidP="00EC4AAF">
            <w:pPr>
              <w:pStyle w:val="Tabletext1"/>
            </w:pPr>
            <w:r w:rsidRPr="00E3331A">
              <w:t>I: 12.7 kg ± 3.63</w:t>
            </w:r>
          </w:p>
          <w:p w:rsidR="00464E0A" w:rsidRPr="00E3331A" w:rsidRDefault="00464E0A" w:rsidP="00EC4AAF">
            <w:pPr>
              <w:pStyle w:val="Tabletext1"/>
            </w:pPr>
            <w:r w:rsidRPr="00E3331A">
              <w:t>C: 0.1 ± 4.11</w:t>
            </w:r>
          </w:p>
          <w:p w:rsidR="00464E0A" w:rsidRPr="00E3331A" w:rsidRDefault="00464E0A" w:rsidP="00EC4AAF">
            <w:pPr>
              <w:pStyle w:val="Tabletext1"/>
            </w:pPr>
            <w:r w:rsidRPr="00E3331A">
              <w:t>P &lt; 0.003</w:t>
            </w:r>
          </w:p>
        </w:tc>
        <w:tc>
          <w:tcPr>
            <w:tcW w:w="445" w:type="pct"/>
            <w:shd w:val="clear" w:color="auto" w:fill="auto"/>
          </w:tcPr>
          <w:p w:rsidR="00464E0A" w:rsidRPr="00E3331A" w:rsidRDefault="00464E0A" w:rsidP="00EC4AAF">
            <w:pPr>
              <w:pStyle w:val="Tabletext1"/>
            </w:pPr>
          </w:p>
        </w:tc>
        <w:tc>
          <w:tcPr>
            <w:tcW w:w="1763" w:type="pct"/>
            <w:shd w:val="clear" w:color="auto" w:fill="auto"/>
          </w:tcPr>
          <w:p w:rsidR="00464E0A" w:rsidRPr="00E3331A" w:rsidRDefault="00464E0A" w:rsidP="00EC4AAF">
            <w:pPr>
              <w:pStyle w:val="Tabletext1"/>
            </w:pPr>
            <w:r w:rsidRPr="00E3331A">
              <w:t>Clinical grade</w:t>
            </w:r>
          </w:p>
          <w:p w:rsidR="00464E0A" w:rsidRPr="00E3331A" w:rsidRDefault="00464E0A" w:rsidP="00EC4AAF">
            <w:pPr>
              <w:pStyle w:val="Tabletext1"/>
            </w:pPr>
            <w:r w:rsidRPr="00E3331A">
              <w:t>I: -1.6 ± 0.56, C: 0.4 ± 0.64, P &lt; 0.001</w:t>
            </w:r>
          </w:p>
        </w:tc>
      </w:tr>
      <w:tr w:rsidR="00464E0A" w:rsidRPr="00E3331A" w:rsidTr="00EC4AAF">
        <w:tc>
          <w:tcPr>
            <w:tcW w:w="458" w:type="pct"/>
            <w:shd w:val="clear" w:color="auto" w:fill="auto"/>
          </w:tcPr>
          <w:p w:rsidR="00464E0A" w:rsidRPr="00E3331A" w:rsidRDefault="00464E0A" w:rsidP="00EC4AAF">
            <w:pPr>
              <w:pStyle w:val="Tabletext1"/>
            </w:pPr>
            <w:r w:rsidRPr="00E3331A">
              <w:t>Dyck et al. (1986)</w:t>
            </w:r>
          </w:p>
        </w:tc>
        <w:tc>
          <w:tcPr>
            <w:tcW w:w="363" w:type="pct"/>
            <w:shd w:val="clear" w:color="auto" w:fill="auto"/>
          </w:tcPr>
          <w:p w:rsidR="00464E0A" w:rsidRPr="00E3331A" w:rsidRDefault="00464E0A" w:rsidP="00EC4AAF">
            <w:pPr>
              <w:pStyle w:val="Tabletext1"/>
            </w:pPr>
            <w:r w:rsidRPr="00E3331A">
              <w:t>3 weeks</w:t>
            </w:r>
          </w:p>
          <w:p w:rsidR="00464E0A" w:rsidRPr="00E3331A" w:rsidRDefault="00464E0A" w:rsidP="00EC4AAF">
            <w:pPr>
              <w:pStyle w:val="Tabletext1"/>
            </w:pPr>
            <w:r w:rsidRPr="00E3331A">
              <w:t>I: 15</w:t>
            </w:r>
          </w:p>
          <w:p w:rsidR="00464E0A" w:rsidRPr="00E3331A" w:rsidRDefault="00464E0A" w:rsidP="00EC4AAF">
            <w:pPr>
              <w:pStyle w:val="Tabletext1"/>
            </w:pPr>
            <w:r w:rsidRPr="00E3331A">
              <w:t>C: 14</w:t>
            </w:r>
          </w:p>
        </w:tc>
        <w:tc>
          <w:tcPr>
            <w:tcW w:w="448" w:type="pct"/>
            <w:shd w:val="clear" w:color="auto" w:fill="auto"/>
          </w:tcPr>
          <w:p w:rsidR="00464E0A" w:rsidRPr="00E3331A" w:rsidRDefault="00464E0A" w:rsidP="00EC4AAF">
            <w:pPr>
              <w:pStyle w:val="Tabletext1"/>
            </w:pPr>
          </w:p>
        </w:tc>
        <w:tc>
          <w:tcPr>
            <w:tcW w:w="408" w:type="pct"/>
            <w:shd w:val="clear" w:color="auto" w:fill="auto"/>
          </w:tcPr>
          <w:p w:rsidR="00464E0A" w:rsidRPr="00E3331A" w:rsidRDefault="00464E0A" w:rsidP="00EC4AAF">
            <w:pPr>
              <w:pStyle w:val="Tabletext1"/>
            </w:pPr>
          </w:p>
        </w:tc>
        <w:tc>
          <w:tcPr>
            <w:tcW w:w="535" w:type="pct"/>
            <w:shd w:val="clear" w:color="auto" w:fill="auto"/>
          </w:tcPr>
          <w:p w:rsidR="00464E0A" w:rsidRPr="00E3331A" w:rsidRDefault="00464E0A" w:rsidP="00EC4AAF">
            <w:pPr>
              <w:pStyle w:val="Tabletext1"/>
            </w:pPr>
            <w:r w:rsidRPr="00E3331A">
              <w:t>I -20.93 ± 31.93</w:t>
            </w:r>
          </w:p>
          <w:p w:rsidR="00464E0A" w:rsidRPr="00E3331A" w:rsidRDefault="00464E0A" w:rsidP="00EC4AAF">
            <w:pPr>
              <w:pStyle w:val="Tabletext1"/>
            </w:pPr>
            <w:r w:rsidRPr="00E3331A">
              <w:t>C: -5.07 ± 14.47</w:t>
            </w:r>
          </w:p>
          <w:p w:rsidR="00464E0A" w:rsidRPr="00E3331A" w:rsidRDefault="00464E0A" w:rsidP="00EC4AAF">
            <w:pPr>
              <w:pStyle w:val="Tabletext1"/>
            </w:pPr>
            <w:r w:rsidRPr="00E3331A">
              <w:t>P = NR</w:t>
            </w:r>
          </w:p>
        </w:tc>
        <w:tc>
          <w:tcPr>
            <w:tcW w:w="580" w:type="pct"/>
            <w:shd w:val="clear" w:color="auto" w:fill="auto"/>
          </w:tcPr>
          <w:p w:rsidR="00464E0A" w:rsidRPr="00E3331A" w:rsidRDefault="00464E0A" w:rsidP="00EC4AAF">
            <w:pPr>
              <w:pStyle w:val="Tabletext1"/>
            </w:pPr>
          </w:p>
        </w:tc>
        <w:tc>
          <w:tcPr>
            <w:tcW w:w="445" w:type="pct"/>
            <w:shd w:val="clear" w:color="auto" w:fill="auto"/>
          </w:tcPr>
          <w:p w:rsidR="00464E0A" w:rsidRPr="00E3331A" w:rsidRDefault="00464E0A" w:rsidP="00EC4AAF">
            <w:pPr>
              <w:pStyle w:val="Tabletext1"/>
            </w:pPr>
          </w:p>
        </w:tc>
        <w:tc>
          <w:tcPr>
            <w:tcW w:w="1763" w:type="pct"/>
            <w:shd w:val="clear" w:color="auto" w:fill="auto"/>
          </w:tcPr>
          <w:p w:rsidR="00464E0A" w:rsidRPr="00E3331A" w:rsidRDefault="00464E0A" w:rsidP="00EC4AAF">
            <w:pPr>
              <w:pStyle w:val="Tabletext1"/>
            </w:pPr>
          </w:p>
        </w:tc>
      </w:tr>
    </w:tbl>
    <w:p w:rsidR="00464E0A" w:rsidRPr="00E3331A" w:rsidRDefault="00464E0A" w:rsidP="00464E0A">
      <w:pPr>
        <w:pStyle w:val="Tablecontents"/>
      </w:pPr>
      <w:r w:rsidRPr="00E3331A">
        <w:t>Abbreviations: St = steroids; PE = plasma exchange; pl = placebo; Ia = immunoabsorption; I = intervenition; C = comparator; 9PHT = nine peh-hole test; 40MWT = 40 metre walk test; ALDS = Academic Medical Centre Linear Disability Score; SF36 = Short-Form-36; MRC = Medical Research Council Sum Score; INCAT = Inflammatory Neuropathy Cause and Treatment; NDS = Neurological Disability Score; ODSS = INCAT overall disability sum score; FSS = Fatigue Severity Scale.</w:t>
      </w:r>
    </w:p>
    <w:p w:rsidR="00464E0A" w:rsidRPr="00E3331A" w:rsidRDefault="00464E0A" w:rsidP="00464E0A">
      <w:pPr>
        <w:pStyle w:val="Tablenotes0"/>
      </w:pPr>
    </w:p>
    <w:p w:rsidR="00464E0A" w:rsidRPr="00E3331A" w:rsidRDefault="00464E0A" w:rsidP="00464E0A">
      <w:pPr>
        <w:spacing w:after="0" w:line="240" w:lineRule="auto"/>
      </w:pPr>
      <w:r w:rsidRPr="00E3331A">
        <w:br w:type="page"/>
      </w:r>
    </w:p>
    <w:p w:rsidR="00464E0A" w:rsidRPr="00E3331A" w:rsidRDefault="00464E0A" w:rsidP="00464E0A">
      <w:pPr>
        <w:pStyle w:val="Caption"/>
      </w:pPr>
      <w:bookmarkStart w:id="576" w:name="_Ref9238422"/>
      <w:bookmarkStart w:id="577" w:name="_Toc9796911"/>
      <w:bookmarkStart w:id="578" w:name="_Toc24103405"/>
      <w:bookmarkStart w:id="579" w:name="_Hlk23760630"/>
      <w:r w:rsidRPr="00E3331A">
        <w:lastRenderedPageBreak/>
        <w:t xml:space="preserve">Table </w:t>
      </w:r>
      <w:r w:rsidR="006F35B9">
        <w:rPr>
          <w:noProof/>
        </w:rPr>
        <w:t>99</w:t>
      </w:r>
      <w:bookmarkEnd w:id="576"/>
      <w:r w:rsidRPr="00E3331A">
        <w:rPr>
          <w:noProof/>
        </w:rPr>
        <w:tab/>
      </w:r>
      <w:r w:rsidRPr="00E3331A">
        <w:t>Studies included for the extended assessment of harms, key characteristics and safety data</w:t>
      </w:r>
      <w:bookmarkEnd w:id="577"/>
      <w:bookmarkEnd w:id="578"/>
    </w:p>
    <w:tbl>
      <w:tblPr>
        <w:tblW w:w="5000" w:type="pct"/>
        <w:tblLayout w:type="fixed"/>
        <w:tblLook w:val="04A0" w:firstRow="1" w:lastRow="0" w:firstColumn="1" w:lastColumn="0" w:noHBand="0" w:noVBand="1"/>
      </w:tblPr>
      <w:tblGrid>
        <w:gridCol w:w="2384"/>
        <w:gridCol w:w="744"/>
        <w:gridCol w:w="1525"/>
        <w:gridCol w:w="257"/>
        <w:gridCol w:w="254"/>
        <w:gridCol w:w="3285"/>
        <w:gridCol w:w="3358"/>
        <w:gridCol w:w="3319"/>
      </w:tblGrid>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b/>
                <w:bCs/>
                <w:sz w:val="18"/>
                <w:szCs w:val="18"/>
              </w:rPr>
            </w:pPr>
            <w:r w:rsidRPr="00E3331A">
              <w:rPr>
                <w:rFonts w:ascii="Arial Narrow" w:hAnsi="Arial Narrow" w:cs="Calibri"/>
                <w:b/>
                <w:bCs/>
                <w:sz w:val="18"/>
                <w:szCs w:val="18"/>
              </w:rPr>
              <w:t>Study ID</w:t>
            </w:r>
          </w:p>
          <w:p w:rsidR="00464E0A" w:rsidRPr="00E3331A" w:rsidRDefault="00464E0A" w:rsidP="00EC4AAF">
            <w:pPr>
              <w:spacing w:after="0" w:line="240" w:lineRule="auto"/>
              <w:rPr>
                <w:rFonts w:ascii="Arial Narrow" w:hAnsi="Arial Narrow" w:cs="Calibri"/>
                <w:b/>
                <w:bCs/>
                <w:sz w:val="18"/>
                <w:szCs w:val="18"/>
              </w:rPr>
            </w:pPr>
            <w:r w:rsidRPr="00E3331A">
              <w:rPr>
                <w:rFonts w:ascii="Arial Narrow" w:hAnsi="Arial Narrow" w:cs="Calibri"/>
                <w:b/>
                <w:bCs/>
                <w:sz w:val="18"/>
                <w:szCs w:val="18"/>
              </w:rPr>
              <w:t>Level of evidence</w:t>
            </w:r>
          </w:p>
          <w:p w:rsidR="00464E0A" w:rsidRPr="00E3331A" w:rsidRDefault="00464E0A" w:rsidP="00EC4AAF">
            <w:pPr>
              <w:spacing w:after="0" w:line="240" w:lineRule="auto"/>
              <w:rPr>
                <w:rFonts w:ascii="Arial Narrow" w:hAnsi="Arial Narrow" w:cs="Calibri"/>
                <w:b/>
                <w:bCs/>
                <w:sz w:val="18"/>
                <w:szCs w:val="18"/>
              </w:rPr>
            </w:pPr>
            <w:r w:rsidRPr="00E3331A">
              <w:rPr>
                <w:rFonts w:ascii="Arial Narrow" w:hAnsi="Arial Narrow" w:cs="Calibri"/>
                <w:b/>
                <w:bCs/>
                <w:sz w:val="18"/>
                <w:szCs w:val="18"/>
              </w:rPr>
              <w:t>Retrospective (R) / Prospective (P)</w:t>
            </w:r>
          </w:p>
          <w:p w:rsidR="00464E0A" w:rsidRPr="00E3331A" w:rsidRDefault="00464E0A" w:rsidP="00EC4AAF">
            <w:pPr>
              <w:spacing w:after="0" w:line="240" w:lineRule="auto"/>
              <w:rPr>
                <w:rFonts w:ascii="Arial Narrow" w:hAnsi="Arial Narrow" w:cs="Calibri"/>
                <w:b/>
                <w:bCs/>
                <w:sz w:val="18"/>
                <w:szCs w:val="18"/>
              </w:rPr>
            </w:pPr>
            <w:r w:rsidRPr="00E3331A">
              <w:rPr>
                <w:rFonts w:ascii="Arial Narrow" w:hAnsi="Arial Narrow" w:cs="Calibri"/>
                <w:b/>
                <w:bCs/>
                <w:sz w:val="18"/>
                <w:szCs w:val="18"/>
              </w:rPr>
              <w:t>N</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b/>
                <w:bCs/>
                <w:sz w:val="18"/>
                <w:szCs w:val="18"/>
              </w:rPr>
            </w:pPr>
            <w:r w:rsidRPr="00E3331A">
              <w:rPr>
                <w:rFonts w:ascii="Arial Narrow" w:hAnsi="Arial Narrow" w:cs="Calibri"/>
                <w:b/>
                <w:bCs/>
                <w:sz w:val="18"/>
                <w:szCs w:val="18"/>
              </w:rPr>
              <w:t>Inclusion criteria (simplified)</w:t>
            </w:r>
          </w:p>
        </w:tc>
        <w:tc>
          <w:tcPr>
            <w:tcW w:w="1086"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b/>
                <w:bCs/>
                <w:sz w:val="18"/>
                <w:szCs w:val="18"/>
              </w:rPr>
            </w:pPr>
            <w:r w:rsidRPr="00E3331A">
              <w:rPr>
                <w:rFonts w:ascii="Arial Narrow" w:hAnsi="Arial Narrow" w:cs="Calibri"/>
                <w:b/>
                <w:bCs/>
                <w:sz w:val="18"/>
                <w:szCs w:val="18"/>
              </w:rPr>
              <w:t xml:space="preserve">Intervention </w:t>
            </w:r>
          </w:p>
          <w:p w:rsidR="00464E0A" w:rsidRPr="00E3331A" w:rsidRDefault="00464E0A" w:rsidP="00EC4AAF">
            <w:pPr>
              <w:spacing w:after="0" w:line="240" w:lineRule="auto"/>
              <w:rPr>
                <w:rFonts w:ascii="Arial Narrow" w:hAnsi="Arial Narrow" w:cs="Calibri"/>
                <w:b/>
                <w:bCs/>
                <w:sz w:val="18"/>
                <w:szCs w:val="18"/>
              </w:rPr>
            </w:pPr>
            <w:r w:rsidRPr="00E3331A">
              <w:rPr>
                <w:rFonts w:ascii="Arial Narrow" w:hAnsi="Arial Narrow" w:cs="Calibri"/>
                <w:b/>
                <w:bCs/>
                <w:sz w:val="18"/>
                <w:szCs w:val="18"/>
              </w:rPr>
              <w:t>Comparator (if relevant)</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b/>
                <w:bCs/>
                <w:sz w:val="18"/>
                <w:szCs w:val="18"/>
              </w:rPr>
            </w:pPr>
            <w:r w:rsidRPr="00E3331A">
              <w:rPr>
                <w:rFonts w:ascii="Arial Narrow" w:hAnsi="Arial Narrow" w:cs="Calibri"/>
                <w:b/>
                <w:bCs/>
                <w:sz w:val="18"/>
                <w:szCs w:val="18"/>
              </w:rPr>
              <w:t>Observation period</w:t>
            </w:r>
          </w:p>
          <w:p w:rsidR="00464E0A" w:rsidRPr="00E3331A" w:rsidRDefault="00464E0A" w:rsidP="00EC4AAF">
            <w:pPr>
              <w:spacing w:after="0" w:line="240" w:lineRule="auto"/>
              <w:rPr>
                <w:rFonts w:ascii="Arial Narrow" w:hAnsi="Arial Narrow" w:cs="Calibri"/>
                <w:b/>
                <w:bCs/>
                <w:sz w:val="18"/>
                <w:szCs w:val="18"/>
              </w:rPr>
            </w:pPr>
            <w:r w:rsidRPr="00E3331A">
              <w:rPr>
                <w:rFonts w:ascii="Arial Narrow" w:hAnsi="Arial Narrow" w:cs="Calibri"/>
                <w:b/>
                <w:bCs/>
                <w:sz w:val="18"/>
                <w:szCs w:val="18"/>
              </w:rPr>
              <w:t>Comments regarding safety analyses</w:t>
            </w:r>
          </w:p>
        </w:tc>
        <w:tc>
          <w:tcPr>
            <w:tcW w:w="1097" w:type="pct"/>
            <w:tcBorders>
              <w:top w:val="single" w:sz="4" w:space="0" w:color="auto"/>
              <w:left w:val="single" w:sz="4" w:space="0" w:color="auto"/>
              <w:bottom w:val="single" w:sz="4" w:space="0" w:color="auto"/>
              <w:right w:val="single" w:sz="4" w:space="0" w:color="auto"/>
            </w:tcBorders>
            <w:shd w:val="clear" w:color="auto" w:fill="auto"/>
          </w:tcPr>
          <w:p w:rsidR="00464E0A" w:rsidRPr="00E3331A" w:rsidRDefault="00464E0A" w:rsidP="00EC4AAF">
            <w:pPr>
              <w:spacing w:after="0" w:line="240" w:lineRule="auto"/>
              <w:rPr>
                <w:rFonts w:ascii="Arial Narrow" w:hAnsi="Arial Narrow" w:cs="Calibri"/>
                <w:b/>
                <w:bCs/>
                <w:sz w:val="18"/>
                <w:szCs w:val="18"/>
              </w:rPr>
            </w:pPr>
            <w:r w:rsidRPr="00E3331A">
              <w:rPr>
                <w:rFonts w:ascii="Arial Narrow" w:hAnsi="Arial Narrow" w:cs="Calibri"/>
                <w:b/>
                <w:bCs/>
                <w:sz w:val="18"/>
                <w:szCs w:val="18"/>
              </w:rPr>
              <w:t>Any adverse event (AE), n/N (%)</w:t>
            </w:r>
          </w:p>
          <w:p w:rsidR="00464E0A" w:rsidRPr="00E3331A" w:rsidRDefault="00464E0A" w:rsidP="00EC4AAF">
            <w:pPr>
              <w:spacing w:after="0" w:line="240" w:lineRule="auto"/>
              <w:rPr>
                <w:rFonts w:ascii="Arial Narrow" w:hAnsi="Arial Narrow" w:cs="Calibri"/>
                <w:b/>
                <w:bCs/>
                <w:sz w:val="18"/>
                <w:szCs w:val="18"/>
              </w:rPr>
            </w:pPr>
            <w:r w:rsidRPr="00E3331A">
              <w:rPr>
                <w:rFonts w:ascii="Arial Narrow" w:hAnsi="Arial Narrow" w:cs="Calibri"/>
                <w:b/>
                <w:bCs/>
                <w:sz w:val="18"/>
                <w:szCs w:val="18"/>
              </w:rPr>
              <w:t>Any serious adverse event (SAE), n/N (%)</w:t>
            </w:r>
          </w:p>
          <w:p w:rsidR="00464E0A" w:rsidRPr="00E3331A" w:rsidRDefault="00464E0A" w:rsidP="00EC4AAF">
            <w:pPr>
              <w:spacing w:after="0" w:line="240" w:lineRule="auto"/>
              <w:rPr>
                <w:rFonts w:ascii="Arial Narrow" w:hAnsi="Arial Narrow" w:cs="Calibri"/>
                <w:b/>
                <w:bCs/>
                <w:sz w:val="18"/>
                <w:szCs w:val="18"/>
              </w:rPr>
            </w:pPr>
            <w:r w:rsidRPr="00E3331A">
              <w:rPr>
                <w:rFonts w:ascii="Arial Narrow" w:hAnsi="Arial Narrow" w:cs="Calibri"/>
                <w:b/>
                <w:bCs/>
                <w:sz w:val="18"/>
                <w:szCs w:val="18"/>
              </w:rPr>
              <w:t>Details of SAE</w:t>
            </w:r>
          </w:p>
        </w:tc>
      </w:tr>
      <w:tr w:rsidR="00464E0A" w:rsidRPr="00E3331A" w:rsidTr="00EC4AAF">
        <w:trPr>
          <w:trHeight w:val="300"/>
        </w:trPr>
        <w:tc>
          <w:tcPr>
            <w:tcW w:w="1034" w:type="pct"/>
            <w:gridSpan w:val="2"/>
            <w:tcBorders>
              <w:top w:val="single" w:sz="4" w:space="0" w:color="auto"/>
              <w:left w:val="single" w:sz="4" w:space="0" w:color="auto"/>
              <w:bottom w:val="single" w:sz="4" w:space="0" w:color="auto"/>
            </w:tcBorders>
            <w:shd w:val="clear" w:color="auto" w:fill="F2F2F2"/>
            <w:noWrap/>
          </w:tcPr>
          <w:p w:rsidR="00464E0A" w:rsidRPr="00E3331A" w:rsidRDefault="00464E0A" w:rsidP="00EC4AAF">
            <w:pPr>
              <w:spacing w:after="0" w:line="240" w:lineRule="auto"/>
              <w:rPr>
                <w:rFonts w:ascii="Arial Narrow" w:hAnsi="Arial Narrow" w:cs="Calibri"/>
                <w:b/>
                <w:color w:val="000000"/>
                <w:sz w:val="18"/>
                <w:szCs w:val="18"/>
              </w:rPr>
            </w:pPr>
            <w:r w:rsidRPr="00E3331A">
              <w:rPr>
                <w:rFonts w:ascii="Arial Narrow" w:hAnsi="Arial Narrow" w:cs="Calibri"/>
                <w:b/>
                <w:color w:val="000000"/>
                <w:sz w:val="18"/>
                <w:szCs w:val="18"/>
              </w:rPr>
              <w:t>Level IV studies reporting on IVIg</w:t>
            </w:r>
          </w:p>
        </w:tc>
        <w:tc>
          <w:tcPr>
            <w:tcW w:w="672" w:type="pct"/>
            <w:gridSpan w:val="3"/>
            <w:tcBorders>
              <w:top w:val="single" w:sz="4" w:space="0" w:color="auto"/>
              <w:bottom w:val="single" w:sz="4" w:space="0" w:color="auto"/>
            </w:tcBorders>
            <w:shd w:val="clear" w:color="auto" w:fill="F2F2F2"/>
            <w:noWrap/>
          </w:tcPr>
          <w:p w:rsidR="00464E0A" w:rsidRPr="00E3331A" w:rsidRDefault="00464E0A" w:rsidP="00EC4AAF">
            <w:pPr>
              <w:spacing w:after="0" w:line="240" w:lineRule="auto"/>
              <w:rPr>
                <w:rFonts w:ascii="Arial Narrow" w:hAnsi="Arial Narrow" w:cs="Calibri"/>
                <w:color w:val="000000"/>
                <w:sz w:val="18"/>
                <w:szCs w:val="18"/>
              </w:rPr>
            </w:pPr>
          </w:p>
        </w:tc>
        <w:tc>
          <w:tcPr>
            <w:tcW w:w="1086" w:type="pct"/>
            <w:tcBorders>
              <w:top w:val="single" w:sz="4" w:space="0" w:color="auto"/>
              <w:bottom w:val="single" w:sz="4" w:space="0" w:color="auto"/>
            </w:tcBorders>
            <w:shd w:val="clear" w:color="auto" w:fill="F2F2F2"/>
            <w:noWrap/>
          </w:tcPr>
          <w:p w:rsidR="00464E0A" w:rsidRPr="00E3331A" w:rsidRDefault="00464E0A" w:rsidP="00EC4AAF">
            <w:pPr>
              <w:spacing w:after="0" w:line="240" w:lineRule="auto"/>
              <w:rPr>
                <w:rFonts w:ascii="Arial Narrow" w:hAnsi="Arial Narrow" w:cs="Calibri"/>
                <w:color w:val="000000"/>
                <w:sz w:val="18"/>
                <w:szCs w:val="18"/>
              </w:rPr>
            </w:pPr>
          </w:p>
        </w:tc>
        <w:tc>
          <w:tcPr>
            <w:tcW w:w="1110" w:type="pct"/>
            <w:tcBorders>
              <w:top w:val="single" w:sz="4" w:space="0" w:color="auto"/>
              <w:bottom w:val="single" w:sz="4" w:space="0" w:color="auto"/>
            </w:tcBorders>
            <w:shd w:val="clear" w:color="auto" w:fill="F2F2F2"/>
          </w:tcPr>
          <w:p w:rsidR="00464E0A" w:rsidRPr="00E3331A" w:rsidRDefault="00464E0A" w:rsidP="00EC4AAF">
            <w:pPr>
              <w:spacing w:after="0" w:line="240" w:lineRule="auto"/>
              <w:rPr>
                <w:rFonts w:ascii="Arial Narrow" w:hAnsi="Arial Narrow" w:cs="Calibri"/>
                <w:color w:val="000000"/>
                <w:sz w:val="18"/>
                <w:szCs w:val="18"/>
              </w:rPr>
            </w:pPr>
          </w:p>
        </w:tc>
        <w:tc>
          <w:tcPr>
            <w:tcW w:w="1097" w:type="pct"/>
            <w:tcBorders>
              <w:top w:val="single" w:sz="4" w:space="0" w:color="auto"/>
              <w:bottom w:val="single" w:sz="4" w:space="0" w:color="auto"/>
              <w:right w:val="single" w:sz="4" w:space="0" w:color="auto"/>
            </w:tcBorders>
            <w:shd w:val="clear" w:color="auto" w:fill="F2F2F2"/>
          </w:tcPr>
          <w:p w:rsidR="00464E0A" w:rsidRPr="00E3331A" w:rsidRDefault="00464E0A" w:rsidP="00EC4AAF">
            <w:pPr>
              <w:spacing w:after="0" w:line="240" w:lineRule="auto"/>
              <w:rPr>
                <w:rFonts w:ascii="Arial Narrow" w:hAnsi="Arial Narrow" w:cs="Calibri"/>
                <w:color w:val="000000"/>
                <w:sz w:val="18"/>
                <w:szCs w:val="18"/>
              </w:rPr>
            </w:pP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Cocito 2014 </w:t>
            </w:r>
            <w:r w:rsidR="00B85C75">
              <w:rPr>
                <w:rFonts w:ascii="Arial Narrow" w:hAnsi="Arial Narrow" w:cs="Calibri"/>
                <w:noProof/>
                <w:color w:val="000000"/>
                <w:sz w:val="18"/>
                <w:szCs w:val="18"/>
              </w:rPr>
              <w:t>(Cocito et al. 2014)</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66</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and Myasthenia gravis (EFNS/PNS criteria</w:t>
            </w:r>
            <w:r w:rsidR="00B85C75">
              <w:rPr>
                <w:rFonts w:ascii="Arial Narrow" w:hAnsi="Arial Narrow" w:cs="Calibri"/>
                <w:noProof/>
                <w:color w:val="000000"/>
                <w:sz w:val="18"/>
                <w:szCs w:val="18"/>
              </w:rPr>
              <w:t>(Van den Bergh et al. 2010)</w:t>
            </w:r>
            <w:r w:rsidRPr="00E3331A">
              <w:rPr>
                <w:rFonts w:ascii="Arial Narrow" w:hAnsi="Arial Narrow" w:cs="Calibri"/>
                <w:color w:val="000000"/>
                <w:sz w:val="18"/>
                <w:szCs w:val="18"/>
              </w:rPr>
              <w:t>)</w:t>
            </w:r>
          </w:p>
        </w:tc>
        <w:tc>
          <w:tcPr>
            <w:tcW w:w="1086"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SCIg : 1-2g/kg, 1-3 Subcutaneous injections per week</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&lt; 6 months of follow-up</w:t>
            </w:r>
          </w:p>
          <w:p w:rsidR="00464E0A" w:rsidRPr="00E3331A" w:rsidRDefault="00464E0A" w:rsidP="00EC4AAF">
            <w:pPr>
              <w:spacing w:after="0" w:line="240" w:lineRule="auto"/>
              <w:rPr>
                <w:rFonts w:ascii="Arial Narrow" w:hAnsi="Arial Narrow" w:cs="Calibri"/>
                <w:color w:val="000000"/>
                <w:sz w:val="18"/>
                <w:szCs w:val="18"/>
                <w:vertAlign w:val="superscript"/>
              </w:rPr>
            </w:pPr>
            <w:r w:rsidRPr="00E3331A">
              <w:rPr>
                <w:rFonts w:ascii="Arial Narrow" w:hAnsi="Arial Narrow" w:cs="Calibri"/>
                <w:color w:val="000000"/>
                <w:sz w:val="18"/>
                <w:szCs w:val="18"/>
              </w:rPr>
              <w:t>Authors report frequent and transient skin reactions</w:t>
            </w:r>
            <w:r w:rsidRPr="00E3331A">
              <w:rPr>
                <w:rFonts w:ascii="Arial Narrow" w:hAnsi="Arial Narrow" w:cs="Calibri"/>
                <w:color w:val="000000"/>
                <w:sz w:val="18"/>
                <w:szCs w:val="18"/>
                <w:vertAlign w:val="superscript"/>
              </w:rPr>
              <w:t xml:space="preserve">a </w:t>
            </w:r>
            <w:r w:rsidRPr="00E3331A">
              <w:rPr>
                <w:rFonts w:ascii="Arial Narrow" w:hAnsi="Arial Narrow" w:cs="Calibri"/>
                <w:color w:val="000000"/>
                <w:sz w:val="18"/>
                <w:szCs w:val="18"/>
              </w:rPr>
              <w:t>but</w:t>
            </w:r>
            <w:r w:rsidRPr="00E3331A">
              <w:rPr>
                <w:rFonts w:ascii="Arial Narrow" w:hAnsi="Arial Narrow" w:cs="Calibri"/>
                <w:color w:val="000000"/>
                <w:sz w:val="18"/>
                <w:szCs w:val="18"/>
                <w:vertAlign w:val="superscript"/>
              </w:rPr>
              <w:t xml:space="preserve"> </w:t>
            </w:r>
            <w:r w:rsidRPr="00E3331A">
              <w:rPr>
                <w:rFonts w:ascii="Arial Narrow" w:hAnsi="Arial Narrow" w:cs="Calibri"/>
                <w:color w:val="000000"/>
                <w:sz w:val="18"/>
                <w:szCs w:val="18"/>
              </w:rPr>
              <w:t>n/N not reported</w:t>
            </w:r>
          </w:p>
          <w:p w:rsidR="00464E0A" w:rsidRPr="00E3331A" w:rsidRDefault="00464E0A" w:rsidP="00EC4AAF">
            <w:pPr>
              <w:spacing w:after="0" w:line="240" w:lineRule="auto"/>
              <w:rPr>
                <w:rFonts w:ascii="Arial Narrow" w:hAnsi="Arial Narrow" w:cs="Calibri"/>
                <w:color w:val="000000"/>
                <w:sz w:val="18"/>
                <w:szCs w:val="18"/>
              </w:rPr>
            </w:pP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13/66 (20%)</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1/66 (2%) </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SAE: skin reaction (1)</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Debes 2007 </w:t>
            </w:r>
            <w:r w:rsidR="00B85C75">
              <w:rPr>
                <w:rFonts w:ascii="Arial Narrow" w:hAnsi="Arial Narrow" w:cs="Calibri"/>
                <w:noProof/>
                <w:color w:val="000000"/>
                <w:sz w:val="18"/>
                <w:szCs w:val="18"/>
              </w:rPr>
              <w:t>(Debes et al. 2007)</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36</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Multiple indications including CIDP (Criteria NR)</w:t>
            </w:r>
          </w:p>
        </w:tc>
        <w:tc>
          <w:tcPr>
            <w:tcW w:w="1086"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IVIg: Individualised treatment</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Mean follow-up: 440 days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AEs occurred in 4.2% of all patients and 0.35% of all infusions. </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Non</w:t>
            </w:r>
            <w:r w:rsidR="00417823">
              <w:rPr>
                <w:rFonts w:ascii="Arial Narrow" w:hAnsi="Arial Narrow" w:cs="Calibri"/>
                <w:color w:val="000000"/>
                <w:sz w:val="18"/>
                <w:szCs w:val="18"/>
              </w:rPr>
              <w:t>-serious</w:t>
            </w:r>
            <w:r w:rsidRPr="00E3331A">
              <w:rPr>
                <w:rFonts w:ascii="Arial Narrow" w:hAnsi="Arial Narrow" w:cs="Calibri"/>
                <w:color w:val="000000"/>
                <w:sz w:val="18"/>
                <w:szCs w:val="18"/>
              </w:rPr>
              <w:t xml:space="preserve"> (94.8%)</w:t>
            </w:r>
            <w:r w:rsidR="00130F53">
              <w:rPr>
                <w:rFonts w:ascii="Arial Narrow" w:hAnsi="Arial Narrow" w:cs="Calibri"/>
                <w:color w:val="000000"/>
                <w:sz w:val="18"/>
                <w:szCs w:val="18"/>
              </w:rPr>
              <w:t>,</w:t>
            </w:r>
            <w:r w:rsidRPr="00E3331A">
              <w:rPr>
                <w:rFonts w:ascii="Arial Narrow" w:hAnsi="Arial Narrow" w:cs="Calibri"/>
                <w:color w:val="000000"/>
                <w:sz w:val="18"/>
                <w:szCs w:val="18"/>
              </w:rPr>
              <w:t xml:space="preserve"> mild/moderate (90.2%). Rigors were reported most frequently, followed by fever, headache, nausea and flush. n/N NR</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3/36 (8%)</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Grehl 1997 </w:t>
            </w:r>
            <w:r w:rsidR="00B85C75">
              <w:rPr>
                <w:rFonts w:ascii="Arial Narrow" w:hAnsi="Arial Narrow" w:cs="Calibri"/>
                <w:noProof/>
                <w:color w:val="000000"/>
                <w:sz w:val="18"/>
                <w:szCs w:val="18"/>
              </w:rPr>
              <w:t>(Grehl et al. 1997)</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13 (with CIDP)</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or MMN (AAN criteria</w:t>
            </w:r>
            <w:r w:rsidR="00070110">
              <w:rPr>
                <w:rFonts w:ascii="Arial Narrow" w:hAnsi="Arial Narrow" w:cs="Calibri"/>
                <w:noProof/>
                <w:color w:val="000000"/>
                <w:sz w:val="18"/>
                <w:szCs w:val="18"/>
              </w:rPr>
              <w:t>(</w:t>
            </w:r>
            <w:r w:rsidR="00B85C75">
              <w:rPr>
                <w:rFonts w:ascii="Arial Narrow" w:hAnsi="Arial Narrow" w:cs="Calibri"/>
                <w:noProof/>
                <w:color w:val="000000"/>
                <w:sz w:val="18"/>
                <w:szCs w:val="18"/>
              </w:rPr>
              <w:t>1991</w:t>
            </w:r>
            <w:r w:rsidR="00070110">
              <w:rPr>
                <w:rFonts w:ascii="Arial Narrow" w:hAnsi="Arial Narrow" w:cs="Calibri"/>
                <w:noProof/>
                <w:color w:val="000000"/>
                <w:sz w:val="18"/>
                <w:szCs w:val="18"/>
              </w:rPr>
              <w:t>)</w:t>
            </w:r>
            <w:r w:rsidRPr="00E3331A">
              <w:rPr>
                <w:rFonts w:ascii="Arial Narrow" w:hAnsi="Arial Narrow" w:cs="Calibri"/>
                <w:color w:val="000000"/>
                <w:sz w:val="18"/>
                <w:szCs w:val="18"/>
              </w:rPr>
              <w:t>)</w:t>
            </w:r>
          </w:p>
        </w:tc>
        <w:tc>
          <w:tcPr>
            <w:tcW w:w="1086"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IVIg: </w:t>
            </w:r>
            <w:r w:rsidRPr="00E3331A">
              <w:rPr>
                <w:rFonts w:ascii="Arial Narrow" w:hAnsi="Arial Narrow" w:cs="Calibri"/>
                <w:i/>
                <w:color w:val="000000"/>
                <w:sz w:val="18"/>
                <w:szCs w:val="18"/>
              </w:rPr>
              <w:t>Induction</w:t>
            </w:r>
            <w:r w:rsidRPr="00E3331A">
              <w:rPr>
                <w:rFonts w:ascii="Arial Narrow" w:hAnsi="Arial Narrow" w:cs="Calibri"/>
                <w:color w:val="000000"/>
                <w:sz w:val="18"/>
                <w:szCs w:val="18"/>
              </w:rPr>
              <w:t>: 400 mg/kg/day for 5d</w:t>
            </w:r>
          </w:p>
          <w:p w:rsidR="00464E0A" w:rsidRPr="00E3331A" w:rsidRDefault="00464E0A" w:rsidP="00EC4AAF">
            <w:pPr>
              <w:spacing w:after="0" w:line="240" w:lineRule="auto"/>
              <w:rPr>
                <w:rFonts w:ascii="Arial Narrow" w:hAnsi="Arial Narrow" w:cs="Calibri"/>
                <w:color w:val="000000"/>
                <w:sz w:val="18"/>
                <w:szCs w:val="18"/>
                <w:vertAlign w:val="superscript"/>
              </w:rPr>
            </w:pPr>
            <w:r w:rsidRPr="00E3331A">
              <w:rPr>
                <w:rFonts w:ascii="Arial Narrow" w:hAnsi="Arial Narrow" w:cs="Calibri"/>
                <w:i/>
                <w:color w:val="000000"/>
                <w:sz w:val="18"/>
                <w:szCs w:val="18"/>
              </w:rPr>
              <w:t>Maintenance</w:t>
            </w:r>
            <w:r w:rsidRPr="00E3331A">
              <w:rPr>
                <w:rFonts w:ascii="Arial Narrow" w:hAnsi="Arial Narrow" w:cs="Calibri"/>
                <w:color w:val="000000"/>
                <w:sz w:val="18"/>
                <w:szCs w:val="18"/>
              </w:rPr>
              <w:t>: After 4 weeks or when symptoms returned 1 day of IVIg was given</w:t>
            </w:r>
            <w:r w:rsidRPr="00E3331A">
              <w:rPr>
                <w:rFonts w:ascii="Arial Narrow" w:hAnsi="Arial Narrow" w:cs="Calibri"/>
                <w:color w:val="000000"/>
                <w:sz w:val="18"/>
                <w:szCs w:val="18"/>
                <w:vertAlign w:val="superscript"/>
              </w:rPr>
              <w:t>b</w:t>
            </w:r>
          </w:p>
          <w:p w:rsidR="00464E0A" w:rsidRPr="00E3331A" w:rsidRDefault="00464E0A" w:rsidP="00EC4AAF">
            <w:pPr>
              <w:spacing w:after="0" w:line="240" w:lineRule="auto"/>
              <w:rPr>
                <w:rFonts w:ascii="Arial Narrow" w:hAnsi="Arial Narrow" w:cs="Calibri"/>
                <w:i/>
                <w:color w:val="000000"/>
                <w:sz w:val="18"/>
                <w:szCs w:val="18"/>
              </w:rPr>
            </w:pP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2-65 months follow-up</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Erythrocyte sedimentation rate and serum IgG increased for a short period. All other laboratory values remained within the normal range. There was no hepatitis in any patient. Only one patient suffered from headache and nausea for some hours after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every day of IVIg infusions. n/N NR for general AEs</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0/13 (0%)</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SAE: no severe side effects were observed</w:t>
            </w:r>
          </w:p>
          <w:p w:rsidR="00464E0A" w:rsidRPr="00E3331A" w:rsidRDefault="00464E0A" w:rsidP="00EC4AAF">
            <w:pPr>
              <w:spacing w:after="0" w:line="240" w:lineRule="auto"/>
              <w:rPr>
                <w:rFonts w:ascii="Arial Narrow" w:hAnsi="Arial Narrow" w:cs="Calibri"/>
                <w:color w:val="000000"/>
                <w:sz w:val="18"/>
                <w:szCs w:val="18"/>
              </w:rPr>
            </w:pP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Jann 2005 </w:t>
            </w:r>
            <w:r w:rsidR="00B85C75">
              <w:rPr>
                <w:rFonts w:ascii="Arial Narrow" w:hAnsi="Arial Narrow" w:cs="Calibri"/>
                <w:noProof/>
                <w:color w:val="000000"/>
                <w:sz w:val="18"/>
                <w:szCs w:val="18"/>
              </w:rPr>
              <w:t>(Jann et al. 2005)</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31</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Idiopathic CIDP +/- diabetes mellitus </w:t>
            </w:r>
          </w:p>
        </w:tc>
        <w:tc>
          <w:tcPr>
            <w:tcW w:w="1086"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IVIg: </w:t>
            </w:r>
            <w:r w:rsidRPr="00E3331A">
              <w:rPr>
                <w:rFonts w:ascii="Arial Narrow" w:hAnsi="Arial Narrow" w:cs="Calibri"/>
                <w:i/>
                <w:color w:val="000000"/>
                <w:sz w:val="18"/>
                <w:szCs w:val="18"/>
              </w:rPr>
              <w:t>Induction</w:t>
            </w:r>
            <w:r w:rsidRPr="00E3331A">
              <w:rPr>
                <w:rFonts w:ascii="Arial Narrow" w:hAnsi="Arial Narrow" w:cs="Calibri"/>
                <w:color w:val="000000"/>
                <w:sz w:val="18"/>
                <w:szCs w:val="18"/>
              </w:rPr>
              <w:t>: 2g/kg over five days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i/>
                <w:color w:val="000000"/>
                <w:sz w:val="18"/>
                <w:szCs w:val="18"/>
              </w:rPr>
              <w:t>Maintenance</w:t>
            </w:r>
            <w:r w:rsidRPr="00E3331A">
              <w:rPr>
                <w:rFonts w:ascii="Arial Narrow" w:hAnsi="Arial Narrow" w:cs="Calibri"/>
                <w:color w:val="000000"/>
                <w:sz w:val="18"/>
                <w:szCs w:val="18"/>
              </w:rPr>
              <w:t>: repeated if the patient was initially a responder and they had a relapse</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&gt;24 months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The most frequent minor side effect was headache, which was easily controlled with symptomatic medications. n/N NR for general AEs.</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0/31 (0)</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SAE: no severe side effects were observed</w:t>
            </w:r>
          </w:p>
          <w:p w:rsidR="00464E0A" w:rsidRPr="00E3331A" w:rsidRDefault="00464E0A" w:rsidP="00EC4AAF">
            <w:pPr>
              <w:spacing w:after="0" w:line="240" w:lineRule="auto"/>
              <w:rPr>
                <w:rFonts w:ascii="Arial Narrow" w:hAnsi="Arial Narrow" w:cs="Calibri"/>
                <w:color w:val="000000"/>
                <w:sz w:val="18"/>
                <w:szCs w:val="18"/>
              </w:rPr>
            </w:pP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Katzberg 2013 </w:t>
            </w:r>
            <w:r w:rsidR="00B85C75">
              <w:rPr>
                <w:rFonts w:ascii="Arial Narrow" w:hAnsi="Arial Narrow" w:cs="Calibri"/>
                <w:noProof/>
                <w:color w:val="000000"/>
                <w:sz w:val="18"/>
                <w:szCs w:val="18"/>
              </w:rPr>
              <w:t>(Katzberg et al. 2013)</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10</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(Koski criteria) for at least 3 months + at least on IVIg treatment in hospital w/o a major complication</w:t>
            </w:r>
          </w:p>
        </w:tc>
        <w:tc>
          <w:tcPr>
            <w:tcW w:w="1086"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Home IVIg: </w:t>
            </w:r>
            <w:r w:rsidRPr="00E3331A">
              <w:rPr>
                <w:rFonts w:ascii="Arial Narrow" w:hAnsi="Arial Narrow" w:cs="Calibri"/>
                <w:i/>
                <w:color w:val="000000"/>
                <w:sz w:val="18"/>
                <w:szCs w:val="18"/>
              </w:rPr>
              <w:t>Induction</w:t>
            </w:r>
            <w:r w:rsidRPr="00E3331A">
              <w:rPr>
                <w:rFonts w:ascii="Arial Narrow" w:hAnsi="Arial Narrow" w:cs="Calibri"/>
                <w:color w:val="000000"/>
                <w:sz w:val="18"/>
                <w:szCs w:val="18"/>
              </w:rPr>
              <w:t>: in hospital</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i/>
                <w:color w:val="000000"/>
                <w:sz w:val="18"/>
                <w:szCs w:val="18"/>
              </w:rPr>
              <w:t>Maintenance</w:t>
            </w:r>
            <w:r w:rsidRPr="00E3331A">
              <w:rPr>
                <w:rFonts w:ascii="Arial Narrow" w:hAnsi="Arial Narrow" w:cs="Calibri"/>
                <w:color w:val="000000"/>
                <w:sz w:val="18"/>
                <w:szCs w:val="18"/>
              </w:rPr>
              <w:t>: 1-2 g / kg every 3-4 weeks as per their protocols in the medical day unit.</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6 months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AEs NR except for mild headache (7/10); and nausea and leg heaviness (12.2% of infusions). n/N NR for general AEs.</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1/10 (10%)</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SAE: polypharmacy with pain medications</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lastRenderedPageBreak/>
              <w:t xml:space="preserve">Kuitwaard 2015 </w:t>
            </w:r>
            <w:r w:rsidR="00B85C75">
              <w:rPr>
                <w:rFonts w:ascii="Arial Narrow" w:hAnsi="Arial Narrow" w:cs="Calibri"/>
                <w:noProof/>
                <w:color w:val="000000"/>
                <w:sz w:val="18"/>
                <w:szCs w:val="18"/>
              </w:rPr>
              <w:t>(Kuitwaard et al. 2015)</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281</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(EFNS/PNS criteria) + treatment naïve.</w:t>
            </w:r>
            <w:r w:rsidRPr="00E3331A">
              <w:rPr>
                <w:rStyle w:val="FootnoteReference"/>
                <w:rFonts w:ascii="Arial Narrow" w:hAnsi="Arial Narrow" w:cs="Calibri"/>
                <w:color w:val="000000"/>
                <w:szCs w:val="18"/>
              </w:rPr>
              <w:footnoteReference w:id="34"/>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w:t>
            </w:r>
          </w:p>
        </w:tc>
        <w:tc>
          <w:tcPr>
            <w:tcW w:w="1086"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IVIg: </w:t>
            </w:r>
            <w:r w:rsidRPr="00E3331A">
              <w:rPr>
                <w:rFonts w:ascii="Arial Narrow" w:hAnsi="Arial Narrow" w:cs="Calibri"/>
                <w:i/>
                <w:color w:val="000000"/>
                <w:sz w:val="18"/>
                <w:szCs w:val="18"/>
              </w:rPr>
              <w:t>Induction</w:t>
            </w:r>
            <w:r w:rsidRPr="00E3331A">
              <w:rPr>
                <w:rFonts w:ascii="Arial Narrow" w:hAnsi="Arial Narrow" w:cs="Calibri"/>
                <w:color w:val="000000"/>
                <w:sz w:val="18"/>
                <w:szCs w:val="18"/>
              </w:rPr>
              <w:t>: 2g/kg over 2-5 days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i/>
                <w:color w:val="000000"/>
                <w:sz w:val="18"/>
                <w:szCs w:val="18"/>
              </w:rPr>
              <w:t>Maintenance</w:t>
            </w:r>
            <w:r w:rsidRPr="00E3331A">
              <w:rPr>
                <w:rFonts w:ascii="Arial Narrow" w:hAnsi="Arial Narrow" w:cs="Calibri"/>
                <w:color w:val="000000"/>
                <w:sz w:val="18"/>
                <w:szCs w:val="18"/>
              </w:rPr>
              <w:t>: When required, regular attempts to reduce the dosage were performed to check whether patients were in remission or were still IVIg dependent</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Mean 5.2 years </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AEs resulting in discontinuation: 10/281 (3.6%). Authors note that most were relatively minor including headache. n/N NR for general AEs.</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 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3/281 (1%)</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SAE: Steven Johnson syndrome (1), acquired haemolytic anaemia (2)</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Kuwabara 2017 </w:t>
            </w:r>
            <w:r w:rsidR="00B85C75">
              <w:rPr>
                <w:rFonts w:ascii="Arial Narrow" w:hAnsi="Arial Narrow" w:cs="Calibri"/>
                <w:noProof/>
                <w:color w:val="000000"/>
                <w:sz w:val="18"/>
                <w:szCs w:val="18"/>
              </w:rPr>
              <w:t>(Kuwabara et al. 2017)</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49</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(EFNS/PNS criteria), 43% had typical CIDP and the remainder had atypical CIDP</w:t>
            </w:r>
          </w:p>
        </w:tc>
        <w:tc>
          <w:tcPr>
            <w:tcW w:w="1086"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IVIg: </w:t>
            </w:r>
            <w:r w:rsidRPr="00E3331A">
              <w:rPr>
                <w:rFonts w:ascii="Arial Narrow" w:hAnsi="Arial Narrow" w:cs="Calibri"/>
                <w:i/>
                <w:color w:val="000000"/>
                <w:sz w:val="18"/>
                <w:szCs w:val="18"/>
              </w:rPr>
              <w:t>Induction</w:t>
            </w:r>
            <w:r w:rsidRPr="00E3331A">
              <w:rPr>
                <w:rFonts w:ascii="Arial Narrow" w:hAnsi="Arial Narrow" w:cs="Calibri"/>
                <w:color w:val="000000"/>
                <w:sz w:val="18"/>
                <w:szCs w:val="18"/>
              </w:rPr>
              <w:t xml:space="preserve">: 0.4 g/kg/day for 5 days. </w:t>
            </w:r>
            <w:r w:rsidRPr="00E3331A">
              <w:rPr>
                <w:rFonts w:ascii="Arial Narrow" w:hAnsi="Arial Narrow" w:cs="Calibri"/>
                <w:i/>
                <w:color w:val="000000"/>
                <w:sz w:val="18"/>
                <w:szCs w:val="18"/>
              </w:rPr>
              <w:t>Maintenance</w:t>
            </w:r>
            <w:r w:rsidRPr="00E3331A">
              <w:rPr>
                <w:rFonts w:ascii="Arial Narrow" w:hAnsi="Arial Narrow" w:cs="Calibri"/>
                <w:color w:val="000000"/>
                <w:sz w:val="18"/>
                <w:szCs w:val="18"/>
              </w:rPr>
              <w:t>: 1.0 g/kg/day for 1 day</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Unclear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Comprehensive AE reporting. Frequent adverse events were headache (32.7%), nasopharyngitis (28.6%) and skin rash (12.2%). No death occurred during the study.</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46/49 (94%)</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6/49 (12%)</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SAE: cerebral infarction</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(2), aggravation of CIDP (2), cryptococcal pneumonia (1), cholesteatoma (1), inguinal hernia (1), anxiety neurosis (1)</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Leger 2013 </w:t>
            </w:r>
            <w:r w:rsidR="00B85C75">
              <w:rPr>
                <w:rFonts w:ascii="Arial Narrow" w:hAnsi="Arial Narrow" w:cs="Calibri"/>
                <w:noProof/>
                <w:color w:val="000000"/>
                <w:sz w:val="18"/>
                <w:szCs w:val="18"/>
              </w:rPr>
              <w:t>(Leger et al. 2013)</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IV </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 28</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CIDP (EFNS/PNS criteria) </w:t>
            </w:r>
          </w:p>
        </w:tc>
        <w:tc>
          <w:tcPr>
            <w:tcW w:w="1086"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IVIg: </w:t>
            </w:r>
            <w:r w:rsidRPr="00E3331A">
              <w:rPr>
                <w:rFonts w:ascii="Arial Narrow" w:hAnsi="Arial Narrow" w:cs="Calibri"/>
                <w:i/>
                <w:color w:val="000000"/>
                <w:sz w:val="18"/>
                <w:szCs w:val="18"/>
              </w:rPr>
              <w:t>Induction</w:t>
            </w:r>
            <w:r w:rsidRPr="00E3331A">
              <w:rPr>
                <w:rFonts w:ascii="Arial Narrow" w:hAnsi="Arial Narrow" w:cs="Calibri"/>
                <w:color w:val="000000"/>
                <w:sz w:val="18"/>
                <w:szCs w:val="18"/>
              </w:rPr>
              <w:t>: 2g/kg over 2-5 days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i/>
                <w:color w:val="000000"/>
                <w:sz w:val="18"/>
                <w:szCs w:val="18"/>
              </w:rPr>
              <w:t>Maintenance</w:t>
            </w:r>
            <w:r w:rsidRPr="00E3331A">
              <w:rPr>
                <w:rFonts w:ascii="Arial Narrow" w:hAnsi="Arial Narrow" w:cs="Calibri"/>
                <w:color w:val="000000"/>
                <w:sz w:val="18"/>
                <w:szCs w:val="18"/>
              </w:rPr>
              <w:t>: up to 7 infusions of 1g/kg at 3 weekly intervals</w:t>
            </w:r>
            <w:r w:rsidRPr="00E3331A">
              <w:rPr>
                <w:rFonts w:ascii="Arial Narrow" w:hAnsi="Arial Narrow" w:cs="Calibri"/>
                <w:color w:val="000000"/>
                <w:sz w:val="18"/>
                <w:szCs w:val="18"/>
                <w:vertAlign w:val="superscript"/>
              </w:rPr>
              <w:t>d</w:t>
            </w:r>
            <w:r w:rsidRPr="00E3331A">
              <w:rPr>
                <w:rFonts w:ascii="Arial Narrow" w:hAnsi="Arial Narrow" w:cs="Calibri"/>
                <w:color w:val="000000"/>
                <w:sz w:val="18"/>
                <w:szCs w:val="18"/>
              </w:rPr>
              <w:t xml:space="preserve"> </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A total of 108 AEs in 22 patients were recorded. Overall rate of AE per infusion of 0.47. 88% of all AEs were mild or moderate in intensity. n/N NR for general AEs.</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22/28 (79%)</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4/28 (14%)</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SAE: Haemolysis (2), CIDP deterioration (1), worsening of chronic sigmoid diverticulitis (1). The cases of haemolysis were considered related to the intervention.</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Markvardsen 2014 </w:t>
            </w:r>
            <w:r w:rsidR="00B85C75">
              <w:rPr>
                <w:rFonts w:ascii="Arial Narrow" w:hAnsi="Arial Narrow" w:cs="Calibri"/>
                <w:noProof/>
                <w:color w:val="000000"/>
                <w:sz w:val="18"/>
                <w:szCs w:val="18"/>
              </w:rPr>
              <w:t>(Markvardsen et al. 2014b)</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 17 (data only presented for those who completed 6 months of follow-up)</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CIDP (EFNS/PNS criteria) </w:t>
            </w:r>
          </w:p>
        </w:tc>
        <w:tc>
          <w:tcPr>
            <w:tcW w:w="1086"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SCIg: Treatment regimen was individualised</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12 months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Authors state side effects were mild and limited to reactions at the injection sites with rash, redness and swelling. No new side effects to treatment nor any systemic reactions were observed. n/N NR for general AEs.</w:t>
            </w:r>
          </w:p>
          <w:p w:rsidR="00464E0A" w:rsidRPr="00E3331A" w:rsidRDefault="00464E0A" w:rsidP="00EC4AAF">
            <w:pPr>
              <w:spacing w:after="0" w:line="240" w:lineRule="auto"/>
              <w:rPr>
                <w:rFonts w:ascii="Arial Narrow" w:hAnsi="Arial Narrow" w:cs="Calibri"/>
                <w:color w:val="000000"/>
                <w:sz w:val="18"/>
                <w:szCs w:val="18"/>
              </w:rPr>
            </w:pP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0/17 (0%)</w:t>
            </w:r>
          </w:p>
          <w:p w:rsidR="00464E0A" w:rsidRPr="00E3331A" w:rsidRDefault="00464E0A" w:rsidP="00EC4AAF">
            <w:pPr>
              <w:spacing w:after="0" w:line="240" w:lineRule="auto"/>
              <w:rPr>
                <w:rFonts w:ascii="Arial Narrow" w:hAnsi="Arial Narrow" w:cs="Calibri"/>
                <w:color w:val="000000"/>
                <w:sz w:val="18"/>
                <w:szCs w:val="18"/>
              </w:rPr>
            </w:pP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vertAlign w:val="superscript"/>
              </w:rPr>
            </w:pPr>
            <w:r w:rsidRPr="00E3331A">
              <w:rPr>
                <w:rFonts w:ascii="Arial Narrow" w:hAnsi="Arial Narrow" w:cs="Calibri"/>
                <w:color w:val="000000"/>
                <w:sz w:val="18"/>
                <w:szCs w:val="18"/>
              </w:rPr>
              <w:t xml:space="preserve">Merkies 2018 </w:t>
            </w:r>
            <w:r w:rsidR="00B85C75">
              <w:rPr>
                <w:rFonts w:ascii="Arial Narrow" w:hAnsi="Arial Narrow" w:cs="Calibri"/>
                <w:noProof/>
                <w:color w:val="000000"/>
                <w:sz w:val="18"/>
                <w:szCs w:val="18"/>
              </w:rPr>
              <w:t>(Merkies et al. 2019)</w:t>
            </w:r>
            <w:r w:rsidRPr="00E3331A">
              <w:rPr>
                <w:rFonts w:ascii="Arial Narrow" w:hAnsi="Arial Narrow" w:cs="Calibri"/>
                <w:color w:val="000000"/>
                <w:sz w:val="18"/>
                <w:szCs w:val="18"/>
                <w:vertAlign w:val="superscript"/>
              </w:rPr>
              <w:t>e</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207 (including PATH only, as the PRIMA study is reported by Leger)</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(EFNS/PNS criteria)</w:t>
            </w:r>
          </w:p>
        </w:tc>
        <w:tc>
          <w:tcPr>
            <w:tcW w:w="1086"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IVIg: </w:t>
            </w:r>
            <w:r w:rsidRPr="00E3331A">
              <w:rPr>
                <w:rFonts w:ascii="Arial Narrow" w:hAnsi="Arial Narrow" w:cs="Calibri"/>
                <w:i/>
                <w:color w:val="000000"/>
                <w:sz w:val="18"/>
                <w:szCs w:val="18"/>
              </w:rPr>
              <w:t>Induction</w:t>
            </w:r>
            <w:r w:rsidRPr="00E3331A">
              <w:rPr>
                <w:rFonts w:ascii="Arial Narrow" w:hAnsi="Arial Narrow" w:cs="Calibri"/>
                <w:color w:val="000000"/>
                <w:sz w:val="18"/>
                <w:szCs w:val="18"/>
              </w:rPr>
              <w:t xml:space="preserve">: 2.0 g/kg over 2-5 consecutive days. </w:t>
            </w:r>
            <w:r w:rsidRPr="00E3331A">
              <w:rPr>
                <w:rFonts w:ascii="Arial Narrow" w:hAnsi="Arial Narrow" w:cs="Calibri"/>
                <w:i/>
                <w:color w:val="000000"/>
                <w:sz w:val="18"/>
                <w:szCs w:val="18"/>
              </w:rPr>
              <w:t>Maintenance</w:t>
            </w:r>
            <w:r w:rsidRPr="00E3331A">
              <w:rPr>
                <w:rFonts w:ascii="Arial Narrow" w:hAnsi="Arial Narrow" w:cs="Calibri"/>
                <w:color w:val="000000"/>
                <w:sz w:val="18"/>
                <w:szCs w:val="18"/>
              </w:rPr>
              <w:t>: up to 7 doses of 1.0 g/kg every 3 weeks on 1-2 consecutive days</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A total of 284 AEs in 100 (48.3%) subjects (0.175/infusion). AEs reported. </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100/207 (48%)</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7/207 (3%)</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SAE: Hypersensitivity (1), pulmonary embolism (1), increased blood pressure (1), exacerbation of CIDP (1), respiratory failure (1), rash (1), migrane (1).</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Querol 2013 </w:t>
            </w:r>
            <w:r w:rsidR="00B85C75">
              <w:rPr>
                <w:rFonts w:ascii="Arial Narrow" w:hAnsi="Arial Narrow" w:cs="Calibri"/>
                <w:noProof/>
                <w:color w:val="000000"/>
                <w:sz w:val="18"/>
                <w:szCs w:val="18"/>
              </w:rPr>
              <w:t>(Querol et al. 2013)</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87</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(EFNS/PNS criteria)</w:t>
            </w:r>
          </w:p>
        </w:tc>
        <w:tc>
          <w:tcPr>
            <w:tcW w:w="1086"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IVIg: Seventy-nine patients (91.9%) started IVIg at the 2-g/kg dose. The others received 1 g/kg. The most common course was administration over 5 days (73 patients, 84.9%).</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Median 3.9 years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Authors report: No severe adverse reactions related to IVIg were reported during follow-up.</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0/87 (0%)</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lastRenderedPageBreak/>
              <w:t xml:space="preserve">Rajabally 2006 </w:t>
            </w:r>
            <w:r w:rsidR="00B85C75">
              <w:rPr>
                <w:rFonts w:ascii="Arial Narrow" w:hAnsi="Arial Narrow" w:cs="Calibri"/>
                <w:noProof/>
                <w:color w:val="000000"/>
                <w:sz w:val="18"/>
                <w:szCs w:val="18"/>
              </w:rPr>
              <w:t>(Rajabally et al. 2006)</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15</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(diagnosed on the basis of a relapsing-remitting sensory-motor disturbance with hyporeflexia or areflexia)</w:t>
            </w:r>
          </w:p>
        </w:tc>
        <w:tc>
          <w:tcPr>
            <w:tcW w:w="1086"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IVIg: Most patients had been started on an approximate dose of 2 g/kg/course.</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Authors report incidents were rare (occurring in 9 administered IVIg, 2.2%) and minor, consisting mainly of rapidly resolving headaches.</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0/15 (0)</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Rigas 2008</w:t>
            </w:r>
            <w:r w:rsidR="00B85C75">
              <w:rPr>
                <w:rFonts w:ascii="Arial Narrow" w:hAnsi="Arial Narrow" w:cs="Calibri"/>
                <w:noProof/>
                <w:color w:val="000000"/>
                <w:sz w:val="18"/>
                <w:szCs w:val="18"/>
              </w:rPr>
              <w:t>(Rigas et al. 2008)</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44 (with CIDP)</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Patients with neuroimmunologic disorder</w:t>
            </w:r>
          </w:p>
        </w:tc>
        <w:tc>
          <w:tcPr>
            <w:tcW w:w="1086"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Home-based IVIg: Varied according to patient</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AEs reported. </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15/44 (34%)</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Robert 2015 </w:t>
            </w:r>
            <w:r w:rsidR="00B85C75">
              <w:rPr>
                <w:rFonts w:ascii="Arial Narrow" w:hAnsi="Arial Narrow" w:cs="Calibri"/>
                <w:noProof/>
                <w:color w:val="000000"/>
                <w:sz w:val="18"/>
                <w:szCs w:val="18"/>
              </w:rPr>
              <w:t>(Robert et al. 2015)</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26 </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(according to the clinical criteria of CIDP)</w:t>
            </w:r>
          </w:p>
        </w:tc>
        <w:tc>
          <w:tcPr>
            <w:tcW w:w="1086"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IVIg: 2 g/kg body weight over 3 to 5 days via IV. The cycle of IV Ig could be repeated based on the physician's assessment and at a frequency decided by him/her, most often at 4-week intervals</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Mean 9.4 months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AEs reported. </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17/26 (65%)</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1/26 (4%)</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SAE: Not related to the treatment or disease (generalised epileptic seizure secondary to discontinuation of medication prescribed for paraesthesia)</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Sharma 2002 </w:t>
            </w:r>
            <w:r w:rsidR="00B85C75">
              <w:rPr>
                <w:rFonts w:ascii="Arial Narrow" w:hAnsi="Arial Narrow" w:cs="Calibri"/>
                <w:noProof/>
                <w:color w:val="000000"/>
                <w:sz w:val="18"/>
                <w:szCs w:val="18"/>
              </w:rPr>
              <w:t>(Sharma et al. 2002)</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26</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Diabetes Mellitus + CIDP </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(AAN criteria + chronic, progressive, or relapsing motor sensory or sensory-motor polyneuropathy &gt; two months duration).</w:t>
            </w:r>
          </w:p>
        </w:tc>
        <w:tc>
          <w:tcPr>
            <w:tcW w:w="1086"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IVIg: </w:t>
            </w:r>
            <w:r w:rsidRPr="00E3331A">
              <w:rPr>
                <w:rFonts w:ascii="Arial Narrow" w:hAnsi="Arial Narrow" w:cs="Calibri"/>
                <w:i/>
                <w:color w:val="000000"/>
                <w:sz w:val="18"/>
                <w:szCs w:val="18"/>
              </w:rPr>
              <w:t>Induction:</w:t>
            </w:r>
            <w:r w:rsidRPr="00E3331A">
              <w:rPr>
                <w:rFonts w:ascii="Arial Narrow" w:hAnsi="Arial Narrow" w:cs="Calibri"/>
                <w:color w:val="000000"/>
                <w:sz w:val="18"/>
                <w:szCs w:val="18"/>
              </w:rPr>
              <w:t xml:space="preserve"> 400 mg/kg for 5 days </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i/>
                <w:color w:val="000000"/>
                <w:sz w:val="18"/>
                <w:szCs w:val="18"/>
              </w:rPr>
              <w:t>Maintenance:</w:t>
            </w:r>
            <w:r w:rsidRPr="00E3331A">
              <w:rPr>
                <w:rFonts w:ascii="Arial Narrow" w:hAnsi="Arial Narrow" w:cs="Calibri"/>
                <w:color w:val="000000"/>
                <w:sz w:val="18"/>
                <w:szCs w:val="18"/>
              </w:rPr>
              <w:t xml:space="preserve"> none reported</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Median 25 months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AEs reported.</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14/26 (54%)</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Souayah 2011 </w:t>
            </w:r>
            <w:r w:rsidR="00B85C75">
              <w:rPr>
                <w:rFonts w:ascii="Arial Narrow" w:hAnsi="Arial Narrow" w:cs="Calibri"/>
                <w:noProof/>
                <w:color w:val="000000"/>
                <w:sz w:val="18"/>
                <w:szCs w:val="18"/>
              </w:rPr>
              <w:t>(Souayah et al. 2011)</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167</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Neuroimmunology disorders</w:t>
            </w:r>
          </w:p>
        </w:tc>
        <w:tc>
          <w:tcPr>
            <w:tcW w:w="1086"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Home-based IVIg: details NR</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NR</w:t>
            </w:r>
          </w:p>
          <w:p w:rsidR="00464E0A" w:rsidRPr="00E3331A" w:rsidRDefault="00464E0A" w:rsidP="00EC4AAF">
            <w:pPr>
              <w:spacing w:after="0" w:line="240" w:lineRule="auto"/>
              <w:rPr>
                <w:rFonts w:ascii="Arial Narrow" w:hAnsi="Arial Narrow" w:cs="Calibri"/>
                <w:color w:val="000000"/>
                <w:sz w:val="18"/>
                <w:szCs w:val="18"/>
              </w:rPr>
            </w:pP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39/167 (23%)</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Wietek 2018 </w:t>
            </w:r>
            <w:r w:rsidR="00B85C75">
              <w:rPr>
                <w:rFonts w:ascii="Arial Narrow" w:hAnsi="Arial Narrow" w:cs="Calibri"/>
                <w:noProof/>
                <w:color w:val="000000"/>
                <w:sz w:val="18"/>
                <w:szCs w:val="18"/>
              </w:rPr>
              <w:t>(Wietek 2018)</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58</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Patients with CIDP, myasthenia gravis, MS and MMN (criteria NR)</w:t>
            </w:r>
          </w:p>
        </w:tc>
        <w:tc>
          <w:tcPr>
            <w:tcW w:w="1086" w:type="pct"/>
            <w:tcBorders>
              <w:top w:val="single" w:sz="4" w:space="0" w:color="auto"/>
              <w:left w:val="single" w:sz="4" w:space="0" w:color="auto"/>
              <w:bottom w:val="single" w:sz="4" w:space="0" w:color="auto"/>
              <w:right w:val="single" w:sz="4" w:space="0" w:color="auto"/>
            </w:tcBorders>
            <w:shd w:val="clear" w:color="auto" w:fill="auto"/>
            <w:noWrap/>
            <w:hideMark/>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Hospital or home-based IVIg</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The mean dose per course for patients with CIDP was 0.8 g/kg bodyweight; the full dose was split over 2 or more days in 23.2% of courses. The mean dose per single infusion per day was 0.3 g/kg bodyweight.</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NR</w:t>
            </w:r>
          </w:p>
          <w:p w:rsidR="00464E0A" w:rsidRPr="00E3331A" w:rsidRDefault="00464E0A" w:rsidP="00EC4AAF">
            <w:pPr>
              <w:spacing w:after="0" w:line="240" w:lineRule="auto"/>
              <w:rPr>
                <w:rFonts w:ascii="Arial Narrow" w:hAnsi="Arial Narrow" w:cs="Calibri"/>
                <w:color w:val="000000"/>
                <w:sz w:val="18"/>
                <w:szCs w:val="18"/>
              </w:rPr>
            </w:pP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5/58 (9%)</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1/58 (2%)</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SAE: NR</w:t>
            </w:r>
          </w:p>
        </w:tc>
      </w:tr>
      <w:tr w:rsidR="00464E0A" w:rsidRPr="00E3331A" w:rsidTr="00EC4AAF">
        <w:trPr>
          <w:trHeight w:val="300"/>
        </w:trPr>
        <w:tc>
          <w:tcPr>
            <w:tcW w:w="1623" w:type="pct"/>
            <w:gridSpan w:val="4"/>
            <w:tcBorders>
              <w:top w:val="single" w:sz="4" w:space="0" w:color="auto"/>
              <w:left w:val="single" w:sz="4" w:space="0" w:color="auto"/>
              <w:bottom w:val="single" w:sz="4" w:space="0" w:color="auto"/>
            </w:tcBorders>
            <w:shd w:val="clear" w:color="auto" w:fill="F2F2F2"/>
            <w:noWrap/>
          </w:tcPr>
          <w:p w:rsidR="00464E0A" w:rsidRPr="00E3331A" w:rsidRDefault="00464E0A" w:rsidP="00EC4AAF">
            <w:pPr>
              <w:spacing w:after="0" w:line="240" w:lineRule="auto"/>
              <w:rPr>
                <w:rFonts w:ascii="Arial Narrow" w:hAnsi="Arial Narrow" w:cs="Calibri"/>
                <w:b/>
                <w:color w:val="000000"/>
                <w:sz w:val="18"/>
                <w:szCs w:val="18"/>
              </w:rPr>
            </w:pPr>
            <w:r w:rsidRPr="00E3331A">
              <w:rPr>
                <w:rFonts w:ascii="Arial Narrow" w:hAnsi="Arial Narrow" w:cs="Calibri"/>
                <w:b/>
                <w:color w:val="000000"/>
                <w:sz w:val="18"/>
                <w:szCs w:val="18"/>
              </w:rPr>
              <w:t>Level III-3 studies considered as level IV evidence for each comparator</w:t>
            </w:r>
          </w:p>
        </w:tc>
        <w:tc>
          <w:tcPr>
            <w:tcW w:w="83" w:type="pct"/>
            <w:tcBorders>
              <w:top w:val="single" w:sz="4" w:space="0" w:color="auto"/>
              <w:bottom w:val="single" w:sz="4" w:space="0" w:color="auto"/>
            </w:tcBorders>
            <w:shd w:val="clear" w:color="auto" w:fill="F2F2F2"/>
            <w:noWrap/>
          </w:tcPr>
          <w:p w:rsidR="00464E0A" w:rsidRPr="00E3331A" w:rsidRDefault="00464E0A" w:rsidP="00EC4AAF">
            <w:pPr>
              <w:spacing w:after="0" w:line="240" w:lineRule="auto"/>
              <w:rPr>
                <w:rFonts w:ascii="Arial Narrow" w:hAnsi="Arial Narrow" w:cs="Calibri"/>
                <w:color w:val="000000"/>
                <w:sz w:val="18"/>
                <w:szCs w:val="18"/>
              </w:rPr>
            </w:pPr>
          </w:p>
        </w:tc>
        <w:tc>
          <w:tcPr>
            <w:tcW w:w="1086" w:type="pct"/>
            <w:tcBorders>
              <w:top w:val="single" w:sz="4" w:space="0" w:color="auto"/>
              <w:bottom w:val="single" w:sz="4" w:space="0" w:color="auto"/>
            </w:tcBorders>
            <w:shd w:val="clear" w:color="auto" w:fill="F2F2F2"/>
            <w:noWrap/>
          </w:tcPr>
          <w:p w:rsidR="00464E0A" w:rsidRPr="00E3331A" w:rsidRDefault="00464E0A" w:rsidP="00EC4AAF">
            <w:pPr>
              <w:spacing w:after="0" w:line="240" w:lineRule="auto"/>
              <w:rPr>
                <w:rFonts w:ascii="Arial Narrow" w:hAnsi="Arial Narrow" w:cs="Calibri"/>
                <w:color w:val="000000"/>
                <w:sz w:val="18"/>
                <w:szCs w:val="18"/>
              </w:rPr>
            </w:pPr>
          </w:p>
        </w:tc>
        <w:tc>
          <w:tcPr>
            <w:tcW w:w="1110" w:type="pct"/>
            <w:tcBorders>
              <w:top w:val="single" w:sz="4" w:space="0" w:color="auto"/>
              <w:bottom w:val="single" w:sz="4" w:space="0" w:color="auto"/>
            </w:tcBorders>
            <w:shd w:val="clear" w:color="auto" w:fill="F2F2F2"/>
          </w:tcPr>
          <w:p w:rsidR="00464E0A" w:rsidRPr="00E3331A" w:rsidRDefault="00464E0A" w:rsidP="00EC4AAF">
            <w:pPr>
              <w:spacing w:after="0" w:line="240" w:lineRule="auto"/>
              <w:rPr>
                <w:rFonts w:ascii="Arial Narrow" w:hAnsi="Arial Narrow" w:cs="Calibri"/>
                <w:color w:val="000000"/>
                <w:sz w:val="18"/>
                <w:szCs w:val="18"/>
              </w:rPr>
            </w:pPr>
          </w:p>
        </w:tc>
        <w:tc>
          <w:tcPr>
            <w:tcW w:w="1097" w:type="pct"/>
            <w:tcBorders>
              <w:top w:val="single" w:sz="4" w:space="0" w:color="auto"/>
              <w:bottom w:val="single" w:sz="4" w:space="0" w:color="auto"/>
              <w:right w:val="single" w:sz="4" w:space="0" w:color="auto"/>
            </w:tcBorders>
            <w:shd w:val="clear" w:color="auto" w:fill="F2F2F2"/>
          </w:tcPr>
          <w:p w:rsidR="00464E0A" w:rsidRPr="00E3331A" w:rsidRDefault="00464E0A" w:rsidP="00EC4AAF">
            <w:pPr>
              <w:spacing w:after="0" w:line="240" w:lineRule="auto"/>
              <w:rPr>
                <w:rFonts w:ascii="Arial Narrow" w:hAnsi="Arial Narrow" w:cs="Calibri"/>
                <w:color w:val="000000"/>
                <w:sz w:val="18"/>
                <w:szCs w:val="18"/>
              </w:rPr>
            </w:pP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Choudry 1995 </w:t>
            </w:r>
            <w:r w:rsidR="00B85C75">
              <w:rPr>
                <w:rFonts w:ascii="Arial Narrow" w:hAnsi="Arial Narrow" w:cs="Calibri"/>
                <w:noProof/>
                <w:color w:val="000000"/>
                <w:sz w:val="18"/>
                <w:szCs w:val="18"/>
              </w:rPr>
              <w:t>(Choudhary and Hughes 1995)</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III-3 (IVIg v PE)</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22</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CIDP considered by the consultant neurophysiologist to have demyelinating neuropathy </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IVIg: Either 0.4 g/kg/day for 5 days or 1 g/kg/day for 2 days. Frequency 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PE: Frequency NR however, initial treatment was 5 exchanges over 8-14 days.</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only partially reported. The only AE detailed for PE was septicaemia arising from a tunnelled central venous catheter.</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6/22 (27%) vs 7/33 (21%)</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1/22 (5%) vs 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SAE: incomplete reporting. </w:t>
            </w:r>
          </w:p>
          <w:p w:rsidR="00464E0A" w:rsidRPr="00E3331A" w:rsidRDefault="00464E0A" w:rsidP="00EC4AAF">
            <w:pPr>
              <w:spacing w:after="0" w:line="240" w:lineRule="auto"/>
              <w:rPr>
                <w:rFonts w:ascii="Arial Narrow" w:hAnsi="Arial Narrow" w:cs="Calibri"/>
                <w:color w:val="000000"/>
                <w:sz w:val="18"/>
                <w:szCs w:val="18"/>
              </w:rPr>
            </w:pP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Christiansen 2018 </w:t>
            </w:r>
            <w:r w:rsidR="00B85C75">
              <w:rPr>
                <w:rFonts w:ascii="Arial Narrow" w:hAnsi="Arial Narrow" w:cs="Calibri"/>
                <w:noProof/>
                <w:color w:val="000000"/>
                <w:sz w:val="18"/>
                <w:szCs w:val="18"/>
              </w:rPr>
              <w:t>(Christiansen et al. 2018)</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III-3 (IVIg v SCIg)</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24 (12 in each group)</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and MMN (EFNS/PNS criteria)</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IVIg: 3 or 6 weeks with an unchanged weekly dose of IVIg (NR). </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SCIg: Injections were given 2 or 3 times weekly at a maximal volume of 20 ml at each injection site, with the total volume of </w:t>
            </w:r>
            <w:r w:rsidRPr="00E3331A">
              <w:rPr>
                <w:rFonts w:ascii="Arial Narrow" w:hAnsi="Arial Narrow" w:cs="Calibri"/>
                <w:color w:val="000000"/>
                <w:sz w:val="18"/>
                <w:szCs w:val="18"/>
              </w:rPr>
              <w:lastRenderedPageBreak/>
              <w:t>immunoglobulin ranging from 76 to 303 ml weekly.</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lastRenderedPageBreak/>
              <w:t>20 weeks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Authors state: no patients reported any adverse events</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0/12 (0) vs 0/12 (0)</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0/12 (0) vs 0/12 (0)</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Cocito 2010 </w:t>
            </w:r>
            <w:r w:rsidR="00B85C75">
              <w:rPr>
                <w:rFonts w:ascii="Arial Narrow" w:hAnsi="Arial Narrow" w:cs="Calibri"/>
                <w:noProof/>
                <w:color w:val="000000"/>
                <w:sz w:val="18"/>
                <w:szCs w:val="18"/>
              </w:rPr>
              <w:t>(Cocito et al. 2010)</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III-3</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IVIg: 153</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Steroids: 155</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PE: 21</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Note: patients could switch between therapies so the numbers in each group are considered as all patients treated with the option as a first or second-line therapy</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(EFNS/PNS criteria)</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Details of the interventions were not reported. </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Highly varied according to patient and treatment. </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AEs with each treatment are reported. </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6/153 (4%) vs steroids: 19/155 (12.5%) and PE: 4/21 (19%)</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SAE: NR</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Hung </w:t>
            </w:r>
            <w:r w:rsidR="00983BA7">
              <w:rPr>
                <w:rFonts w:ascii="Arial Narrow" w:hAnsi="Arial Narrow" w:cs="Calibri"/>
                <w:color w:val="000000"/>
                <w:sz w:val="18"/>
                <w:szCs w:val="18"/>
              </w:rPr>
              <w:t xml:space="preserve">et al. </w:t>
            </w:r>
            <w:r w:rsidRPr="00E3331A">
              <w:rPr>
                <w:rFonts w:ascii="Arial Narrow" w:hAnsi="Arial Narrow" w:cs="Calibri"/>
                <w:color w:val="000000"/>
                <w:sz w:val="18"/>
                <w:szCs w:val="18"/>
              </w:rPr>
              <w:t xml:space="preserve">2018 </w:t>
            </w:r>
            <w:r w:rsidR="00B85C75">
              <w:rPr>
                <w:rFonts w:ascii="Arial Narrow" w:hAnsi="Arial Narrow" w:cs="Calibri"/>
                <w:noProof/>
                <w:color w:val="000000"/>
                <w:sz w:val="18"/>
                <w:szCs w:val="18"/>
              </w:rPr>
              <w:t>(Hung et al. 2018)</w:t>
            </w:r>
            <w:r w:rsidRPr="00E3331A">
              <w:rPr>
                <w:rFonts w:ascii="Arial Narrow" w:hAnsi="Arial Narrow" w:cs="Calibri"/>
                <w:color w:val="000000"/>
                <w:sz w:val="18"/>
                <w:szCs w:val="18"/>
              </w:rPr>
              <w:t xml:space="preserve"> </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III-3</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31</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IVIg: 15</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Steroids: 10</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Plasma exchange: 1</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No treatment: 5</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(EFNS/PNS criteria)</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IVIg: Induction: 0.4 g/kg/day over 5 days. Maintenance: every 4-6 weeks</w:t>
            </w:r>
          </w:p>
          <w:p w:rsidR="00464E0A" w:rsidRPr="00E3331A" w:rsidRDefault="00464E0A" w:rsidP="00EC4AAF">
            <w:pPr>
              <w:spacing w:after="0" w:line="240" w:lineRule="auto"/>
              <w:rPr>
                <w:rFonts w:ascii="Arial Narrow" w:hAnsi="Arial Narrow" w:cs="Calibri"/>
                <w:b/>
                <w:i/>
                <w:color w:val="000000"/>
                <w:sz w:val="18"/>
                <w:szCs w:val="18"/>
              </w:rPr>
            </w:pPr>
            <w:r w:rsidRPr="00E3331A">
              <w:rPr>
                <w:rFonts w:ascii="Arial Narrow" w:hAnsi="Arial Narrow" w:cs="Calibri"/>
                <w:color w:val="000000"/>
                <w:sz w:val="18"/>
                <w:szCs w:val="18"/>
              </w:rPr>
              <w:t xml:space="preserve">Comparators included oral prednisolone and plasma exchange however, </w:t>
            </w:r>
            <w:r w:rsidRPr="00E3331A">
              <w:rPr>
                <w:rFonts w:ascii="Arial Narrow" w:hAnsi="Arial Narrow" w:cs="Calibri"/>
                <w:b/>
                <w:color w:val="000000"/>
                <w:sz w:val="18"/>
                <w:szCs w:val="18"/>
              </w:rPr>
              <w:t>safety is only reported for IVIg patients</w:t>
            </w:r>
            <w:r w:rsidRPr="00E3331A">
              <w:rPr>
                <w:rFonts w:ascii="Arial Narrow" w:hAnsi="Arial Narrow" w:cs="Calibri"/>
                <w:b/>
                <w:i/>
                <w:color w:val="000000"/>
                <w:sz w:val="18"/>
                <w:szCs w:val="18"/>
              </w:rPr>
              <w:t xml:space="preserve"> </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&gt;12 months </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Some adverse events are reported, however, there is substantial uncertainty about patient numbers and interventions not reported in the study methods are reported in the text. </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5/8 (63%) – numbers in outcomes do not match demographic data</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Lopate </w:t>
            </w:r>
            <w:r w:rsidR="00983BA7">
              <w:rPr>
                <w:rFonts w:ascii="Arial Narrow" w:hAnsi="Arial Narrow" w:cs="Calibri"/>
                <w:color w:val="000000"/>
                <w:sz w:val="18"/>
                <w:szCs w:val="18"/>
              </w:rPr>
              <w:t xml:space="preserve">et al. </w:t>
            </w:r>
            <w:r w:rsidRPr="00E3331A">
              <w:rPr>
                <w:rFonts w:ascii="Arial Narrow" w:hAnsi="Arial Narrow" w:cs="Calibri"/>
                <w:color w:val="000000"/>
                <w:sz w:val="18"/>
                <w:szCs w:val="18"/>
              </w:rPr>
              <w:t xml:space="preserve">2005 </w:t>
            </w:r>
            <w:r w:rsidR="00B85C75">
              <w:rPr>
                <w:rFonts w:ascii="Arial Narrow" w:hAnsi="Arial Narrow" w:cs="Calibri"/>
                <w:noProof/>
                <w:color w:val="000000"/>
                <w:sz w:val="18"/>
                <w:szCs w:val="18"/>
              </w:rPr>
              <w:t>(Lopate et al. 2005)</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III-3</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39 </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IVIg: 27</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IVMP: 16</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Prednisone: 24</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Cyclosporin: 13</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methotrexate: 8</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(EFNS/PNS criteria)</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IVIg: 2g/kg over 2 days every 1-6 months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 methylprednisolone (IVMP): 1000 mg/d of IVMP on each of 3 to 5 consecutive days, followed by 1000 mg IV on 1 day each week for the next month. IVMP was then tapered in frequency and dose over a period of 2 months to 2 years. All patients continued to receive IVMP no more than once a week.</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Oral immunosuppressive including prednisone, cyclosporine further details not reported.</w:t>
            </w:r>
          </w:p>
          <w:p w:rsidR="00464E0A" w:rsidRPr="00E3331A" w:rsidRDefault="00464E0A" w:rsidP="00EC4AAF">
            <w:pPr>
              <w:spacing w:after="0" w:line="240" w:lineRule="auto"/>
              <w:rPr>
                <w:rFonts w:ascii="Arial Narrow" w:hAnsi="Arial Narrow" w:cs="Calibri"/>
                <w:color w:val="000000"/>
                <w:sz w:val="18"/>
                <w:szCs w:val="18"/>
              </w:rPr>
            </w:pP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IVIg: 3.6 years, IVMP: 4.6 years, Oral agents: 4.7 years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reported.</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NR </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Nature of adverse events but not overall n/N experiencing them are reported </w:t>
            </w:r>
          </w:p>
        </w:tc>
      </w:tr>
      <w:tr w:rsidR="00464E0A" w:rsidRPr="00E3331A" w:rsidTr="00EC4AAF">
        <w:trPr>
          <w:trHeight w:val="300"/>
        </w:trPr>
        <w:tc>
          <w:tcPr>
            <w:tcW w:w="788" w:type="pct"/>
            <w:tcBorders>
              <w:top w:val="single" w:sz="4" w:space="0" w:color="auto"/>
              <w:left w:val="single" w:sz="4" w:space="0" w:color="auto"/>
              <w:bottom w:val="single" w:sz="4" w:space="0" w:color="auto"/>
            </w:tcBorders>
            <w:shd w:val="clear" w:color="auto" w:fill="F2F2F2"/>
            <w:noWrap/>
          </w:tcPr>
          <w:p w:rsidR="00464E0A" w:rsidRPr="00E3331A" w:rsidRDefault="00464E0A" w:rsidP="00EC4AAF">
            <w:pPr>
              <w:spacing w:after="0" w:line="240" w:lineRule="auto"/>
              <w:rPr>
                <w:rFonts w:ascii="Arial Narrow" w:hAnsi="Arial Narrow" w:cs="Calibri"/>
                <w:b/>
                <w:color w:val="000000"/>
                <w:sz w:val="18"/>
                <w:szCs w:val="18"/>
              </w:rPr>
            </w:pPr>
            <w:r w:rsidRPr="00E3331A">
              <w:rPr>
                <w:rFonts w:ascii="Arial Narrow" w:hAnsi="Arial Narrow" w:cs="Calibri"/>
                <w:b/>
                <w:color w:val="000000"/>
                <w:sz w:val="18"/>
                <w:szCs w:val="18"/>
              </w:rPr>
              <w:t xml:space="preserve">Level II evidence </w:t>
            </w:r>
          </w:p>
        </w:tc>
        <w:tc>
          <w:tcPr>
            <w:tcW w:w="919" w:type="pct"/>
            <w:gridSpan w:val="4"/>
            <w:tcBorders>
              <w:top w:val="single" w:sz="4" w:space="0" w:color="auto"/>
              <w:bottom w:val="single" w:sz="4" w:space="0" w:color="auto"/>
            </w:tcBorders>
            <w:shd w:val="clear" w:color="auto" w:fill="F2F2F2"/>
            <w:noWrap/>
          </w:tcPr>
          <w:p w:rsidR="00464E0A" w:rsidRPr="00E3331A" w:rsidRDefault="00464E0A" w:rsidP="00EC4AAF">
            <w:pPr>
              <w:spacing w:after="0" w:line="240" w:lineRule="auto"/>
              <w:rPr>
                <w:rFonts w:ascii="Arial Narrow" w:hAnsi="Arial Narrow" w:cs="Calibri"/>
                <w:color w:val="000000"/>
                <w:sz w:val="18"/>
                <w:szCs w:val="18"/>
              </w:rPr>
            </w:pPr>
          </w:p>
        </w:tc>
        <w:tc>
          <w:tcPr>
            <w:tcW w:w="1086" w:type="pct"/>
            <w:tcBorders>
              <w:top w:val="single" w:sz="4" w:space="0" w:color="auto"/>
              <w:bottom w:val="single" w:sz="4" w:space="0" w:color="auto"/>
            </w:tcBorders>
            <w:shd w:val="clear" w:color="auto" w:fill="F2F2F2"/>
            <w:noWrap/>
          </w:tcPr>
          <w:p w:rsidR="00464E0A" w:rsidRPr="00E3331A" w:rsidRDefault="00464E0A" w:rsidP="00EC4AAF">
            <w:pPr>
              <w:spacing w:after="0" w:line="240" w:lineRule="auto"/>
              <w:rPr>
                <w:rFonts w:ascii="Arial Narrow" w:hAnsi="Arial Narrow" w:cs="Calibri"/>
                <w:color w:val="000000"/>
                <w:sz w:val="18"/>
                <w:szCs w:val="18"/>
              </w:rPr>
            </w:pPr>
          </w:p>
        </w:tc>
        <w:tc>
          <w:tcPr>
            <w:tcW w:w="1110" w:type="pct"/>
            <w:tcBorders>
              <w:top w:val="single" w:sz="4" w:space="0" w:color="auto"/>
              <w:bottom w:val="single" w:sz="4" w:space="0" w:color="auto"/>
            </w:tcBorders>
            <w:shd w:val="clear" w:color="auto" w:fill="F2F2F2"/>
          </w:tcPr>
          <w:p w:rsidR="00464E0A" w:rsidRPr="00E3331A" w:rsidRDefault="00464E0A" w:rsidP="00EC4AAF">
            <w:pPr>
              <w:spacing w:after="0" w:line="240" w:lineRule="auto"/>
              <w:rPr>
                <w:rFonts w:ascii="Arial Narrow" w:hAnsi="Arial Narrow" w:cs="Calibri"/>
                <w:color w:val="000000"/>
                <w:sz w:val="18"/>
                <w:szCs w:val="18"/>
              </w:rPr>
            </w:pPr>
          </w:p>
        </w:tc>
        <w:tc>
          <w:tcPr>
            <w:tcW w:w="1097" w:type="pct"/>
            <w:tcBorders>
              <w:top w:val="single" w:sz="4" w:space="0" w:color="auto"/>
              <w:bottom w:val="single" w:sz="4" w:space="0" w:color="auto"/>
              <w:right w:val="single" w:sz="4" w:space="0" w:color="auto"/>
            </w:tcBorders>
            <w:shd w:val="clear" w:color="auto" w:fill="F2F2F2"/>
          </w:tcPr>
          <w:p w:rsidR="00464E0A" w:rsidRPr="00E3331A" w:rsidRDefault="00464E0A" w:rsidP="00EC4AAF">
            <w:pPr>
              <w:spacing w:after="0" w:line="240" w:lineRule="auto"/>
              <w:rPr>
                <w:rFonts w:ascii="Arial Narrow" w:hAnsi="Arial Narrow" w:cs="Calibri"/>
                <w:color w:val="000000"/>
                <w:sz w:val="18"/>
                <w:szCs w:val="18"/>
              </w:rPr>
            </w:pP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Hughes 2008 </w:t>
            </w:r>
            <w:r w:rsidR="00B85C75">
              <w:rPr>
                <w:rFonts w:ascii="Arial Narrow" w:hAnsi="Arial Narrow" w:cs="Calibri"/>
                <w:noProof/>
                <w:color w:val="000000"/>
                <w:sz w:val="18"/>
                <w:szCs w:val="18"/>
              </w:rPr>
              <w:t>(Hughes et al. 2008)</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II (crossover study decide)</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117</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IVIg:113</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Placebo: 95</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lastRenderedPageBreak/>
              <w:t>Patients could be counted in &gt; 1 group</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lastRenderedPageBreak/>
              <w:t>CIDP patients (motor and sensory dysfunction) with significant disability (INCAT 2-9)</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IVIg 2g/kg over 2-4 days followed by 1g/kg over 1-2 days every 3 weeks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Placebo infusion</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&gt; 24 weeks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Nature of AEs reported, distinction between SAE and non-SAE unclear. </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85/113 (75%) vs 45/95 (47%)</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6/113 (5%) vs 8/95 (8%)</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SAE: All SAEs NR</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Hughes 2001</w:t>
            </w:r>
            <w:r w:rsidR="00B85C75">
              <w:rPr>
                <w:rFonts w:ascii="Arial Narrow" w:hAnsi="Arial Narrow" w:cs="Calibri"/>
                <w:noProof/>
                <w:color w:val="000000"/>
                <w:sz w:val="18"/>
                <w:szCs w:val="18"/>
              </w:rPr>
              <w:t>(Hughes et al. 2001)</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II (crossover study decide)32</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Patients could be counted in &gt; 1 group</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Diagnosis of CIDP by neurologist, progressive or relapsing motor and sensosory dysfunction of &gt; one limb resulting from neuropathy developing over &gt; 2months.</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IVIg: 1.0g/kg on 2 consecutive days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Oral prednisolone 60 mg each morning for 2 weeks, 40 mg each morning for 1 week, 30 mg each morning for 1 week, 20 mg each morning for 1 week and then 10 mg each morning for 1 week.</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&lt;8 weeks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reported.</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18/30 (60%) IVIg courses vs 11/27 (41%) prednisolone</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1/30 (3%) vs 1/27 (4%)</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SAE: IVIg - heart failure (1), prednisolone – psychosis (1)</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Mendell 2001 </w:t>
            </w:r>
            <w:r w:rsidR="00B85C75">
              <w:rPr>
                <w:rFonts w:ascii="Arial Narrow" w:hAnsi="Arial Narrow" w:cs="Calibri"/>
                <w:noProof/>
                <w:color w:val="000000"/>
                <w:sz w:val="18"/>
                <w:szCs w:val="18"/>
              </w:rPr>
              <w:t>(Mendell et al. 2001)</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II</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Parallel assignment</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53</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Patients fulfilling diagnostic criteria for definite or probable CIDP</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IVIg 1.0 g/kg on 2 consecutive days, on day 21 a single dose.</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Placebo infusion</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6 weeks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reported.</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Overall AEs NR however specific AEs reported</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Nobile-orazio 2012 </w:t>
            </w:r>
            <w:r w:rsidR="00B85C75">
              <w:rPr>
                <w:rFonts w:ascii="Arial Narrow" w:hAnsi="Arial Narrow" w:cs="Calibri"/>
                <w:noProof/>
                <w:color w:val="000000"/>
                <w:sz w:val="18"/>
                <w:szCs w:val="18"/>
              </w:rPr>
              <w:t>(Nobile-Orazio et al. 2012b)</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II</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Parallel assignment</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45</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Definite typical </w:t>
            </w:r>
            <w:r w:rsidR="00AB7B11">
              <w:rPr>
                <w:rFonts w:ascii="Arial Narrow" w:hAnsi="Arial Narrow" w:cs="Calibri"/>
                <w:color w:val="000000"/>
                <w:sz w:val="18"/>
                <w:szCs w:val="18"/>
              </w:rPr>
              <w:t>CIDP</w:t>
            </w:r>
            <w:r w:rsidRPr="00E3331A">
              <w:rPr>
                <w:rFonts w:ascii="Arial Narrow" w:hAnsi="Arial Narrow" w:cs="Calibri"/>
                <w:color w:val="000000"/>
                <w:sz w:val="18"/>
                <w:szCs w:val="18"/>
              </w:rPr>
              <w:t xml:space="preserve"> according to EFNS/PNS criteria</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IVIg 0.5 g/kg daily for 4 consecutive days (+IV steroid placebo) then every 28 days for 6 months. After 6 months therapy was discontinued.</w:t>
            </w:r>
            <w:r w:rsidRPr="00E3331A">
              <w:rPr>
                <w:rFonts w:ascii="Arial Narrow" w:hAnsi="Arial Narrow" w:cs="Calibri"/>
                <w:color w:val="000000"/>
                <w:sz w:val="18"/>
                <w:szCs w:val="18"/>
              </w:rPr>
              <w:tab/>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IVMP 0.5 g in 250 mL daily for 4 consecutive days (+IVIg placebo) then every 28 days for 6 months. After 6 months therapy was discontinued.</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12 months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reported.</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11/24 (46%) vs 14/21 (67%)</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2/24 (8%) vs 1/21 (5%)</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SAE: IVIg – cardiac arrest (1), respiratory failure (1) both resulting in death, methylprednisolone – gastritis (1)</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Van Schaik 2010 </w:t>
            </w:r>
            <w:r w:rsidR="00B85C75">
              <w:rPr>
                <w:rFonts w:ascii="Arial Narrow" w:hAnsi="Arial Narrow" w:cs="Calibri"/>
                <w:noProof/>
                <w:color w:val="000000"/>
                <w:sz w:val="18"/>
                <w:szCs w:val="18"/>
              </w:rPr>
              <w:t>(van Schaik et al. 2010)</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II parallel assignment</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40</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Definite or probable </w:t>
            </w:r>
            <w:r w:rsidR="00AB7B11">
              <w:rPr>
                <w:rFonts w:ascii="Arial Narrow" w:hAnsi="Arial Narrow" w:cs="Calibri"/>
                <w:color w:val="000000"/>
                <w:sz w:val="18"/>
                <w:szCs w:val="18"/>
              </w:rPr>
              <w:t>CIDP</w:t>
            </w:r>
            <w:r w:rsidRPr="00E3331A">
              <w:rPr>
                <w:rFonts w:ascii="Arial Narrow" w:hAnsi="Arial Narrow" w:cs="Calibri"/>
                <w:color w:val="000000"/>
                <w:sz w:val="18"/>
                <w:szCs w:val="18"/>
              </w:rPr>
              <w:t xml:space="preserve"> according to EFNS/PNS criteria</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Oral dexamethasone 40 mg per day for 4 consecutive days then placebo for 24 days repeated 6 times as a 28 day cycle </w:t>
            </w:r>
            <w:r w:rsidRPr="00E3331A">
              <w:rPr>
                <w:rFonts w:ascii="Arial Narrow" w:hAnsi="Arial Narrow" w:cs="Calibri"/>
                <w:color w:val="000000"/>
                <w:sz w:val="18"/>
                <w:szCs w:val="18"/>
              </w:rPr>
              <w:tab/>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Oral prednisolone 60 mg per day for 5 weeks tapering to alternative day doses then zero over 27 weeks</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12 months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reported.</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Overall AEs NR however specific AEs reported</w:t>
            </w:r>
          </w:p>
        </w:tc>
      </w:tr>
      <w:tr w:rsidR="00464E0A" w:rsidRPr="00E3331A" w:rsidTr="00EC4AAF">
        <w:trPr>
          <w:trHeight w:val="300"/>
        </w:trPr>
        <w:tc>
          <w:tcPr>
            <w:tcW w:w="1538" w:type="pct"/>
            <w:gridSpan w:val="3"/>
            <w:tcBorders>
              <w:top w:val="single" w:sz="4" w:space="0" w:color="auto"/>
              <w:left w:val="single" w:sz="4" w:space="0" w:color="auto"/>
              <w:bottom w:val="single" w:sz="4" w:space="0" w:color="auto"/>
            </w:tcBorders>
            <w:shd w:val="clear" w:color="auto" w:fill="F2F2F2"/>
            <w:noWrap/>
          </w:tcPr>
          <w:p w:rsidR="00464E0A" w:rsidRPr="00E3331A" w:rsidRDefault="00464E0A" w:rsidP="00EC4AAF">
            <w:pPr>
              <w:spacing w:after="0" w:line="240" w:lineRule="auto"/>
              <w:rPr>
                <w:rFonts w:ascii="Arial Narrow" w:hAnsi="Arial Narrow" w:cs="Calibri"/>
                <w:b/>
                <w:color w:val="000000"/>
                <w:sz w:val="18"/>
                <w:szCs w:val="18"/>
              </w:rPr>
            </w:pPr>
            <w:r w:rsidRPr="00E3331A">
              <w:rPr>
                <w:rFonts w:ascii="Arial Narrow" w:hAnsi="Arial Narrow" w:cs="Calibri"/>
                <w:b/>
                <w:color w:val="000000"/>
                <w:sz w:val="18"/>
                <w:szCs w:val="18"/>
              </w:rPr>
              <w:t>Level IV evidence for active comparators</w:t>
            </w:r>
          </w:p>
        </w:tc>
        <w:tc>
          <w:tcPr>
            <w:tcW w:w="168" w:type="pct"/>
            <w:gridSpan w:val="2"/>
            <w:tcBorders>
              <w:top w:val="single" w:sz="4" w:space="0" w:color="auto"/>
              <w:bottom w:val="single" w:sz="4" w:space="0" w:color="auto"/>
            </w:tcBorders>
            <w:shd w:val="clear" w:color="auto" w:fill="F2F2F2"/>
            <w:noWrap/>
          </w:tcPr>
          <w:p w:rsidR="00464E0A" w:rsidRPr="00E3331A" w:rsidRDefault="00464E0A" w:rsidP="00EC4AAF">
            <w:pPr>
              <w:spacing w:after="0" w:line="240" w:lineRule="auto"/>
              <w:rPr>
                <w:rFonts w:ascii="Arial Narrow" w:hAnsi="Arial Narrow" w:cs="Calibri"/>
                <w:color w:val="000000"/>
                <w:sz w:val="18"/>
                <w:szCs w:val="18"/>
              </w:rPr>
            </w:pPr>
          </w:p>
        </w:tc>
        <w:tc>
          <w:tcPr>
            <w:tcW w:w="1086" w:type="pct"/>
            <w:tcBorders>
              <w:top w:val="single" w:sz="4" w:space="0" w:color="auto"/>
              <w:bottom w:val="single" w:sz="4" w:space="0" w:color="auto"/>
            </w:tcBorders>
            <w:shd w:val="clear" w:color="auto" w:fill="F2F2F2"/>
            <w:noWrap/>
          </w:tcPr>
          <w:p w:rsidR="00464E0A" w:rsidRPr="00E3331A" w:rsidRDefault="00464E0A" w:rsidP="00EC4AAF">
            <w:pPr>
              <w:spacing w:after="0" w:line="240" w:lineRule="auto"/>
              <w:rPr>
                <w:rFonts w:ascii="Arial Narrow" w:hAnsi="Arial Narrow" w:cs="Calibri"/>
                <w:color w:val="000000"/>
                <w:sz w:val="18"/>
                <w:szCs w:val="18"/>
              </w:rPr>
            </w:pPr>
          </w:p>
        </w:tc>
        <w:tc>
          <w:tcPr>
            <w:tcW w:w="1110" w:type="pct"/>
            <w:tcBorders>
              <w:top w:val="single" w:sz="4" w:space="0" w:color="auto"/>
              <w:bottom w:val="single" w:sz="4" w:space="0" w:color="auto"/>
            </w:tcBorders>
            <w:shd w:val="clear" w:color="auto" w:fill="F2F2F2"/>
          </w:tcPr>
          <w:p w:rsidR="00464E0A" w:rsidRPr="00E3331A" w:rsidRDefault="00464E0A" w:rsidP="00EC4AAF">
            <w:pPr>
              <w:spacing w:after="0" w:line="240" w:lineRule="auto"/>
              <w:rPr>
                <w:rFonts w:ascii="Arial Narrow" w:hAnsi="Arial Narrow" w:cs="Calibri"/>
                <w:color w:val="000000"/>
                <w:sz w:val="18"/>
                <w:szCs w:val="18"/>
              </w:rPr>
            </w:pPr>
          </w:p>
        </w:tc>
        <w:tc>
          <w:tcPr>
            <w:tcW w:w="1097" w:type="pct"/>
            <w:tcBorders>
              <w:top w:val="single" w:sz="4" w:space="0" w:color="auto"/>
              <w:bottom w:val="single" w:sz="4" w:space="0" w:color="auto"/>
              <w:right w:val="single" w:sz="4" w:space="0" w:color="auto"/>
            </w:tcBorders>
            <w:shd w:val="clear" w:color="auto" w:fill="F2F2F2"/>
          </w:tcPr>
          <w:p w:rsidR="00464E0A" w:rsidRPr="00E3331A" w:rsidRDefault="00464E0A" w:rsidP="00EC4AAF">
            <w:pPr>
              <w:spacing w:after="0" w:line="240" w:lineRule="auto"/>
              <w:rPr>
                <w:rFonts w:ascii="Arial Narrow" w:hAnsi="Arial Narrow" w:cs="Calibri"/>
                <w:color w:val="000000"/>
                <w:sz w:val="18"/>
                <w:szCs w:val="18"/>
              </w:rPr>
            </w:pP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Barnett 1998 </w:t>
            </w:r>
            <w:r w:rsidR="00B85C75">
              <w:rPr>
                <w:rFonts w:ascii="Arial Narrow" w:hAnsi="Arial Narrow" w:cs="Calibri"/>
                <w:noProof/>
                <w:color w:val="000000"/>
                <w:sz w:val="18"/>
                <w:szCs w:val="18"/>
              </w:rPr>
              <w:t>(Barnett et al. 1998)</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19</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Patients with CIDP diagnosed by an accepted combination of neurophysiological, and biopsy criteria. MGUS (</w:t>
            </w:r>
            <w:r w:rsidR="00A07838">
              <w:rPr>
                <w:rFonts w:ascii="Arial Narrow" w:hAnsi="Arial Narrow" w:cs="Calibri"/>
                <w:color w:val="000000"/>
                <w:sz w:val="18"/>
                <w:szCs w:val="18"/>
              </w:rPr>
              <w:t xml:space="preserve">n = </w:t>
            </w:r>
            <w:r w:rsidRPr="00E3331A">
              <w:rPr>
                <w:rFonts w:ascii="Arial Narrow" w:hAnsi="Arial Narrow" w:cs="Calibri"/>
                <w:color w:val="000000"/>
                <w:sz w:val="18"/>
                <w:szCs w:val="18"/>
              </w:rPr>
              <w:t>5), polyclonal gammopathy (</w:t>
            </w:r>
            <w:r w:rsidR="00A07838">
              <w:rPr>
                <w:rFonts w:ascii="Arial Narrow" w:hAnsi="Arial Narrow" w:cs="Calibri"/>
                <w:color w:val="000000"/>
                <w:sz w:val="18"/>
                <w:szCs w:val="18"/>
              </w:rPr>
              <w:t xml:space="preserve">n = </w:t>
            </w:r>
            <w:r w:rsidRPr="00E3331A">
              <w:rPr>
                <w:rFonts w:ascii="Arial Narrow" w:hAnsi="Arial Narrow" w:cs="Calibri"/>
                <w:color w:val="000000"/>
                <w:sz w:val="18"/>
                <w:szCs w:val="18"/>
              </w:rPr>
              <w:t>1)</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Cyclosporin: 8-11 mg/kg per day in </w:t>
            </w:r>
            <w:r w:rsidR="00A07838">
              <w:rPr>
                <w:rFonts w:ascii="Arial Narrow" w:hAnsi="Arial Narrow" w:cs="Calibri"/>
                <w:color w:val="000000"/>
                <w:sz w:val="18"/>
                <w:szCs w:val="18"/>
              </w:rPr>
              <w:t xml:space="preserve">n = </w:t>
            </w:r>
            <w:r w:rsidRPr="00E3331A">
              <w:rPr>
                <w:rFonts w:ascii="Arial Narrow" w:hAnsi="Arial Narrow" w:cs="Calibri"/>
                <w:color w:val="000000"/>
                <w:sz w:val="18"/>
                <w:szCs w:val="18"/>
              </w:rPr>
              <w:t xml:space="preserve">8, 3-7 mg/kg per day in </w:t>
            </w:r>
            <w:r w:rsidR="00A07838">
              <w:rPr>
                <w:rFonts w:ascii="Arial Narrow" w:hAnsi="Arial Narrow" w:cs="Calibri"/>
                <w:color w:val="000000"/>
                <w:sz w:val="18"/>
                <w:szCs w:val="18"/>
              </w:rPr>
              <w:t xml:space="preserve">n = </w:t>
            </w:r>
            <w:r w:rsidRPr="00E3331A">
              <w:rPr>
                <w:rFonts w:ascii="Arial Narrow" w:hAnsi="Arial Narrow" w:cs="Calibri"/>
                <w:color w:val="000000"/>
                <w:sz w:val="18"/>
                <w:szCs w:val="18"/>
              </w:rPr>
              <w:t>10. A stepwise reduction in dose was made at 1 month, 3 months, and 6 months, generally to 2–3 mg/kg.</w:t>
            </w:r>
          </w:p>
          <w:p w:rsidR="00464E0A" w:rsidRPr="00E3331A" w:rsidRDefault="00464E0A" w:rsidP="00EC4AAF">
            <w:pPr>
              <w:spacing w:after="0" w:line="240" w:lineRule="auto"/>
              <w:rPr>
                <w:rFonts w:ascii="Arial Narrow" w:hAnsi="Arial Narrow" w:cs="Calibri"/>
                <w:color w:val="000000"/>
                <w:sz w:val="18"/>
                <w:szCs w:val="18"/>
              </w:rPr>
            </w:pP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4-7 years (progressive – relapsing disease)</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Nature of AEs reported. </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13/19 (68%)</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Benedetti 2011 </w:t>
            </w:r>
            <w:r w:rsidR="00B85C75">
              <w:rPr>
                <w:rFonts w:ascii="Arial Narrow" w:hAnsi="Arial Narrow" w:cs="Calibri"/>
                <w:noProof/>
                <w:color w:val="000000"/>
                <w:sz w:val="18"/>
                <w:szCs w:val="18"/>
              </w:rPr>
              <w:t>(Benedetti et al. 2011)</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13</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Patients with CIDP (EFNS/PNS criteria), four patients had comorbid haematological disease</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Rituximab: 375 mg m</w:t>
            </w:r>
            <w:r w:rsidRPr="000A1BD4">
              <w:rPr>
                <w:rFonts w:ascii="Arial Narrow" w:hAnsi="Arial Narrow" w:cs="Calibri"/>
                <w:color w:val="000000"/>
                <w:sz w:val="18"/>
                <w:szCs w:val="18"/>
                <w:vertAlign w:val="superscript"/>
              </w:rPr>
              <w:t>2</w:t>
            </w:r>
            <w:r w:rsidRPr="00E3331A">
              <w:rPr>
                <w:rFonts w:ascii="Arial Narrow" w:hAnsi="Arial Narrow" w:cs="Calibri"/>
                <w:color w:val="000000"/>
                <w:sz w:val="18"/>
                <w:szCs w:val="18"/>
              </w:rPr>
              <w:t xml:space="preserve"> IV weekly for 4 consecutive weeks. One patients with severe Waldenstrom macroglobulinemia received 1000 mg IV every 6 months for four years</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1-5 years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reported.</w:t>
            </w:r>
          </w:p>
          <w:p w:rsidR="00464E0A" w:rsidRPr="00E3331A" w:rsidRDefault="00464E0A" w:rsidP="00EC4AAF">
            <w:pPr>
              <w:spacing w:after="0" w:line="240" w:lineRule="auto"/>
              <w:rPr>
                <w:rFonts w:ascii="Arial Narrow" w:hAnsi="Arial Narrow" w:cs="Calibri"/>
                <w:color w:val="000000"/>
                <w:sz w:val="18"/>
                <w:szCs w:val="18"/>
              </w:rPr>
            </w:pP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2/13 (15%)</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0/13 (0%)</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Boru 2014 </w:t>
            </w:r>
            <w:r w:rsidR="00B85C75">
              <w:rPr>
                <w:rFonts w:ascii="Arial Narrow" w:hAnsi="Arial Narrow" w:cs="Calibri"/>
                <w:noProof/>
                <w:color w:val="000000"/>
                <w:sz w:val="18"/>
                <w:szCs w:val="18"/>
              </w:rPr>
              <w:t>(Boru et al. 2014)</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IV </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15</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based on clinical examination, laboratory findings, electrophysiologic examination and nerve biopsy (at least one set of AAN criteria)</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IVMP: 1000 mg/day for 10 days followed by 1000 mg/day IV once every 4 weeks for 5 years.</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10 years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reported.</w:t>
            </w:r>
          </w:p>
          <w:p w:rsidR="00464E0A" w:rsidRPr="00E3331A" w:rsidRDefault="00464E0A" w:rsidP="00EC4AAF">
            <w:pPr>
              <w:spacing w:after="0" w:line="240" w:lineRule="auto"/>
              <w:rPr>
                <w:rFonts w:ascii="Arial Narrow" w:hAnsi="Arial Narrow" w:cs="Calibri"/>
                <w:color w:val="000000"/>
                <w:sz w:val="18"/>
                <w:szCs w:val="18"/>
              </w:rPr>
            </w:pP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7/15 (47%)</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0/15 (0%)</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lastRenderedPageBreak/>
              <w:t xml:space="preserve">Cocito 2011 </w:t>
            </w:r>
            <w:r w:rsidR="00B85C75">
              <w:rPr>
                <w:rFonts w:ascii="Arial Narrow" w:hAnsi="Arial Narrow" w:cs="Calibri"/>
                <w:noProof/>
                <w:color w:val="000000"/>
                <w:sz w:val="18"/>
                <w:szCs w:val="18"/>
              </w:rPr>
              <w:t>(Cocito et al. 2011)</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110</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patients (EFNS/PNS criteria) who had not responded to conventional therapy</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Azathioprine :100–200 mg/daily</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cyclophosphamide: 1 g/m</w:t>
            </w:r>
            <w:r w:rsidRPr="000A1BD4">
              <w:rPr>
                <w:rFonts w:ascii="Arial Narrow" w:hAnsi="Arial Narrow" w:cs="Calibri"/>
                <w:color w:val="000000"/>
                <w:sz w:val="18"/>
                <w:szCs w:val="18"/>
                <w:vertAlign w:val="superscript"/>
              </w:rPr>
              <w:t>2</w:t>
            </w:r>
            <w:r w:rsidRPr="00E3331A">
              <w:rPr>
                <w:rFonts w:ascii="Arial Narrow" w:hAnsi="Arial Narrow" w:cs="Calibri"/>
                <w:color w:val="000000"/>
                <w:sz w:val="18"/>
                <w:szCs w:val="18"/>
              </w:rPr>
              <w:t xml:space="preserve"> IV/monthly, or 2 mg/kg/daily</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Mycophenolate mofetil: 1– 2 g/daily Cyclosporine 100–300 mg/daily Methotrexate 7.5–15 mg/weekly Rituximab 375 mg/m2/</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week · 4 weeks or 1 g twice, at 2 week intervals; interferon-alpha 800 000–3 million U · 1–3 weeks; and interferon beta-1a 6 million U.</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Median 5.4 years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NR</w:t>
            </w:r>
          </w:p>
          <w:p w:rsidR="00464E0A" w:rsidRPr="00E3331A" w:rsidRDefault="00464E0A" w:rsidP="00EC4AAF">
            <w:pPr>
              <w:spacing w:after="0" w:line="240" w:lineRule="auto"/>
              <w:rPr>
                <w:rFonts w:ascii="Arial Narrow" w:hAnsi="Arial Narrow" w:cs="Calibri"/>
                <w:color w:val="000000"/>
                <w:sz w:val="18"/>
                <w:szCs w:val="18"/>
              </w:rPr>
            </w:pP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Any AE: Azathioprine (</w:t>
            </w:r>
            <w:r w:rsidR="00A07838">
              <w:rPr>
                <w:rFonts w:ascii="Arial Narrow" w:hAnsi="Arial Narrow" w:cs="Calibri"/>
                <w:color w:val="000000"/>
                <w:sz w:val="18"/>
                <w:szCs w:val="18"/>
              </w:rPr>
              <w:t xml:space="preserve">n = </w:t>
            </w:r>
            <w:r w:rsidRPr="00E3331A">
              <w:rPr>
                <w:rFonts w:ascii="Arial Narrow" w:hAnsi="Arial Narrow" w:cs="Calibri"/>
                <w:color w:val="000000"/>
                <w:sz w:val="18"/>
                <w:szCs w:val="18"/>
              </w:rPr>
              <w:t>16/77); rituximab (</w:t>
            </w:r>
            <w:r w:rsidR="00A07838">
              <w:rPr>
                <w:rFonts w:ascii="Arial Narrow" w:hAnsi="Arial Narrow" w:cs="Calibri"/>
                <w:color w:val="000000"/>
                <w:sz w:val="18"/>
                <w:szCs w:val="18"/>
              </w:rPr>
              <w:t xml:space="preserve">n = </w:t>
            </w:r>
            <w:r w:rsidRPr="00E3331A">
              <w:rPr>
                <w:rFonts w:ascii="Arial Narrow" w:hAnsi="Arial Narrow" w:cs="Calibri"/>
                <w:color w:val="000000"/>
                <w:sz w:val="18"/>
                <w:szCs w:val="18"/>
              </w:rPr>
              <w:t>2/18); Cyclosporin (</w:t>
            </w:r>
            <w:r w:rsidR="00A07838">
              <w:rPr>
                <w:rFonts w:ascii="Arial Narrow" w:hAnsi="Arial Narrow" w:cs="Calibri"/>
                <w:color w:val="000000"/>
                <w:sz w:val="18"/>
                <w:szCs w:val="18"/>
              </w:rPr>
              <w:t xml:space="preserve">n = </w:t>
            </w:r>
            <w:r w:rsidRPr="00E3331A">
              <w:rPr>
                <w:rFonts w:ascii="Arial Narrow" w:hAnsi="Arial Narrow" w:cs="Calibri"/>
                <w:color w:val="000000"/>
                <w:sz w:val="18"/>
                <w:szCs w:val="18"/>
              </w:rPr>
              <w:t>6/12); Cyclophosphamide (</w:t>
            </w:r>
            <w:r w:rsidR="00A07838">
              <w:rPr>
                <w:rFonts w:ascii="Arial Narrow" w:hAnsi="Arial Narrow" w:cs="Calibri"/>
                <w:color w:val="000000"/>
                <w:sz w:val="18"/>
                <w:szCs w:val="18"/>
              </w:rPr>
              <w:t xml:space="preserve">n = </w:t>
            </w:r>
            <w:r w:rsidRPr="00E3331A">
              <w:rPr>
                <w:rFonts w:ascii="Arial Narrow" w:hAnsi="Arial Narrow" w:cs="Calibri"/>
                <w:color w:val="000000"/>
                <w:sz w:val="18"/>
                <w:szCs w:val="18"/>
              </w:rPr>
              <w:t>2/13); Methotrexate (</w:t>
            </w:r>
            <w:r w:rsidR="00A07838">
              <w:rPr>
                <w:rFonts w:ascii="Arial Narrow" w:hAnsi="Arial Narrow" w:cs="Calibri"/>
                <w:color w:val="000000"/>
                <w:sz w:val="18"/>
                <w:szCs w:val="18"/>
              </w:rPr>
              <w:t xml:space="preserve">n = </w:t>
            </w:r>
            <w:r w:rsidRPr="00E3331A">
              <w:rPr>
                <w:rFonts w:ascii="Arial Narrow" w:hAnsi="Arial Narrow" w:cs="Calibri"/>
                <w:color w:val="000000"/>
                <w:sz w:val="18"/>
                <w:szCs w:val="18"/>
              </w:rPr>
              <w:t>1/12); Mycophenolate Mofetil (</w:t>
            </w:r>
            <w:r w:rsidR="00A07838">
              <w:rPr>
                <w:rFonts w:ascii="Arial Narrow" w:hAnsi="Arial Narrow" w:cs="Calibri"/>
                <w:color w:val="000000"/>
                <w:sz w:val="18"/>
                <w:szCs w:val="18"/>
              </w:rPr>
              <w:t xml:space="preserve">n = </w:t>
            </w:r>
            <w:r w:rsidRPr="00E3331A">
              <w:rPr>
                <w:rFonts w:ascii="Arial Narrow" w:hAnsi="Arial Narrow" w:cs="Calibri"/>
                <w:color w:val="000000"/>
                <w:sz w:val="18"/>
                <w:szCs w:val="18"/>
              </w:rPr>
              <w:t>2/12); interferon beta (</w:t>
            </w:r>
            <w:r w:rsidR="00A07838">
              <w:rPr>
                <w:rFonts w:ascii="Arial Narrow" w:hAnsi="Arial Narrow" w:cs="Calibri"/>
                <w:color w:val="000000"/>
                <w:sz w:val="18"/>
                <w:szCs w:val="18"/>
              </w:rPr>
              <w:t xml:space="preserve">n = </w:t>
            </w:r>
            <w:r w:rsidRPr="00E3331A">
              <w:rPr>
                <w:rFonts w:ascii="Arial Narrow" w:hAnsi="Arial Narrow" w:cs="Calibri"/>
                <w:color w:val="000000"/>
                <w:sz w:val="18"/>
                <w:szCs w:val="18"/>
              </w:rPr>
              <w:t>0/3); interferon-alpha (</w:t>
            </w:r>
            <w:r w:rsidR="00A07838">
              <w:rPr>
                <w:rFonts w:ascii="Arial Narrow" w:hAnsi="Arial Narrow" w:cs="Calibri"/>
                <w:color w:val="000000"/>
                <w:sz w:val="18"/>
                <w:szCs w:val="18"/>
              </w:rPr>
              <w:t xml:space="preserve">n = </w:t>
            </w:r>
            <w:r w:rsidRPr="00E3331A">
              <w:rPr>
                <w:rFonts w:ascii="Arial Narrow" w:hAnsi="Arial Narrow" w:cs="Calibri"/>
                <w:color w:val="000000"/>
                <w:sz w:val="18"/>
                <w:szCs w:val="18"/>
              </w:rPr>
              <w:t>1/11)</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SAE: Azathioprine (</w:t>
            </w:r>
            <w:r w:rsidR="00A07838">
              <w:rPr>
                <w:rFonts w:ascii="Arial Narrow" w:hAnsi="Arial Narrow" w:cs="Calibri"/>
                <w:color w:val="000000"/>
                <w:sz w:val="18"/>
                <w:szCs w:val="18"/>
              </w:rPr>
              <w:t xml:space="preserve">n = </w:t>
            </w:r>
            <w:r w:rsidRPr="00E3331A">
              <w:rPr>
                <w:rFonts w:ascii="Arial Narrow" w:hAnsi="Arial Narrow" w:cs="Calibri"/>
                <w:color w:val="000000"/>
                <w:sz w:val="18"/>
                <w:szCs w:val="18"/>
              </w:rPr>
              <w:t>10/77); Cyclosporin (</w:t>
            </w:r>
            <w:r w:rsidR="00A07838">
              <w:rPr>
                <w:rFonts w:ascii="Arial Narrow" w:hAnsi="Arial Narrow" w:cs="Calibri"/>
                <w:color w:val="000000"/>
                <w:sz w:val="18"/>
                <w:szCs w:val="18"/>
              </w:rPr>
              <w:t xml:space="preserve">n = </w:t>
            </w:r>
            <w:r w:rsidRPr="00E3331A">
              <w:rPr>
                <w:rFonts w:ascii="Arial Narrow" w:hAnsi="Arial Narrow" w:cs="Calibri"/>
                <w:color w:val="000000"/>
                <w:sz w:val="18"/>
                <w:szCs w:val="18"/>
              </w:rPr>
              <w:t>5/12); Cyclophosphamide (</w:t>
            </w:r>
            <w:r w:rsidR="00A07838">
              <w:rPr>
                <w:rFonts w:ascii="Arial Narrow" w:hAnsi="Arial Narrow" w:cs="Calibri"/>
                <w:color w:val="000000"/>
                <w:sz w:val="18"/>
                <w:szCs w:val="18"/>
              </w:rPr>
              <w:t xml:space="preserve">n = </w:t>
            </w:r>
            <w:r w:rsidRPr="00E3331A">
              <w:rPr>
                <w:rFonts w:ascii="Arial Narrow" w:hAnsi="Arial Narrow" w:cs="Calibri"/>
                <w:color w:val="000000"/>
                <w:sz w:val="18"/>
                <w:szCs w:val="18"/>
              </w:rPr>
              <w:t>1/13)</w:t>
            </w:r>
          </w:p>
          <w:p w:rsidR="00464E0A" w:rsidRPr="00E3331A" w:rsidRDefault="00464E0A" w:rsidP="00EC4AAF">
            <w:pPr>
              <w:spacing w:after="0" w:line="240" w:lineRule="auto"/>
              <w:rPr>
                <w:rFonts w:ascii="Arial Narrow" w:hAnsi="Arial Narrow" w:cs="Calibri"/>
                <w:color w:val="000000"/>
                <w:sz w:val="18"/>
                <w:szCs w:val="18"/>
              </w:rPr>
            </w:pP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Dorst 2018 </w:t>
            </w:r>
            <w:r w:rsidR="00B85C75">
              <w:rPr>
                <w:rFonts w:ascii="Arial Narrow" w:hAnsi="Arial Narrow" w:cs="Calibri"/>
                <w:noProof/>
                <w:color w:val="000000"/>
                <w:sz w:val="18"/>
                <w:szCs w:val="18"/>
              </w:rPr>
              <w:t>(Dorst et al. 2018)</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17</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(EFNS/PNS criteria) who had not responded to steroids, IVIg or both treatments.</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Immunoadsorption: Shaldon catheter (jugular vein). One cycle of IA consisted of five treatments on 5 consecutive days. Range of cycles was 1-9 per patient.</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reported</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2/17 (12%)</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Fialho 2006 </w:t>
            </w:r>
            <w:r w:rsidR="00B85C75">
              <w:rPr>
                <w:rFonts w:ascii="Arial Narrow" w:hAnsi="Arial Narrow" w:cs="Calibri"/>
                <w:noProof/>
                <w:color w:val="000000"/>
                <w:sz w:val="18"/>
                <w:szCs w:val="18"/>
              </w:rPr>
              <w:t>(Fialho et al. 2006)</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10</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CIDP fulfilling recognised clinical criteria and neurophysiological evidence of demyelination</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Methotrexate: according to patient needs from 10-15 mg weekly for as long as clinically appropriate</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reported</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3/10 (30%)</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1/10 (10%)</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SAE: death (1) due hypotension and fever of unknown origin. </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 xml:space="preserve">Galldik 2011 </w:t>
            </w:r>
            <w:r w:rsidR="00B85C75">
              <w:rPr>
                <w:rFonts w:ascii="Arial Narrow" w:hAnsi="Arial Narrow" w:cs="Calibri"/>
                <w:noProof/>
                <w:color w:val="000000"/>
                <w:sz w:val="18"/>
                <w:szCs w:val="18"/>
              </w:rPr>
              <w:t>(Galldiks et al. 2011)</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IV</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R</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14</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sz w:val="18"/>
                <w:szCs w:val="18"/>
              </w:rPr>
              <w:t>CIDP patients (according to current diagnostic guidelines) who had an unsatisfactory response to at least two of steroids, IVIg or plasma exchange.</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Immunoadsorption: Double-lumen central venous catheter in the jugular or subclavian vein: frequency adjusted according to clinical signs and fibrinogen levels. If necessary, treatment intervals were extended depending on the degree of fibrinogen depletion. Ten patients were treated in-hospital. Four of these 14 patients were treated in outpatient clinics using long-term maintenance IA with 1–2 treatments per week.</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Authors report in all patients, Immunoadsorption was safe and well tolerated, and no</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severe side effects occurred.</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0/14 (0%)</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 xml:space="preserve">Good 1998 </w:t>
            </w:r>
            <w:r w:rsidR="00B85C75">
              <w:rPr>
                <w:rFonts w:ascii="Arial Narrow" w:hAnsi="Arial Narrow" w:cs="Calibri"/>
                <w:noProof/>
                <w:color w:val="000000"/>
                <w:sz w:val="18"/>
                <w:szCs w:val="18"/>
              </w:rPr>
              <w:t>(Good et al. 1998)</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IV</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P</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15</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sz w:val="18"/>
                <w:szCs w:val="18"/>
              </w:rPr>
              <w:t>CIDP according to established criteria</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IV Cyclophosphamide: 1 g/m</w:t>
            </w:r>
            <w:r w:rsidRPr="000A1BD4">
              <w:rPr>
                <w:rFonts w:ascii="Arial Narrow" w:hAnsi="Arial Narrow" w:cs="Calibri"/>
                <w:color w:val="000000"/>
                <w:sz w:val="18"/>
                <w:szCs w:val="18"/>
                <w:vertAlign w:val="superscript"/>
              </w:rPr>
              <w:t>2</w:t>
            </w:r>
            <w:r w:rsidRPr="00E3331A">
              <w:rPr>
                <w:rFonts w:ascii="Arial Narrow" w:hAnsi="Arial Narrow" w:cs="Calibri"/>
                <w:color w:val="000000"/>
                <w:sz w:val="18"/>
                <w:szCs w:val="18"/>
              </w:rPr>
              <w:t xml:space="preserve"> over 1.5-2 hours as initial treatment and as monthly pulse treatments unless they showed sustained improvement over three courses of pulse. In patients failing to show a significant leukocyte count drop the dose was increased by 25% on subsequent pulses. </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Mean 36.6 months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Nature of AEs reported. </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Overall AEs NR</w:t>
            </w:r>
          </w:p>
          <w:p w:rsidR="00464E0A" w:rsidRPr="00E3331A" w:rsidRDefault="00464E0A" w:rsidP="00EC4AAF">
            <w:pPr>
              <w:spacing w:after="0" w:line="240" w:lineRule="auto"/>
              <w:rPr>
                <w:rFonts w:ascii="Arial Narrow" w:hAnsi="Arial Narrow" w:cs="Calibri"/>
                <w:color w:val="000000"/>
                <w:sz w:val="18"/>
                <w:szCs w:val="18"/>
              </w:rPr>
            </w:pP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 xml:space="preserve">Gorson 2004 </w:t>
            </w:r>
            <w:r w:rsidR="00B85C75">
              <w:rPr>
                <w:rFonts w:ascii="Arial Narrow" w:hAnsi="Arial Narrow" w:cs="Calibri"/>
                <w:noProof/>
                <w:color w:val="000000"/>
                <w:sz w:val="18"/>
                <w:szCs w:val="18"/>
              </w:rPr>
              <w:t>(Gorson et al. 2004)</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IV</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R</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21</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sz w:val="18"/>
                <w:szCs w:val="18"/>
              </w:rPr>
              <w:t>Patients with demyelinating polyneuropathy fulfilling criteria for CIDP</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Mycophenolate Mofetil: Mean dose 2.1 g/day, and the average duration of therapy was 13 months</w:t>
            </w:r>
            <w:r w:rsidRPr="00E3331A">
              <w:rPr>
                <w:rFonts w:ascii="Arial Narrow" w:hAnsi="Arial Narrow" w:cs="Calibri"/>
                <w:color w:val="000000"/>
                <w:sz w:val="18"/>
                <w:szCs w:val="18"/>
              </w:rPr>
              <w:br/>
              <w:t>(range, 9 to 18 months)</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r w:rsidRPr="00E3331A">
              <w:rPr>
                <w:rFonts w:ascii="Arial Narrow" w:hAnsi="Arial Narrow" w:cs="Calibri"/>
                <w:color w:val="000000"/>
                <w:sz w:val="18"/>
                <w:szCs w:val="18"/>
              </w:rPr>
              <w:br/>
              <w:t>Nature of AEs reported.</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5/21 (24%)</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Molenaar 1997</w:t>
            </w:r>
            <w:r w:rsidR="00B85C75">
              <w:rPr>
                <w:rFonts w:ascii="Arial Narrow" w:hAnsi="Arial Narrow" w:cs="Calibri"/>
                <w:noProof/>
                <w:color w:val="000000"/>
                <w:sz w:val="18"/>
                <w:szCs w:val="18"/>
              </w:rPr>
              <w:t>(Molenaar et al. 1997)</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IV</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lastRenderedPageBreak/>
              <w:t>R</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10</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sz w:val="18"/>
                <w:szCs w:val="18"/>
              </w:rPr>
              <w:lastRenderedPageBreak/>
              <w:t>CIDP patients (electrophysiological criteria of the AAN)</w:t>
            </w:r>
          </w:p>
        </w:tc>
        <w:tc>
          <w:tcPr>
            <w:tcW w:w="1086" w:type="pct"/>
            <w:tcBorders>
              <w:top w:val="single" w:sz="4" w:space="0" w:color="auto"/>
              <w:left w:val="single" w:sz="4" w:space="0" w:color="auto"/>
              <w:bottom w:val="nil"/>
              <w:right w:val="single" w:sz="4" w:space="0" w:color="auto"/>
            </w:tcBorders>
            <w:shd w:val="clear" w:color="auto" w:fill="auto"/>
            <w:noWrap/>
            <w:vAlign w:val="bottom"/>
          </w:tcPr>
          <w:p w:rsidR="00464E0A" w:rsidRPr="00E3331A" w:rsidRDefault="00464E0A" w:rsidP="00EC4AAF">
            <w:pPr>
              <w:spacing w:after="0" w:line="240" w:lineRule="auto"/>
              <w:jc w:val="both"/>
              <w:rPr>
                <w:rFonts w:ascii="Arial Narrow" w:hAnsi="Arial Narrow" w:cs="Calibri"/>
                <w:color w:val="000000"/>
                <w:sz w:val="18"/>
                <w:szCs w:val="18"/>
              </w:rPr>
            </w:pPr>
            <w:r w:rsidRPr="00E3331A">
              <w:rPr>
                <w:rFonts w:ascii="Arial Narrow" w:hAnsi="Arial Narrow" w:cs="Calibri"/>
                <w:color w:val="000000"/>
                <w:sz w:val="18"/>
                <w:szCs w:val="18"/>
              </w:rPr>
              <w:t>Dexamethasone: 40 mg per day for four days in weeks 1, 4, 7, 11, 15 and 19</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r w:rsidRPr="00E3331A">
              <w:rPr>
                <w:rFonts w:ascii="Arial Narrow" w:hAnsi="Arial Narrow" w:cs="Calibri"/>
                <w:color w:val="000000"/>
                <w:sz w:val="18"/>
                <w:szCs w:val="18"/>
              </w:rPr>
              <w:br/>
              <w:t>Nature of AEs reported.</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6/10 (60%)</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 xml:space="preserve">Muley 2008 </w:t>
            </w:r>
            <w:r w:rsidR="00B85C75">
              <w:rPr>
                <w:rFonts w:ascii="Arial Narrow" w:hAnsi="Arial Narrow" w:cs="Calibri"/>
                <w:noProof/>
                <w:color w:val="000000"/>
                <w:sz w:val="18"/>
                <w:szCs w:val="18"/>
              </w:rPr>
              <w:t>(Muley et al. 2008)</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IV</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P</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10</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sz w:val="18"/>
                <w:szCs w:val="18"/>
              </w:rPr>
              <w:t>CIDP patients (criteria NR)</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Pulsed oral prednisolone: 500 mg once a week for 3 months with dose adjustment every 3 months</w:t>
            </w:r>
            <w:r w:rsidRPr="00E3331A">
              <w:t xml:space="preserve"> </w:t>
            </w:r>
            <w:r w:rsidRPr="00E3331A">
              <w:rPr>
                <w:rFonts w:ascii="Arial Narrow" w:hAnsi="Arial Narrow" w:cs="Calibri"/>
                <w:color w:val="000000"/>
                <w:sz w:val="18"/>
                <w:szCs w:val="18"/>
              </w:rPr>
              <w:t>by 50 to 100 mg depending on the clinical</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status</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Nature of AEs reported. </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Overall AEs NR</w:t>
            </w:r>
          </w:p>
          <w:p w:rsidR="00464E0A" w:rsidRPr="00E3331A" w:rsidRDefault="00464E0A" w:rsidP="00EC4AAF">
            <w:pPr>
              <w:spacing w:after="0" w:line="240" w:lineRule="auto"/>
              <w:rPr>
                <w:rFonts w:ascii="Arial Narrow" w:hAnsi="Arial Narrow" w:cs="Calibri"/>
                <w:color w:val="000000"/>
                <w:sz w:val="18"/>
                <w:szCs w:val="18"/>
              </w:rPr>
            </w:pP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 xml:space="preserve">Roux 2018 </w:t>
            </w:r>
            <w:r w:rsidR="00B85C75">
              <w:rPr>
                <w:rFonts w:ascii="Arial Narrow" w:hAnsi="Arial Narrow" w:cs="Calibri"/>
                <w:noProof/>
                <w:color w:val="000000"/>
                <w:sz w:val="18"/>
                <w:szCs w:val="18"/>
              </w:rPr>
              <w:t>(Roux et al. 2018)</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IV</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R</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28</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sz w:val="18"/>
                <w:szCs w:val="18"/>
              </w:rPr>
              <w:t>CIDP patients (EFNS/PNS criteria)</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Rituximab: Varied. The most frequent was a first injection (1 g) followed by a second one (1 g) 2 weeks later (for</w:t>
            </w:r>
            <w:r w:rsidRPr="00E3331A">
              <w:rPr>
                <w:rFonts w:ascii="Arial Narrow" w:hAnsi="Arial Narrow" w:cs="Calibri"/>
                <w:color w:val="000000"/>
                <w:sz w:val="18"/>
                <w:szCs w:val="18"/>
              </w:rPr>
              <w:br/>
              <w:t>13 patients). Two patients received weekly infusions of 375 mg/m</w:t>
            </w:r>
            <w:r w:rsidRPr="000A1BD4">
              <w:rPr>
                <w:rFonts w:ascii="Arial Narrow" w:hAnsi="Arial Narrow" w:cs="Calibri"/>
                <w:color w:val="000000"/>
                <w:sz w:val="18"/>
                <w:szCs w:val="18"/>
                <w:vertAlign w:val="superscript"/>
              </w:rPr>
              <w:t>2</w:t>
            </w:r>
            <w:r w:rsidRPr="00E3331A">
              <w:rPr>
                <w:rFonts w:ascii="Arial Narrow" w:hAnsi="Arial Narrow" w:cs="Calibri"/>
                <w:color w:val="000000"/>
                <w:sz w:val="18"/>
                <w:szCs w:val="18"/>
              </w:rPr>
              <w:br/>
              <w:t>for 4 weeks; and nine patients received 375 mg/m2/month for 4 or</w:t>
            </w:r>
            <w:r w:rsidRPr="00E3331A">
              <w:rPr>
                <w:rFonts w:ascii="Arial Narrow" w:hAnsi="Arial Narrow" w:cs="Calibri"/>
                <w:color w:val="000000"/>
                <w:sz w:val="18"/>
                <w:szCs w:val="18"/>
              </w:rPr>
              <w:br/>
              <w:t>6 months, five of whom received rituximab with another chemotherapy</w:t>
            </w:r>
            <w:r w:rsidRPr="00E3331A">
              <w:rPr>
                <w:rFonts w:ascii="Arial Narrow" w:hAnsi="Arial Narrow" w:cs="Calibri"/>
                <w:color w:val="000000"/>
                <w:sz w:val="18"/>
                <w:szCs w:val="18"/>
              </w:rPr>
              <w:br/>
              <w:t>because of a haematological indication. One patient (with lupus)</w:t>
            </w:r>
            <w:r w:rsidRPr="00E3331A">
              <w:rPr>
                <w:rFonts w:ascii="Arial Narrow" w:hAnsi="Arial Narrow" w:cs="Calibri"/>
                <w:color w:val="000000"/>
                <w:sz w:val="18"/>
                <w:szCs w:val="18"/>
              </w:rPr>
              <w:br/>
              <w:t>received one infusion of 375 mg/m</w:t>
            </w:r>
            <w:r w:rsidRPr="000A1BD4">
              <w:rPr>
                <w:rFonts w:ascii="Arial Narrow" w:hAnsi="Arial Narrow" w:cs="Calibri"/>
                <w:color w:val="000000"/>
                <w:sz w:val="18"/>
                <w:szCs w:val="18"/>
                <w:vertAlign w:val="superscript"/>
              </w:rPr>
              <w:t>2</w:t>
            </w:r>
            <w:r w:rsidRPr="00E3331A">
              <w:rPr>
                <w:rFonts w:ascii="Arial Narrow" w:hAnsi="Arial Narrow" w:cs="Calibri"/>
                <w:color w:val="000000"/>
                <w:sz w:val="18"/>
                <w:szCs w:val="18"/>
              </w:rPr>
              <w:t xml:space="preserve"> every 3 months for 3 years.</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Median 2 years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reported.</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3/28 (11%)</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1/28 (4%)</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SAE: CNS lymphoma (1) 7 months after rituximab infusion.</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 xml:space="preserve">Vucic 1998 </w:t>
            </w:r>
            <w:r w:rsidR="00B85C75">
              <w:rPr>
                <w:rFonts w:ascii="Arial Narrow" w:hAnsi="Arial Narrow" w:cs="Calibri"/>
                <w:noProof/>
                <w:color w:val="000000"/>
                <w:sz w:val="18"/>
                <w:szCs w:val="18"/>
              </w:rPr>
              <w:t>(Vucic and Davies 1998)</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IV</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R</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32</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sz w:val="18"/>
                <w:szCs w:val="18"/>
              </w:rPr>
              <w:t>CIDP patients (criteria NR) undergoing plasmapheresis</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Plasma exchange: The duration of each procedure was 1.5-2 hours. Five per cent human serum albumin (5% NSA) alone or formulated with</w:t>
            </w:r>
            <w:r w:rsidRPr="00E3331A">
              <w:rPr>
                <w:rFonts w:ascii="Arial Narrow" w:hAnsi="Arial Narrow" w:cs="Calibri"/>
                <w:color w:val="000000"/>
                <w:sz w:val="18"/>
                <w:szCs w:val="18"/>
              </w:rPr>
              <w:br/>
              <w:t>normal saline was the usual replacement fluid. Anticoagulant citrate dextrose (ACD) was the anticoagulant used in all procedures</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Nature of AEs incompletely reported.</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vertAlign w:val="superscript"/>
              </w:rPr>
            </w:pPr>
            <w:r w:rsidRPr="00E3331A">
              <w:rPr>
                <w:rFonts w:ascii="Arial Narrow" w:hAnsi="Arial Narrow" w:cs="Calibri"/>
                <w:color w:val="000000"/>
                <w:sz w:val="18"/>
                <w:szCs w:val="18"/>
              </w:rPr>
              <w:t>13/32 (41%)</w:t>
            </w:r>
            <w:r w:rsidRPr="00E3331A">
              <w:rPr>
                <w:rFonts w:ascii="Arial Narrow" w:hAnsi="Arial Narrow" w:cs="Calibri"/>
                <w:color w:val="000000"/>
                <w:sz w:val="18"/>
                <w:szCs w:val="18"/>
                <w:vertAlign w:val="superscript"/>
              </w:rPr>
              <w:t>f</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NR</w:t>
            </w:r>
          </w:p>
        </w:tc>
      </w:tr>
      <w:tr w:rsidR="00464E0A" w:rsidRPr="00E3331A" w:rsidTr="00EC4AAF">
        <w:trPr>
          <w:trHeight w:val="300"/>
        </w:trPr>
        <w:tc>
          <w:tcPr>
            <w:tcW w:w="788" w:type="pct"/>
            <w:tcBorders>
              <w:top w:val="single" w:sz="4" w:space="0" w:color="auto"/>
              <w:left w:val="single" w:sz="4" w:space="0" w:color="auto"/>
              <w:bottom w:val="single" w:sz="4" w:space="0" w:color="auto"/>
              <w:right w:val="single" w:sz="4" w:space="0" w:color="auto"/>
            </w:tcBorders>
            <w:shd w:val="clear" w:color="000000" w:fill="FFFFFF"/>
            <w:noWrap/>
          </w:tcPr>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 xml:space="preserve">Wertman 1988 </w:t>
            </w:r>
            <w:r w:rsidR="00B85C75">
              <w:rPr>
                <w:rFonts w:ascii="Arial Narrow" w:hAnsi="Arial Narrow" w:cs="Calibri"/>
                <w:noProof/>
                <w:color w:val="000000"/>
                <w:sz w:val="18"/>
                <w:szCs w:val="18"/>
              </w:rPr>
              <w:t>(Wertman et al. 1988)</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IV</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R</w:t>
            </w:r>
          </w:p>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cs="Calibri"/>
                <w:noProof/>
                <w:color w:val="000000"/>
                <w:sz w:val="18"/>
                <w:szCs w:val="18"/>
              </w:rPr>
              <w:t>16</w:t>
            </w:r>
          </w:p>
        </w:tc>
        <w:tc>
          <w:tcPr>
            <w:tcW w:w="919" w:type="pct"/>
            <w:gridSpan w:val="4"/>
            <w:tcBorders>
              <w:top w:val="single" w:sz="4" w:space="0" w:color="auto"/>
              <w:left w:val="single" w:sz="4" w:space="0" w:color="auto"/>
              <w:bottom w:val="single" w:sz="4" w:space="0" w:color="auto"/>
              <w:right w:val="single" w:sz="4" w:space="0" w:color="auto"/>
            </w:tcBorders>
            <w:shd w:val="clear" w:color="auto" w:fill="auto"/>
            <w:noWrap/>
          </w:tcPr>
          <w:p w:rsidR="00464E0A" w:rsidRPr="00E3331A" w:rsidRDefault="00464E0A" w:rsidP="00EC4AAF">
            <w:pPr>
              <w:spacing w:after="0" w:line="240" w:lineRule="auto"/>
              <w:rPr>
                <w:rFonts w:ascii="Arial Narrow" w:hAnsi="Arial Narrow" w:cs="Calibri"/>
                <w:noProof/>
                <w:color w:val="000000"/>
                <w:sz w:val="18"/>
                <w:szCs w:val="18"/>
              </w:rPr>
            </w:pPr>
            <w:r w:rsidRPr="00E3331A">
              <w:rPr>
                <w:rFonts w:ascii="Arial Narrow" w:hAnsi="Arial Narrow"/>
                <w:sz w:val="18"/>
                <w:szCs w:val="18"/>
              </w:rPr>
              <w:t>CIDP (Author modified criteria)</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High-dose steroids: 1-1.5 mg/kg/day of prednisone. Patients who on efforts to withdraw experienced relapse were treated with medium dose steroid therapy (0.5-.75 mg.kg/day) for prolonged periods.</w:t>
            </w:r>
          </w:p>
        </w:tc>
        <w:tc>
          <w:tcPr>
            <w:tcW w:w="1110"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Mean 5.2 years</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General AEs NR</w:t>
            </w:r>
          </w:p>
        </w:tc>
        <w:tc>
          <w:tcPr>
            <w:tcW w:w="1097" w:type="pct"/>
            <w:tcBorders>
              <w:top w:val="single" w:sz="4" w:space="0" w:color="auto"/>
              <w:left w:val="single" w:sz="4" w:space="0" w:color="auto"/>
              <w:bottom w:val="single" w:sz="4" w:space="0" w:color="auto"/>
              <w:right w:val="single" w:sz="4" w:space="0" w:color="auto"/>
            </w:tcBorders>
          </w:tcPr>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NR </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7/16 (43%)</w:t>
            </w:r>
          </w:p>
          <w:p w:rsidR="00464E0A" w:rsidRPr="00E3331A" w:rsidRDefault="00464E0A" w:rsidP="00EC4AAF">
            <w:pPr>
              <w:spacing w:after="0" w:line="240" w:lineRule="auto"/>
              <w:rPr>
                <w:rFonts w:ascii="Arial Narrow" w:hAnsi="Arial Narrow" w:cs="Calibri"/>
                <w:color w:val="000000"/>
                <w:sz w:val="18"/>
                <w:szCs w:val="18"/>
              </w:rPr>
            </w:pPr>
            <w:r w:rsidRPr="00E3331A">
              <w:rPr>
                <w:rFonts w:ascii="Arial Narrow" w:hAnsi="Arial Narrow" w:cs="Calibri"/>
                <w:color w:val="000000"/>
                <w:sz w:val="18"/>
                <w:szCs w:val="18"/>
              </w:rPr>
              <w:t xml:space="preserve">SAE: </w:t>
            </w:r>
            <w:r w:rsidR="00A07838">
              <w:rPr>
                <w:rFonts w:ascii="Arial Narrow" w:hAnsi="Arial Narrow" w:cs="Calibri"/>
                <w:color w:val="000000"/>
                <w:sz w:val="18"/>
                <w:szCs w:val="18"/>
              </w:rPr>
              <w:t>Cushing</w:t>
            </w:r>
            <w:r w:rsidRPr="00E3331A">
              <w:rPr>
                <w:rFonts w:ascii="Arial Narrow" w:hAnsi="Arial Narrow" w:cs="Calibri"/>
                <w:color w:val="000000"/>
                <w:sz w:val="18"/>
                <w:szCs w:val="18"/>
              </w:rPr>
              <w:t>oid appearance (3); GI bleeding (2); infection complications (3); death (1, urinary sepsis)</w:t>
            </w:r>
          </w:p>
        </w:tc>
      </w:tr>
    </w:tbl>
    <w:bookmarkEnd w:id="579"/>
    <w:p w:rsidR="00BA13FE" w:rsidRPr="00E3331A" w:rsidRDefault="00464E0A" w:rsidP="00C84382">
      <w:pPr>
        <w:spacing w:after="60"/>
      </w:pPr>
      <w:r w:rsidRPr="00E3331A">
        <w:rPr>
          <w:rFonts w:ascii="Arial Narrow" w:hAnsi="Arial Narrow" w:cs="Calibri"/>
          <w:color w:val="000000"/>
          <w:sz w:val="18"/>
          <w:szCs w:val="18"/>
        </w:rPr>
        <w:t xml:space="preserve">EFNS/PNS: European Federation of Neurological Societies/Peripheral Nerve Society; AAN: Ad Hoc Subcommittee of the American Academy of Neurology AIDS Task Force. a without generalised symptoms and localised to the injection sites; b If after induction + 2 maintenance doses there was no response treatment stops, otherwise each patient received monthly maintenance treatment; c Six patients experienced eight serious adverse events; d All patients had interruption of IVIg (if they were allready in receipt) for up to 10 weeks until deterioration occurred that allowed eligibility; e Also includes data reported by another publication </w:t>
      </w:r>
      <w:r w:rsidR="00B85C75">
        <w:rPr>
          <w:rFonts w:ascii="Arial Narrow" w:hAnsi="Arial Narrow" w:cs="Calibri"/>
          <w:noProof/>
          <w:color w:val="000000"/>
          <w:sz w:val="18"/>
          <w:szCs w:val="18"/>
        </w:rPr>
        <w:t>(Merkies et al. 2019)</w:t>
      </w:r>
      <w:r w:rsidRPr="00E3331A">
        <w:rPr>
          <w:rFonts w:ascii="Arial Narrow" w:hAnsi="Arial Narrow" w:cs="Calibri"/>
          <w:color w:val="000000"/>
          <w:sz w:val="18"/>
          <w:szCs w:val="18"/>
        </w:rPr>
        <w:t xml:space="preserve">; f The 24.7 per cent of patients who experienced one adverse reaction had a mean of 12 episodes of plasmapheresis. In patients experiencing two to five complications the mean was 18 and one patient with six episodes of complication had 30 treatments. There was a linear relationship between the frequency of adverse reactions and the number of treatment episodes for an individual patient. No adverse reactions were recorded in 60.3 per cent of patients. There were no fatalities in the study group. Complications rated as severe occurred in 0.7 per cent of procedures. The most frequent of these was infection of the venous access site, occurring in 0.5 per cent of procedures. Sepsis was an accompanying feature in 0.2 per cent of procedures. None of the three patients so affected was judged to have any deterioration in their underlying neurological condition. </w:t>
      </w:r>
    </w:p>
    <w:p w:rsidR="00464E0A" w:rsidRPr="00E3331A" w:rsidRDefault="00464E0A" w:rsidP="0037150F">
      <w:pPr>
        <w:pStyle w:val="Tablenotes0"/>
      </w:pPr>
    </w:p>
    <w:p w:rsidR="00464E0A" w:rsidRPr="00E3331A" w:rsidRDefault="00464E0A" w:rsidP="0037150F">
      <w:pPr>
        <w:pStyle w:val="Tablenotes0"/>
        <w:sectPr w:rsidR="00464E0A" w:rsidRPr="00E3331A" w:rsidSect="00D3526F">
          <w:pgSz w:w="16838" w:h="11906" w:orient="landscape"/>
          <w:pgMar w:top="1440" w:right="851" w:bottom="1440" w:left="851" w:header="720" w:footer="720" w:gutter="0"/>
          <w:paperSrc w:first="7" w:other="7"/>
          <w:cols w:space="720"/>
        </w:sectPr>
      </w:pPr>
    </w:p>
    <w:p w:rsidR="007A7960" w:rsidRPr="00E3331A" w:rsidRDefault="00193B87" w:rsidP="00DF343F">
      <w:pPr>
        <w:pStyle w:val="Heading1"/>
        <w:jc w:val="both"/>
      </w:pPr>
      <w:bookmarkStart w:id="580" w:name="_Ref364237293"/>
      <w:bookmarkStart w:id="581" w:name="_Ref363131580"/>
      <w:bookmarkStart w:id="582" w:name="_Toc379118102"/>
      <w:bookmarkStart w:id="583" w:name="_Toc381796506"/>
      <w:bookmarkStart w:id="584" w:name="_Toc24103541"/>
      <w:r w:rsidRPr="00E3331A">
        <w:lastRenderedPageBreak/>
        <w:t xml:space="preserve">Appendix </w:t>
      </w:r>
      <w:r w:rsidR="006F35B9">
        <w:rPr>
          <w:noProof/>
        </w:rPr>
        <w:t>E</w:t>
      </w:r>
      <w:bookmarkEnd w:id="580"/>
      <w:r w:rsidR="00A40011" w:rsidRPr="00E3331A">
        <w:tab/>
      </w:r>
      <w:bookmarkEnd w:id="566"/>
      <w:bookmarkEnd w:id="581"/>
      <w:bookmarkEnd w:id="582"/>
      <w:bookmarkEnd w:id="583"/>
      <w:r w:rsidR="00591A6D" w:rsidRPr="00E3331A">
        <w:t xml:space="preserve">Excluded </w:t>
      </w:r>
      <w:r w:rsidR="0077418B" w:rsidRPr="00E3331A">
        <w:t>Studies</w:t>
      </w:r>
      <w:bookmarkEnd w:id="584"/>
    </w:p>
    <w:p w:rsidR="00963BFB" w:rsidRPr="00E3331A" w:rsidRDefault="006C363C" w:rsidP="006C363C">
      <w:pPr>
        <w:pStyle w:val="Heading2"/>
      </w:pPr>
      <w:bookmarkStart w:id="585" w:name="_Toc24103542"/>
      <w:r w:rsidRPr="00E3331A">
        <w:t xml:space="preserve">Studies </w:t>
      </w:r>
      <w:r w:rsidR="00D522CD" w:rsidRPr="00E3331A">
        <w:t xml:space="preserve">on CIDP </w:t>
      </w:r>
      <w:r w:rsidRPr="00E3331A">
        <w:t>excluded</w:t>
      </w:r>
      <w:r w:rsidR="00164FE0" w:rsidRPr="00E3331A">
        <w:t>:</w:t>
      </w:r>
      <w:bookmarkEnd w:id="585"/>
    </w:p>
    <w:bookmarkEnd w:id="567"/>
    <w:p w:rsidR="00435051" w:rsidRPr="00E3331A" w:rsidRDefault="00435051" w:rsidP="00435051">
      <w:pPr>
        <w:rPr>
          <w:rFonts w:cs="Times New Roman"/>
          <w:b/>
        </w:rPr>
      </w:pPr>
      <w:r w:rsidRPr="00E3331A">
        <w:rPr>
          <w:b/>
        </w:rPr>
        <w:t>Randomised controlled trials excluded due to lack of safety data</w:t>
      </w:r>
      <w:r w:rsidR="00164FE0" w:rsidRPr="00E3331A">
        <w:rPr>
          <w:b/>
        </w:rPr>
        <w:t xml:space="preserve"> (note these studies were </w:t>
      </w:r>
      <w:r w:rsidR="00104C76">
        <w:rPr>
          <w:b/>
        </w:rPr>
        <w:t>i</w:t>
      </w:r>
      <w:r w:rsidR="00164FE0" w:rsidRPr="00E3331A">
        <w:rPr>
          <w:b/>
        </w:rPr>
        <w:t>ncluded for the effectiveness section)</w:t>
      </w:r>
    </w:p>
    <w:p w:rsidR="00435051" w:rsidRPr="00E3331A" w:rsidRDefault="00435051" w:rsidP="00435051">
      <w:r w:rsidRPr="00E3331A">
        <w:t>Ashworth NL, Zochodne DW, Hahn AF, Pillay N, Chalk C, Benstead T, et al. Impact of plasma exchange on indices of demyelination in chronic inflammatory demyelinating polyradiculoneuropathy. Muscle and Nerve. 2000;23(2):206-10.</w:t>
      </w:r>
    </w:p>
    <w:p w:rsidR="00435051" w:rsidRPr="00E3331A" w:rsidRDefault="00435051" w:rsidP="00435051">
      <w:r w:rsidRPr="00E3331A">
        <w:t>Dyck PJ, O'Brien PC, Oviat KF. Prednisone improves chronic inflammatory demyelinating polyradiculoneuropathy more than no treatment. Annals of Neurology. 1982;11(2):136-41.</w:t>
      </w:r>
    </w:p>
    <w:p w:rsidR="00435051" w:rsidRPr="00E3331A" w:rsidRDefault="00435051" w:rsidP="00435051">
      <w:r w:rsidRPr="00E3331A">
        <w:t>Dyck PJ, Daube J, O'Brien P, Pineda A, Low PA, Windebank AJ, et al. Plasma exchange in chronic inflammatory demyelinating polyradiculoneuropathy. N Engl J Med. 1986;314(8):461-5.</w:t>
      </w:r>
    </w:p>
    <w:p w:rsidR="00435051" w:rsidRPr="00E3331A" w:rsidRDefault="00435051" w:rsidP="00435051">
      <w:r w:rsidRPr="00E3331A">
        <w:t>Dyck PJ, O'Brien P, Swanson C. Combined azathioprine and prednisone in chronic inflammatory-demyelinating polyneuropathy. Neurology. 1985;35(8):1173-6.</w:t>
      </w:r>
    </w:p>
    <w:p w:rsidR="00435051" w:rsidRPr="00E3331A" w:rsidRDefault="00435051" w:rsidP="00435051">
      <w:r w:rsidRPr="00E3331A">
        <w:t>Hahn AF, Bolton CF, Zochodne D, Feasby TE. Intravenous immunoglobulin treatment in chronic inflammatory demyelinating polyneuropathy. A double-blind, placebo-controlled, cross</w:t>
      </w:r>
      <w:r w:rsidR="00417823">
        <w:t>over</w:t>
      </w:r>
      <w:r w:rsidRPr="00E3331A">
        <w:t xml:space="preserve"> study. Brain. 1996b;119(4):1067-77.</w:t>
      </w:r>
    </w:p>
    <w:p w:rsidR="00435051" w:rsidRPr="00E3331A" w:rsidRDefault="00435051" w:rsidP="00435051">
      <w:r w:rsidRPr="00E3331A">
        <w:t xml:space="preserve">Vermeulen M, van Doorn PA, Brand A, Strengers PF, Jennekens FG, Busch HF. Intravenous immunoglobulin treatment in patients with chronic inflammatory demyelinating polyneuropathy: a double blind, </w:t>
      </w:r>
      <w:r w:rsidR="00164FE0" w:rsidRPr="00E3331A">
        <w:t>placebo-controlled</w:t>
      </w:r>
      <w:r w:rsidRPr="00E3331A">
        <w:t xml:space="preserve"> study. J Neurol Neurosurg Psychiatry. 1993;56(1):36-9.</w:t>
      </w:r>
    </w:p>
    <w:p w:rsidR="001341F5" w:rsidRPr="00E3331A" w:rsidRDefault="00435051" w:rsidP="00435051">
      <w:r w:rsidRPr="00E3331A">
        <w:t xml:space="preserve">Lieker I, Slowinski T, Harms L, Hahn K, Klehmet J. A prospective study comparing tryptophan immunoadsorption with therapeutic plasma exchange for the treatment of chronic inflammatory demyelinating polyneuropathy. Journal of </w:t>
      </w:r>
      <w:r w:rsidR="00BE54F2">
        <w:t>C</w:t>
      </w:r>
      <w:r w:rsidRPr="00E3331A">
        <w:t xml:space="preserve">linical </w:t>
      </w:r>
      <w:r w:rsidR="00BE54F2">
        <w:t>A</w:t>
      </w:r>
      <w:r w:rsidRPr="00E3331A">
        <w:t>pheresis. 2017(pagination).</w:t>
      </w:r>
    </w:p>
    <w:p w:rsidR="00435051" w:rsidRPr="00E3331A" w:rsidRDefault="00435051" w:rsidP="00435051">
      <w:pPr>
        <w:rPr>
          <w:rFonts w:cs="Times New Roman"/>
          <w:b/>
        </w:rPr>
      </w:pPr>
      <w:r w:rsidRPr="00E3331A">
        <w:rPr>
          <w:b/>
        </w:rPr>
        <w:t>Randomised controlled trials excluded due to overlap with another study included</w:t>
      </w:r>
    </w:p>
    <w:p w:rsidR="00435051" w:rsidRPr="00E3331A" w:rsidRDefault="00435051" w:rsidP="00435051">
      <w:r w:rsidRPr="00E3331A">
        <w:t>Eftimov F, Vermeulen M, Van Doorn PA, Brusse E, Van Schaik IN. Long-term remission of CIDP after pulsed dexamethasone or short-term prednisolone treatment. Neurology. 2012;78(14):1079-84.</w:t>
      </w:r>
    </w:p>
    <w:p w:rsidR="00435051" w:rsidRPr="00E3331A" w:rsidRDefault="00435051" w:rsidP="00435051">
      <w:pPr>
        <w:rPr>
          <w:rFonts w:cs="Times New Roman"/>
          <w:b/>
        </w:rPr>
      </w:pPr>
      <w:r w:rsidRPr="00E3331A">
        <w:rPr>
          <w:b/>
        </w:rPr>
        <w:t>Non-RCT comparative studies that were excluded due to a lack of safety data</w:t>
      </w:r>
    </w:p>
    <w:p w:rsidR="00435051" w:rsidRPr="00E3331A" w:rsidRDefault="00435051" w:rsidP="00435051">
      <w:r w:rsidRPr="00E3331A">
        <w:t>Korinthenberg R. Chronic inflammatory demyelinating polyradiculoneuropathy in children and their response to treatment. Neuropediatrics. 1999;30(4):190-6.</w:t>
      </w:r>
    </w:p>
    <w:p w:rsidR="00435051" w:rsidRPr="00E3331A" w:rsidRDefault="00435051" w:rsidP="00435051">
      <w:r w:rsidRPr="00E3331A">
        <w:lastRenderedPageBreak/>
        <w:t>Rabin M, Mutlu G, Stojkovic T, Maisonobe T, Lenglet T, Fournier E, et al. Chronic inflammatory demyelinating polyradiculoneuropathy: Search for factors associated with treatment dependence or successful withdrawal. Journal of Neurology, Neurosurgery and Psychiatry. 2014;85(8):899-904.</w:t>
      </w:r>
    </w:p>
    <w:p w:rsidR="00435051" w:rsidRPr="00E3331A" w:rsidRDefault="00435051" w:rsidP="00435051">
      <w:r w:rsidRPr="00E3331A">
        <w:t>Sghirlanzoni A, Solari A, Ciano C, Mariotti C, Fallica E, Pareyson D. Chronic inflammatory demyelinating polyradiculoneuropathy: Long-term course and treatment of 60 patients. Neurological Sciences. 2000;21(1):31-7.</w:t>
      </w:r>
    </w:p>
    <w:p w:rsidR="00435051" w:rsidRPr="00E3331A" w:rsidRDefault="00435051" w:rsidP="00435051">
      <w:pPr>
        <w:rPr>
          <w:rFonts w:cs="Times New Roman"/>
          <w:b/>
        </w:rPr>
      </w:pPr>
      <w:r w:rsidRPr="00E3331A">
        <w:t>van Lieverloo GGA, Peric S, Doneddu PE, Gallia F, Nikolic A, Wieske L, et al. Corticosteroids in chronic inflammatory demyelinating polyneuropathy: A retrospective, multicentre study, comparing efficacy and safety of daily prednisolone, pulsed dexamethasone, and pulsed intravenous methylprednisolone. Journal of Neurology. 2018;265(9):2052-9.</w:t>
      </w:r>
      <w:r w:rsidRPr="00E3331A">
        <w:rPr>
          <w:b/>
        </w:rPr>
        <w:t>Case series studies of IVIG excluded due to lack of safety data</w:t>
      </w:r>
    </w:p>
    <w:p w:rsidR="00435051" w:rsidRPr="00E3331A" w:rsidRDefault="00435051" w:rsidP="00435051">
      <w:r w:rsidRPr="00E3331A">
        <w:t>Berg R, Fuellenhals E. Aseptic meningitis following therapy with immune globulins: a combination of product features and patient characteristics? Transfusion. 2016;56(12):3021-8.</w:t>
      </w:r>
    </w:p>
    <w:p w:rsidR="00435051" w:rsidRPr="00E3331A" w:rsidRDefault="00435051" w:rsidP="00435051">
      <w:r w:rsidRPr="00E3331A">
        <w:t>Cirillo G, Todisco V, Tedeschi G. Long-term neurophysiological and clinical response in patients with chronic inflammatory demyelinating polyradiculoneuropathy treated with subcutaneous immunoglobulin. Clinical Neurophysiology. 2018;129(5):967-73.</w:t>
      </w:r>
    </w:p>
    <w:p w:rsidR="00435051" w:rsidRPr="00E3331A" w:rsidRDefault="00435051" w:rsidP="00435051">
      <w:r w:rsidRPr="00E3331A">
        <w:t>Dyer WB, Tan JC, Day T, Kiers L, Kiernan MC, Yiannikas C, et al. Immunomodulation of inflammatory leukocyte markers during intravenous immunoglobulin treatment associated with clinical efficacy in chronic inflammatory demyelinating polyradiculoneuropathy. Brain Behav. 2016;6(10):e00516.</w:t>
      </w:r>
    </w:p>
    <w:p w:rsidR="00435051" w:rsidRPr="00E3331A" w:rsidRDefault="00435051" w:rsidP="00435051">
      <w:r w:rsidRPr="00E3331A">
        <w:t>Ellrichmann G, Gold R, Ayzenberg I, Yoon MS, Schneider-Gold C. Two years' long-term follow</w:t>
      </w:r>
      <w:r w:rsidR="000C0E99">
        <w:t>-</w:t>
      </w:r>
      <w:r w:rsidRPr="00E3331A">
        <w:t>up in chronic inflammatory demyelinating polyradiculoneuropathy: Efficacy of intravenous immunoglobulin treatment. Therapeutic Advances in Neurological Disorders. 2017;10(2):91-101.</w:t>
      </w:r>
    </w:p>
    <w:p w:rsidR="00435051" w:rsidRPr="00E3331A" w:rsidRDefault="00435051" w:rsidP="00435051">
      <w:r w:rsidRPr="00E3331A">
        <w:t>Frenzel W, Wietek S, Svae TE, Debes A, Svorc D. Tolerability and safety of Octagam&lt;sup&gt;&lt;/sup&gt; (IVIG): A post-authorization safety analysis of four non-interventional phase IV trials. International Journal of Clinical Pharmacology and Therapeutics. 2016;54(11):847-55.</w:t>
      </w:r>
    </w:p>
    <w:p w:rsidR="00435051" w:rsidRPr="00E3331A" w:rsidRDefault="00435051" w:rsidP="00435051">
      <w:r w:rsidRPr="00E3331A">
        <w:t>Harbo T, Andersen H, Jakobsen J. Acute motor response following a single IVIG treatment course In chronic inflammatory pemyelinating polyneuropathy. Muscle and Nerve. 2009;39(4):439-47.</w:t>
      </w:r>
    </w:p>
    <w:p w:rsidR="00435051" w:rsidRPr="00E3331A" w:rsidRDefault="00435051" w:rsidP="00435051">
      <w:r w:rsidRPr="00E3331A">
        <w:t>Iijima M, Yamamoto M, Hirayama M, Tanaka F, Katsuno M, Mori K, et al. Clinical and electrophysiologic correlates of IVIg responsiveness in CIDP. Neurology. 2005;64(8):1471-5.</w:t>
      </w:r>
    </w:p>
    <w:p w:rsidR="00435051" w:rsidRPr="00E3331A" w:rsidRDefault="00435051" w:rsidP="00435051">
      <w:r w:rsidRPr="00E3331A">
        <w:t>Jann S, Bramerio MA, Facchetti D, Sterzi R. Intravenous immunoglobulin is effective in patients with diabetes and with chronic inflammatory demyelinating polyneuropathy: Long term follow-up. Journal of Neurology, Neurosurgery and Psychiatry. 2009;80(1):70-3.</w:t>
      </w:r>
    </w:p>
    <w:p w:rsidR="00435051" w:rsidRPr="00E3331A" w:rsidRDefault="00435051" w:rsidP="00435051">
      <w:r w:rsidRPr="00E3331A">
        <w:lastRenderedPageBreak/>
        <w:t>Nadeau JO, Bhibhatbhan A, McDougall D, Toth C. Identification and comparison of adverse events for preparations of IVIG in patients with neuromuscular diseases. Clinical Neurology and Neurosurgery. 2010;112(6):467-9.</w:t>
      </w:r>
    </w:p>
    <w:p w:rsidR="00435051" w:rsidRPr="00E3331A" w:rsidRDefault="00435051" w:rsidP="00435051">
      <w:r w:rsidRPr="00E3331A">
        <w:t>Souayah N, Pahwa A, Burawski L, Opila T, Sander HW. A retrospective analysis of the safety profile of intravenous immunoglobulin in 1176 patients receiving home infusion therapy. Journal of Clinical Neuromuscular Disease. 2018;19(4):181-95.</w:t>
      </w:r>
    </w:p>
    <w:p w:rsidR="00435051" w:rsidRPr="00E3331A" w:rsidRDefault="00435051" w:rsidP="00435051">
      <w:r w:rsidRPr="00E3331A">
        <w:t>Stangel M, Baumann U, Borte M, Fasshauer M, Hensel M, Huscher D, et al. Treatment of neurological autoimmune diseases with immunoglobulins: First insights from the prospective signs registry. Journal of Clinical Immunology. 2013;33(SUPPL.1):S67-S71.</w:t>
      </w:r>
    </w:p>
    <w:p w:rsidR="00435051" w:rsidRPr="00E3331A" w:rsidRDefault="00435051" w:rsidP="00435051">
      <w:r w:rsidRPr="00E3331A">
        <w:t>Vucic S, Black K, Baldassari LE, Tick Chong PS, Dawson KT, Cros D. Long-term effects of intravenous immunoglobulin in CIDP. Clinical Neurophysiology. 2007;118(9):1980-4.</w:t>
      </w:r>
    </w:p>
    <w:p w:rsidR="00435051" w:rsidRPr="00E3331A" w:rsidRDefault="00435051" w:rsidP="00435051">
      <w:r w:rsidRPr="00E3331A">
        <w:t>Wittstock M, Benecke R, Zettl UK. Therapy with intravenous immunoglobulins: Complications and side</w:t>
      </w:r>
      <w:r w:rsidR="00417823">
        <w:t xml:space="preserve"> </w:t>
      </w:r>
      <w:r w:rsidRPr="00E3331A">
        <w:t>effects. European Neurology. 2003;50(3):172-5.</w:t>
      </w:r>
    </w:p>
    <w:p w:rsidR="00435051" w:rsidRPr="00E3331A" w:rsidRDefault="00435051" w:rsidP="00435051">
      <w:r w:rsidRPr="00E3331A">
        <w:t>van Doorn PA, Vermeulen M, Brand A, Mulder PG, Busch HF. Intravenous immunoglobulin treatment in patients with chronic inflammatory demyelinating polyneuropathy. Clinical and laboratory characteristics associated with improvement. Arch Neurol. 1991;48(2):217-20.</w:t>
      </w:r>
    </w:p>
    <w:p w:rsidR="00435051" w:rsidRPr="00E3331A" w:rsidRDefault="00435051" w:rsidP="00435051">
      <w:r w:rsidRPr="00E3331A">
        <w:t>Rajabally YA, Afzal S. Clinical and economic comparison of an individualised immunoglobulin protocol vs. standard dosing for chronic inflammatory demyelinating polyneuropathy. Journal of Neurology. 2019;266(2):461-7.</w:t>
      </w:r>
    </w:p>
    <w:p w:rsidR="00435051" w:rsidRPr="00E3331A" w:rsidRDefault="00435051" w:rsidP="00435051">
      <w:pPr>
        <w:rPr>
          <w:rFonts w:cs="Times New Roman"/>
          <w:b/>
        </w:rPr>
      </w:pPr>
      <w:r w:rsidRPr="00E3331A">
        <w:rPr>
          <w:b/>
        </w:rPr>
        <w:t>Case series of comparators excluded due to lack of safety data</w:t>
      </w:r>
    </w:p>
    <w:p w:rsidR="00435051" w:rsidRPr="00E3331A" w:rsidRDefault="00435051" w:rsidP="00435051">
      <w:r w:rsidRPr="00E3331A">
        <w:t>Barnett MH, Pollard JD, Davies L, McLeod JG. Cyclosporin a in resistant demyelinating polyradiculoneuropathy. Muscle and Nerve. 1998;21(4):454-60.</w:t>
      </w:r>
    </w:p>
    <w:p w:rsidR="00435051" w:rsidRPr="00E3331A" w:rsidRDefault="00435051" w:rsidP="00435051">
      <w:r w:rsidRPr="00E3331A">
        <w:t xml:space="preserve">Codron P, Cousin M, Subra JF, Pautot V, Letournel F, Verny C, et al. Therapeutic plasma exchange in chronic dysimmune peripheral neuropathies: a 10-year retrospective study. Journal of </w:t>
      </w:r>
      <w:r w:rsidR="00BE54F2">
        <w:t>C</w:t>
      </w:r>
      <w:r w:rsidRPr="00E3331A">
        <w:t xml:space="preserve">linical </w:t>
      </w:r>
      <w:r w:rsidR="00BE54F2">
        <w:t>A</w:t>
      </w:r>
      <w:r w:rsidRPr="00E3331A">
        <w:t>pheresis. 2017(pagination).</w:t>
      </w:r>
    </w:p>
    <w:p w:rsidR="00435051" w:rsidRPr="00E3331A" w:rsidRDefault="00435051" w:rsidP="00435051">
      <w:r w:rsidRPr="00E3331A">
        <w:t>Couriel D, Weinstein R. Complications of therapeutic plasma exchange: A recent assessment. Journal of Clinical Apheresis. 1994;9(1):1-5.</w:t>
      </w:r>
    </w:p>
    <w:p w:rsidR="00435051" w:rsidRPr="00E3331A" w:rsidRDefault="00435051" w:rsidP="00435051">
      <w:r w:rsidRPr="00E3331A">
        <w:t>Kiprov DD, Golden P, Rohe R, Smith S, Hofmann J, Hunnicutt J. Adverse reactions associated with mobile therapeutic apheresis: Analysis of 17,940 procedures. Journal of Clinical Apheresis. 2001;16(3):130-3.</w:t>
      </w:r>
    </w:p>
    <w:p w:rsidR="00435051" w:rsidRPr="00E3331A" w:rsidRDefault="00435051" w:rsidP="00435051">
      <w:r w:rsidRPr="00E3331A">
        <w:lastRenderedPageBreak/>
        <w:t>Pitarokoili K, Yoon MS, Kroger I, Reinacher-Schick A, Gold R, Schneider-Gold C. Severe refractory CIDP: a case series of 10 patients treated with bortezomib. Journal of Neurology. 2017;264(9):2010-20.</w:t>
      </w:r>
    </w:p>
    <w:p w:rsidR="00435051" w:rsidRPr="00E3331A" w:rsidRDefault="00435051" w:rsidP="00435051">
      <w:r w:rsidRPr="00E3331A">
        <w:t>Press R, Askmark H, Svenningsson A, Andersen O, Axelson HW, Stromberg U, et al. Autologous haematopoietic stem cell transplantation: a viable treatment option for CIDP. J Neurol Neurosurg Psychiatry. 2014;85(6):618-24.</w:t>
      </w:r>
    </w:p>
    <w:p w:rsidR="001341F5" w:rsidRPr="00E3331A" w:rsidRDefault="001341F5" w:rsidP="003840DD">
      <w:pPr>
        <w:rPr>
          <w:rFonts w:eastAsia="Calibri"/>
          <w:lang w:eastAsia="en-US"/>
        </w:rPr>
      </w:pPr>
      <w:r w:rsidRPr="00E3331A">
        <w:rPr>
          <w:rFonts w:eastAsia="Calibri"/>
          <w:lang w:eastAsia="en-US"/>
        </w:rPr>
        <w:br w:type="page"/>
      </w:r>
    </w:p>
    <w:p w:rsidR="006C0851" w:rsidRPr="00E3331A" w:rsidRDefault="008F59A8" w:rsidP="00DF343F">
      <w:pPr>
        <w:pStyle w:val="Heading1"/>
        <w:jc w:val="both"/>
      </w:pPr>
      <w:bookmarkStart w:id="586" w:name="_Toc379118117"/>
      <w:bookmarkStart w:id="587" w:name="_Toc381796514"/>
      <w:bookmarkStart w:id="588" w:name="_Toc24103543"/>
      <w:r w:rsidRPr="00E3331A">
        <w:lastRenderedPageBreak/>
        <w:t>References</w:t>
      </w:r>
      <w:bookmarkEnd w:id="586"/>
      <w:bookmarkEnd w:id="587"/>
      <w:bookmarkEnd w:id="588"/>
      <w:r w:rsidRPr="00E3331A">
        <w:t xml:space="preserve"> </w:t>
      </w:r>
    </w:p>
    <w:p w:rsidR="00B85C75" w:rsidRPr="00697CE0" w:rsidRDefault="00B85C75" w:rsidP="00B85C75">
      <w:pPr>
        <w:pStyle w:val="EndNoteBibliography"/>
        <w:spacing w:after="0"/>
        <w:ind w:left="720" w:hanging="720"/>
        <w:rPr>
          <w:rFonts w:asciiTheme="minorHAnsi" w:hAnsiTheme="minorHAnsi" w:cstheme="minorHAnsi"/>
        </w:rPr>
      </w:pPr>
      <w:bookmarkStart w:id="589" w:name="_ENREF_1"/>
      <w:r w:rsidRPr="00697CE0">
        <w:rPr>
          <w:rFonts w:asciiTheme="minorHAnsi" w:hAnsiTheme="minorHAnsi" w:cstheme="minorHAnsi"/>
        </w:rPr>
        <w:t xml:space="preserve">1991, 'Research criteria for diagnosis of chronic inflammatory demyelinating polyneuropathy (CIDP)', </w:t>
      </w:r>
      <w:r w:rsidRPr="00697CE0">
        <w:rPr>
          <w:rFonts w:asciiTheme="minorHAnsi" w:hAnsiTheme="minorHAnsi" w:cstheme="minorHAnsi"/>
          <w:i/>
        </w:rPr>
        <w:t>Neurology</w:t>
      </w:r>
      <w:r w:rsidRPr="00697CE0">
        <w:rPr>
          <w:rFonts w:asciiTheme="minorHAnsi" w:hAnsiTheme="minorHAnsi" w:cstheme="minorHAnsi"/>
        </w:rPr>
        <w:t>, vol.41, pp. 617-18.</w:t>
      </w:r>
      <w:bookmarkEnd w:id="589"/>
    </w:p>
    <w:p w:rsidR="00B85C75" w:rsidRPr="00697CE0" w:rsidRDefault="00B85C75" w:rsidP="00B85C75">
      <w:pPr>
        <w:pStyle w:val="EndNoteBibliography"/>
        <w:spacing w:after="0"/>
        <w:ind w:left="720" w:hanging="720"/>
        <w:rPr>
          <w:rFonts w:asciiTheme="minorHAnsi" w:hAnsiTheme="minorHAnsi" w:cstheme="minorHAnsi"/>
        </w:rPr>
      </w:pPr>
      <w:bookmarkStart w:id="590" w:name="_ENREF_2"/>
      <w:r w:rsidRPr="00697CE0">
        <w:rPr>
          <w:rFonts w:asciiTheme="minorHAnsi" w:hAnsiTheme="minorHAnsi" w:cstheme="minorHAnsi"/>
        </w:rPr>
        <w:t xml:space="preserve">AAAAI 2019, </w:t>
      </w:r>
      <w:r w:rsidRPr="00697CE0">
        <w:rPr>
          <w:rFonts w:asciiTheme="minorHAnsi" w:hAnsiTheme="minorHAnsi" w:cstheme="minorHAnsi"/>
          <w:i/>
        </w:rPr>
        <w:t>Preparing for Intravenous Immunoglobulin (IVIG) Infusion Therapy</w:t>
      </w:r>
      <w:r w:rsidRPr="00697CE0">
        <w:rPr>
          <w:rFonts w:asciiTheme="minorHAnsi" w:hAnsiTheme="minorHAnsi" w:cstheme="minorHAnsi"/>
        </w:rPr>
        <w:t>, American Academy of Allergy Asthma &amp; Immunology, USA, viewed 14th May 2019, &lt;</w:t>
      </w:r>
      <w:r w:rsidRPr="00697CE0">
        <w:rPr>
          <w:rFonts w:asciiTheme="minorHAnsi" w:hAnsiTheme="minorHAnsi" w:cstheme="minorHAnsi"/>
          <w:u w:val="single"/>
        </w:rPr>
        <w:t>https://www.aaaai.org/conditions-and-treatments/library/immune-deficiencies-library/ivig</w:t>
      </w:r>
      <w:r w:rsidRPr="00697CE0">
        <w:rPr>
          <w:rFonts w:asciiTheme="minorHAnsi" w:hAnsiTheme="minorHAnsi" w:cstheme="minorHAnsi"/>
        </w:rPr>
        <w:t>&gt;.</w:t>
      </w:r>
      <w:bookmarkEnd w:id="590"/>
    </w:p>
    <w:p w:rsidR="00894B5E" w:rsidRPr="00697CE0" w:rsidRDefault="00894B5E" w:rsidP="00B85C75">
      <w:pPr>
        <w:pStyle w:val="EndNoteBibliography"/>
        <w:spacing w:after="0"/>
        <w:ind w:left="720" w:hanging="720"/>
        <w:rPr>
          <w:rFonts w:asciiTheme="minorHAnsi" w:hAnsiTheme="minorHAnsi" w:cstheme="minorHAnsi"/>
        </w:rPr>
      </w:pPr>
      <w:bookmarkStart w:id="591" w:name="_ENREF_3"/>
      <w:r w:rsidRPr="00697CE0">
        <w:rPr>
          <w:rFonts w:asciiTheme="minorHAnsi" w:hAnsiTheme="minorHAnsi" w:cstheme="minorHAnsi"/>
        </w:rPr>
        <w:t>Abimanyi-Ochom et al. (2015). Changes in quality of life associated with fragility fractures: Australian arm of the International Cost and Utility Related to Osteoporotic Fractures Study (AusICUROS). Osteoporosis International, 1781-1790</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ABS 2019, </w:t>
      </w:r>
      <w:r w:rsidRPr="00697CE0">
        <w:rPr>
          <w:rFonts w:asciiTheme="minorHAnsi" w:hAnsiTheme="minorHAnsi" w:cstheme="minorHAnsi"/>
          <w:i/>
        </w:rPr>
        <w:t>Population</w:t>
      </w:r>
      <w:r w:rsidRPr="00697CE0">
        <w:rPr>
          <w:rFonts w:asciiTheme="minorHAnsi" w:hAnsiTheme="minorHAnsi" w:cstheme="minorHAnsi"/>
        </w:rPr>
        <w:t>, viewed 17 July 2019, &lt;</w:t>
      </w:r>
      <w:r w:rsidRPr="00697CE0">
        <w:rPr>
          <w:rFonts w:asciiTheme="minorHAnsi" w:hAnsiTheme="minorHAnsi" w:cstheme="minorHAnsi"/>
          <w:u w:val="single"/>
        </w:rPr>
        <w:t>https://www.abs.gov.au/Population</w:t>
      </w:r>
      <w:r w:rsidRPr="00697CE0">
        <w:rPr>
          <w:rFonts w:asciiTheme="minorHAnsi" w:hAnsiTheme="minorHAnsi" w:cstheme="minorHAnsi"/>
        </w:rPr>
        <w:t>&gt;.</w:t>
      </w:r>
      <w:bookmarkEnd w:id="591"/>
    </w:p>
    <w:p w:rsidR="00894B5E" w:rsidRPr="00697CE0" w:rsidRDefault="00894B5E" w:rsidP="00B85C75">
      <w:pPr>
        <w:pStyle w:val="EndNoteBibliography"/>
        <w:spacing w:after="0"/>
        <w:ind w:left="720" w:hanging="720"/>
        <w:rPr>
          <w:rFonts w:asciiTheme="minorHAnsi" w:hAnsiTheme="minorHAnsi" w:cstheme="minorHAnsi"/>
        </w:rPr>
      </w:pPr>
      <w:bookmarkStart w:id="592" w:name="_ENREF_4"/>
      <w:r w:rsidRPr="00697CE0">
        <w:rPr>
          <w:rFonts w:asciiTheme="minorHAnsi" w:hAnsiTheme="minorHAnsi" w:cstheme="minorHAnsi"/>
        </w:rPr>
        <w:t>Afzali et al. (2013) A model-based economic evaluation of improved primary care management of patients with type 2 diabetes in Australia, Applied Health Economics and Health Policy, 11, 661-670</w:t>
      </w:r>
    </w:p>
    <w:p w:rsidR="00894B5E" w:rsidRPr="00697CE0" w:rsidRDefault="00894B5E"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Ahmad H, Taylor BV, van der Mei I, et al. The impact of multiple sclerosis severity on health state utility values: Evidence from Australia. Mult Scler 2017; 23(8): 1157–1166</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American Society for Apheresis 2019, </w:t>
      </w:r>
      <w:r w:rsidRPr="00697CE0">
        <w:rPr>
          <w:rFonts w:asciiTheme="minorHAnsi" w:hAnsiTheme="minorHAnsi" w:cstheme="minorHAnsi"/>
          <w:i/>
        </w:rPr>
        <w:t>Procedure: Therapeutic Plasma Exchange</w:t>
      </w:r>
      <w:r w:rsidRPr="00697CE0">
        <w:rPr>
          <w:rFonts w:asciiTheme="minorHAnsi" w:hAnsiTheme="minorHAnsi" w:cstheme="minorHAnsi"/>
        </w:rPr>
        <w:t>, American Society for Apheresis, USA, viewed 7th May 2019, &lt;</w:t>
      </w:r>
      <w:r w:rsidRPr="00697CE0">
        <w:rPr>
          <w:rFonts w:asciiTheme="minorHAnsi" w:hAnsiTheme="minorHAnsi" w:cstheme="minorHAnsi"/>
          <w:u w:val="single"/>
        </w:rPr>
        <w:t>https://cdn.ymaws.com/www.apheresis.org/resource/resmgr/fact_sheets_file/therapeutic_plasma_exchange.pdf</w:t>
      </w:r>
      <w:r w:rsidRPr="00697CE0">
        <w:rPr>
          <w:rFonts w:asciiTheme="minorHAnsi" w:hAnsiTheme="minorHAnsi" w:cstheme="minorHAnsi"/>
        </w:rPr>
        <w:t>&gt;.</w:t>
      </w:r>
      <w:bookmarkEnd w:id="592"/>
    </w:p>
    <w:p w:rsidR="00B85C75" w:rsidRPr="00697CE0" w:rsidRDefault="00B85C75" w:rsidP="00B85C75">
      <w:pPr>
        <w:pStyle w:val="EndNoteBibliography"/>
        <w:spacing w:after="0"/>
        <w:ind w:left="720" w:hanging="720"/>
        <w:rPr>
          <w:rFonts w:asciiTheme="minorHAnsi" w:hAnsiTheme="minorHAnsi" w:cstheme="minorHAnsi"/>
        </w:rPr>
      </w:pPr>
      <w:bookmarkStart w:id="593" w:name="_ENREF_5"/>
      <w:r w:rsidRPr="00697CE0">
        <w:rPr>
          <w:rFonts w:asciiTheme="minorHAnsi" w:hAnsiTheme="minorHAnsi" w:cstheme="minorHAnsi"/>
        </w:rPr>
        <w:t xml:space="preserve">ASCIA 2018, </w:t>
      </w:r>
      <w:r w:rsidRPr="00697CE0">
        <w:rPr>
          <w:rFonts w:asciiTheme="minorHAnsi" w:hAnsiTheme="minorHAnsi" w:cstheme="minorHAnsi"/>
          <w:i/>
        </w:rPr>
        <w:t>Position Statement - Subcutaneous Immunoglobulin (SCIg)</w:t>
      </w:r>
      <w:r w:rsidRPr="00697CE0">
        <w:rPr>
          <w:rFonts w:asciiTheme="minorHAnsi" w:hAnsiTheme="minorHAnsi" w:cstheme="minorHAnsi"/>
        </w:rPr>
        <w:t>, Australasian Society of Clinical Immunology and Allergy, Australia, viewed 8th May 2019, &lt;</w:t>
      </w:r>
      <w:r w:rsidRPr="00697CE0">
        <w:rPr>
          <w:rFonts w:asciiTheme="minorHAnsi" w:hAnsiTheme="minorHAnsi" w:cstheme="minorHAnsi"/>
          <w:u w:val="single"/>
        </w:rPr>
        <w:t>https://www.allergy.org.au/hp/papers/scig</w:t>
      </w:r>
      <w:r w:rsidRPr="00697CE0">
        <w:rPr>
          <w:rFonts w:asciiTheme="minorHAnsi" w:hAnsiTheme="minorHAnsi" w:cstheme="minorHAnsi"/>
        </w:rPr>
        <w:t>&gt;.</w:t>
      </w:r>
      <w:bookmarkEnd w:id="593"/>
    </w:p>
    <w:p w:rsidR="00B85C75" w:rsidRPr="00697CE0" w:rsidRDefault="00B85C75" w:rsidP="00B85C75">
      <w:pPr>
        <w:pStyle w:val="EndNoteBibliography"/>
        <w:spacing w:after="0"/>
        <w:ind w:left="720" w:hanging="720"/>
        <w:rPr>
          <w:rFonts w:asciiTheme="minorHAnsi" w:hAnsiTheme="minorHAnsi" w:cstheme="minorHAnsi"/>
        </w:rPr>
      </w:pPr>
      <w:bookmarkStart w:id="594" w:name="_ENREF_6"/>
      <w:r w:rsidRPr="00697CE0">
        <w:rPr>
          <w:rFonts w:asciiTheme="minorHAnsi" w:hAnsiTheme="minorHAnsi" w:cstheme="minorHAnsi"/>
        </w:rPr>
        <w:t xml:space="preserve">Ashworth, NL, Zochodne, DW, Hahn, AF, Pillay, N, Chalk, C, Benstead, T, Bril, V, Feasby, TE &amp; Bolton, CF 2000, 'Impact of plasma exchange on indices of demyelination in chronic inflammatory demyelinating polyradiculoneuropathy', </w:t>
      </w:r>
      <w:r w:rsidRPr="00697CE0">
        <w:rPr>
          <w:rFonts w:asciiTheme="minorHAnsi" w:hAnsiTheme="minorHAnsi" w:cstheme="minorHAnsi"/>
          <w:i/>
        </w:rPr>
        <w:t>Muscle and Nerve</w:t>
      </w:r>
      <w:r w:rsidRPr="00697CE0">
        <w:rPr>
          <w:rFonts w:asciiTheme="minorHAnsi" w:hAnsiTheme="minorHAnsi" w:cstheme="minorHAnsi"/>
        </w:rPr>
        <w:t>, vol.23, pp. 206-10.</w:t>
      </w:r>
      <w:bookmarkEnd w:id="594"/>
    </w:p>
    <w:p w:rsidR="00B85C75" w:rsidRPr="00697CE0" w:rsidRDefault="00B85C75" w:rsidP="00B85C75">
      <w:pPr>
        <w:pStyle w:val="EndNoteBibliography"/>
        <w:spacing w:after="0"/>
        <w:ind w:left="720" w:hanging="720"/>
        <w:rPr>
          <w:rFonts w:asciiTheme="minorHAnsi" w:hAnsiTheme="minorHAnsi" w:cstheme="minorHAnsi"/>
        </w:rPr>
      </w:pPr>
      <w:bookmarkStart w:id="595" w:name="_ENREF_7"/>
      <w:r w:rsidRPr="00697CE0">
        <w:rPr>
          <w:rFonts w:asciiTheme="minorHAnsi" w:hAnsiTheme="minorHAnsi" w:cstheme="minorHAnsi"/>
        </w:rPr>
        <w:t xml:space="preserve">Bae, SC, Corzillius, M, Kuntz, K &amp; Liang, M 2003, 'Cost‐effectiveness of low dose corticosteroids versus non‐steroidal anti‐inflammatory drugs and COX‐2 specific inhibitors in the long‐term treatment of rheumatoid arthritis', </w:t>
      </w:r>
      <w:r w:rsidRPr="00697CE0">
        <w:rPr>
          <w:rFonts w:asciiTheme="minorHAnsi" w:hAnsiTheme="minorHAnsi" w:cstheme="minorHAnsi"/>
          <w:i/>
        </w:rPr>
        <w:t>Rheumatology</w:t>
      </w:r>
      <w:r w:rsidRPr="00697CE0">
        <w:rPr>
          <w:rFonts w:asciiTheme="minorHAnsi" w:hAnsiTheme="minorHAnsi" w:cstheme="minorHAnsi"/>
        </w:rPr>
        <w:t>, vol.42, pp. 46-53.</w:t>
      </w:r>
      <w:bookmarkEnd w:id="595"/>
    </w:p>
    <w:p w:rsidR="00B85C75" w:rsidRPr="00697CE0" w:rsidRDefault="00B85C75" w:rsidP="00B85C75">
      <w:pPr>
        <w:pStyle w:val="EndNoteBibliography"/>
        <w:spacing w:after="0"/>
        <w:ind w:left="720" w:hanging="720"/>
        <w:rPr>
          <w:rFonts w:asciiTheme="minorHAnsi" w:hAnsiTheme="minorHAnsi" w:cstheme="minorHAnsi"/>
        </w:rPr>
      </w:pPr>
      <w:bookmarkStart w:id="596" w:name="_ENREF_8"/>
      <w:r w:rsidRPr="00697CE0">
        <w:rPr>
          <w:rFonts w:asciiTheme="minorHAnsi" w:hAnsiTheme="minorHAnsi" w:cstheme="minorHAnsi"/>
        </w:rPr>
        <w:t xml:space="preserve">Barnett, MH, Pollard, JD, Davies, L &amp; McLeod, JG 1998, 'Cyclosporin a in resistant demyelinating polyradiculoneuropathy', </w:t>
      </w:r>
      <w:r w:rsidRPr="00697CE0">
        <w:rPr>
          <w:rFonts w:asciiTheme="minorHAnsi" w:hAnsiTheme="minorHAnsi" w:cstheme="minorHAnsi"/>
          <w:i/>
        </w:rPr>
        <w:t>Muscle and Nerve</w:t>
      </w:r>
      <w:r w:rsidRPr="00697CE0">
        <w:rPr>
          <w:rFonts w:asciiTheme="minorHAnsi" w:hAnsiTheme="minorHAnsi" w:cstheme="minorHAnsi"/>
        </w:rPr>
        <w:t>, vol.21, pp. 454-60.</w:t>
      </w:r>
      <w:bookmarkEnd w:id="596"/>
    </w:p>
    <w:p w:rsidR="00B85C75" w:rsidRPr="00697CE0" w:rsidRDefault="00B85C75" w:rsidP="00B85C75">
      <w:pPr>
        <w:pStyle w:val="EndNoteBibliography"/>
        <w:spacing w:after="0"/>
        <w:ind w:left="720" w:hanging="720"/>
        <w:rPr>
          <w:rFonts w:asciiTheme="minorHAnsi" w:hAnsiTheme="minorHAnsi" w:cstheme="minorHAnsi"/>
        </w:rPr>
      </w:pPr>
      <w:bookmarkStart w:id="597" w:name="_ENREF_9"/>
      <w:r w:rsidRPr="00697CE0">
        <w:rPr>
          <w:rFonts w:asciiTheme="minorHAnsi" w:hAnsiTheme="minorHAnsi" w:cstheme="minorHAnsi"/>
        </w:rPr>
        <w:t xml:space="preserve">Benedetti, L, Briani, C, Franciotta, D, Fazio, R, Paolasso, I, Comi, C, Luigetti, M, Sabatelli, M, Giannini, F, Mancardi, GL, Schenone, A, Nobile-Orazio, E &amp; Cocito, D 2011, 'Rituximab in patients with chronic inflammatory demyelinating polyradiculoneuropathy: A report of 13 cases and review of the literature', </w:t>
      </w:r>
      <w:r w:rsidRPr="00697CE0">
        <w:rPr>
          <w:rFonts w:asciiTheme="minorHAnsi" w:hAnsiTheme="minorHAnsi" w:cstheme="minorHAnsi"/>
          <w:i/>
        </w:rPr>
        <w:t>Journal of Neurology, Neurosurgery and Psychiatry</w:t>
      </w:r>
      <w:r w:rsidRPr="00697CE0">
        <w:rPr>
          <w:rFonts w:asciiTheme="minorHAnsi" w:hAnsiTheme="minorHAnsi" w:cstheme="minorHAnsi"/>
        </w:rPr>
        <w:t>, vol.82, pp. 306-08.</w:t>
      </w:r>
      <w:bookmarkStart w:id="598" w:name="_ENREF_10"/>
      <w:bookmarkEnd w:id="597"/>
    </w:p>
    <w:p w:rsidR="00B85C75" w:rsidRPr="00697CE0" w:rsidRDefault="00B85C75" w:rsidP="00B85C75">
      <w:pPr>
        <w:pStyle w:val="EndNoteBibliography"/>
        <w:spacing w:after="0"/>
        <w:ind w:left="720" w:hanging="720"/>
        <w:rPr>
          <w:rFonts w:asciiTheme="minorHAnsi" w:hAnsiTheme="minorHAnsi" w:cstheme="minorHAnsi"/>
        </w:rPr>
      </w:pPr>
      <w:bookmarkStart w:id="599" w:name="_ENREF_11"/>
      <w:bookmarkEnd w:id="598"/>
      <w:r w:rsidRPr="00697CE0">
        <w:rPr>
          <w:rFonts w:asciiTheme="minorHAnsi" w:hAnsiTheme="minorHAnsi" w:cstheme="minorHAnsi"/>
        </w:rPr>
        <w:t xml:space="preserve">Boru, UT, Erdogan, H, Alp, R, Tasdemir, M, Yildirim, S, Bilgic, A, Duman, A &amp; Arslan, A 2014, 'Treatment of chronic inflammatory demyelinating polyneuropathy with high dose intravenous methylprednisolone monthly for five years: 10-Year follow up', </w:t>
      </w:r>
      <w:r w:rsidRPr="00697CE0">
        <w:rPr>
          <w:rFonts w:asciiTheme="minorHAnsi" w:hAnsiTheme="minorHAnsi" w:cstheme="minorHAnsi"/>
          <w:i/>
        </w:rPr>
        <w:t>Clinical Neurology and Neurosurgery</w:t>
      </w:r>
      <w:r w:rsidRPr="00697CE0">
        <w:rPr>
          <w:rFonts w:asciiTheme="minorHAnsi" w:hAnsiTheme="minorHAnsi" w:cstheme="minorHAnsi"/>
        </w:rPr>
        <w:t>, vol.118, pp. 89-93.</w:t>
      </w:r>
      <w:bookmarkEnd w:id="599"/>
    </w:p>
    <w:p w:rsidR="00B85C75" w:rsidRPr="00697CE0" w:rsidRDefault="00B85C75" w:rsidP="00B85C75">
      <w:pPr>
        <w:pStyle w:val="EndNoteBibliography"/>
        <w:spacing w:after="0"/>
        <w:ind w:left="720" w:hanging="720"/>
        <w:rPr>
          <w:rFonts w:asciiTheme="minorHAnsi" w:hAnsiTheme="minorHAnsi" w:cstheme="minorHAnsi"/>
        </w:rPr>
      </w:pPr>
      <w:bookmarkStart w:id="600" w:name="_ENREF_12"/>
      <w:r w:rsidRPr="00697CE0">
        <w:rPr>
          <w:rFonts w:asciiTheme="minorHAnsi" w:hAnsiTheme="minorHAnsi" w:cstheme="minorHAnsi"/>
        </w:rPr>
        <w:t xml:space="preserve">Brain Foundation 2019, </w:t>
      </w:r>
      <w:r w:rsidRPr="00697CE0">
        <w:rPr>
          <w:rFonts w:asciiTheme="minorHAnsi" w:hAnsiTheme="minorHAnsi" w:cstheme="minorHAnsi"/>
          <w:i/>
        </w:rPr>
        <w:t>Chronic Inflammatory Demyelinating Polyneuropathy</w:t>
      </w:r>
      <w:r w:rsidRPr="00697CE0">
        <w:rPr>
          <w:rFonts w:asciiTheme="minorHAnsi" w:hAnsiTheme="minorHAnsi" w:cstheme="minorHAnsi"/>
        </w:rPr>
        <w:t>, The Brain Foundation, Australia, viewed 9th April 2019, &lt;</w:t>
      </w:r>
      <w:r w:rsidRPr="00697CE0">
        <w:rPr>
          <w:rFonts w:asciiTheme="minorHAnsi" w:hAnsiTheme="minorHAnsi" w:cstheme="minorHAnsi"/>
          <w:u w:val="single"/>
        </w:rPr>
        <w:t>https://brainfoundation.org.au/disorders/chronic-inflammatory-demyelinating-polyneuropathy/</w:t>
      </w:r>
      <w:r w:rsidRPr="00697CE0">
        <w:rPr>
          <w:rFonts w:asciiTheme="minorHAnsi" w:hAnsiTheme="minorHAnsi" w:cstheme="minorHAnsi"/>
        </w:rPr>
        <w:t>&gt;.</w:t>
      </w:r>
      <w:bookmarkEnd w:id="600"/>
    </w:p>
    <w:p w:rsidR="00B85C75" w:rsidRPr="00697CE0" w:rsidRDefault="00B85C75" w:rsidP="00B85C75">
      <w:pPr>
        <w:pStyle w:val="EndNoteBibliography"/>
        <w:spacing w:after="0"/>
        <w:ind w:left="720" w:hanging="720"/>
        <w:rPr>
          <w:rFonts w:asciiTheme="minorHAnsi" w:hAnsiTheme="minorHAnsi" w:cstheme="minorHAnsi"/>
        </w:rPr>
      </w:pPr>
      <w:bookmarkStart w:id="601" w:name="_ENREF_13"/>
      <w:r w:rsidRPr="00697CE0">
        <w:rPr>
          <w:rFonts w:asciiTheme="minorHAnsi" w:hAnsiTheme="minorHAnsi" w:cstheme="minorHAnsi"/>
        </w:rPr>
        <w:t xml:space="preserve">Bril, V, Katzberg, H, Donofrio, P, Banach, M, Dalakas, MC, Deng, C, Hanna, K, Hartung, HP, Hughes, RA, Latov, N, Merkies, IS, van Doorn, PA &amp; Group, ICES 2009, 'Electrophysiology in chronic inflammatory demyelinating polyneuropathy with IGIV', </w:t>
      </w:r>
      <w:r w:rsidRPr="00697CE0">
        <w:rPr>
          <w:rFonts w:asciiTheme="minorHAnsi" w:hAnsiTheme="minorHAnsi" w:cstheme="minorHAnsi"/>
          <w:i/>
        </w:rPr>
        <w:t>Muscle &amp; nerve</w:t>
      </w:r>
      <w:r w:rsidRPr="00697CE0">
        <w:rPr>
          <w:rFonts w:asciiTheme="minorHAnsi" w:hAnsiTheme="minorHAnsi" w:cstheme="minorHAnsi"/>
        </w:rPr>
        <w:t>, vol.39, pp. 448-55.</w:t>
      </w:r>
      <w:bookmarkEnd w:id="601"/>
    </w:p>
    <w:p w:rsidR="00B85C75" w:rsidRPr="00697CE0" w:rsidRDefault="00B85C75" w:rsidP="00B85C75">
      <w:pPr>
        <w:pStyle w:val="EndNoteBibliography"/>
        <w:spacing w:after="0"/>
        <w:ind w:left="720" w:hanging="720"/>
        <w:rPr>
          <w:rFonts w:asciiTheme="minorHAnsi" w:hAnsiTheme="minorHAnsi" w:cstheme="minorHAnsi"/>
        </w:rPr>
      </w:pPr>
      <w:bookmarkStart w:id="602" w:name="_ENREF_14"/>
      <w:r w:rsidRPr="00697CE0">
        <w:rPr>
          <w:rFonts w:asciiTheme="minorHAnsi" w:hAnsiTheme="minorHAnsi" w:cstheme="minorHAnsi"/>
        </w:rPr>
        <w:t xml:space="preserve">Broers, MC, Bunschoten, C, Nieboer, D, Lingsma, HF &amp; Jacobs, BC 2019, 'Incidence and Prevalence of Chronic Inflammatory Demyelinating Polyradiculoneuropathy: A Systematic Review and Meta-Analysis', </w:t>
      </w:r>
      <w:r w:rsidRPr="00697CE0">
        <w:rPr>
          <w:rFonts w:asciiTheme="minorHAnsi" w:hAnsiTheme="minorHAnsi" w:cstheme="minorHAnsi"/>
          <w:i/>
        </w:rPr>
        <w:t>Neuroepidemiology</w:t>
      </w:r>
      <w:r w:rsidRPr="00697CE0">
        <w:rPr>
          <w:rFonts w:asciiTheme="minorHAnsi" w:hAnsiTheme="minorHAnsi" w:cstheme="minorHAnsi"/>
        </w:rPr>
        <w:t>, vol.52, pp. 161-72.</w:t>
      </w:r>
      <w:bookmarkEnd w:id="602"/>
    </w:p>
    <w:p w:rsidR="00B85C75" w:rsidRPr="00697CE0" w:rsidRDefault="00B85C75" w:rsidP="00B85C75">
      <w:pPr>
        <w:pStyle w:val="EndNoteBibliography"/>
        <w:spacing w:after="0"/>
        <w:ind w:left="720" w:hanging="720"/>
        <w:rPr>
          <w:rFonts w:asciiTheme="minorHAnsi" w:hAnsiTheme="minorHAnsi" w:cstheme="minorHAnsi"/>
        </w:rPr>
      </w:pPr>
      <w:bookmarkStart w:id="603" w:name="_ENREF_15"/>
      <w:r w:rsidRPr="00697CE0">
        <w:rPr>
          <w:rFonts w:asciiTheme="minorHAnsi" w:hAnsiTheme="minorHAnsi" w:cstheme="minorHAnsi"/>
        </w:rPr>
        <w:lastRenderedPageBreak/>
        <w:t xml:space="preserve">Bruce, IN 2005, ''Not only...but also': factors that contribute to accelerated atherosclerosis and premature coronary heart disease in systemic lupus erythematosus', </w:t>
      </w:r>
      <w:r w:rsidRPr="00697CE0">
        <w:rPr>
          <w:rFonts w:asciiTheme="minorHAnsi" w:hAnsiTheme="minorHAnsi" w:cstheme="minorHAnsi"/>
          <w:i/>
        </w:rPr>
        <w:t>Rheumatology (Oxford)</w:t>
      </w:r>
      <w:r w:rsidRPr="00697CE0">
        <w:rPr>
          <w:rFonts w:asciiTheme="minorHAnsi" w:hAnsiTheme="minorHAnsi" w:cstheme="minorHAnsi"/>
        </w:rPr>
        <w:t>, vol.44, pp. 1492-502.</w:t>
      </w:r>
      <w:bookmarkEnd w:id="603"/>
    </w:p>
    <w:p w:rsidR="00B85C75" w:rsidRPr="00697CE0" w:rsidRDefault="00B85C75" w:rsidP="00B85C75">
      <w:pPr>
        <w:pStyle w:val="EndNoteBibliography"/>
        <w:spacing w:after="0"/>
        <w:ind w:left="720" w:hanging="720"/>
        <w:rPr>
          <w:rFonts w:asciiTheme="minorHAnsi" w:hAnsiTheme="minorHAnsi" w:cstheme="minorHAnsi"/>
        </w:rPr>
      </w:pPr>
      <w:bookmarkStart w:id="604" w:name="_ENREF_16"/>
      <w:r w:rsidRPr="00697CE0">
        <w:rPr>
          <w:rFonts w:asciiTheme="minorHAnsi" w:hAnsiTheme="minorHAnsi" w:cstheme="minorHAnsi"/>
        </w:rPr>
        <w:t xml:space="preserve">Buchman, AL 2001, 'Side effects of corticosteroid therapy', </w:t>
      </w:r>
      <w:r w:rsidRPr="00697CE0">
        <w:rPr>
          <w:rFonts w:asciiTheme="minorHAnsi" w:hAnsiTheme="minorHAnsi" w:cstheme="minorHAnsi"/>
          <w:i/>
        </w:rPr>
        <w:t>J Clin Gastroenterol</w:t>
      </w:r>
      <w:r w:rsidRPr="00697CE0">
        <w:rPr>
          <w:rFonts w:asciiTheme="minorHAnsi" w:hAnsiTheme="minorHAnsi" w:cstheme="minorHAnsi"/>
        </w:rPr>
        <w:t>, vol.33, pp. 289-94.</w:t>
      </w:r>
      <w:bookmarkEnd w:id="604"/>
    </w:p>
    <w:p w:rsidR="00EB3EF7" w:rsidRPr="00697CE0" w:rsidRDefault="00EB3EF7" w:rsidP="00B85C75">
      <w:pPr>
        <w:pStyle w:val="EndNoteBibliography"/>
        <w:spacing w:after="0"/>
        <w:ind w:left="720" w:hanging="720"/>
        <w:rPr>
          <w:rFonts w:asciiTheme="minorHAnsi" w:hAnsiTheme="minorHAnsi" w:cstheme="minorHAnsi"/>
        </w:rPr>
      </w:pPr>
      <w:bookmarkStart w:id="605" w:name="_ENREF_17"/>
      <w:r w:rsidRPr="00697CE0">
        <w:rPr>
          <w:rFonts w:asciiTheme="minorHAnsi" w:hAnsiTheme="minorHAnsi" w:cstheme="minorHAnsi"/>
        </w:rPr>
        <w:t>Centre for Eye Research Australia and Access Economics 2004, Clear Insight: the economic impact and cost of vision loss in Australia, report for the Centre for Eye Research Australia (CERA).</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Chand, NK, Subramanya, HB &amp; Rao, GV 2014, 'Management of patients who refuse blood transfusion', </w:t>
      </w:r>
      <w:r w:rsidRPr="00697CE0">
        <w:rPr>
          <w:rFonts w:asciiTheme="minorHAnsi" w:hAnsiTheme="minorHAnsi" w:cstheme="minorHAnsi"/>
          <w:i/>
        </w:rPr>
        <w:t>Indian J Anaesth</w:t>
      </w:r>
      <w:r w:rsidRPr="00697CE0">
        <w:rPr>
          <w:rFonts w:asciiTheme="minorHAnsi" w:hAnsiTheme="minorHAnsi" w:cstheme="minorHAnsi"/>
        </w:rPr>
        <w:t>, vol.58, pp. 658-64.</w:t>
      </w:r>
      <w:bookmarkEnd w:id="605"/>
    </w:p>
    <w:p w:rsidR="00EB3EF7" w:rsidRPr="00697CE0" w:rsidRDefault="00EB3EF7" w:rsidP="00B85C75">
      <w:pPr>
        <w:pStyle w:val="EndNoteBibliography"/>
        <w:spacing w:after="0"/>
        <w:ind w:left="720" w:hanging="720"/>
        <w:rPr>
          <w:rFonts w:asciiTheme="minorHAnsi" w:hAnsiTheme="minorHAnsi" w:cstheme="minorHAnsi"/>
        </w:rPr>
      </w:pPr>
      <w:bookmarkStart w:id="606" w:name="_ENREF_18"/>
      <w:r w:rsidRPr="00697CE0">
        <w:rPr>
          <w:rFonts w:asciiTheme="minorHAnsi" w:hAnsiTheme="minorHAnsi" w:cstheme="minorHAnsi"/>
        </w:rPr>
        <w:t>Chau D, Becker DL, Coombes ME, Ioannidis G, Adachi JD, Goeree R. Cost-effectiveness of denosumab in the treatment of postmenopausal osteoporosis in Canada. J Med Econ. 2012;15(Suppl 1):3–14.</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Choudhary, PP &amp; Hughes, RA 1995, 'Long-term treatment of chronic inflammatory demyelinating polyradiculoneuropathy with plasma exchange or intravenous immunoglobulin', </w:t>
      </w:r>
      <w:r w:rsidRPr="00697CE0">
        <w:rPr>
          <w:rFonts w:asciiTheme="minorHAnsi" w:hAnsiTheme="minorHAnsi" w:cstheme="minorHAnsi"/>
          <w:i/>
        </w:rPr>
        <w:t>Qjm</w:t>
      </w:r>
      <w:r w:rsidRPr="00697CE0">
        <w:rPr>
          <w:rFonts w:asciiTheme="minorHAnsi" w:hAnsiTheme="minorHAnsi" w:cstheme="minorHAnsi"/>
        </w:rPr>
        <w:t>, vol.88, pp. 493-502.</w:t>
      </w:r>
      <w:bookmarkEnd w:id="606"/>
    </w:p>
    <w:p w:rsidR="00B85C75" w:rsidRPr="00697CE0" w:rsidRDefault="00B85C75" w:rsidP="00B85C75">
      <w:pPr>
        <w:pStyle w:val="EndNoteBibliography"/>
        <w:spacing w:after="0"/>
        <w:ind w:left="720" w:hanging="720"/>
        <w:rPr>
          <w:rFonts w:asciiTheme="minorHAnsi" w:hAnsiTheme="minorHAnsi" w:cstheme="minorHAnsi"/>
        </w:rPr>
      </w:pPr>
      <w:bookmarkStart w:id="607" w:name="_ENREF_19"/>
      <w:r w:rsidRPr="00697CE0">
        <w:rPr>
          <w:rFonts w:asciiTheme="minorHAnsi" w:hAnsiTheme="minorHAnsi" w:cstheme="minorHAnsi"/>
        </w:rPr>
        <w:t xml:space="preserve">Christiansen, I, Markvardsen, LH &amp; Jakobsen, J 2018, 'Comparisons in fluctuation of muscle strength and function in patients with immune-mediated neuropathy treated with intravenous versus subcutaneous immunoglobulin', </w:t>
      </w:r>
      <w:r w:rsidRPr="00697CE0">
        <w:rPr>
          <w:rFonts w:asciiTheme="minorHAnsi" w:hAnsiTheme="minorHAnsi" w:cstheme="minorHAnsi"/>
          <w:i/>
        </w:rPr>
        <w:t>Muscle and Nerve</w:t>
      </w:r>
      <w:r w:rsidRPr="00697CE0">
        <w:rPr>
          <w:rFonts w:asciiTheme="minorHAnsi" w:hAnsiTheme="minorHAnsi" w:cstheme="minorHAnsi"/>
        </w:rPr>
        <w:t>, vol.57, pp. 610-14.</w:t>
      </w:r>
      <w:bookmarkEnd w:id="607"/>
    </w:p>
    <w:p w:rsidR="00894B5E" w:rsidRPr="00697CE0" w:rsidRDefault="00894B5E" w:rsidP="00B85C75">
      <w:pPr>
        <w:pStyle w:val="EndNoteBibliography"/>
        <w:spacing w:after="0"/>
        <w:ind w:left="720" w:hanging="720"/>
        <w:rPr>
          <w:rFonts w:asciiTheme="minorHAnsi" w:hAnsiTheme="minorHAnsi" w:cstheme="minorHAnsi"/>
        </w:rPr>
      </w:pPr>
      <w:bookmarkStart w:id="608" w:name="_ENREF_20"/>
      <w:r w:rsidRPr="00697CE0">
        <w:rPr>
          <w:rFonts w:asciiTheme="minorHAnsi" w:hAnsiTheme="minorHAnsi" w:cstheme="minorHAnsi"/>
        </w:rPr>
        <w:t>Clarke et al et al. (2009) Using the EQ-5D index score as a predictor of outcomes in patients with type 2 diabetes, Medical Care, 61-68</w:t>
      </w:r>
    </w:p>
    <w:p w:rsidR="00EB3EF7" w:rsidRPr="00697CE0" w:rsidRDefault="00EB3EF7"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Clemens S, Begum N, Harper C, Whitty JA, Scuffham PA. A comparison of EQ-5D-3L population norms in Queensland, Australia, estimated using utility value sets from Australia, the UK and USA. Qual Life Res. 2014; 23:2375–81</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Cocito, D, Grimaldi, S, Paolasso, I, Falcone, Y, Antonini, G, Benedetti, L, Briani, C, Fazio, R, Jann, S, Mata, S, Sabatelli, M &amp; Nobile-Orazio, E 2011, 'Immunosuppressive treatment in refractory chronic inflammatory demyelinating polyradiculoneuropathy. A nationwide retrospective analysis', </w:t>
      </w:r>
      <w:r w:rsidRPr="00697CE0">
        <w:rPr>
          <w:rFonts w:asciiTheme="minorHAnsi" w:hAnsiTheme="minorHAnsi" w:cstheme="minorHAnsi"/>
          <w:i/>
        </w:rPr>
        <w:t>European Journal of Neurology</w:t>
      </w:r>
      <w:r w:rsidRPr="00697CE0">
        <w:rPr>
          <w:rFonts w:asciiTheme="minorHAnsi" w:hAnsiTheme="minorHAnsi" w:cstheme="minorHAnsi"/>
        </w:rPr>
        <w:t>, vol.18, pp. 1417-21.</w:t>
      </w:r>
      <w:bookmarkEnd w:id="608"/>
    </w:p>
    <w:p w:rsidR="00B85C75" w:rsidRPr="00697CE0" w:rsidRDefault="00B85C75" w:rsidP="00B85C75">
      <w:pPr>
        <w:pStyle w:val="EndNoteBibliography"/>
        <w:spacing w:after="0"/>
        <w:ind w:left="720" w:hanging="720"/>
        <w:rPr>
          <w:rFonts w:asciiTheme="minorHAnsi" w:hAnsiTheme="minorHAnsi" w:cstheme="minorHAnsi"/>
        </w:rPr>
      </w:pPr>
      <w:bookmarkStart w:id="609" w:name="_ENREF_21"/>
      <w:r w:rsidRPr="00697CE0">
        <w:rPr>
          <w:rFonts w:asciiTheme="minorHAnsi" w:hAnsiTheme="minorHAnsi" w:cstheme="minorHAnsi"/>
        </w:rPr>
        <w:t xml:space="preserve">Cocito, D, Merola, A, Peci, E, Mazzeo, A, Fazio, R, Francia, A, Valentino, P, Liguori, R, Filosto, M, Siciliano, G, Clerici, AM, Lelli, S, Marfia, GA, Antonini, G, Cecconi, I, Nobile-Orazio, E &amp; Lopiano, L 2014, 'Subcutaneous immunoglobulin in CIDP and MMN: a short-term nationwide study', </w:t>
      </w:r>
      <w:r w:rsidRPr="00697CE0">
        <w:rPr>
          <w:rFonts w:asciiTheme="minorHAnsi" w:hAnsiTheme="minorHAnsi" w:cstheme="minorHAnsi"/>
          <w:i/>
        </w:rPr>
        <w:t>J Neurol</w:t>
      </w:r>
      <w:r w:rsidRPr="00697CE0">
        <w:rPr>
          <w:rFonts w:asciiTheme="minorHAnsi" w:hAnsiTheme="minorHAnsi" w:cstheme="minorHAnsi"/>
        </w:rPr>
        <w:t>, vol.261, pp. 2159-64.</w:t>
      </w:r>
      <w:bookmarkEnd w:id="609"/>
    </w:p>
    <w:p w:rsidR="00B85C75" w:rsidRPr="00697CE0" w:rsidRDefault="00B85C75" w:rsidP="00B85C75">
      <w:pPr>
        <w:pStyle w:val="EndNoteBibliography"/>
        <w:spacing w:after="0"/>
        <w:ind w:left="720" w:hanging="720"/>
        <w:rPr>
          <w:rFonts w:asciiTheme="minorHAnsi" w:hAnsiTheme="minorHAnsi" w:cstheme="minorHAnsi"/>
        </w:rPr>
      </w:pPr>
      <w:bookmarkStart w:id="610" w:name="_ENREF_22"/>
      <w:r w:rsidRPr="00697CE0">
        <w:rPr>
          <w:rFonts w:asciiTheme="minorHAnsi" w:hAnsiTheme="minorHAnsi" w:cstheme="minorHAnsi"/>
        </w:rPr>
        <w:t xml:space="preserve">Cocito, D, Paolasso, I, Antonini, G, Benedetti, L, Briani, C, Comi, C, Fazio, R, Jann, S, Mata, S, Mazzeo, A, Sabatelli, M &amp; Nobile-Orazio, E 2010, 'A nationwide retrospective analysis on the effect of immune therapies in patients with chronic inflammatory demyelinating polyradiculoneuropathy', </w:t>
      </w:r>
      <w:r w:rsidRPr="00697CE0">
        <w:rPr>
          <w:rFonts w:asciiTheme="minorHAnsi" w:hAnsiTheme="minorHAnsi" w:cstheme="minorHAnsi"/>
          <w:i/>
        </w:rPr>
        <w:t>European Journal of Neurology</w:t>
      </w:r>
      <w:r w:rsidRPr="00697CE0">
        <w:rPr>
          <w:rFonts w:asciiTheme="minorHAnsi" w:hAnsiTheme="minorHAnsi" w:cstheme="minorHAnsi"/>
        </w:rPr>
        <w:t>, vol.17, pp. 289-94.</w:t>
      </w:r>
      <w:bookmarkEnd w:id="610"/>
    </w:p>
    <w:p w:rsidR="00B85C75" w:rsidRPr="00697CE0" w:rsidRDefault="00B85C75" w:rsidP="00B85C75">
      <w:pPr>
        <w:pStyle w:val="EndNoteBibliography"/>
        <w:spacing w:after="0"/>
        <w:ind w:left="720" w:hanging="720"/>
        <w:rPr>
          <w:rFonts w:asciiTheme="minorHAnsi" w:hAnsiTheme="minorHAnsi" w:cstheme="minorHAnsi"/>
        </w:rPr>
      </w:pPr>
      <w:bookmarkStart w:id="611" w:name="_ENREF_23"/>
      <w:r w:rsidRPr="00697CE0">
        <w:rPr>
          <w:rFonts w:asciiTheme="minorHAnsi" w:hAnsiTheme="minorHAnsi" w:cstheme="minorHAnsi"/>
        </w:rPr>
        <w:t xml:space="preserve">Cocito, D, Paolasso, I, Peci, E, Spagone, E &amp; Lopiano, L 2013, 'Improvement of quality of life in patients with chronic inflammatory demyelinating polyneuropathy shifting from 16 to 20% subcutaneous immunoglobulins', </w:t>
      </w:r>
      <w:r w:rsidRPr="00697CE0">
        <w:rPr>
          <w:rFonts w:asciiTheme="minorHAnsi" w:hAnsiTheme="minorHAnsi" w:cstheme="minorHAnsi"/>
          <w:i/>
        </w:rPr>
        <w:t>Neurological Sciences</w:t>
      </w:r>
      <w:r w:rsidRPr="00697CE0">
        <w:rPr>
          <w:rFonts w:asciiTheme="minorHAnsi" w:hAnsiTheme="minorHAnsi" w:cstheme="minorHAnsi"/>
        </w:rPr>
        <w:t>, vol.34, pp. 2061.</w:t>
      </w:r>
      <w:bookmarkEnd w:id="611"/>
    </w:p>
    <w:p w:rsidR="00B85C75" w:rsidRPr="00697CE0" w:rsidRDefault="00B85C75" w:rsidP="00B85C75">
      <w:pPr>
        <w:pStyle w:val="EndNoteBibliography"/>
        <w:spacing w:after="0"/>
        <w:ind w:left="720" w:hanging="720"/>
        <w:rPr>
          <w:rFonts w:asciiTheme="minorHAnsi" w:hAnsiTheme="minorHAnsi" w:cstheme="minorHAnsi"/>
        </w:rPr>
      </w:pPr>
      <w:bookmarkStart w:id="612" w:name="_ENREF_24"/>
      <w:r w:rsidRPr="00697CE0">
        <w:rPr>
          <w:rFonts w:asciiTheme="minorHAnsi" w:hAnsiTheme="minorHAnsi" w:cstheme="minorHAnsi"/>
        </w:rPr>
        <w:t xml:space="preserve">Cocito, D, Serra, G, Paolasso, I, Barilà, DA, Lopiano, L &amp; Cattel, L 2012, 'Economic and quality of life evaluation of different modalities of immunoglobulin therapy in chronic dysimmune neuropathies', </w:t>
      </w:r>
      <w:r w:rsidRPr="00697CE0">
        <w:rPr>
          <w:rFonts w:asciiTheme="minorHAnsi" w:hAnsiTheme="minorHAnsi" w:cstheme="minorHAnsi"/>
          <w:i/>
        </w:rPr>
        <w:t>Journal of the Peripheral Nervous System</w:t>
      </w:r>
      <w:r w:rsidRPr="00697CE0">
        <w:rPr>
          <w:rFonts w:asciiTheme="minorHAnsi" w:hAnsiTheme="minorHAnsi" w:cstheme="minorHAnsi"/>
        </w:rPr>
        <w:t>, vol.17, pp. 426-28.</w:t>
      </w:r>
      <w:bookmarkEnd w:id="612"/>
    </w:p>
    <w:p w:rsidR="00B85C75" w:rsidRPr="00697CE0" w:rsidRDefault="00B85C75" w:rsidP="00B85C75">
      <w:pPr>
        <w:pStyle w:val="EndNoteBibliography"/>
        <w:spacing w:after="0"/>
        <w:ind w:left="720" w:hanging="720"/>
        <w:rPr>
          <w:rFonts w:asciiTheme="minorHAnsi" w:hAnsiTheme="minorHAnsi" w:cstheme="minorHAnsi"/>
        </w:rPr>
      </w:pPr>
      <w:bookmarkStart w:id="613" w:name="_ENREF_25"/>
      <w:r w:rsidRPr="00697CE0">
        <w:rPr>
          <w:rFonts w:asciiTheme="minorHAnsi" w:hAnsiTheme="minorHAnsi" w:cstheme="minorHAnsi"/>
        </w:rPr>
        <w:t xml:space="preserve">CSL Behring 2019, </w:t>
      </w:r>
      <w:r w:rsidRPr="00697CE0">
        <w:rPr>
          <w:rFonts w:asciiTheme="minorHAnsi" w:hAnsiTheme="minorHAnsi" w:cstheme="minorHAnsi"/>
          <w:i/>
        </w:rPr>
        <w:t>Hizentra, Dosing and Administration.</w:t>
      </w:r>
      <w:r w:rsidRPr="00697CE0">
        <w:rPr>
          <w:rFonts w:asciiTheme="minorHAnsi" w:hAnsiTheme="minorHAnsi" w:cstheme="minorHAnsi"/>
        </w:rPr>
        <w:t>, CSL Behring, viewed 14th May 2019, &lt;</w:t>
      </w:r>
      <w:r w:rsidRPr="00697CE0">
        <w:rPr>
          <w:rFonts w:asciiTheme="minorHAnsi" w:hAnsiTheme="minorHAnsi" w:cstheme="minorHAnsi"/>
          <w:u w:val="single"/>
        </w:rPr>
        <w:t>https://www.hizentra.com/hcp/cidp-pi-dosing-administration#pi-cidp-administration</w:t>
      </w:r>
      <w:r w:rsidRPr="00697CE0">
        <w:rPr>
          <w:rFonts w:asciiTheme="minorHAnsi" w:hAnsiTheme="minorHAnsi" w:cstheme="minorHAnsi"/>
        </w:rPr>
        <w:t>&gt;.</w:t>
      </w:r>
      <w:bookmarkStart w:id="614" w:name="_ENREF_26"/>
      <w:bookmarkEnd w:id="613"/>
    </w:p>
    <w:p w:rsidR="00EB3EF7" w:rsidRPr="00697CE0" w:rsidRDefault="00EB3EF7" w:rsidP="00B85C75">
      <w:pPr>
        <w:pStyle w:val="EndNoteBibliography"/>
        <w:spacing w:after="0"/>
        <w:ind w:left="720" w:hanging="720"/>
        <w:rPr>
          <w:rFonts w:asciiTheme="minorHAnsi" w:hAnsiTheme="minorHAnsi" w:cstheme="minorHAnsi"/>
        </w:rPr>
      </w:pPr>
      <w:bookmarkStart w:id="615" w:name="_ENREF_27"/>
      <w:bookmarkEnd w:id="614"/>
      <w:r w:rsidRPr="00697CE0">
        <w:rPr>
          <w:rFonts w:asciiTheme="minorHAnsi" w:hAnsiTheme="minorHAnsi" w:cstheme="minorHAnsi"/>
        </w:rPr>
        <w:t>Cummings SR, San Martin J, McClung MR, Siris ES, Eastell R, Reid IR, et al. Denosumab for prevention of fractures in postmenopausal women with osteoporosis. N Engl J Med. 2009;361(8):756–65.</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Debes, A, Bauer, M &amp; Kremer, S 2007, 'Tolerability and safety of the intravenous immunoglobulin Octagam: A 10-year prospective observation study', </w:t>
      </w:r>
      <w:r w:rsidRPr="00697CE0">
        <w:rPr>
          <w:rFonts w:asciiTheme="minorHAnsi" w:hAnsiTheme="minorHAnsi" w:cstheme="minorHAnsi"/>
          <w:i/>
        </w:rPr>
        <w:t>Pharmacoepidemiology and Drug Safety</w:t>
      </w:r>
      <w:r w:rsidRPr="00697CE0">
        <w:rPr>
          <w:rFonts w:asciiTheme="minorHAnsi" w:hAnsiTheme="minorHAnsi" w:cstheme="minorHAnsi"/>
        </w:rPr>
        <w:t>, vol.16, pp. 1038-47.</w:t>
      </w:r>
      <w:bookmarkEnd w:id="615"/>
    </w:p>
    <w:p w:rsidR="00B85C75" w:rsidRPr="00697CE0" w:rsidRDefault="00B85C75" w:rsidP="00B85C75">
      <w:pPr>
        <w:pStyle w:val="EndNoteBibliography"/>
        <w:spacing w:after="0"/>
        <w:ind w:left="720" w:hanging="720"/>
        <w:rPr>
          <w:rFonts w:asciiTheme="minorHAnsi" w:hAnsiTheme="minorHAnsi" w:cstheme="minorHAnsi"/>
        </w:rPr>
      </w:pPr>
      <w:bookmarkStart w:id="616" w:name="_ENREF_28"/>
      <w:r w:rsidRPr="00697CE0">
        <w:rPr>
          <w:rFonts w:asciiTheme="minorHAnsi" w:hAnsiTheme="minorHAnsi" w:cstheme="minorHAnsi"/>
        </w:rPr>
        <w:t xml:space="preserve">DHHS Vic 2019, </w:t>
      </w:r>
      <w:r w:rsidRPr="00697CE0">
        <w:rPr>
          <w:rFonts w:asciiTheme="minorHAnsi" w:hAnsiTheme="minorHAnsi" w:cstheme="minorHAnsi"/>
          <w:i/>
        </w:rPr>
        <w:t>SCIg program, tools and resources</w:t>
      </w:r>
      <w:r w:rsidRPr="00697CE0">
        <w:rPr>
          <w:rFonts w:asciiTheme="minorHAnsi" w:hAnsiTheme="minorHAnsi" w:cstheme="minorHAnsi"/>
        </w:rPr>
        <w:t>, Department of Health and Human Services, State Government of Victoria, Australia, Australia, viewed 9th May 2019, &lt;</w:t>
      </w:r>
      <w:r w:rsidRPr="00697CE0">
        <w:rPr>
          <w:rFonts w:asciiTheme="minorHAnsi" w:hAnsiTheme="minorHAnsi" w:cstheme="minorHAnsi"/>
          <w:u w:val="single"/>
        </w:rPr>
        <w:t>https://www2.health.vic.gov.au/hospitals-and-health-services/patient-care/speciality-diagnostics-therapeutics/blood-matters/scig-implementation-program/tools-resources</w:t>
      </w:r>
      <w:r w:rsidRPr="00697CE0">
        <w:rPr>
          <w:rFonts w:asciiTheme="minorHAnsi" w:hAnsiTheme="minorHAnsi" w:cstheme="minorHAnsi"/>
        </w:rPr>
        <w:t>&gt;.</w:t>
      </w:r>
      <w:bookmarkEnd w:id="616"/>
    </w:p>
    <w:p w:rsidR="00EB3EF7" w:rsidRPr="00697CE0" w:rsidRDefault="00EB3EF7" w:rsidP="00B85C75">
      <w:pPr>
        <w:pStyle w:val="EndNoteBibliography"/>
        <w:spacing w:after="0"/>
        <w:ind w:left="720" w:hanging="720"/>
        <w:rPr>
          <w:rFonts w:asciiTheme="minorHAnsi" w:hAnsiTheme="minorHAnsi" w:cstheme="minorHAnsi"/>
        </w:rPr>
      </w:pPr>
      <w:bookmarkStart w:id="617" w:name="_ENREF_29"/>
      <w:r w:rsidRPr="00697CE0">
        <w:rPr>
          <w:rFonts w:asciiTheme="minorHAnsi" w:hAnsiTheme="minorHAnsi" w:cstheme="minorHAnsi"/>
        </w:rPr>
        <w:lastRenderedPageBreak/>
        <w:t>Dirani et al et al. 2011. Economic impact of primary open‐angle glaucoma in Australia. Clinical and Experimental Ophthalmology 2011; 39: 623–632</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DoH 2019a, </w:t>
      </w:r>
      <w:r w:rsidRPr="00697CE0">
        <w:rPr>
          <w:rFonts w:asciiTheme="minorHAnsi" w:hAnsiTheme="minorHAnsi" w:cstheme="minorHAnsi"/>
          <w:i/>
        </w:rPr>
        <w:t>Application 1564: Chronic Inflammatory Demyelinating Polyneuropathy (CIDP). PICO Confirmation.</w:t>
      </w:r>
      <w:r w:rsidRPr="00697CE0">
        <w:rPr>
          <w:rFonts w:asciiTheme="minorHAnsi" w:hAnsiTheme="minorHAnsi" w:cstheme="minorHAnsi"/>
        </w:rPr>
        <w:t>, Australian Government Deparment of Health, Australia, viewed 8th April 2019, &lt;</w:t>
      </w:r>
      <w:r w:rsidRPr="00697CE0">
        <w:rPr>
          <w:rFonts w:asciiTheme="minorHAnsi" w:hAnsiTheme="minorHAnsi" w:cstheme="minorHAnsi"/>
          <w:u w:val="single"/>
        </w:rPr>
        <w:t>http://www.health.gov.au/internet/msac/publishing.nsf/Content/1564-public</w:t>
      </w:r>
      <w:r w:rsidRPr="00697CE0">
        <w:rPr>
          <w:rFonts w:asciiTheme="minorHAnsi" w:hAnsiTheme="minorHAnsi" w:cstheme="minorHAnsi"/>
        </w:rPr>
        <w:t>&gt;.</w:t>
      </w:r>
      <w:bookmarkEnd w:id="617"/>
    </w:p>
    <w:p w:rsidR="00B85C75" w:rsidRPr="00697CE0" w:rsidRDefault="00B85C75" w:rsidP="00B85C75">
      <w:pPr>
        <w:pStyle w:val="EndNoteBibliography"/>
        <w:spacing w:after="0"/>
        <w:ind w:left="720" w:hanging="720"/>
        <w:rPr>
          <w:rFonts w:asciiTheme="minorHAnsi" w:hAnsiTheme="minorHAnsi" w:cstheme="minorHAnsi"/>
        </w:rPr>
      </w:pPr>
      <w:bookmarkStart w:id="618" w:name="_ENREF_30"/>
      <w:r w:rsidRPr="00697CE0">
        <w:rPr>
          <w:rFonts w:asciiTheme="minorHAnsi" w:hAnsiTheme="minorHAnsi" w:cstheme="minorHAnsi"/>
        </w:rPr>
        <w:t xml:space="preserve">DoH 2019b, </w:t>
      </w:r>
      <w:r w:rsidRPr="00697CE0">
        <w:rPr>
          <w:rFonts w:asciiTheme="minorHAnsi" w:hAnsiTheme="minorHAnsi" w:cstheme="minorHAnsi"/>
          <w:i/>
        </w:rPr>
        <w:t>The Pharmaceutical Benefits Scheme</w:t>
      </w:r>
      <w:r w:rsidRPr="00697CE0">
        <w:rPr>
          <w:rFonts w:asciiTheme="minorHAnsi" w:hAnsiTheme="minorHAnsi" w:cstheme="minorHAnsi"/>
        </w:rPr>
        <w:t>, Australian Government Department of Health, Australia, viewed 11th April 2019, &lt;</w:t>
      </w:r>
      <w:r w:rsidRPr="00697CE0">
        <w:rPr>
          <w:rFonts w:asciiTheme="minorHAnsi" w:hAnsiTheme="minorHAnsi" w:cstheme="minorHAnsi"/>
          <w:u w:val="single"/>
        </w:rPr>
        <w:t>http://www.pbs.gov.au/browse/medicine-listing</w:t>
      </w:r>
      <w:r w:rsidRPr="00697CE0">
        <w:rPr>
          <w:rFonts w:asciiTheme="minorHAnsi" w:hAnsiTheme="minorHAnsi" w:cstheme="minorHAnsi"/>
        </w:rPr>
        <w:t>&gt;.</w:t>
      </w:r>
      <w:bookmarkEnd w:id="618"/>
    </w:p>
    <w:p w:rsidR="00B85C75" w:rsidRPr="00697CE0" w:rsidRDefault="00B85C75" w:rsidP="00B85C75">
      <w:pPr>
        <w:pStyle w:val="EndNoteBibliography"/>
        <w:spacing w:after="0"/>
        <w:ind w:left="720" w:hanging="720"/>
        <w:rPr>
          <w:rFonts w:asciiTheme="minorHAnsi" w:hAnsiTheme="minorHAnsi" w:cstheme="minorHAnsi"/>
        </w:rPr>
      </w:pPr>
      <w:bookmarkStart w:id="619" w:name="_ENREF_31"/>
      <w:r w:rsidRPr="00697CE0">
        <w:rPr>
          <w:rFonts w:asciiTheme="minorHAnsi" w:hAnsiTheme="minorHAnsi" w:cstheme="minorHAnsi"/>
        </w:rPr>
        <w:t xml:space="preserve">Donofrio, PD, Bril, V, Dalakas, MC, Deng, C, Hanna, K, Hartung, HP, Hughes, R, Latov, N, Merkies, I &amp; Van Doorn, P 2010, 'Safety and tolerability of immune globulin intravenous in chronic inflammatory demyelinating polyradiculoneuropathy', </w:t>
      </w:r>
      <w:r w:rsidRPr="00697CE0">
        <w:rPr>
          <w:rFonts w:asciiTheme="minorHAnsi" w:hAnsiTheme="minorHAnsi" w:cstheme="minorHAnsi"/>
          <w:i/>
        </w:rPr>
        <w:t>Archives of Neurology</w:t>
      </w:r>
      <w:r w:rsidRPr="00697CE0">
        <w:rPr>
          <w:rFonts w:asciiTheme="minorHAnsi" w:hAnsiTheme="minorHAnsi" w:cstheme="minorHAnsi"/>
        </w:rPr>
        <w:t>, vol.67, pp. 1082-88.</w:t>
      </w:r>
      <w:bookmarkEnd w:id="619"/>
    </w:p>
    <w:p w:rsidR="00B85C75" w:rsidRPr="00697CE0" w:rsidRDefault="00B85C75" w:rsidP="00B85C75">
      <w:pPr>
        <w:pStyle w:val="EndNoteBibliography"/>
        <w:spacing w:after="0"/>
        <w:ind w:left="720" w:hanging="720"/>
        <w:rPr>
          <w:rFonts w:asciiTheme="minorHAnsi" w:hAnsiTheme="minorHAnsi" w:cstheme="minorHAnsi"/>
        </w:rPr>
      </w:pPr>
      <w:bookmarkStart w:id="620" w:name="_ENREF_32"/>
      <w:r w:rsidRPr="00697CE0">
        <w:rPr>
          <w:rFonts w:asciiTheme="minorHAnsi" w:hAnsiTheme="minorHAnsi" w:cstheme="minorHAnsi"/>
        </w:rPr>
        <w:t xml:space="preserve">Dorst, J, Ludolph, AC, Senel, M &amp; Tumani, H 2018, 'Short-term and long-term effects of immunoadsorption in refractory chronic inflammatory demyelinating polyneuropathy: a prospective study in 17 patients', </w:t>
      </w:r>
      <w:r w:rsidRPr="00697CE0">
        <w:rPr>
          <w:rFonts w:asciiTheme="minorHAnsi" w:hAnsiTheme="minorHAnsi" w:cstheme="minorHAnsi"/>
          <w:i/>
        </w:rPr>
        <w:t>Journal of Neurology</w:t>
      </w:r>
      <w:r w:rsidRPr="00697CE0">
        <w:rPr>
          <w:rFonts w:asciiTheme="minorHAnsi" w:hAnsiTheme="minorHAnsi" w:cstheme="minorHAnsi"/>
        </w:rPr>
        <w:t>, vol.265, pp. 2906-15.</w:t>
      </w:r>
      <w:bookmarkEnd w:id="620"/>
    </w:p>
    <w:p w:rsidR="00EB3EF7" w:rsidRPr="00697CE0" w:rsidRDefault="00EB3EF7" w:rsidP="00B85C75">
      <w:pPr>
        <w:pStyle w:val="EndNoteBibliography"/>
        <w:spacing w:after="0"/>
        <w:ind w:left="720" w:hanging="720"/>
        <w:rPr>
          <w:rFonts w:asciiTheme="minorHAnsi" w:hAnsiTheme="minorHAnsi" w:cstheme="minorHAnsi"/>
        </w:rPr>
      </w:pPr>
      <w:bookmarkStart w:id="621" w:name="_ENREF_33"/>
      <w:r w:rsidRPr="00697CE0">
        <w:rPr>
          <w:rFonts w:asciiTheme="minorHAnsi" w:hAnsiTheme="minorHAnsi" w:cstheme="minorHAnsi"/>
        </w:rPr>
        <w:t>dos Santos PL, de Almeda-Ribeiro GA, Silva DM,Marques JuniorW, Bareira AA. Chronic inflammatory demyelinating polyneuropathy: quality of life, sociodemographic profile and physical complaints. Arq Neuropsiquiatr 2014;72:179–83</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Dyck, PJ, Daube, J, O'Brien, P, Pineda, A, Low, PA, Windebank, AJ &amp; Swanson, C 1986, 'Plasma exchange in chronic inflammatory demyelinating polyradiculoneuropathy', </w:t>
      </w:r>
      <w:r w:rsidRPr="00697CE0">
        <w:rPr>
          <w:rFonts w:asciiTheme="minorHAnsi" w:hAnsiTheme="minorHAnsi" w:cstheme="minorHAnsi"/>
          <w:i/>
        </w:rPr>
        <w:t>N Engl J Med</w:t>
      </w:r>
      <w:r w:rsidRPr="00697CE0">
        <w:rPr>
          <w:rFonts w:asciiTheme="minorHAnsi" w:hAnsiTheme="minorHAnsi" w:cstheme="minorHAnsi"/>
        </w:rPr>
        <w:t>, vol.314, pp. 461-5.</w:t>
      </w:r>
      <w:bookmarkEnd w:id="621"/>
    </w:p>
    <w:p w:rsidR="00B85C75" w:rsidRPr="00697CE0" w:rsidRDefault="00B85C75" w:rsidP="00B85C75">
      <w:pPr>
        <w:pStyle w:val="EndNoteBibliography"/>
        <w:spacing w:after="0"/>
        <w:ind w:left="720" w:hanging="720"/>
        <w:rPr>
          <w:rFonts w:asciiTheme="minorHAnsi" w:hAnsiTheme="minorHAnsi" w:cstheme="minorHAnsi"/>
        </w:rPr>
      </w:pPr>
      <w:bookmarkStart w:id="622" w:name="_ENREF_34"/>
      <w:r w:rsidRPr="00697CE0">
        <w:rPr>
          <w:rFonts w:asciiTheme="minorHAnsi" w:hAnsiTheme="minorHAnsi" w:cstheme="minorHAnsi"/>
        </w:rPr>
        <w:t xml:space="preserve">Dyck, PJ, Lais, AC, Ohta, M, Bastron, JA, Okazaki, H &amp; Groover, RV 1975, 'Chronic inflammatory polyradiculoneuropathy', </w:t>
      </w:r>
      <w:r w:rsidRPr="00697CE0">
        <w:rPr>
          <w:rFonts w:asciiTheme="minorHAnsi" w:hAnsiTheme="minorHAnsi" w:cstheme="minorHAnsi"/>
          <w:i/>
        </w:rPr>
        <w:t>Mayo Clin Proc</w:t>
      </w:r>
      <w:r w:rsidRPr="00697CE0">
        <w:rPr>
          <w:rFonts w:asciiTheme="minorHAnsi" w:hAnsiTheme="minorHAnsi" w:cstheme="minorHAnsi"/>
        </w:rPr>
        <w:t>, vol.50, pp. 621-37.</w:t>
      </w:r>
      <w:bookmarkEnd w:id="622"/>
    </w:p>
    <w:p w:rsidR="00B85C75" w:rsidRPr="00697CE0" w:rsidRDefault="00B85C75" w:rsidP="00B85C75">
      <w:pPr>
        <w:pStyle w:val="EndNoteBibliography"/>
        <w:spacing w:after="0"/>
        <w:ind w:left="720" w:hanging="720"/>
        <w:rPr>
          <w:rFonts w:asciiTheme="minorHAnsi" w:hAnsiTheme="minorHAnsi" w:cstheme="minorHAnsi"/>
        </w:rPr>
      </w:pPr>
      <w:bookmarkStart w:id="623" w:name="_ENREF_35"/>
      <w:r w:rsidRPr="00697CE0">
        <w:rPr>
          <w:rFonts w:asciiTheme="minorHAnsi" w:hAnsiTheme="minorHAnsi" w:cstheme="minorHAnsi"/>
        </w:rPr>
        <w:t xml:space="preserve">Dyck, PJ, Litchy, WJ, Kratz, KM, Suarez, GA, Low, PA, Pineda, AA, Windebank, AJ, Karnes, JL &amp; O'Brien, PC 1994, 'A plasma exchange versus immune globulin infusion trial in chronic inflammatory demyelinating polyradiculoneuropathy', </w:t>
      </w:r>
      <w:r w:rsidRPr="00697CE0">
        <w:rPr>
          <w:rFonts w:asciiTheme="minorHAnsi" w:hAnsiTheme="minorHAnsi" w:cstheme="minorHAnsi"/>
          <w:i/>
        </w:rPr>
        <w:t>Ann Neurol</w:t>
      </w:r>
      <w:r w:rsidRPr="00697CE0">
        <w:rPr>
          <w:rFonts w:asciiTheme="minorHAnsi" w:hAnsiTheme="minorHAnsi" w:cstheme="minorHAnsi"/>
        </w:rPr>
        <w:t>, vol.36, pp. 838-45.</w:t>
      </w:r>
      <w:bookmarkEnd w:id="623"/>
    </w:p>
    <w:p w:rsidR="00B85C75" w:rsidRPr="00697CE0" w:rsidRDefault="00B85C75" w:rsidP="00B85C75">
      <w:pPr>
        <w:pStyle w:val="EndNoteBibliography"/>
        <w:spacing w:after="0"/>
        <w:ind w:left="720" w:hanging="720"/>
        <w:rPr>
          <w:rFonts w:asciiTheme="minorHAnsi" w:hAnsiTheme="minorHAnsi" w:cstheme="minorHAnsi"/>
        </w:rPr>
      </w:pPr>
      <w:bookmarkStart w:id="624" w:name="_ENREF_36"/>
      <w:r w:rsidRPr="00697CE0">
        <w:rPr>
          <w:rFonts w:asciiTheme="minorHAnsi" w:hAnsiTheme="minorHAnsi" w:cstheme="minorHAnsi"/>
        </w:rPr>
        <w:t xml:space="preserve">Dyck, PJ, O'Brien, P &amp; Swanson, C 1985, 'Combined azathioprine and prednisone in chronic inflammatory-demyelinating polyneuropathy', </w:t>
      </w:r>
      <w:r w:rsidRPr="00697CE0">
        <w:rPr>
          <w:rFonts w:asciiTheme="minorHAnsi" w:hAnsiTheme="minorHAnsi" w:cstheme="minorHAnsi"/>
          <w:i/>
        </w:rPr>
        <w:t>Neurology</w:t>
      </w:r>
      <w:r w:rsidRPr="00697CE0">
        <w:rPr>
          <w:rFonts w:asciiTheme="minorHAnsi" w:hAnsiTheme="minorHAnsi" w:cstheme="minorHAnsi"/>
        </w:rPr>
        <w:t>, vol.35, pp. 1173-76.</w:t>
      </w:r>
      <w:bookmarkEnd w:id="624"/>
    </w:p>
    <w:p w:rsidR="00B85C75" w:rsidRPr="00697CE0" w:rsidRDefault="00B85C75" w:rsidP="00B85C75">
      <w:pPr>
        <w:pStyle w:val="EndNoteBibliography"/>
        <w:spacing w:after="0"/>
        <w:ind w:left="720" w:hanging="720"/>
        <w:rPr>
          <w:rFonts w:asciiTheme="minorHAnsi" w:hAnsiTheme="minorHAnsi" w:cstheme="minorHAnsi"/>
        </w:rPr>
      </w:pPr>
      <w:bookmarkStart w:id="625" w:name="_ENREF_37"/>
      <w:r w:rsidRPr="00697CE0">
        <w:rPr>
          <w:rFonts w:asciiTheme="minorHAnsi" w:hAnsiTheme="minorHAnsi" w:cstheme="minorHAnsi"/>
        </w:rPr>
        <w:t xml:space="preserve">Dyck, PJ, O'Brien, PC, Oviatt, KF, Dinapoli, RP, Daube, JR, Bartleson, JD, Mokri, B, Swift, T, Low, PA &amp; Windebank, AJ 1982, 'Prednisone improves chronic inflammatory demyelinating polyradiculoneuropathy more than no treatment', </w:t>
      </w:r>
      <w:r w:rsidRPr="00697CE0">
        <w:rPr>
          <w:rFonts w:asciiTheme="minorHAnsi" w:hAnsiTheme="minorHAnsi" w:cstheme="minorHAnsi"/>
          <w:i/>
        </w:rPr>
        <w:t>Ann Neurol</w:t>
      </w:r>
      <w:r w:rsidRPr="00697CE0">
        <w:rPr>
          <w:rFonts w:asciiTheme="minorHAnsi" w:hAnsiTheme="minorHAnsi" w:cstheme="minorHAnsi"/>
        </w:rPr>
        <w:t>, vol.11, pp. 136-41.</w:t>
      </w:r>
      <w:bookmarkEnd w:id="625"/>
    </w:p>
    <w:p w:rsidR="00B85C75" w:rsidRPr="00697CE0" w:rsidRDefault="00B85C75" w:rsidP="00B85C75">
      <w:pPr>
        <w:pStyle w:val="EndNoteBibliography"/>
        <w:spacing w:after="0"/>
        <w:ind w:left="720" w:hanging="720"/>
        <w:rPr>
          <w:rFonts w:asciiTheme="minorHAnsi" w:hAnsiTheme="minorHAnsi" w:cstheme="minorHAnsi"/>
        </w:rPr>
      </w:pPr>
      <w:bookmarkStart w:id="626" w:name="_ENREF_38"/>
      <w:r w:rsidRPr="00697CE0">
        <w:rPr>
          <w:rFonts w:asciiTheme="minorHAnsi" w:hAnsiTheme="minorHAnsi" w:cstheme="minorHAnsi"/>
        </w:rPr>
        <w:t xml:space="preserve">Dyck, PJB &amp; Tracy, JA 2018, 'History, Diagnosis, and Management of Chronic Inflammatory Demyelinating Polyradiculoneuropathy', </w:t>
      </w:r>
      <w:r w:rsidRPr="00697CE0">
        <w:rPr>
          <w:rFonts w:asciiTheme="minorHAnsi" w:hAnsiTheme="minorHAnsi" w:cstheme="minorHAnsi"/>
          <w:i/>
        </w:rPr>
        <w:t>Mayo Clin Proc</w:t>
      </w:r>
      <w:r w:rsidRPr="00697CE0">
        <w:rPr>
          <w:rFonts w:asciiTheme="minorHAnsi" w:hAnsiTheme="minorHAnsi" w:cstheme="minorHAnsi"/>
        </w:rPr>
        <w:t>, vol.93, pp. 777-93.</w:t>
      </w:r>
      <w:bookmarkEnd w:id="626"/>
    </w:p>
    <w:p w:rsidR="00B85C75" w:rsidRPr="00697CE0" w:rsidRDefault="00B85C75" w:rsidP="00B85C75">
      <w:pPr>
        <w:pStyle w:val="EndNoteBibliography"/>
        <w:spacing w:after="0"/>
        <w:ind w:left="720" w:hanging="720"/>
        <w:rPr>
          <w:rFonts w:asciiTheme="minorHAnsi" w:hAnsiTheme="minorHAnsi" w:cstheme="minorHAnsi"/>
        </w:rPr>
      </w:pPr>
      <w:bookmarkStart w:id="627" w:name="_ENREF_39"/>
      <w:r w:rsidRPr="00697CE0">
        <w:rPr>
          <w:rFonts w:asciiTheme="minorHAnsi" w:hAnsiTheme="minorHAnsi" w:cstheme="minorHAnsi"/>
        </w:rPr>
        <w:t xml:space="preserve">Eftimov, F, Vermeulen, M, Van Doorn, PA, Brusse, E &amp; Van Schaik, IN 2012, 'Long-term remission of CIDP after pulsed dexamethasone or short-term prednisolone treatment', </w:t>
      </w:r>
      <w:r w:rsidRPr="00697CE0">
        <w:rPr>
          <w:rFonts w:asciiTheme="minorHAnsi" w:hAnsiTheme="minorHAnsi" w:cstheme="minorHAnsi"/>
          <w:i/>
        </w:rPr>
        <w:t>Neurology</w:t>
      </w:r>
      <w:r w:rsidRPr="00697CE0">
        <w:rPr>
          <w:rFonts w:asciiTheme="minorHAnsi" w:hAnsiTheme="minorHAnsi" w:cstheme="minorHAnsi"/>
        </w:rPr>
        <w:t>, vol.78, pp. 1079-84.</w:t>
      </w:r>
      <w:bookmarkEnd w:id="627"/>
    </w:p>
    <w:p w:rsidR="00B85C75" w:rsidRPr="00697CE0" w:rsidRDefault="00B85C75" w:rsidP="00B85C75">
      <w:pPr>
        <w:pStyle w:val="EndNoteBibliography"/>
        <w:spacing w:after="0"/>
        <w:ind w:left="720" w:hanging="720"/>
        <w:rPr>
          <w:rFonts w:asciiTheme="minorHAnsi" w:hAnsiTheme="minorHAnsi" w:cstheme="minorHAnsi"/>
        </w:rPr>
      </w:pPr>
      <w:bookmarkStart w:id="628" w:name="_ENREF_40"/>
      <w:r w:rsidRPr="00697CE0">
        <w:rPr>
          <w:rFonts w:asciiTheme="minorHAnsi" w:hAnsiTheme="minorHAnsi" w:cstheme="minorHAnsi"/>
        </w:rPr>
        <w:t xml:space="preserve">Expert Neurologist, </w:t>
      </w:r>
      <w:r w:rsidRPr="00697CE0">
        <w:rPr>
          <w:rFonts w:asciiTheme="minorHAnsi" w:hAnsiTheme="minorHAnsi" w:cstheme="minorHAnsi"/>
          <w:i/>
        </w:rPr>
        <w:t>Personal communication (written feedback received via email on 8th May 2019)</w:t>
      </w:r>
      <w:r w:rsidRPr="00697CE0">
        <w:rPr>
          <w:rFonts w:asciiTheme="minorHAnsi" w:hAnsiTheme="minorHAnsi" w:cstheme="minorHAnsi"/>
        </w:rPr>
        <w:t>, 2019.</w:t>
      </w:r>
      <w:bookmarkEnd w:id="628"/>
    </w:p>
    <w:p w:rsidR="00B85C75" w:rsidRPr="00697CE0" w:rsidRDefault="00B85C75" w:rsidP="00B85C75">
      <w:pPr>
        <w:pStyle w:val="EndNoteBibliography"/>
        <w:spacing w:after="0"/>
        <w:ind w:left="720" w:hanging="720"/>
        <w:rPr>
          <w:rFonts w:asciiTheme="minorHAnsi" w:hAnsiTheme="minorHAnsi" w:cstheme="minorHAnsi"/>
        </w:rPr>
      </w:pPr>
      <w:bookmarkStart w:id="629" w:name="_ENREF_41"/>
      <w:r w:rsidRPr="00697CE0">
        <w:rPr>
          <w:rFonts w:asciiTheme="minorHAnsi" w:hAnsiTheme="minorHAnsi" w:cstheme="minorHAnsi"/>
        </w:rPr>
        <w:t xml:space="preserve">Fadeyi, M &amp; Tran, T 2013, 'Calculating the dose of subcutaneous immunoglobulin for primary immunodeficiency disease in patients switched from intravenous to subcutaneous immunoglobulin without the use of a dose-adjustment coefficient', </w:t>
      </w:r>
      <w:r w:rsidRPr="00697CE0">
        <w:rPr>
          <w:rFonts w:asciiTheme="minorHAnsi" w:hAnsiTheme="minorHAnsi" w:cstheme="minorHAnsi"/>
          <w:i/>
        </w:rPr>
        <w:t>P t</w:t>
      </w:r>
      <w:r w:rsidRPr="00697CE0">
        <w:rPr>
          <w:rFonts w:asciiTheme="minorHAnsi" w:hAnsiTheme="minorHAnsi" w:cstheme="minorHAnsi"/>
        </w:rPr>
        <w:t>, vol.38, pp. 768-70.</w:t>
      </w:r>
      <w:bookmarkEnd w:id="629"/>
    </w:p>
    <w:p w:rsidR="00B85C75" w:rsidRPr="00697CE0" w:rsidRDefault="00B85C75" w:rsidP="00B85C75">
      <w:pPr>
        <w:pStyle w:val="EndNoteBibliography"/>
        <w:spacing w:after="0"/>
        <w:ind w:left="720" w:hanging="720"/>
        <w:rPr>
          <w:rFonts w:asciiTheme="minorHAnsi" w:hAnsiTheme="minorHAnsi" w:cstheme="minorHAnsi"/>
        </w:rPr>
      </w:pPr>
      <w:bookmarkStart w:id="630" w:name="_ENREF_42"/>
      <w:r w:rsidRPr="00697CE0">
        <w:rPr>
          <w:rFonts w:asciiTheme="minorHAnsi" w:hAnsiTheme="minorHAnsi" w:cstheme="minorHAnsi"/>
        </w:rPr>
        <w:t xml:space="preserve">Fialho, D, Chan, YC, Allen, DC, Reilly, MM &amp; Hughes, RA 2006, 'Treatment of chronic inflammatory demyelinating polyradiculoneuropathy with methotrexate', </w:t>
      </w:r>
      <w:r w:rsidRPr="00697CE0">
        <w:rPr>
          <w:rFonts w:asciiTheme="minorHAnsi" w:hAnsiTheme="minorHAnsi" w:cstheme="minorHAnsi"/>
          <w:i/>
        </w:rPr>
        <w:t>J Neurol Neurosurg Psychiatry</w:t>
      </w:r>
      <w:r w:rsidRPr="00697CE0">
        <w:rPr>
          <w:rFonts w:asciiTheme="minorHAnsi" w:hAnsiTheme="minorHAnsi" w:cstheme="minorHAnsi"/>
        </w:rPr>
        <w:t>, vol.77, pp. 544-7.</w:t>
      </w:r>
      <w:bookmarkEnd w:id="630"/>
    </w:p>
    <w:p w:rsidR="00B85C75" w:rsidRPr="00697CE0" w:rsidRDefault="00B85C75" w:rsidP="00B85C75">
      <w:pPr>
        <w:pStyle w:val="EndNoteBibliography"/>
        <w:spacing w:after="0"/>
        <w:ind w:left="720" w:hanging="720"/>
        <w:rPr>
          <w:rFonts w:asciiTheme="minorHAnsi" w:hAnsiTheme="minorHAnsi" w:cstheme="minorHAnsi"/>
        </w:rPr>
      </w:pPr>
      <w:bookmarkStart w:id="631" w:name="_ENREF_43"/>
      <w:r w:rsidRPr="00697CE0">
        <w:rPr>
          <w:rFonts w:asciiTheme="minorHAnsi" w:hAnsiTheme="minorHAnsi" w:cstheme="minorHAnsi"/>
        </w:rPr>
        <w:t xml:space="preserve">Fridey, J &amp; Kaplan, A 2019, </w:t>
      </w:r>
      <w:r w:rsidRPr="00697CE0">
        <w:rPr>
          <w:rFonts w:asciiTheme="minorHAnsi" w:hAnsiTheme="minorHAnsi" w:cstheme="minorHAnsi"/>
          <w:i/>
        </w:rPr>
        <w:t>Therapeutic apheresis (plasma exchange or cytapheresis): Indications and technology</w:t>
      </w:r>
      <w:r w:rsidRPr="00697CE0">
        <w:rPr>
          <w:rFonts w:asciiTheme="minorHAnsi" w:hAnsiTheme="minorHAnsi" w:cstheme="minorHAnsi"/>
        </w:rPr>
        <w:t>, UpToDate, viewed 18 July 2019, &lt;</w:t>
      </w:r>
      <w:r w:rsidRPr="00697CE0">
        <w:rPr>
          <w:rFonts w:asciiTheme="minorHAnsi" w:hAnsiTheme="minorHAnsi" w:cstheme="minorHAnsi"/>
          <w:u w:val="single"/>
        </w:rPr>
        <w:t>https://www.uptodate.com/contents/therapeutic-apheresis-plasma-exchange-or-cytapheresis-indications-and-technology</w:t>
      </w:r>
      <w:r w:rsidRPr="00697CE0">
        <w:rPr>
          <w:rFonts w:asciiTheme="minorHAnsi" w:hAnsiTheme="minorHAnsi" w:cstheme="minorHAnsi"/>
        </w:rPr>
        <w:t>&gt;.</w:t>
      </w:r>
      <w:bookmarkEnd w:id="631"/>
    </w:p>
    <w:p w:rsidR="00B85C75" w:rsidRPr="00697CE0" w:rsidRDefault="00B85C75" w:rsidP="00B85C75">
      <w:pPr>
        <w:pStyle w:val="EndNoteBibliography"/>
        <w:spacing w:after="0"/>
        <w:ind w:left="720" w:hanging="720"/>
        <w:rPr>
          <w:rFonts w:asciiTheme="minorHAnsi" w:hAnsiTheme="minorHAnsi" w:cstheme="minorHAnsi"/>
        </w:rPr>
      </w:pPr>
      <w:bookmarkStart w:id="632" w:name="_ENREF_44"/>
      <w:r w:rsidRPr="00697CE0">
        <w:rPr>
          <w:rFonts w:asciiTheme="minorHAnsi" w:hAnsiTheme="minorHAnsi" w:cstheme="minorHAnsi"/>
        </w:rPr>
        <w:t xml:space="preserve">Gadian, J, Kirk, E, Holliday, K, Lim, M &amp; Absoud, M 2017, 'Systematic review of immunoglobulin use in paediatric neurological and neurodevelopmental disorders', </w:t>
      </w:r>
      <w:r w:rsidRPr="00697CE0">
        <w:rPr>
          <w:rFonts w:asciiTheme="minorHAnsi" w:hAnsiTheme="minorHAnsi" w:cstheme="minorHAnsi"/>
          <w:i/>
        </w:rPr>
        <w:t>Dev Med Child Neurol</w:t>
      </w:r>
      <w:r w:rsidRPr="00697CE0">
        <w:rPr>
          <w:rFonts w:asciiTheme="minorHAnsi" w:hAnsiTheme="minorHAnsi" w:cstheme="minorHAnsi"/>
        </w:rPr>
        <w:t>, vol.59, pp. 136-44.</w:t>
      </w:r>
      <w:bookmarkEnd w:id="632"/>
    </w:p>
    <w:p w:rsidR="00B85C75" w:rsidRPr="00697CE0" w:rsidRDefault="00B85C75" w:rsidP="00B85C75">
      <w:pPr>
        <w:pStyle w:val="EndNoteBibliography"/>
        <w:spacing w:after="0"/>
        <w:ind w:left="720" w:hanging="720"/>
        <w:rPr>
          <w:rFonts w:asciiTheme="minorHAnsi" w:hAnsiTheme="minorHAnsi" w:cstheme="minorHAnsi"/>
        </w:rPr>
      </w:pPr>
      <w:bookmarkStart w:id="633" w:name="_ENREF_45"/>
      <w:r w:rsidRPr="00697CE0">
        <w:rPr>
          <w:rFonts w:asciiTheme="minorHAnsi" w:hAnsiTheme="minorHAnsi" w:cstheme="minorHAnsi"/>
        </w:rPr>
        <w:lastRenderedPageBreak/>
        <w:t xml:space="preserve">Galldiks, N, Burghaus, L, Dohmen, C, Teschner, S, Pollok, M, Leebmann, J, Frischmuth, N, Hollinger, P, Nazli, N, Fassbender, C, Klingel, R, Benzing, T, Fink, GR &amp; Haupt, WF 2011, 'Immunoadsorption in patients with chronic inflammatory demyelinating polyradiculoneuropathy with unsatisfactory response to first-line treatment', </w:t>
      </w:r>
      <w:r w:rsidRPr="00697CE0">
        <w:rPr>
          <w:rFonts w:asciiTheme="minorHAnsi" w:hAnsiTheme="minorHAnsi" w:cstheme="minorHAnsi"/>
          <w:i/>
        </w:rPr>
        <w:t>European Neurology</w:t>
      </w:r>
      <w:r w:rsidRPr="00697CE0">
        <w:rPr>
          <w:rFonts w:asciiTheme="minorHAnsi" w:hAnsiTheme="minorHAnsi" w:cstheme="minorHAnsi"/>
        </w:rPr>
        <w:t>, vol.66, pp. 183-89.</w:t>
      </w:r>
      <w:bookmarkEnd w:id="633"/>
    </w:p>
    <w:p w:rsidR="00C927E9" w:rsidRPr="00697CE0" w:rsidRDefault="00C927E9" w:rsidP="00B85C75">
      <w:pPr>
        <w:pStyle w:val="EndNoteBibliography"/>
        <w:spacing w:after="0"/>
        <w:ind w:left="720" w:hanging="720"/>
        <w:rPr>
          <w:rFonts w:asciiTheme="minorHAnsi" w:hAnsiTheme="minorHAnsi" w:cstheme="minorHAnsi"/>
        </w:rPr>
      </w:pPr>
      <w:bookmarkStart w:id="634" w:name="_ENREF_46"/>
      <w:r w:rsidRPr="00697CE0">
        <w:rPr>
          <w:rFonts w:asciiTheme="minorHAnsi" w:hAnsiTheme="minorHAnsi" w:cstheme="minorHAnsi"/>
        </w:rPr>
        <w:t>Gardulf A, Andersen V, Bjo¨rkander J, et al. Subcutaneous immunoglobulin replacement in patients with primary antibody deficiencies: safety and costs. Lancet 1995;345(8946):365–9</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Garssen, M, Bussmann, J, Schmitz, P, Zandbergen, A, Welter, T, Merkies, I, Stam, H &amp; Van Doorn, P 2004, 'Physical training and fatigue, fitness, and quality of life in Guillain–Barré syndrome and CIDP', </w:t>
      </w:r>
      <w:r w:rsidRPr="00697CE0">
        <w:rPr>
          <w:rFonts w:asciiTheme="minorHAnsi" w:hAnsiTheme="minorHAnsi" w:cstheme="minorHAnsi"/>
          <w:i/>
        </w:rPr>
        <w:t>Neurology</w:t>
      </w:r>
      <w:r w:rsidRPr="00697CE0">
        <w:rPr>
          <w:rFonts w:asciiTheme="minorHAnsi" w:hAnsiTheme="minorHAnsi" w:cstheme="minorHAnsi"/>
        </w:rPr>
        <w:t>, vol.63, pp. 2393-95.</w:t>
      </w:r>
      <w:bookmarkEnd w:id="634"/>
    </w:p>
    <w:p w:rsidR="00B85C75" w:rsidRPr="00697CE0" w:rsidRDefault="00B85C75" w:rsidP="00B85C75">
      <w:pPr>
        <w:pStyle w:val="EndNoteBibliography"/>
        <w:spacing w:after="0"/>
        <w:ind w:left="720" w:hanging="720"/>
        <w:rPr>
          <w:rFonts w:asciiTheme="minorHAnsi" w:hAnsiTheme="minorHAnsi" w:cstheme="minorHAnsi"/>
        </w:rPr>
      </w:pPr>
      <w:bookmarkStart w:id="635" w:name="_ENREF_47"/>
      <w:r w:rsidRPr="00697CE0">
        <w:rPr>
          <w:rFonts w:asciiTheme="minorHAnsi" w:hAnsiTheme="minorHAnsi" w:cstheme="minorHAnsi"/>
        </w:rPr>
        <w:t xml:space="preserve">GBS NSW 2019, </w:t>
      </w:r>
      <w:r w:rsidRPr="00697CE0">
        <w:rPr>
          <w:rFonts w:asciiTheme="minorHAnsi" w:hAnsiTheme="minorHAnsi" w:cstheme="minorHAnsi"/>
          <w:i/>
        </w:rPr>
        <w:t>What is CIDP?</w:t>
      </w:r>
      <w:r w:rsidRPr="00697CE0">
        <w:rPr>
          <w:rFonts w:asciiTheme="minorHAnsi" w:hAnsiTheme="minorHAnsi" w:cstheme="minorHAnsi"/>
        </w:rPr>
        <w:t>, The Guillain-Barré Syndrom Association of New South Wales, Australia, viewed 9th April 2019, &lt;</w:t>
      </w:r>
      <w:r w:rsidRPr="00697CE0">
        <w:rPr>
          <w:rFonts w:asciiTheme="minorHAnsi" w:hAnsiTheme="minorHAnsi" w:cstheme="minorHAnsi"/>
          <w:u w:val="single"/>
        </w:rPr>
        <w:t>http://www.gbs-cidp-nsw.org.au/information/what-is-cidp?start=7</w:t>
      </w:r>
      <w:r w:rsidRPr="00697CE0">
        <w:rPr>
          <w:rFonts w:asciiTheme="minorHAnsi" w:hAnsiTheme="minorHAnsi" w:cstheme="minorHAnsi"/>
        </w:rPr>
        <w:t>&gt;.</w:t>
      </w:r>
      <w:bookmarkEnd w:id="635"/>
    </w:p>
    <w:p w:rsidR="00B85C75" w:rsidRPr="00697CE0" w:rsidRDefault="00B85C75" w:rsidP="00B85C75">
      <w:pPr>
        <w:pStyle w:val="EndNoteBibliography"/>
        <w:spacing w:after="0"/>
        <w:ind w:left="720" w:hanging="720"/>
        <w:rPr>
          <w:rFonts w:asciiTheme="minorHAnsi" w:hAnsiTheme="minorHAnsi" w:cstheme="minorHAnsi"/>
        </w:rPr>
      </w:pPr>
      <w:bookmarkStart w:id="636" w:name="_ENREF_48"/>
      <w:r w:rsidRPr="00697CE0">
        <w:rPr>
          <w:rFonts w:asciiTheme="minorHAnsi" w:hAnsiTheme="minorHAnsi" w:cstheme="minorHAnsi"/>
        </w:rPr>
        <w:t xml:space="preserve">GBS/CIDP 2019, </w:t>
      </w:r>
      <w:r w:rsidRPr="00697CE0">
        <w:rPr>
          <w:rFonts w:asciiTheme="minorHAnsi" w:hAnsiTheme="minorHAnsi" w:cstheme="minorHAnsi"/>
          <w:i/>
        </w:rPr>
        <w:t>Recently Diagnosed with CIDP</w:t>
      </w:r>
      <w:r w:rsidRPr="00697CE0">
        <w:rPr>
          <w:rFonts w:asciiTheme="minorHAnsi" w:hAnsiTheme="minorHAnsi" w:cstheme="minorHAnsi"/>
        </w:rPr>
        <w:t>, GBS/CIDP Foundation International,, USA, viewed 7th May 2019, &lt;</w:t>
      </w:r>
      <w:r w:rsidRPr="00697CE0">
        <w:rPr>
          <w:rFonts w:asciiTheme="minorHAnsi" w:hAnsiTheme="minorHAnsi" w:cstheme="minorHAnsi"/>
          <w:u w:val="single"/>
        </w:rPr>
        <w:t>https://www.gbs-cidp.org/cidp/all-about-cidp/</w:t>
      </w:r>
      <w:r w:rsidRPr="00697CE0">
        <w:rPr>
          <w:rFonts w:asciiTheme="minorHAnsi" w:hAnsiTheme="minorHAnsi" w:cstheme="minorHAnsi"/>
        </w:rPr>
        <w:t>&gt;.</w:t>
      </w:r>
      <w:bookmarkEnd w:id="636"/>
    </w:p>
    <w:p w:rsidR="00894B5E" w:rsidRPr="00697CE0" w:rsidRDefault="00894B5E" w:rsidP="00B85C75">
      <w:pPr>
        <w:pStyle w:val="EndNoteBibliography"/>
        <w:spacing w:after="0"/>
        <w:ind w:left="720" w:hanging="720"/>
        <w:rPr>
          <w:rFonts w:asciiTheme="minorHAnsi" w:hAnsiTheme="minorHAnsi" w:cstheme="minorHAnsi"/>
        </w:rPr>
      </w:pPr>
      <w:bookmarkStart w:id="637" w:name="_ENREF_49"/>
      <w:r w:rsidRPr="00697CE0">
        <w:rPr>
          <w:rFonts w:asciiTheme="minorHAnsi" w:hAnsiTheme="minorHAnsi" w:cstheme="minorHAnsi"/>
        </w:rPr>
        <w:t>Glasziou et al. (2007) Which health-related quality of life score? A comparison of alternative utility measures in patients with Type 2 diabetes in the ADVANCE trial. Health and Quality of Life Outcomes</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Goeree, R, Blackhouse, G &amp; Adachi, J 2006, 'Cost-effectiveness of alternative treatments for women with osteoporosis in Canada', </w:t>
      </w:r>
      <w:r w:rsidRPr="00697CE0">
        <w:rPr>
          <w:rFonts w:asciiTheme="minorHAnsi" w:hAnsiTheme="minorHAnsi" w:cstheme="minorHAnsi"/>
          <w:i/>
        </w:rPr>
        <w:t>Current medical research and opinion</w:t>
      </w:r>
      <w:r w:rsidRPr="00697CE0">
        <w:rPr>
          <w:rFonts w:asciiTheme="minorHAnsi" w:hAnsiTheme="minorHAnsi" w:cstheme="minorHAnsi"/>
        </w:rPr>
        <w:t>, vol.22, pp. 1425-36.</w:t>
      </w:r>
      <w:bookmarkEnd w:id="637"/>
    </w:p>
    <w:p w:rsidR="00B85C75" w:rsidRPr="00697CE0" w:rsidRDefault="00B85C75" w:rsidP="00B85C75">
      <w:pPr>
        <w:pStyle w:val="EndNoteBibliography"/>
        <w:spacing w:after="0"/>
        <w:ind w:left="720" w:hanging="720"/>
        <w:rPr>
          <w:rFonts w:asciiTheme="minorHAnsi" w:hAnsiTheme="minorHAnsi" w:cstheme="minorHAnsi"/>
        </w:rPr>
      </w:pPr>
      <w:bookmarkStart w:id="638" w:name="_ENREF_50"/>
      <w:r w:rsidRPr="00697CE0">
        <w:rPr>
          <w:rFonts w:asciiTheme="minorHAnsi" w:hAnsiTheme="minorHAnsi" w:cstheme="minorHAnsi"/>
        </w:rPr>
        <w:t xml:space="preserve">Good, JL, Chehrenama, M, Mayer, RF &amp; Koski, CL 1998, 'Pulse cyclophosphamide therapy in chronic inflammatory demyelinating polyneuropathy', </w:t>
      </w:r>
      <w:r w:rsidRPr="00697CE0">
        <w:rPr>
          <w:rFonts w:asciiTheme="minorHAnsi" w:hAnsiTheme="minorHAnsi" w:cstheme="minorHAnsi"/>
          <w:i/>
        </w:rPr>
        <w:t>Neurology</w:t>
      </w:r>
      <w:r w:rsidRPr="00697CE0">
        <w:rPr>
          <w:rFonts w:asciiTheme="minorHAnsi" w:hAnsiTheme="minorHAnsi" w:cstheme="minorHAnsi"/>
        </w:rPr>
        <w:t>, vol.51, pp. 1735-8.</w:t>
      </w:r>
      <w:bookmarkEnd w:id="638"/>
    </w:p>
    <w:p w:rsidR="00894B5E" w:rsidRPr="00697CE0" w:rsidRDefault="00894B5E" w:rsidP="00B85C75">
      <w:pPr>
        <w:pStyle w:val="EndNoteBibliography"/>
        <w:spacing w:after="0"/>
        <w:ind w:left="720" w:hanging="720"/>
        <w:rPr>
          <w:rFonts w:asciiTheme="minorHAnsi" w:hAnsiTheme="minorHAnsi" w:cstheme="minorHAnsi"/>
        </w:rPr>
      </w:pPr>
      <w:bookmarkStart w:id="639" w:name="_ENREF_51"/>
      <w:r w:rsidRPr="00697CE0">
        <w:rPr>
          <w:rFonts w:asciiTheme="minorHAnsi" w:hAnsiTheme="minorHAnsi" w:cstheme="minorHAnsi"/>
        </w:rPr>
        <w:t>Gordon et al. (2014) A cost-effectiveness analysis of a telephone-linked care intervention for individuals with Type 2 diabetes, Diabetes research and clinical practice, 103-111</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Gorson, KC 2012, 'An update on the management of chronic inflammatory demyelinating polyneuropathy', </w:t>
      </w:r>
      <w:r w:rsidRPr="00697CE0">
        <w:rPr>
          <w:rFonts w:asciiTheme="minorHAnsi" w:hAnsiTheme="minorHAnsi" w:cstheme="minorHAnsi"/>
          <w:i/>
        </w:rPr>
        <w:t>Ther Adv Neurol Disord</w:t>
      </w:r>
      <w:r w:rsidRPr="00697CE0">
        <w:rPr>
          <w:rFonts w:asciiTheme="minorHAnsi" w:hAnsiTheme="minorHAnsi" w:cstheme="minorHAnsi"/>
        </w:rPr>
        <w:t>, vol.5, pp. 359-73.</w:t>
      </w:r>
      <w:bookmarkEnd w:id="639"/>
    </w:p>
    <w:p w:rsidR="00B85C75" w:rsidRPr="00697CE0" w:rsidRDefault="00B85C75" w:rsidP="00B85C75">
      <w:pPr>
        <w:pStyle w:val="EndNoteBibliography"/>
        <w:spacing w:after="0"/>
        <w:ind w:left="720" w:hanging="720"/>
        <w:rPr>
          <w:rFonts w:asciiTheme="minorHAnsi" w:hAnsiTheme="minorHAnsi" w:cstheme="minorHAnsi"/>
        </w:rPr>
      </w:pPr>
      <w:bookmarkStart w:id="640" w:name="_ENREF_52"/>
      <w:r w:rsidRPr="00697CE0">
        <w:rPr>
          <w:rFonts w:asciiTheme="minorHAnsi" w:hAnsiTheme="minorHAnsi" w:cstheme="minorHAnsi"/>
        </w:rPr>
        <w:t xml:space="preserve">Gorson, KC, Amato, AA &amp; Ropper, AH 2004, 'Efficacy of mycophenolate mofetil in patients with chronic immune demyelinating polyneuropathy', </w:t>
      </w:r>
      <w:r w:rsidRPr="00697CE0">
        <w:rPr>
          <w:rFonts w:asciiTheme="minorHAnsi" w:hAnsiTheme="minorHAnsi" w:cstheme="minorHAnsi"/>
          <w:i/>
        </w:rPr>
        <w:t>Neurology</w:t>
      </w:r>
      <w:r w:rsidRPr="00697CE0">
        <w:rPr>
          <w:rFonts w:asciiTheme="minorHAnsi" w:hAnsiTheme="minorHAnsi" w:cstheme="minorHAnsi"/>
        </w:rPr>
        <w:t>, vol.63, pp. 715-17.</w:t>
      </w:r>
      <w:bookmarkEnd w:id="640"/>
    </w:p>
    <w:p w:rsidR="0094201C" w:rsidRPr="00697CE0" w:rsidRDefault="0094201C" w:rsidP="00B85C75">
      <w:pPr>
        <w:pStyle w:val="EndNoteBibliography"/>
        <w:spacing w:after="0"/>
        <w:ind w:left="720" w:hanging="720"/>
        <w:rPr>
          <w:rFonts w:asciiTheme="minorHAnsi" w:hAnsiTheme="minorHAnsi" w:cstheme="minorHAnsi"/>
        </w:rPr>
      </w:pPr>
      <w:bookmarkStart w:id="641" w:name="_ENREF_53"/>
      <w:r w:rsidRPr="00697CE0">
        <w:rPr>
          <w:rFonts w:asciiTheme="minorHAnsi" w:hAnsiTheme="minorHAnsi" w:cstheme="minorHAnsi"/>
        </w:rPr>
        <w:t>Gottlieb LK, Schwartz B, Pauker SG. Glaucoma screening. A cost-effectiveness analysis. Surv Ophthalmol 1983;28:206–26</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Grehl, H, Jaspert, A, Claus, D &amp; Neundorfer, B 1997, 'Long-term therapy with high-dose intravenous immunoglobulins (IVIG) in inflammatory neuropathies', </w:t>
      </w:r>
      <w:r w:rsidRPr="00697CE0">
        <w:rPr>
          <w:rFonts w:asciiTheme="minorHAnsi" w:hAnsiTheme="minorHAnsi" w:cstheme="minorHAnsi"/>
          <w:i/>
        </w:rPr>
        <w:t>European Journal of Neurology</w:t>
      </w:r>
      <w:r w:rsidRPr="00697CE0">
        <w:rPr>
          <w:rFonts w:asciiTheme="minorHAnsi" w:hAnsiTheme="minorHAnsi" w:cstheme="minorHAnsi"/>
        </w:rPr>
        <w:t>, vol.4, pp. 266-73.</w:t>
      </w:r>
      <w:bookmarkEnd w:id="641"/>
    </w:p>
    <w:p w:rsidR="00B85C75" w:rsidRPr="00697CE0" w:rsidRDefault="00B85C75" w:rsidP="00B85C75">
      <w:pPr>
        <w:pStyle w:val="EndNoteBibliography"/>
        <w:spacing w:after="0"/>
        <w:ind w:left="720" w:hanging="720"/>
        <w:rPr>
          <w:rFonts w:asciiTheme="minorHAnsi" w:hAnsiTheme="minorHAnsi" w:cstheme="minorHAnsi"/>
        </w:rPr>
      </w:pPr>
      <w:bookmarkStart w:id="642" w:name="_ENREF_54"/>
      <w:r w:rsidRPr="00697CE0">
        <w:rPr>
          <w:rFonts w:asciiTheme="minorHAnsi" w:hAnsiTheme="minorHAnsi" w:cstheme="minorHAnsi"/>
        </w:rPr>
        <w:t xml:space="preserve">GWH NHS 2014, </w:t>
      </w:r>
      <w:r w:rsidRPr="00697CE0">
        <w:rPr>
          <w:rFonts w:asciiTheme="minorHAnsi" w:hAnsiTheme="minorHAnsi" w:cstheme="minorHAnsi"/>
          <w:i/>
        </w:rPr>
        <w:t>Intravenous Steroid Infusions</w:t>
      </w:r>
      <w:r w:rsidRPr="00697CE0">
        <w:rPr>
          <w:rFonts w:asciiTheme="minorHAnsi" w:hAnsiTheme="minorHAnsi" w:cstheme="minorHAnsi"/>
        </w:rPr>
        <w:t>, Great Western Hospitals NHS,, United Kingdom, viewed 7th May 2019, &lt;</w:t>
      </w:r>
      <w:r w:rsidRPr="00697CE0">
        <w:rPr>
          <w:rFonts w:asciiTheme="minorHAnsi" w:hAnsiTheme="minorHAnsi" w:cstheme="minorHAnsi"/>
          <w:u w:val="single"/>
        </w:rPr>
        <w:t>https://www.gwh.nhs.uk/media/183132/rheumatology-ivsteroids.pdf</w:t>
      </w:r>
      <w:r w:rsidRPr="00697CE0">
        <w:rPr>
          <w:rFonts w:asciiTheme="minorHAnsi" w:hAnsiTheme="minorHAnsi" w:cstheme="minorHAnsi"/>
        </w:rPr>
        <w:t>&gt;.</w:t>
      </w:r>
      <w:bookmarkEnd w:id="642"/>
    </w:p>
    <w:p w:rsidR="0019624D" w:rsidRPr="00697CE0" w:rsidRDefault="0019624D" w:rsidP="00B85C75">
      <w:pPr>
        <w:pStyle w:val="EndNoteBibliography"/>
        <w:spacing w:after="0"/>
        <w:ind w:left="720" w:hanging="720"/>
        <w:rPr>
          <w:rFonts w:asciiTheme="minorHAnsi" w:hAnsiTheme="minorHAnsi" w:cstheme="minorHAnsi"/>
        </w:rPr>
      </w:pPr>
      <w:bookmarkStart w:id="643" w:name="_ENREF_55"/>
      <w:r w:rsidRPr="00697CE0">
        <w:rPr>
          <w:rFonts w:asciiTheme="minorHAnsi" w:hAnsiTheme="minorHAnsi" w:cstheme="minorHAnsi"/>
        </w:rPr>
        <w:t>Haddad L, Perrinet M, Parent D, et al. Etude comparative du couˆ t du traitement a domicile des immunoglobulines intraveineuses ou sous-cutanees a visee substitutive. Rev Med Interne 2006;27(12):924–6</w:t>
      </w:r>
    </w:p>
    <w:p w:rsidR="0019624D" w:rsidRPr="00697CE0" w:rsidRDefault="0019624D"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Hafsteinsdottir B and Olafsson E. Incidence and Natural History of Idiopathic Chronic Inflammatory Demyelinating Polyneuropathy: A Population-Based Study in Iceland. Eur Neurol. 2016;75(5-6):263-8</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Hahn, AF, Bolton, CF, Pillay, N, Chalk, C, Benstead, T, Bril, V, Shumak, K, Vandervoort, MK &amp; Feasby, TE 1996a, 'Plasma-exchange therapy in chronic inflammatory demyelinating polyneuropathy. A double-blind, sham-controlled, cross-over study', </w:t>
      </w:r>
      <w:r w:rsidRPr="00697CE0">
        <w:rPr>
          <w:rFonts w:asciiTheme="minorHAnsi" w:hAnsiTheme="minorHAnsi" w:cstheme="minorHAnsi"/>
          <w:i/>
        </w:rPr>
        <w:t>Brain</w:t>
      </w:r>
      <w:r w:rsidRPr="00697CE0">
        <w:rPr>
          <w:rFonts w:asciiTheme="minorHAnsi" w:hAnsiTheme="minorHAnsi" w:cstheme="minorHAnsi"/>
        </w:rPr>
        <w:t>, vol.119, pp. 1055-66.</w:t>
      </w:r>
      <w:bookmarkEnd w:id="643"/>
    </w:p>
    <w:p w:rsidR="00B85C75" w:rsidRPr="00697CE0" w:rsidRDefault="00B85C75" w:rsidP="00B85C75">
      <w:pPr>
        <w:pStyle w:val="EndNoteBibliography"/>
        <w:spacing w:after="0"/>
        <w:ind w:left="720" w:hanging="720"/>
        <w:rPr>
          <w:rFonts w:asciiTheme="minorHAnsi" w:hAnsiTheme="minorHAnsi" w:cstheme="minorHAnsi"/>
        </w:rPr>
      </w:pPr>
      <w:bookmarkStart w:id="644" w:name="_ENREF_56"/>
      <w:r w:rsidRPr="00697CE0">
        <w:rPr>
          <w:rFonts w:asciiTheme="minorHAnsi" w:hAnsiTheme="minorHAnsi" w:cstheme="minorHAnsi"/>
        </w:rPr>
        <w:t xml:space="preserve">Hahn, AF, Bolton, CF, Zochodne, D &amp; Feasby, TE 1996b, 'Intravenous immunoglobulin treatment in chronic inflammatory demyelinating polyneuropathy. A double-blind, placebo-controlled, cross-over study', </w:t>
      </w:r>
      <w:r w:rsidRPr="00697CE0">
        <w:rPr>
          <w:rFonts w:asciiTheme="minorHAnsi" w:hAnsiTheme="minorHAnsi" w:cstheme="minorHAnsi"/>
          <w:i/>
        </w:rPr>
        <w:t>Brain</w:t>
      </w:r>
      <w:r w:rsidRPr="00697CE0">
        <w:rPr>
          <w:rFonts w:asciiTheme="minorHAnsi" w:hAnsiTheme="minorHAnsi" w:cstheme="minorHAnsi"/>
        </w:rPr>
        <w:t>, vol.119 ( Pt 4), pp. 1067-77.</w:t>
      </w:r>
      <w:bookmarkEnd w:id="644"/>
    </w:p>
    <w:p w:rsidR="00B85C75" w:rsidRPr="00697CE0" w:rsidRDefault="00B85C75" w:rsidP="00B85C75">
      <w:pPr>
        <w:pStyle w:val="EndNoteBibliography"/>
        <w:spacing w:after="0"/>
        <w:ind w:left="720" w:hanging="720"/>
        <w:rPr>
          <w:rFonts w:asciiTheme="minorHAnsi" w:hAnsiTheme="minorHAnsi" w:cstheme="minorHAnsi"/>
        </w:rPr>
      </w:pPr>
      <w:bookmarkStart w:id="645" w:name="_ENREF_57"/>
      <w:r w:rsidRPr="00697CE0">
        <w:rPr>
          <w:rFonts w:asciiTheme="minorHAnsi" w:hAnsiTheme="minorHAnsi" w:cstheme="minorHAnsi"/>
        </w:rPr>
        <w:t xml:space="preserve">Harbo, T, Andersen, H, Hess, A, Hansen, K, Sindrup, S &amp; Jakobsen, J 2009a, 'Subcutaneous versus intravenous immunoglobulin in multifocal motor neuropathy: a randomized, single‐blinded cross‐over trial', </w:t>
      </w:r>
      <w:r w:rsidRPr="00697CE0">
        <w:rPr>
          <w:rFonts w:asciiTheme="minorHAnsi" w:hAnsiTheme="minorHAnsi" w:cstheme="minorHAnsi"/>
          <w:i/>
        </w:rPr>
        <w:t>European journal of neurology</w:t>
      </w:r>
      <w:r w:rsidRPr="00697CE0">
        <w:rPr>
          <w:rFonts w:asciiTheme="minorHAnsi" w:hAnsiTheme="minorHAnsi" w:cstheme="minorHAnsi"/>
        </w:rPr>
        <w:t>, vol.16, pp. 631-38.</w:t>
      </w:r>
      <w:bookmarkEnd w:id="645"/>
    </w:p>
    <w:p w:rsidR="00B85C75" w:rsidRPr="00697CE0" w:rsidRDefault="00B85C75" w:rsidP="00B85C75">
      <w:pPr>
        <w:pStyle w:val="EndNoteBibliography"/>
        <w:spacing w:after="0"/>
        <w:ind w:left="720" w:hanging="720"/>
        <w:rPr>
          <w:rFonts w:asciiTheme="minorHAnsi" w:hAnsiTheme="minorHAnsi" w:cstheme="minorHAnsi"/>
        </w:rPr>
      </w:pPr>
      <w:bookmarkStart w:id="646" w:name="_ENREF_58"/>
      <w:r w:rsidRPr="00697CE0">
        <w:rPr>
          <w:rFonts w:asciiTheme="minorHAnsi" w:hAnsiTheme="minorHAnsi" w:cstheme="minorHAnsi"/>
        </w:rPr>
        <w:t xml:space="preserve">Harbo, T, Andersen, H &amp; Jakobsen, J 2009b, 'Acute motor response following a single IVIG treatment course in chronic inflammatory demyelinating polyneuropathy', </w:t>
      </w:r>
      <w:r w:rsidRPr="00697CE0">
        <w:rPr>
          <w:rFonts w:asciiTheme="minorHAnsi" w:hAnsiTheme="minorHAnsi" w:cstheme="minorHAnsi"/>
          <w:i/>
        </w:rPr>
        <w:t>Muscle &amp; nerve</w:t>
      </w:r>
      <w:r w:rsidRPr="00697CE0">
        <w:rPr>
          <w:rFonts w:asciiTheme="minorHAnsi" w:hAnsiTheme="minorHAnsi" w:cstheme="minorHAnsi"/>
        </w:rPr>
        <w:t>, vol.39, pp. 439-47.</w:t>
      </w:r>
      <w:bookmarkEnd w:id="646"/>
    </w:p>
    <w:p w:rsidR="00B85C75" w:rsidRPr="00697CE0" w:rsidRDefault="00B85C75" w:rsidP="00B85C75">
      <w:pPr>
        <w:pStyle w:val="EndNoteBibliography"/>
        <w:spacing w:after="0"/>
        <w:ind w:left="720" w:hanging="720"/>
        <w:rPr>
          <w:rFonts w:asciiTheme="minorHAnsi" w:hAnsiTheme="minorHAnsi" w:cstheme="minorHAnsi"/>
        </w:rPr>
      </w:pPr>
      <w:bookmarkStart w:id="647" w:name="_ENREF_59"/>
      <w:r w:rsidRPr="00697CE0">
        <w:rPr>
          <w:rFonts w:asciiTheme="minorHAnsi" w:hAnsiTheme="minorHAnsi" w:cstheme="minorHAnsi"/>
        </w:rPr>
        <w:lastRenderedPageBreak/>
        <w:t xml:space="preserve">Harbo, T, Andersen, H, Overgaard, K &amp; Jakobsen, J 2008, 'Muscle performance relates to physical function and quality of life in long‐term chronic inflammatory demyelinating polyradiculoneuropathy', </w:t>
      </w:r>
      <w:r w:rsidRPr="00697CE0">
        <w:rPr>
          <w:rFonts w:asciiTheme="minorHAnsi" w:hAnsiTheme="minorHAnsi" w:cstheme="minorHAnsi"/>
          <w:i/>
        </w:rPr>
        <w:t>Journal of the Peripheral Nervous System</w:t>
      </w:r>
      <w:r w:rsidRPr="00697CE0">
        <w:rPr>
          <w:rFonts w:asciiTheme="minorHAnsi" w:hAnsiTheme="minorHAnsi" w:cstheme="minorHAnsi"/>
        </w:rPr>
        <w:t>, vol.13, pp. 208-17.</w:t>
      </w:r>
      <w:bookmarkEnd w:id="647"/>
    </w:p>
    <w:p w:rsidR="00B85C75" w:rsidRPr="00697CE0" w:rsidRDefault="00B85C75" w:rsidP="00B85C75">
      <w:pPr>
        <w:pStyle w:val="EndNoteBibliography"/>
        <w:spacing w:after="0"/>
        <w:ind w:left="720" w:hanging="720"/>
        <w:rPr>
          <w:rFonts w:asciiTheme="minorHAnsi" w:hAnsiTheme="minorHAnsi" w:cstheme="minorHAnsi"/>
        </w:rPr>
      </w:pPr>
      <w:bookmarkStart w:id="648" w:name="_ENREF_60"/>
      <w:r w:rsidRPr="00697CE0">
        <w:rPr>
          <w:rFonts w:asciiTheme="minorHAnsi" w:hAnsiTheme="minorHAnsi" w:cstheme="minorHAnsi"/>
        </w:rPr>
        <w:t xml:space="preserve">Higgins, JPT, Sterne, JAC, Savovic, J, Page, MJ, Hrobjartssson, A, Boutron, I, Reeves, B &amp; Eldridge, S. 2016, </w:t>
      </w:r>
      <w:r w:rsidRPr="00697CE0">
        <w:rPr>
          <w:rFonts w:asciiTheme="minorHAnsi" w:hAnsiTheme="minorHAnsi" w:cstheme="minorHAnsi"/>
          <w:i/>
        </w:rPr>
        <w:t>A revised tool for assessing risk of bias in randomized tirals</w:t>
      </w:r>
      <w:r w:rsidRPr="00697CE0">
        <w:rPr>
          <w:rFonts w:asciiTheme="minorHAnsi" w:hAnsiTheme="minorHAnsi" w:cstheme="minorHAnsi"/>
        </w:rPr>
        <w:t xml:space="preserve">, </w:t>
      </w:r>
      <w:bookmarkEnd w:id="648"/>
    </w:p>
    <w:p w:rsidR="0019624D" w:rsidRPr="00697CE0" w:rsidRDefault="0019624D" w:rsidP="00B85C75">
      <w:pPr>
        <w:pStyle w:val="EndNoteBibliography"/>
        <w:spacing w:after="0"/>
        <w:ind w:left="720" w:hanging="720"/>
        <w:rPr>
          <w:rFonts w:asciiTheme="minorHAnsi" w:hAnsiTheme="minorHAnsi" w:cstheme="minorHAnsi"/>
        </w:rPr>
      </w:pPr>
      <w:bookmarkStart w:id="649" w:name="_ENREF_61"/>
      <w:r w:rsidRPr="00697CE0">
        <w:rPr>
          <w:rFonts w:asciiTheme="minorHAnsi" w:hAnsiTheme="minorHAnsi" w:cstheme="minorHAnsi"/>
        </w:rPr>
        <w:t>Hogy B, Keinecke HO, Borte M. Pharmacoeconomic evaluation of immunoglobulin treatment in patients with antibody deficiencies from the perspective of the German statutory health insurance. Eur J Health Econ 2005;6(1):24–9.</w:t>
      </w:r>
    </w:p>
    <w:p w:rsidR="004717DF" w:rsidRPr="00697CE0" w:rsidRDefault="004717DF"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Hopkins RB, Tarride JE, Bowen J, Blackhouse G, O'Reilly D, Campbell K, et al. Cost-effectiveness of reducing wait times for cataract surgery in Ontario. Can J Ophthalmol 2008;43(2):213-7.</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Howell, C, Douglas, K, Cho, G, El-Ghariani, K, Taylor, P, Potok, D, Rintala, T &amp; Watkins, S 2015, 'Guideline on the clinical use of apheresis procedures for the treatment of patients and collection of cellular therapy products. British Committee for Standards in Haematology', </w:t>
      </w:r>
      <w:r w:rsidRPr="00697CE0">
        <w:rPr>
          <w:rFonts w:asciiTheme="minorHAnsi" w:hAnsiTheme="minorHAnsi" w:cstheme="minorHAnsi"/>
          <w:i/>
        </w:rPr>
        <w:t>Transfus Med</w:t>
      </w:r>
      <w:r w:rsidRPr="00697CE0">
        <w:rPr>
          <w:rFonts w:asciiTheme="minorHAnsi" w:hAnsiTheme="minorHAnsi" w:cstheme="minorHAnsi"/>
        </w:rPr>
        <w:t>, vol.25, pp. 57-78.</w:t>
      </w:r>
      <w:bookmarkStart w:id="650" w:name="_ENREF_62"/>
      <w:bookmarkEnd w:id="649"/>
    </w:p>
    <w:p w:rsidR="00B85C75" w:rsidRPr="00697CE0" w:rsidRDefault="00B85C75" w:rsidP="00B85C75">
      <w:pPr>
        <w:pStyle w:val="EndNoteBibliography"/>
        <w:spacing w:after="0"/>
        <w:ind w:left="720" w:hanging="720"/>
        <w:rPr>
          <w:rFonts w:asciiTheme="minorHAnsi" w:hAnsiTheme="minorHAnsi" w:cstheme="minorHAnsi"/>
        </w:rPr>
      </w:pPr>
      <w:bookmarkStart w:id="651" w:name="_ENREF_63"/>
      <w:bookmarkEnd w:id="650"/>
      <w:r w:rsidRPr="00697CE0">
        <w:rPr>
          <w:rFonts w:asciiTheme="minorHAnsi" w:hAnsiTheme="minorHAnsi" w:cstheme="minorHAnsi"/>
        </w:rPr>
        <w:t xml:space="preserve">Hughes, R, Bensa, S, Willison, H, Van den Bergh, P, Comi, G, Illa, I, Nobile-Orazio, E, van Doorn, P, Dalakas, M, Bojar, M &amp; Swan, A 2001, 'Randomized controlled trial of intravenous immunoglobulin versus oral prednisolone in chronic inflammatory demyelinating polyradiculoneuropathy', </w:t>
      </w:r>
      <w:r w:rsidRPr="00697CE0">
        <w:rPr>
          <w:rFonts w:asciiTheme="minorHAnsi" w:hAnsiTheme="minorHAnsi" w:cstheme="minorHAnsi"/>
          <w:i/>
        </w:rPr>
        <w:t>Ann Neurol</w:t>
      </w:r>
      <w:r w:rsidRPr="00697CE0">
        <w:rPr>
          <w:rFonts w:asciiTheme="minorHAnsi" w:hAnsiTheme="minorHAnsi" w:cstheme="minorHAnsi"/>
        </w:rPr>
        <w:t>, vol.50, pp. 195-201.</w:t>
      </w:r>
      <w:bookmarkEnd w:id="651"/>
    </w:p>
    <w:p w:rsidR="00B85C75" w:rsidRPr="00697CE0" w:rsidRDefault="00B85C75" w:rsidP="00B85C75">
      <w:pPr>
        <w:pStyle w:val="EndNoteBibliography"/>
        <w:spacing w:after="0"/>
        <w:ind w:left="720" w:hanging="720"/>
        <w:rPr>
          <w:rFonts w:asciiTheme="minorHAnsi" w:hAnsiTheme="minorHAnsi" w:cstheme="minorHAnsi"/>
        </w:rPr>
      </w:pPr>
      <w:bookmarkStart w:id="652" w:name="_ENREF_64"/>
      <w:r w:rsidRPr="00697CE0">
        <w:rPr>
          <w:rFonts w:asciiTheme="minorHAnsi" w:hAnsiTheme="minorHAnsi" w:cstheme="minorHAnsi"/>
        </w:rPr>
        <w:t xml:space="preserve">Hughes, R, Dalakas, MC, Merkies, I, Latov, N, Leger, JM, Nobile-Orazio, E, Sobue, G, Genge, A, Cornblath, D, Merschhemke, M, Ervin, CM, Agoropoulou, C &amp; Hartung, HP 2018, 'Oral fingolimod for chronic inflammatory demyelinating polyradiculoneuropathy (FORCIDP Trial): a double-blind, multicentre, randomised controlled trial', </w:t>
      </w:r>
      <w:r w:rsidRPr="00697CE0">
        <w:rPr>
          <w:rFonts w:asciiTheme="minorHAnsi" w:hAnsiTheme="minorHAnsi" w:cstheme="minorHAnsi"/>
          <w:i/>
        </w:rPr>
        <w:t>Lancet Neurol</w:t>
      </w:r>
      <w:r w:rsidRPr="00697CE0">
        <w:rPr>
          <w:rFonts w:asciiTheme="minorHAnsi" w:hAnsiTheme="minorHAnsi" w:cstheme="minorHAnsi"/>
        </w:rPr>
        <w:t>, vol.17, pp. 689-98.</w:t>
      </w:r>
      <w:bookmarkEnd w:id="652"/>
    </w:p>
    <w:p w:rsidR="00B85C75" w:rsidRPr="00697CE0" w:rsidRDefault="00B85C75" w:rsidP="00B85C75">
      <w:pPr>
        <w:pStyle w:val="EndNoteBibliography"/>
        <w:spacing w:after="0"/>
        <w:ind w:left="720" w:hanging="720"/>
        <w:rPr>
          <w:rFonts w:asciiTheme="minorHAnsi" w:hAnsiTheme="minorHAnsi" w:cstheme="minorHAnsi"/>
        </w:rPr>
      </w:pPr>
      <w:bookmarkStart w:id="653" w:name="_ENREF_65"/>
      <w:r w:rsidRPr="00697CE0">
        <w:rPr>
          <w:rFonts w:asciiTheme="minorHAnsi" w:hAnsiTheme="minorHAnsi" w:cstheme="minorHAnsi"/>
        </w:rPr>
        <w:t xml:space="preserve">Hughes, RA, Donofrio, P, Bril, V, Dalakas, MC, Deng, C, Hanna, K, Hartung, HP, Latov, N, Merkies, IS &amp; van Doorn, PA 2008, 'Intravenous immune globulin (10% caprylate-chromatography purified) for the treatment of chronic inflammatory demyelinating polyradiculoneuropathy (ICE study): a randomised placebo-controlled trial', </w:t>
      </w:r>
      <w:r w:rsidRPr="00697CE0">
        <w:rPr>
          <w:rFonts w:asciiTheme="minorHAnsi" w:hAnsiTheme="minorHAnsi" w:cstheme="minorHAnsi"/>
          <w:i/>
        </w:rPr>
        <w:t>The Lancet Neurology</w:t>
      </w:r>
      <w:r w:rsidRPr="00697CE0">
        <w:rPr>
          <w:rFonts w:asciiTheme="minorHAnsi" w:hAnsiTheme="minorHAnsi" w:cstheme="minorHAnsi"/>
        </w:rPr>
        <w:t>, vol.7, pp. 136-44.</w:t>
      </w:r>
      <w:bookmarkEnd w:id="653"/>
    </w:p>
    <w:p w:rsidR="00B85C75" w:rsidRPr="00697CE0" w:rsidRDefault="00B85C75" w:rsidP="00B85C75">
      <w:pPr>
        <w:pStyle w:val="EndNoteBibliography"/>
        <w:spacing w:after="0"/>
        <w:ind w:left="720" w:hanging="720"/>
        <w:rPr>
          <w:rFonts w:asciiTheme="minorHAnsi" w:hAnsiTheme="minorHAnsi" w:cstheme="minorHAnsi"/>
        </w:rPr>
      </w:pPr>
      <w:bookmarkStart w:id="654" w:name="_ENREF_66"/>
      <w:r w:rsidRPr="00697CE0">
        <w:rPr>
          <w:rFonts w:asciiTheme="minorHAnsi" w:hAnsiTheme="minorHAnsi" w:cstheme="minorHAnsi"/>
        </w:rPr>
        <w:t xml:space="preserve">Hughes, RAC, Mehndiratta, MM &amp; Rajabally, YA 2017, 'Corticosteroids for chronic inflammatory demyelinating polyradiculoneuropathy', </w:t>
      </w:r>
      <w:r w:rsidRPr="00697CE0">
        <w:rPr>
          <w:rFonts w:asciiTheme="minorHAnsi" w:hAnsiTheme="minorHAnsi" w:cstheme="minorHAnsi"/>
          <w:i/>
        </w:rPr>
        <w:t>Cochrane Database of Systematic Reviews</w:t>
      </w:r>
      <w:r w:rsidRPr="00697CE0">
        <w:rPr>
          <w:rFonts w:asciiTheme="minorHAnsi" w:hAnsiTheme="minorHAnsi" w:cstheme="minorHAnsi"/>
        </w:rPr>
        <w:t xml:space="preserve">, vol., pp. </w:t>
      </w:r>
      <w:bookmarkEnd w:id="654"/>
    </w:p>
    <w:p w:rsidR="00B85C75" w:rsidRPr="00697CE0" w:rsidRDefault="00B85C75" w:rsidP="00B85C75">
      <w:pPr>
        <w:pStyle w:val="EndNoteBibliography"/>
        <w:spacing w:after="0"/>
        <w:ind w:left="720" w:hanging="720"/>
        <w:rPr>
          <w:rFonts w:asciiTheme="minorHAnsi" w:hAnsiTheme="minorHAnsi" w:cstheme="minorHAnsi"/>
        </w:rPr>
      </w:pPr>
      <w:bookmarkStart w:id="655" w:name="_ENREF_67"/>
      <w:r w:rsidRPr="00697CE0">
        <w:rPr>
          <w:rFonts w:asciiTheme="minorHAnsi" w:hAnsiTheme="minorHAnsi" w:cstheme="minorHAnsi"/>
        </w:rPr>
        <w:t xml:space="preserve">Hung, SKY, Hiew, FL, Viswanathan, S &amp; Puvanarajah, S 2018, 'Conventional and unconventional therapies in typical and atypical chronic inflammatory demyelinating polyneuropathy with different clinical course of progression', </w:t>
      </w:r>
      <w:r w:rsidRPr="00697CE0">
        <w:rPr>
          <w:rFonts w:asciiTheme="minorHAnsi" w:hAnsiTheme="minorHAnsi" w:cstheme="minorHAnsi"/>
          <w:i/>
        </w:rPr>
        <w:t>Journal of the Peripheral Nervous System</w:t>
      </w:r>
      <w:r w:rsidRPr="00697CE0">
        <w:rPr>
          <w:rFonts w:asciiTheme="minorHAnsi" w:hAnsiTheme="minorHAnsi" w:cstheme="minorHAnsi"/>
        </w:rPr>
        <w:t>, vol.23, pp. 183-89.</w:t>
      </w:r>
      <w:bookmarkEnd w:id="655"/>
    </w:p>
    <w:p w:rsidR="00B85C75" w:rsidRPr="00697CE0" w:rsidRDefault="00B85C75" w:rsidP="00B85C75">
      <w:pPr>
        <w:pStyle w:val="EndNoteBibliography"/>
        <w:spacing w:after="0"/>
        <w:ind w:left="720" w:hanging="720"/>
        <w:rPr>
          <w:rFonts w:asciiTheme="minorHAnsi" w:hAnsiTheme="minorHAnsi" w:cstheme="minorHAnsi"/>
        </w:rPr>
      </w:pPr>
      <w:bookmarkStart w:id="656" w:name="_ENREF_68"/>
      <w:r w:rsidRPr="00697CE0">
        <w:rPr>
          <w:rFonts w:asciiTheme="minorHAnsi" w:hAnsiTheme="minorHAnsi" w:cstheme="minorHAnsi"/>
        </w:rPr>
        <w:t xml:space="preserve">Huscher, D, Thiele, K, Gromnica-Ihle, E, Hein, G, Demary, W, Dreher, R, Zink, A &amp; Buttgereit, F 2009, 'Dose-related patterns of glucocorticoid-induced side effects', </w:t>
      </w:r>
      <w:r w:rsidRPr="00697CE0">
        <w:rPr>
          <w:rFonts w:asciiTheme="minorHAnsi" w:hAnsiTheme="minorHAnsi" w:cstheme="minorHAnsi"/>
          <w:i/>
        </w:rPr>
        <w:t>Ann Rheum Dis</w:t>
      </w:r>
      <w:r w:rsidRPr="00697CE0">
        <w:rPr>
          <w:rFonts w:asciiTheme="minorHAnsi" w:hAnsiTheme="minorHAnsi" w:cstheme="minorHAnsi"/>
        </w:rPr>
        <w:t>, vol.68, pp. 1119-24.</w:t>
      </w:r>
      <w:bookmarkEnd w:id="656"/>
    </w:p>
    <w:p w:rsidR="00B85C75" w:rsidRPr="00697CE0" w:rsidRDefault="00B85C75" w:rsidP="00B85C75">
      <w:pPr>
        <w:pStyle w:val="EndNoteBibliography"/>
        <w:spacing w:after="0"/>
        <w:ind w:left="720" w:hanging="720"/>
        <w:rPr>
          <w:rFonts w:asciiTheme="minorHAnsi" w:hAnsiTheme="minorHAnsi" w:cstheme="minorHAnsi"/>
        </w:rPr>
      </w:pPr>
      <w:bookmarkStart w:id="657" w:name="_ENREF_69"/>
      <w:r w:rsidRPr="00697CE0">
        <w:rPr>
          <w:rFonts w:asciiTheme="minorHAnsi" w:hAnsiTheme="minorHAnsi" w:cstheme="minorHAnsi"/>
        </w:rPr>
        <w:t xml:space="preserve">Jampel, HD, Schwartz, A, Pollack, I, Abrams, D, Weiss, H &amp; Miller, R 2002, 'Glaucoma patients' assessment of their visual function and quality of life', </w:t>
      </w:r>
      <w:r w:rsidRPr="00697CE0">
        <w:rPr>
          <w:rFonts w:asciiTheme="minorHAnsi" w:hAnsiTheme="minorHAnsi" w:cstheme="minorHAnsi"/>
          <w:i/>
        </w:rPr>
        <w:t>Journal of glaucoma</w:t>
      </w:r>
      <w:r w:rsidRPr="00697CE0">
        <w:rPr>
          <w:rFonts w:asciiTheme="minorHAnsi" w:hAnsiTheme="minorHAnsi" w:cstheme="minorHAnsi"/>
        </w:rPr>
        <w:t>, vol.11, pp. 154-63.</w:t>
      </w:r>
      <w:bookmarkEnd w:id="657"/>
    </w:p>
    <w:p w:rsidR="00B85C75" w:rsidRPr="00697CE0" w:rsidRDefault="00B85C75" w:rsidP="00B85C75">
      <w:pPr>
        <w:pStyle w:val="EndNoteBibliography"/>
        <w:spacing w:after="0"/>
        <w:ind w:left="720" w:hanging="720"/>
        <w:rPr>
          <w:rFonts w:asciiTheme="minorHAnsi" w:hAnsiTheme="minorHAnsi" w:cstheme="minorHAnsi"/>
        </w:rPr>
      </w:pPr>
      <w:bookmarkStart w:id="658" w:name="_ENREF_70"/>
      <w:r w:rsidRPr="00697CE0">
        <w:rPr>
          <w:rFonts w:asciiTheme="minorHAnsi" w:hAnsiTheme="minorHAnsi" w:cstheme="minorHAnsi"/>
        </w:rPr>
        <w:t xml:space="preserve">Jann, S, Beretta, S &amp; Bramerio, MA 2005, 'Different types of chronic inflammatory demyelinating polyneuropathy have a different clinical course and response to treatment', </w:t>
      </w:r>
      <w:r w:rsidRPr="00697CE0">
        <w:rPr>
          <w:rFonts w:asciiTheme="minorHAnsi" w:hAnsiTheme="minorHAnsi" w:cstheme="minorHAnsi"/>
          <w:i/>
        </w:rPr>
        <w:t>Muscle and Nerve</w:t>
      </w:r>
      <w:r w:rsidRPr="00697CE0">
        <w:rPr>
          <w:rFonts w:asciiTheme="minorHAnsi" w:hAnsiTheme="minorHAnsi" w:cstheme="minorHAnsi"/>
        </w:rPr>
        <w:t>, vol.32, pp. 351-56.</w:t>
      </w:r>
      <w:bookmarkEnd w:id="658"/>
    </w:p>
    <w:p w:rsidR="00B85C75" w:rsidRPr="00697CE0" w:rsidRDefault="00B85C75" w:rsidP="00B85C75">
      <w:pPr>
        <w:pStyle w:val="EndNoteBibliography"/>
        <w:spacing w:after="0"/>
        <w:ind w:left="720" w:hanging="720"/>
        <w:rPr>
          <w:rFonts w:asciiTheme="minorHAnsi" w:hAnsiTheme="minorHAnsi" w:cstheme="minorHAnsi"/>
        </w:rPr>
      </w:pPr>
      <w:bookmarkStart w:id="659" w:name="_ENREF_71"/>
      <w:r w:rsidRPr="00697CE0">
        <w:rPr>
          <w:rFonts w:asciiTheme="minorHAnsi" w:hAnsiTheme="minorHAnsi" w:cstheme="minorHAnsi"/>
        </w:rPr>
        <w:t xml:space="preserve">Johannesdottir, SA, Horvath-Puho, E, Dekkers, OM, Cannegieter, SC, Jorgensen, JO, Ehrenstein, V, Vandenbroucke, JP, Pedersen, L &amp; Sorensen, HT 2013, 'Use of glucocorticoids and risk of venous thromboembolism: a nationwide population-based case-control study', </w:t>
      </w:r>
      <w:r w:rsidRPr="00697CE0">
        <w:rPr>
          <w:rFonts w:asciiTheme="minorHAnsi" w:hAnsiTheme="minorHAnsi" w:cstheme="minorHAnsi"/>
          <w:i/>
        </w:rPr>
        <w:t>JAMA Intern Med</w:t>
      </w:r>
      <w:r w:rsidRPr="00697CE0">
        <w:rPr>
          <w:rFonts w:asciiTheme="minorHAnsi" w:hAnsiTheme="minorHAnsi" w:cstheme="minorHAnsi"/>
        </w:rPr>
        <w:t>, vol.173, pp. 743-52.</w:t>
      </w:r>
      <w:bookmarkEnd w:id="659"/>
    </w:p>
    <w:p w:rsidR="00894B5E" w:rsidRPr="00697CE0" w:rsidRDefault="00894B5E" w:rsidP="00B85C75">
      <w:pPr>
        <w:pStyle w:val="EndNoteBibliography"/>
        <w:spacing w:after="0"/>
        <w:ind w:left="720" w:hanging="720"/>
        <w:rPr>
          <w:rFonts w:asciiTheme="minorHAnsi" w:hAnsiTheme="minorHAnsi" w:cstheme="minorHAnsi"/>
        </w:rPr>
      </w:pPr>
      <w:bookmarkStart w:id="660" w:name="_ENREF_72"/>
      <w:r w:rsidRPr="00697CE0">
        <w:rPr>
          <w:rFonts w:asciiTheme="minorHAnsi" w:hAnsiTheme="minorHAnsi" w:cstheme="minorHAnsi"/>
        </w:rPr>
        <w:t>Karnon et al. (2016). What are we paying for? A cost-effectiveness analysis of patented denosumab and generic alendronate for postmenopausal osteoporotic women in Australia, Cost Eff Resour Alloc (2016) 14:11</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Katzberg, HD, Rasutis, V &amp; Bril, V 2013, 'Home IVIG for CIDP: a focus on patient centred care', </w:t>
      </w:r>
      <w:r w:rsidRPr="00697CE0">
        <w:rPr>
          <w:rFonts w:asciiTheme="minorHAnsi" w:hAnsiTheme="minorHAnsi" w:cstheme="minorHAnsi"/>
          <w:i/>
        </w:rPr>
        <w:t>The Canadian journal of neurological sciences</w:t>
      </w:r>
      <w:r w:rsidRPr="00697CE0">
        <w:rPr>
          <w:rFonts w:asciiTheme="minorHAnsi" w:hAnsiTheme="minorHAnsi" w:cstheme="minorHAnsi"/>
        </w:rPr>
        <w:t>, vol.Le journal canadien des sciences neurologiques. 40, pp. 384-88.</w:t>
      </w:r>
      <w:bookmarkEnd w:id="660"/>
    </w:p>
    <w:p w:rsidR="00894B5E" w:rsidRPr="00697CE0" w:rsidRDefault="00894B5E" w:rsidP="00B85C75">
      <w:pPr>
        <w:pStyle w:val="EndNoteBibliography"/>
        <w:spacing w:after="0"/>
        <w:ind w:left="720" w:hanging="720"/>
        <w:rPr>
          <w:rFonts w:asciiTheme="minorHAnsi" w:hAnsiTheme="minorHAnsi" w:cstheme="minorHAnsi"/>
        </w:rPr>
      </w:pPr>
      <w:bookmarkStart w:id="661" w:name="_ENREF_73"/>
      <w:r w:rsidRPr="00697CE0">
        <w:rPr>
          <w:rFonts w:asciiTheme="minorHAnsi" w:hAnsiTheme="minorHAnsi" w:cstheme="minorHAnsi"/>
        </w:rPr>
        <w:lastRenderedPageBreak/>
        <w:t>Keating et al. (2012). Utility-Based Quality of Life Associated With Overweight and Obesity: The Australian Diabetes, Obesity, and Lifestyle Study, Obesity</w:t>
      </w:r>
    </w:p>
    <w:p w:rsidR="004717DF" w:rsidRPr="00697CE0" w:rsidRDefault="004717DF"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Kobelt G, Berg J, Lindgren P, Kerrigan J, Russell N, Nixon R. Costs and quality of life of multiple sclerosis in the United Kingdom. Eur J Health Econ 2006; 7(Suppl 2): S96–S104</w:t>
      </w:r>
    </w:p>
    <w:p w:rsidR="00894B5E" w:rsidRPr="00697CE0" w:rsidRDefault="00894B5E"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Kortt, and Clarke (2005). Estimating utility values for health states of overweight and obese individuals using the SF-36, Quality of Life Research, 14, 2177-2185</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Kremers, HM, Reinalda, MS, Crowson, CS, Davis III, JM, Hunder, GG &amp; Gabriel, SE 2007, 'Glucocorticoids and cardiovascular and cerebrovascular events in polymyalgia rheumatica', </w:t>
      </w:r>
      <w:r w:rsidRPr="00697CE0">
        <w:rPr>
          <w:rFonts w:asciiTheme="minorHAnsi" w:hAnsiTheme="minorHAnsi" w:cstheme="minorHAnsi"/>
          <w:i/>
        </w:rPr>
        <w:t>Arthritis Care &amp; Research</w:t>
      </w:r>
      <w:r w:rsidRPr="00697CE0">
        <w:rPr>
          <w:rFonts w:asciiTheme="minorHAnsi" w:hAnsiTheme="minorHAnsi" w:cstheme="minorHAnsi"/>
        </w:rPr>
        <w:t>, vol.57, pp. 279-86.</w:t>
      </w:r>
      <w:bookmarkEnd w:id="661"/>
    </w:p>
    <w:p w:rsidR="00B85C75" w:rsidRPr="00697CE0" w:rsidRDefault="00B85C75" w:rsidP="00B85C75">
      <w:pPr>
        <w:pStyle w:val="EndNoteBibliography"/>
        <w:spacing w:after="0"/>
        <w:ind w:left="720" w:hanging="720"/>
        <w:rPr>
          <w:rFonts w:asciiTheme="minorHAnsi" w:hAnsiTheme="minorHAnsi" w:cstheme="minorHAnsi"/>
        </w:rPr>
      </w:pPr>
      <w:bookmarkStart w:id="662" w:name="_ENREF_74"/>
      <w:r w:rsidRPr="00697CE0">
        <w:rPr>
          <w:rFonts w:asciiTheme="minorHAnsi" w:hAnsiTheme="minorHAnsi" w:cstheme="minorHAnsi"/>
        </w:rPr>
        <w:t xml:space="preserve">Kuitwaard, K, Hahn, AF, Vermeulen, M, Venance, SL &amp; Van Doorn, PA 2015, 'Intravenous immunoglobulin response in treatmentnaive chronic inflammatory demyelinating polyradiculoneuropathy', </w:t>
      </w:r>
      <w:r w:rsidRPr="00697CE0">
        <w:rPr>
          <w:rFonts w:asciiTheme="minorHAnsi" w:hAnsiTheme="minorHAnsi" w:cstheme="minorHAnsi"/>
          <w:i/>
        </w:rPr>
        <w:t>Journal of Neurology, Neurosurgery and Psychiatry</w:t>
      </w:r>
      <w:r w:rsidRPr="00697CE0">
        <w:rPr>
          <w:rFonts w:asciiTheme="minorHAnsi" w:hAnsiTheme="minorHAnsi" w:cstheme="minorHAnsi"/>
        </w:rPr>
        <w:t>, vol.86, pp. 1331-36.</w:t>
      </w:r>
      <w:bookmarkEnd w:id="662"/>
    </w:p>
    <w:p w:rsidR="00B85C75" w:rsidRPr="00697CE0" w:rsidRDefault="00B85C75" w:rsidP="00B85C75">
      <w:pPr>
        <w:pStyle w:val="EndNoteBibliography"/>
        <w:spacing w:after="0"/>
        <w:ind w:left="720" w:hanging="720"/>
        <w:rPr>
          <w:rFonts w:asciiTheme="minorHAnsi" w:hAnsiTheme="minorHAnsi" w:cstheme="minorHAnsi"/>
        </w:rPr>
      </w:pPr>
      <w:bookmarkStart w:id="663" w:name="_ENREF_75"/>
      <w:r w:rsidRPr="00697CE0">
        <w:rPr>
          <w:rFonts w:asciiTheme="minorHAnsi" w:hAnsiTheme="minorHAnsi" w:cstheme="minorHAnsi"/>
        </w:rPr>
        <w:t xml:space="preserve">Kuitwaard, K, van den Berg, LH, Vermeulen, M, Brusse, E, Cats, EA, van der Kooi, AJ, Notermans, NC, van der Pol, WL, van Schaik, IN, van Nes, SI, Hop, WC &amp; van Doorn, PA 2010, 'Randomised controlled trial comparing two different intravenous immunoglobulins in chronic inflammatory demyelinating polyradiculoneuropathy', </w:t>
      </w:r>
      <w:r w:rsidRPr="00697CE0">
        <w:rPr>
          <w:rFonts w:asciiTheme="minorHAnsi" w:hAnsiTheme="minorHAnsi" w:cstheme="minorHAnsi"/>
          <w:i/>
        </w:rPr>
        <w:t>J Neurol Neurosurg Psychiatry</w:t>
      </w:r>
      <w:r w:rsidRPr="00697CE0">
        <w:rPr>
          <w:rFonts w:asciiTheme="minorHAnsi" w:hAnsiTheme="minorHAnsi" w:cstheme="minorHAnsi"/>
        </w:rPr>
        <w:t>, vol.81, pp. 1374-9.</w:t>
      </w:r>
      <w:bookmarkEnd w:id="663"/>
    </w:p>
    <w:p w:rsidR="00B85C75" w:rsidRPr="00697CE0" w:rsidRDefault="00B85C75" w:rsidP="00B85C75">
      <w:pPr>
        <w:pStyle w:val="EndNoteBibliography"/>
        <w:spacing w:after="0"/>
        <w:ind w:left="720" w:hanging="720"/>
        <w:rPr>
          <w:rFonts w:asciiTheme="minorHAnsi" w:hAnsiTheme="minorHAnsi" w:cstheme="minorHAnsi"/>
        </w:rPr>
      </w:pPr>
      <w:bookmarkStart w:id="664" w:name="_ENREF_76"/>
      <w:r w:rsidRPr="00697CE0">
        <w:rPr>
          <w:rFonts w:asciiTheme="minorHAnsi" w:hAnsiTheme="minorHAnsi" w:cstheme="minorHAnsi"/>
        </w:rPr>
        <w:t xml:space="preserve">Kuwabara, S, Mori, M, Misawa, S, Suzuki, M, Nishiyama, K, Mutoh, T, Doi, S, Kokubun, N, Kamijo, M, Yoshikawa, H, Abe, K, Nishida, Y, Okada, K, Sekiguchi, K, Sakamoto, K, Kusunoki, S, Sobue, G &amp; Kaji, R 2017, 'Intravenous immunoglobulin for maintenance treatment of chronic inflammatory demyelinating polyneuropathy: A multicentre, open-label, 52-week phase III trial', </w:t>
      </w:r>
      <w:r w:rsidRPr="00697CE0">
        <w:rPr>
          <w:rFonts w:asciiTheme="minorHAnsi" w:hAnsiTheme="minorHAnsi" w:cstheme="minorHAnsi"/>
          <w:i/>
        </w:rPr>
        <w:t>Journal of Neurology, Neurosurgery and Psychiatry</w:t>
      </w:r>
      <w:r w:rsidRPr="00697CE0">
        <w:rPr>
          <w:rFonts w:asciiTheme="minorHAnsi" w:hAnsiTheme="minorHAnsi" w:cstheme="minorHAnsi"/>
        </w:rPr>
        <w:t>, vol.88, pp. 832-38.</w:t>
      </w:r>
      <w:bookmarkEnd w:id="664"/>
    </w:p>
    <w:p w:rsidR="00BE6854" w:rsidRPr="00697CE0" w:rsidRDefault="00BE6854" w:rsidP="00B85C75">
      <w:pPr>
        <w:pStyle w:val="EndNoteBibliography"/>
        <w:spacing w:after="0"/>
        <w:ind w:left="720" w:hanging="720"/>
        <w:rPr>
          <w:rFonts w:asciiTheme="minorHAnsi" w:hAnsiTheme="minorHAnsi" w:cstheme="minorHAnsi"/>
        </w:rPr>
      </w:pPr>
      <w:bookmarkStart w:id="665" w:name="_ENREF_77"/>
      <w:r w:rsidRPr="00697CE0">
        <w:rPr>
          <w:rFonts w:asciiTheme="minorHAnsi" w:hAnsiTheme="minorHAnsi" w:cstheme="minorHAnsi"/>
        </w:rPr>
        <w:t>Lefter S, Hardiman O, Ryan AM. A Population-based epidemiologic study of adult neuromuscular disease in the Republic of Ireland. Neurology 2017;88(3):304-313</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Leger, JM, De Bleecker, JL, Sommer, C, Robberecht, W, Saarela, M, Kamienowski, J, Stelmasiak, Z, Mielke, O, Tackenberg, B, Shebl, A, Bauhofer, A, Zenker, O &amp; Merkies, IS 2013, 'Efficacy and safety of Privigen((R)) in patients with chronic inflammatory demyelinating polyneuropathy: results of a prospective, single-arm, open-label Phase III study (the PRIMA study)', </w:t>
      </w:r>
      <w:r w:rsidRPr="00697CE0">
        <w:rPr>
          <w:rFonts w:asciiTheme="minorHAnsi" w:hAnsiTheme="minorHAnsi" w:cstheme="minorHAnsi"/>
          <w:i/>
        </w:rPr>
        <w:t>J Peripher Nerv Syst</w:t>
      </w:r>
      <w:r w:rsidRPr="00697CE0">
        <w:rPr>
          <w:rFonts w:asciiTheme="minorHAnsi" w:hAnsiTheme="minorHAnsi" w:cstheme="minorHAnsi"/>
        </w:rPr>
        <w:t>, vol.18, pp. 130-40.</w:t>
      </w:r>
      <w:bookmarkEnd w:id="665"/>
    </w:p>
    <w:p w:rsidR="00B85C75" w:rsidRPr="00697CE0" w:rsidRDefault="00B85C75" w:rsidP="00B85C75">
      <w:pPr>
        <w:pStyle w:val="EndNoteBibliography"/>
        <w:spacing w:after="0"/>
        <w:ind w:left="720" w:hanging="720"/>
        <w:rPr>
          <w:rFonts w:asciiTheme="minorHAnsi" w:hAnsiTheme="minorHAnsi" w:cstheme="minorHAnsi"/>
        </w:rPr>
      </w:pPr>
      <w:bookmarkStart w:id="666" w:name="_ENREF_78"/>
      <w:r w:rsidRPr="00697CE0">
        <w:rPr>
          <w:rFonts w:asciiTheme="minorHAnsi" w:hAnsiTheme="minorHAnsi" w:cstheme="minorHAnsi"/>
        </w:rPr>
        <w:t xml:space="preserve">Levine, AA, Levine, TD, Clarke, K &amp; Saperstein, D 2017, 'Renal and hematologic side effects of long-term intravenous immunoglobulin therapy in patients with neurologic disorders', </w:t>
      </w:r>
      <w:r w:rsidRPr="00697CE0">
        <w:rPr>
          <w:rFonts w:asciiTheme="minorHAnsi" w:hAnsiTheme="minorHAnsi" w:cstheme="minorHAnsi"/>
          <w:i/>
        </w:rPr>
        <w:t>Muscle Nerve</w:t>
      </w:r>
      <w:r w:rsidRPr="00697CE0">
        <w:rPr>
          <w:rFonts w:asciiTheme="minorHAnsi" w:hAnsiTheme="minorHAnsi" w:cstheme="minorHAnsi"/>
        </w:rPr>
        <w:t>, vol.56, pp. 1173-76.</w:t>
      </w:r>
      <w:bookmarkEnd w:id="666"/>
    </w:p>
    <w:p w:rsidR="00B85C75" w:rsidRPr="00697CE0" w:rsidRDefault="00B85C75" w:rsidP="00B85C75">
      <w:pPr>
        <w:pStyle w:val="EndNoteBibliography"/>
        <w:spacing w:after="0"/>
        <w:ind w:left="720" w:hanging="720"/>
        <w:rPr>
          <w:rFonts w:asciiTheme="minorHAnsi" w:hAnsiTheme="minorHAnsi" w:cstheme="minorHAnsi"/>
        </w:rPr>
      </w:pPr>
      <w:bookmarkStart w:id="667" w:name="_ENREF_79"/>
      <w:r w:rsidRPr="00697CE0">
        <w:rPr>
          <w:rFonts w:asciiTheme="minorHAnsi" w:hAnsiTheme="minorHAnsi" w:cstheme="minorHAnsi"/>
        </w:rPr>
        <w:t xml:space="preserve">Lewis, RA 2018, </w:t>
      </w:r>
      <w:r w:rsidRPr="00697CE0">
        <w:rPr>
          <w:rFonts w:asciiTheme="minorHAnsi" w:hAnsiTheme="minorHAnsi" w:cstheme="minorHAnsi"/>
          <w:i/>
        </w:rPr>
        <w:t>Chronic inflammatory demyelinating polyradiculoneuropathy</w:t>
      </w:r>
      <w:r w:rsidRPr="00697CE0">
        <w:rPr>
          <w:rFonts w:asciiTheme="minorHAnsi" w:hAnsiTheme="minorHAnsi" w:cstheme="minorHAnsi"/>
        </w:rPr>
        <w:t>, viewed 10th April 2019, &lt;</w:t>
      </w:r>
      <w:r w:rsidRPr="00697CE0">
        <w:rPr>
          <w:rFonts w:asciiTheme="minorHAnsi" w:hAnsiTheme="minorHAnsi" w:cstheme="minorHAnsi"/>
          <w:u w:val="single"/>
        </w:rPr>
        <w:t>https://emedicine.medscape.com/article/1172965-medication#2</w:t>
      </w:r>
      <w:r w:rsidRPr="00697CE0">
        <w:rPr>
          <w:rFonts w:asciiTheme="minorHAnsi" w:hAnsiTheme="minorHAnsi" w:cstheme="minorHAnsi"/>
        </w:rPr>
        <w:t>&gt;.</w:t>
      </w:r>
      <w:bookmarkEnd w:id="667"/>
    </w:p>
    <w:p w:rsidR="00B85C75" w:rsidRPr="00697CE0" w:rsidRDefault="00B85C75" w:rsidP="00B85C75">
      <w:pPr>
        <w:pStyle w:val="EndNoteBibliography"/>
        <w:spacing w:after="0"/>
        <w:ind w:left="720" w:hanging="720"/>
        <w:rPr>
          <w:rFonts w:asciiTheme="minorHAnsi" w:hAnsiTheme="minorHAnsi" w:cstheme="minorHAnsi"/>
        </w:rPr>
      </w:pPr>
      <w:bookmarkStart w:id="668" w:name="_ENREF_80"/>
      <w:r w:rsidRPr="00697CE0">
        <w:rPr>
          <w:rFonts w:asciiTheme="minorHAnsi" w:hAnsiTheme="minorHAnsi" w:cstheme="minorHAnsi"/>
        </w:rPr>
        <w:t xml:space="preserve">Lewis, RA 2019a, </w:t>
      </w:r>
      <w:r w:rsidRPr="00697CE0">
        <w:rPr>
          <w:rFonts w:asciiTheme="minorHAnsi" w:hAnsiTheme="minorHAnsi" w:cstheme="minorHAnsi"/>
          <w:i/>
        </w:rPr>
        <w:t>Chronic inflammatory demyelinating polyneuropathy: Etiology, clinical features, and diagnosis</w:t>
      </w:r>
      <w:r w:rsidRPr="00697CE0">
        <w:rPr>
          <w:rFonts w:asciiTheme="minorHAnsi" w:hAnsiTheme="minorHAnsi" w:cstheme="minorHAnsi"/>
        </w:rPr>
        <w:t>, Wolters Kluwer, viewed 6th May 2019, &lt;</w:t>
      </w:r>
      <w:r w:rsidRPr="00697CE0">
        <w:rPr>
          <w:rFonts w:asciiTheme="minorHAnsi" w:hAnsiTheme="minorHAnsi" w:cstheme="minorHAnsi"/>
          <w:u w:val="single"/>
        </w:rPr>
        <w:t>https://www.uptodate.com/contents/chronic-inflammatory-demyelinating-polyneuropathy-etiology-clinical-features-and-diagnosis</w:t>
      </w:r>
      <w:r w:rsidRPr="00697CE0">
        <w:rPr>
          <w:rFonts w:asciiTheme="minorHAnsi" w:hAnsiTheme="minorHAnsi" w:cstheme="minorHAnsi"/>
        </w:rPr>
        <w:t>&gt;.</w:t>
      </w:r>
      <w:bookmarkEnd w:id="668"/>
    </w:p>
    <w:p w:rsidR="00B85C75" w:rsidRPr="00697CE0" w:rsidRDefault="00B85C75" w:rsidP="00B85C75">
      <w:pPr>
        <w:pStyle w:val="EndNoteBibliography"/>
        <w:spacing w:after="0"/>
        <w:ind w:left="720" w:hanging="720"/>
        <w:rPr>
          <w:rFonts w:asciiTheme="minorHAnsi" w:hAnsiTheme="minorHAnsi" w:cstheme="minorHAnsi"/>
        </w:rPr>
      </w:pPr>
      <w:bookmarkStart w:id="669" w:name="_ENREF_81"/>
      <w:r w:rsidRPr="00697CE0">
        <w:rPr>
          <w:rFonts w:asciiTheme="minorHAnsi" w:hAnsiTheme="minorHAnsi" w:cstheme="minorHAnsi"/>
        </w:rPr>
        <w:t xml:space="preserve">Lewis, RA 2019b, </w:t>
      </w:r>
      <w:r w:rsidRPr="00697CE0">
        <w:rPr>
          <w:rFonts w:asciiTheme="minorHAnsi" w:hAnsiTheme="minorHAnsi" w:cstheme="minorHAnsi"/>
          <w:i/>
        </w:rPr>
        <w:t>Chronic inflammatory demyelinating polyneuropathy: Treatment and prognosis</w:t>
      </w:r>
      <w:r w:rsidRPr="00697CE0">
        <w:rPr>
          <w:rFonts w:asciiTheme="minorHAnsi" w:hAnsiTheme="minorHAnsi" w:cstheme="minorHAnsi"/>
        </w:rPr>
        <w:t>, Wolters Kluwer, viewed 11th April 2019, &lt;</w:t>
      </w:r>
      <w:r w:rsidRPr="00697CE0">
        <w:rPr>
          <w:rFonts w:asciiTheme="minorHAnsi" w:hAnsiTheme="minorHAnsi" w:cstheme="minorHAnsi"/>
          <w:u w:val="single"/>
        </w:rPr>
        <w:t>https://www.uptodate.com/contents/chronic-inflammatory-demyelinating-polyneuropathy-treatment-and-prognosis</w:t>
      </w:r>
      <w:r w:rsidRPr="00697CE0">
        <w:rPr>
          <w:rFonts w:asciiTheme="minorHAnsi" w:hAnsiTheme="minorHAnsi" w:cstheme="minorHAnsi"/>
        </w:rPr>
        <w:t>&gt;.</w:t>
      </w:r>
      <w:bookmarkEnd w:id="669"/>
    </w:p>
    <w:p w:rsidR="00B85C75" w:rsidRPr="00697CE0" w:rsidRDefault="00B85C75" w:rsidP="00B85C75">
      <w:pPr>
        <w:pStyle w:val="EndNoteBibliography"/>
        <w:spacing w:after="0"/>
        <w:ind w:left="720" w:hanging="720"/>
        <w:rPr>
          <w:rFonts w:asciiTheme="minorHAnsi" w:hAnsiTheme="minorHAnsi" w:cstheme="minorHAnsi"/>
        </w:rPr>
      </w:pPr>
      <w:bookmarkStart w:id="670" w:name="_ENREF_82"/>
      <w:r w:rsidRPr="00697CE0">
        <w:rPr>
          <w:rFonts w:asciiTheme="minorHAnsi" w:hAnsiTheme="minorHAnsi" w:cstheme="minorHAnsi"/>
        </w:rPr>
        <w:t xml:space="preserve">Liberati, A, Altman, DG, Tetzlaff, J, Mulrow, C, Gøtzsche, PC, Ioannidis, JP, Clarke, M, Devereaux, PJ, Kleijnen, J &amp; Moher, D 2009, 'The PRISMA statement for reporting systematic reviews and meta-analyses of studies that evaluate health care interventions: explanation and elaboration', </w:t>
      </w:r>
      <w:r w:rsidRPr="00697CE0">
        <w:rPr>
          <w:rFonts w:asciiTheme="minorHAnsi" w:hAnsiTheme="minorHAnsi" w:cstheme="minorHAnsi"/>
          <w:i/>
        </w:rPr>
        <w:t>PLoS medicine</w:t>
      </w:r>
      <w:r w:rsidRPr="00697CE0">
        <w:rPr>
          <w:rFonts w:asciiTheme="minorHAnsi" w:hAnsiTheme="minorHAnsi" w:cstheme="minorHAnsi"/>
        </w:rPr>
        <w:t>, vol.6, pp. e1000100.</w:t>
      </w:r>
      <w:bookmarkEnd w:id="670"/>
    </w:p>
    <w:p w:rsidR="00B85C75" w:rsidRPr="00697CE0" w:rsidRDefault="00B85C75" w:rsidP="00B85C75">
      <w:pPr>
        <w:pStyle w:val="EndNoteBibliography"/>
        <w:spacing w:after="0"/>
        <w:ind w:left="720" w:hanging="720"/>
        <w:rPr>
          <w:rFonts w:asciiTheme="minorHAnsi" w:hAnsiTheme="minorHAnsi" w:cstheme="minorHAnsi"/>
        </w:rPr>
      </w:pPr>
      <w:bookmarkStart w:id="671" w:name="_ENREF_83"/>
      <w:r w:rsidRPr="00697CE0">
        <w:rPr>
          <w:rFonts w:asciiTheme="minorHAnsi" w:hAnsiTheme="minorHAnsi" w:cstheme="minorHAnsi"/>
        </w:rPr>
        <w:t xml:space="preserve">Lieker, I, Slowinski, T, Harms, L, Hahn, K &amp; Klehmet, J 2017, 'A prospective study comparing tryptophan immunoadsorption with therapeutic plasma exchange for the treatment of chronic inflammatory demyelinating polyneuropathy', </w:t>
      </w:r>
      <w:r w:rsidRPr="00697CE0">
        <w:rPr>
          <w:rFonts w:asciiTheme="minorHAnsi" w:hAnsiTheme="minorHAnsi" w:cstheme="minorHAnsi"/>
          <w:i/>
        </w:rPr>
        <w:t>Journal of clinical apheresis</w:t>
      </w:r>
      <w:r w:rsidRPr="00697CE0">
        <w:rPr>
          <w:rFonts w:asciiTheme="minorHAnsi" w:hAnsiTheme="minorHAnsi" w:cstheme="minorHAnsi"/>
        </w:rPr>
        <w:t xml:space="preserve">, vol., pp. </w:t>
      </w:r>
      <w:bookmarkEnd w:id="671"/>
    </w:p>
    <w:p w:rsidR="00EB3EF7" w:rsidRPr="00697CE0" w:rsidRDefault="00EB3EF7" w:rsidP="00B85C75">
      <w:pPr>
        <w:pStyle w:val="EndNoteBibliography"/>
        <w:spacing w:after="0"/>
        <w:ind w:left="720" w:hanging="720"/>
        <w:rPr>
          <w:rFonts w:asciiTheme="minorHAnsi" w:hAnsiTheme="minorHAnsi" w:cstheme="minorHAnsi"/>
        </w:rPr>
      </w:pPr>
      <w:bookmarkStart w:id="672" w:name="_ENREF_84"/>
      <w:r w:rsidRPr="00697CE0">
        <w:rPr>
          <w:rFonts w:asciiTheme="minorHAnsi" w:hAnsiTheme="minorHAnsi" w:cstheme="minorHAnsi"/>
        </w:rPr>
        <w:t>Liew et al. (2010) Cost-effectiveness of risedronate for corticosteroid-induced osteoporosis in Australia, 13 (7), A558-A559</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lastRenderedPageBreak/>
        <w:t xml:space="preserve">Lopate, G, Pestronk, A &amp; Al-Lozi, M 2005, 'Treatment of chronic inflammatory demyelinating polyneuropathy with high-dose intermittent intravenous methylprednisolone', </w:t>
      </w:r>
      <w:r w:rsidRPr="00697CE0">
        <w:rPr>
          <w:rFonts w:asciiTheme="minorHAnsi" w:hAnsiTheme="minorHAnsi" w:cstheme="minorHAnsi"/>
          <w:i/>
        </w:rPr>
        <w:t>Arch Neurol</w:t>
      </w:r>
      <w:r w:rsidRPr="00697CE0">
        <w:rPr>
          <w:rFonts w:asciiTheme="minorHAnsi" w:hAnsiTheme="minorHAnsi" w:cstheme="minorHAnsi"/>
        </w:rPr>
        <w:t>, vol.62, pp. 249-54.</w:t>
      </w:r>
      <w:bookmarkEnd w:id="672"/>
    </w:p>
    <w:p w:rsidR="00110F5A" w:rsidRPr="00697CE0" w:rsidRDefault="00110F5A" w:rsidP="00B85C75">
      <w:pPr>
        <w:pStyle w:val="EndNoteBibliography"/>
        <w:spacing w:after="0"/>
        <w:ind w:left="720" w:hanging="720"/>
        <w:rPr>
          <w:rFonts w:asciiTheme="minorHAnsi" w:hAnsiTheme="minorHAnsi" w:cstheme="minorHAnsi"/>
        </w:rPr>
      </w:pPr>
      <w:bookmarkStart w:id="673" w:name="_ENREF_85"/>
      <w:r w:rsidRPr="00697CE0">
        <w:rPr>
          <w:rFonts w:asciiTheme="minorHAnsi" w:hAnsiTheme="minorHAnsi" w:cstheme="minorHAnsi"/>
        </w:rPr>
        <w:t>Liu Z, Albon E, Hyde C. The effectiveness and cost effectiveness of immunoglobulin replacement therapy for primary immunodeficiency and chronic lymphocytic leukaemia: a systematic review and economic evaluation. Birmingham (UK): Department of Public Health and Epidemiology, University of Birmingham; 200</w:t>
      </w:r>
    </w:p>
    <w:p w:rsidR="00BE6854" w:rsidRPr="00697CE0" w:rsidRDefault="00BE6854"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Lunn MP, Manji H, Choudhary PP, Hughes RA, Thomas PK. Chronic inflammatory demyelinating polyradiculoneuropathy: a prevalence study in south east England. J Neurol Neurosurg Psychiatry 1999 May;66:677-680</w:t>
      </w:r>
    </w:p>
    <w:p w:rsidR="00110F5A" w:rsidRPr="00697CE0" w:rsidRDefault="00110F5A"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Machkhas H, Harati Y. Pulse intravenous methylprednisolone (IVMP) in the treatment of chronic inflammatory demyelinating polyradicuneropathy (CIDP). Neurology 1997;48:87–8.</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Mahdi‐Rogers, M, McCrone, P &amp; Hughes, R 2014, 'Economic costs and quality of life in chronic inflammatory neuropathies in southeast England', </w:t>
      </w:r>
      <w:r w:rsidRPr="00697CE0">
        <w:rPr>
          <w:rFonts w:asciiTheme="minorHAnsi" w:hAnsiTheme="minorHAnsi" w:cstheme="minorHAnsi"/>
          <w:i/>
        </w:rPr>
        <w:t>European journal of neurology</w:t>
      </w:r>
      <w:r w:rsidRPr="00697CE0">
        <w:rPr>
          <w:rFonts w:asciiTheme="minorHAnsi" w:hAnsiTheme="minorHAnsi" w:cstheme="minorHAnsi"/>
        </w:rPr>
        <w:t>, vol.21, pp. 34-39.</w:t>
      </w:r>
      <w:bookmarkEnd w:id="673"/>
    </w:p>
    <w:p w:rsidR="00B85C75" w:rsidRPr="00697CE0" w:rsidRDefault="00B85C75" w:rsidP="00B85C75">
      <w:pPr>
        <w:pStyle w:val="EndNoteBibliography"/>
        <w:spacing w:after="0"/>
        <w:ind w:left="720" w:hanging="720"/>
        <w:rPr>
          <w:rFonts w:asciiTheme="minorHAnsi" w:hAnsiTheme="minorHAnsi" w:cstheme="minorHAnsi"/>
        </w:rPr>
      </w:pPr>
      <w:bookmarkStart w:id="674" w:name="_ENREF_86"/>
      <w:r w:rsidRPr="00697CE0">
        <w:rPr>
          <w:rFonts w:asciiTheme="minorHAnsi" w:hAnsiTheme="minorHAnsi" w:cstheme="minorHAnsi"/>
        </w:rPr>
        <w:t xml:space="preserve">Markvardsen, LH, Debost, JC, Harbo, T, Sindrup, SH, Andersen, H, Christiansen, I, Otto, M, Olsen, NK, Lassen, LL &amp; Jakobsen, J 2013, 'Subcutaneous immunoglobulin in responders to intravenous therapy with chronic inflammatory demyelinating polyradiculoneuropathy', </w:t>
      </w:r>
      <w:r w:rsidRPr="00697CE0">
        <w:rPr>
          <w:rFonts w:asciiTheme="minorHAnsi" w:hAnsiTheme="minorHAnsi" w:cstheme="minorHAnsi"/>
          <w:i/>
        </w:rPr>
        <w:t>European Journal of Neurology</w:t>
      </w:r>
      <w:r w:rsidRPr="00697CE0">
        <w:rPr>
          <w:rFonts w:asciiTheme="minorHAnsi" w:hAnsiTheme="minorHAnsi" w:cstheme="minorHAnsi"/>
        </w:rPr>
        <w:t>, vol.20, pp. 836-42.</w:t>
      </w:r>
      <w:bookmarkEnd w:id="674"/>
    </w:p>
    <w:p w:rsidR="00B85C75" w:rsidRPr="00697CE0" w:rsidRDefault="00B85C75" w:rsidP="00B85C75">
      <w:pPr>
        <w:pStyle w:val="EndNoteBibliography"/>
        <w:spacing w:after="0"/>
        <w:ind w:left="720" w:hanging="720"/>
        <w:rPr>
          <w:rFonts w:asciiTheme="minorHAnsi" w:hAnsiTheme="minorHAnsi" w:cstheme="minorHAnsi"/>
        </w:rPr>
      </w:pPr>
      <w:bookmarkStart w:id="675" w:name="_ENREF_87"/>
      <w:r w:rsidRPr="00697CE0">
        <w:rPr>
          <w:rFonts w:asciiTheme="minorHAnsi" w:hAnsiTheme="minorHAnsi" w:cstheme="minorHAnsi"/>
        </w:rPr>
        <w:t xml:space="preserve">Markvardsen, LH, Harbo, T, Sindrup, SH, Christiansen, I, Andersen, H &amp; Jakobsen, J 2014b, 'Subcutaneous immunoglobulin preserves muscle strength in chronic inflammatory demyelinating polyneuropathy', </w:t>
      </w:r>
      <w:r w:rsidRPr="00697CE0">
        <w:rPr>
          <w:rFonts w:asciiTheme="minorHAnsi" w:hAnsiTheme="minorHAnsi" w:cstheme="minorHAnsi"/>
          <w:i/>
        </w:rPr>
        <w:t>European Journal of Neurology</w:t>
      </w:r>
      <w:r w:rsidRPr="00697CE0">
        <w:rPr>
          <w:rFonts w:asciiTheme="minorHAnsi" w:hAnsiTheme="minorHAnsi" w:cstheme="minorHAnsi"/>
        </w:rPr>
        <w:t>, vol.21, pp. 1465-70.</w:t>
      </w:r>
      <w:bookmarkEnd w:id="675"/>
    </w:p>
    <w:p w:rsidR="00B85C75" w:rsidRPr="00697CE0" w:rsidRDefault="00B85C75" w:rsidP="00B85C75">
      <w:pPr>
        <w:pStyle w:val="EndNoteBibliography"/>
        <w:spacing w:after="0"/>
        <w:ind w:left="720" w:hanging="720"/>
        <w:rPr>
          <w:rFonts w:asciiTheme="minorHAnsi" w:hAnsiTheme="minorHAnsi" w:cstheme="minorHAnsi"/>
        </w:rPr>
      </w:pPr>
      <w:bookmarkStart w:id="676" w:name="_ENREF_88"/>
      <w:r w:rsidRPr="00697CE0">
        <w:rPr>
          <w:rFonts w:asciiTheme="minorHAnsi" w:hAnsiTheme="minorHAnsi" w:cstheme="minorHAnsi"/>
        </w:rPr>
        <w:t xml:space="preserve">Markvardsen, LH, Sindrup, SH, Christiansen, I, Olsen, NK, Jakobsen, J &amp; Andersen, H 2017, 'Subcutaneous immunoglobulin as first-line therapy in treatment-naive patients with chronic inflammatory demyelinating polyneuropathy: randomized controlled trial study', </w:t>
      </w:r>
      <w:r w:rsidRPr="00697CE0">
        <w:rPr>
          <w:rFonts w:asciiTheme="minorHAnsi" w:hAnsiTheme="minorHAnsi" w:cstheme="minorHAnsi"/>
          <w:i/>
        </w:rPr>
        <w:t>European Journal of Neurology</w:t>
      </w:r>
      <w:r w:rsidRPr="00697CE0">
        <w:rPr>
          <w:rFonts w:asciiTheme="minorHAnsi" w:hAnsiTheme="minorHAnsi" w:cstheme="minorHAnsi"/>
        </w:rPr>
        <w:t>, vol.24, pp. 412-18.</w:t>
      </w:r>
      <w:bookmarkEnd w:id="676"/>
    </w:p>
    <w:p w:rsidR="00B85C75" w:rsidRPr="00697CE0" w:rsidRDefault="00B85C75" w:rsidP="00B85C75">
      <w:pPr>
        <w:pStyle w:val="EndNoteBibliography"/>
        <w:spacing w:after="0"/>
        <w:ind w:left="720" w:hanging="720"/>
        <w:rPr>
          <w:rFonts w:asciiTheme="minorHAnsi" w:hAnsiTheme="minorHAnsi" w:cstheme="minorHAnsi"/>
        </w:rPr>
      </w:pPr>
      <w:bookmarkStart w:id="677" w:name="_ENREF_89"/>
      <w:r w:rsidRPr="00697CE0">
        <w:rPr>
          <w:rFonts w:asciiTheme="minorHAnsi" w:hAnsiTheme="minorHAnsi" w:cstheme="minorHAnsi"/>
        </w:rPr>
        <w:t xml:space="preserve">Maxwell, SK, Barnett, C, Kokokyi, S, Leung, JC, Jingjie, JY, Bril, V &amp; Katzberg, HD 2013, 'Association of social support with quality of life in patients with polyneuropathy', </w:t>
      </w:r>
      <w:r w:rsidRPr="00697CE0">
        <w:rPr>
          <w:rFonts w:asciiTheme="minorHAnsi" w:hAnsiTheme="minorHAnsi" w:cstheme="minorHAnsi"/>
          <w:i/>
        </w:rPr>
        <w:t>Journal of the Peripheral Nervous System</w:t>
      </w:r>
      <w:r w:rsidRPr="00697CE0">
        <w:rPr>
          <w:rFonts w:asciiTheme="minorHAnsi" w:hAnsiTheme="minorHAnsi" w:cstheme="minorHAnsi"/>
        </w:rPr>
        <w:t>, vol.18, pp. 37-43.</w:t>
      </w:r>
      <w:bookmarkEnd w:id="677"/>
    </w:p>
    <w:p w:rsidR="00B85C75" w:rsidRPr="00697CE0" w:rsidRDefault="00B85C75" w:rsidP="00B85C75">
      <w:pPr>
        <w:pStyle w:val="EndNoteBibliography"/>
        <w:spacing w:after="0"/>
        <w:ind w:left="720" w:hanging="720"/>
        <w:rPr>
          <w:rFonts w:asciiTheme="minorHAnsi" w:hAnsiTheme="minorHAnsi" w:cstheme="minorHAnsi"/>
        </w:rPr>
      </w:pPr>
      <w:bookmarkStart w:id="678" w:name="_ENREF_90"/>
      <w:r w:rsidRPr="00697CE0">
        <w:rPr>
          <w:rFonts w:asciiTheme="minorHAnsi" w:hAnsiTheme="minorHAnsi" w:cstheme="minorHAnsi"/>
        </w:rPr>
        <w:t xml:space="preserve">McCrone, P, Chisholm, D, Knapp, M, Hughes, R, Comi, G, Dalakas, MC, Illa, I, Kilindireas, C, Nobile‐Orazio, E &amp; Swan, A 2003, 'Cost–utility analysis of intravenous immunoglobulin and prednisolone for chronic inflammatory demyelinating polyradiculoneuropathy', </w:t>
      </w:r>
      <w:r w:rsidRPr="00697CE0">
        <w:rPr>
          <w:rFonts w:asciiTheme="minorHAnsi" w:hAnsiTheme="minorHAnsi" w:cstheme="minorHAnsi"/>
          <w:i/>
        </w:rPr>
        <w:t>European Journal of Neurology</w:t>
      </w:r>
      <w:r w:rsidRPr="00697CE0">
        <w:rPr>
          <w:rFonts w:asciiTheme="minorHAnsi" w:hAnsiTheme="minorHAnsi" w:cstheme="minorHAnsi"/>
        </w:rPr>
        <w:t>, vol.10, pp. 687-94.</w:t>
      </w:r>
      <w:bookmarkEnd w:id="678"/>
    </w:p>
    <w:p w:rsidR="00B85C75" w:rsidRPr="00697CE0" w:rsidRDefault="00B85C75" w:rsidP="00B85C75">
      <w:pPr>
        <w:pStyle w:val="EndNoteBibliography"/>
        <w:spacing w:after="0"/>
        <w:ind w:left="720" w:hanging="720"/>
        <w:rPr>
          <w:rFonts w:asciiTheme="minorHAnsi" w:hAnsiTheme="minorHAnsi" w:cstheme="minorHAnsi"/>
        </w:rPr>
      </w:pPr>
      <w:bookmarkStart w:id="679" w:name="_ENREF_91"/>
      <w:r w:rsidRPr="00697CE0">
        <w:rPr>
          <w:rFonts w:asciiTheme="minorHAnsi" w:hAnsiTheme="minorHAnsi" w:cstheme="minorHAnsi"/>
        </w:rPr>
        <w:t xml:space="preserve">McLeod, J, Pollard, J, Macaskill, P, Mohamed, A, Spring, P &amp; Khurana, V 1999a, 'Prevalence of chronic inflammatory demyelinating polyneuropathy in New South Wales, Australia', </w:t>
      </w:r>
      <w:r w:rsidRPr="00697CE0">
        <w:rPr>
          <w:rFonts w:asciiTheme="minorHAnsi" w:hAnsiTheme="minorHAnsi" w:cstheme="minorHAnsi"/>
          <w:i/>
        </w:rPr>
        <w:t>Annals of neurology</w:t>
      </w:r>
      <w:r w:rsidRPr="00697CE0">
        <w:rPr>
          <w:rFonts w:asciiTheme="minorHAnsi" w:hAnsiTheme="minorHAnsi" w:cstheme="minorHAnsi"/>
        </w:rPr>
        <w:t>, vol.46, pp. 910-13.</w:t>
      </w:r>
      <w:bookmarkEnd w:id="679"/>
    </w:p>
    <w:p w:rsidR="00B85C75" w:rsidRPr="00697CE0" w:rsidRDefault="00B85C75" w:rsidP="00B85C75">
      <w:pPr>
        <w:pStyle w:val="EndNoteBibliography"/>
        <w:spacing w:after="0"/>
        <w:ind w:left="720" w:hanging="720"/>
        <w:rPr>
          <w:rFonts w:asciiTheme="minorHAnsi" w:hAnsiTheme="minorHAnsi" w:cstheme="minorHAnsi"/>
        </w:rPr>
      </w:pPr>
      <w:bookmarkStart w:id="680" w:name="_ENREF_92"/>
      <w:r w:rsidRPr="00697CE0">
        <w:rPr>
          <w:rFonts w:asciiTheme="minorHAnsi" w:hAnsiTheme="minorHAnsi" w:cstheme="minorHAnsi"/>
        </w:rPr>
        <w:t xml:space="preserve">McLeod, JG, Pollard, JD, Macaskill, P, Mohamed, A, Spring, P &amp; Khurana, V 1999b, 'Prevalence of chronic inflammatory demyelinating polyneuropathy in New South Wales, Australia', </w:t>
      </w:r>
      <w:r w:rsidRPr="00697CE0">
        <w:rPr>
          <w:rFonts w:asciiTheme="minorHAnsi" w:hAnsiTheme="minorHAnsi" w:cstheme="minorHAnsi"/>
          <w:i/>
        </w:rPr>
        <w:t>Ann Neurol</w:t>
      </w:r>
      <w:r w:rsidRPr="00697CE0">
        <w:rPr>
          <w:rFonts w:asciiTheme="minorHAnsi" w:hAnsiTheme="minorHAnsi" w:cstheme="minorHAnsi"/>
        </w:rPr>
        <w:t>, vol.46, pp. 910-3.</w:t>
      </w:r>
      <w:bookmarkEnd w:id="680"/>
    </w:p>
    <w:p w:rsidR="00B85C75" w:rsidRPr="00697CE0" w:rsidRDefault="00B85C75" w:rsidP="00B85C75">
      <w:pPr>
        <w:pStyle w:val="EndNoteBibliography"/>
        <w:spacing w:after="0"/>
        <w:ind w:left="720" w:hanging="720"/>
        <w:rPr>
          <w:rFonts w:asciiTheme="minorHAnsi" w:hAnsiTheme="minorHAnsi" w:cstheme="minorHAnsi"/>
        </w:rPr>
      </w:pPr>
      <w:bookmarkStart w:id="681" w:name="_ENREF_93"/>
      <w:r w:rsidRPr="00697CE0">
        <w:rPr>
          <w:rFonts w:asciiTheme="minorHAnsi" w:hAnsiTheme="minorHAnsi" w:cstheme="minorHAnsi"/>
        </w:rPr>
        <w:t xml:space="preserve">MDA 2019, </w:t>
      </w:r>
      <w:r w:rsidRPr="00697CE0">
        <w:rPr>
          <w:rFonts w:asciiTheme="minorHAnsi" w:hAnsiTheme="minorHAnsi" w:cstheme="minorHAnsi"/>
          <w:i/>
        </w:rPr>
        <w:t>Chronic Inflammatory Demyelinating Polyradiculoneuropathy (CIDP)</w:t>
      </w:r>
      <w:r w:rsidRPr="00697CE0">
        <w:rPr>
          <w:rFonts w:asciiTheme="minorHAnsi" w:hAnsiTheme="minorHAnsi" w:cstheme="minorHAnsi"/>
        </w:rPr>
        <w:t>, Muscular Dystrophy Australia, viewed 9th April 2019, &lt;</w:t>
      </w:r>
      <w:r w:rsidRPr="00697CE0">
        <w:rPr>
          <w:rFonts w:asciiTheme="minorHAnsi" w:hAnsiTheme="minorHAnsi" w:cstheme="minorHAnsi"/>
          <w:u w:val="single"/>
        </w:rPr>
        <w:t>https://www.mda.org.au/disorders/inflammatory-myopathies/cidp/</w:t>
      </w:r>
      <w:r w:rsidRPr="00697CE0">
        <w:rPr>
          <w:rFonts w:asciiTheme="minorHAnsi" w:hAnsiTheme="minorHAnsi" w:cstheme="minorHAnsi"/>
        </w:rPr>
        <w:t>&gt;.</w:t>
      </w:r>
      <w:bookmarkEnd w:id="681"/>
    </w:p>
    <w:p w:rsidR="00B85C75" w:rsidRPr="00697CE0" w:rsidRDefault="00B85C75" w:rsidP="00B85C75">
      <w:pPr>
        <w:pStyle w:val="EndNoteBibliography"/>
        <w:spacing w:after="0"/>
        <w:ind w:left="720" w:hanging="720"/>
        <w:rPr>
          <w:rFonts w:asciiTheme="minorHAnsi" w:hAnsiTheme="minorHAnsi" w:cstheme="minorHAnsi"/>
        </w:rPr>
      </w:pPr>
      <w:bookmarkStart w:id="682" w:name="_ENREF_94"/>
      <w:r w:rsidRPr="00697CE0">
        <w:rPr>
          <w:rFonts w:asciiTheme="minorHAnsi" w:hAnsiTheme="minorHAnsi" w:cstheme="minorHAnsi"/>
        </w:rPr>
        <w:t xml:space="preserve">Mendell, JR, Barohn, RJ, Freimer, ML, Kissel, JT, King, W, Nagaraja, HN, Rice, R, Campbell, WW, Donofrio, PD, Jackson, CE, Lewis, RA, Shy, M, Simpson, DM, Parry, GJ, Rivner, MH, Thornton, CA, Bromberg, MB, Tandan, R, Harati, Y &amp; Giuliani, MJ 2001, 'Randomized controlled trial of IVIg in untreated chronic inflammatory demyelinating polyradiculoneuropathy', </w:t>
      </w:r>
      <w:r w:rsidRPr="00697CE0">
        <w:rPr>
          <w:rFonts w:asciiTheme="minorHAnsi" w:hAnsiTheme="minorHAnsi" w:cstheme="minorHAnsi"/>
          <w:i/>
        </w:rPr>
        <w:t>Neurology</w:t>
      </w:r>
      <w:r w:rsidRPr="00697CE0">
        <w:rPr>
          <w:rFonts w:asciiTheme="minorHAnsi" w:hAnsiTheme="minorHAnsi" w:cstheme="minorHAnsi"/>
        </w:rPr>
        <w:t>, vol.56, pp. 445-9.</w:t>
      </w:r>
      <w:bookmarkEnd w:id="682"/>
    </w:p>
    <w:p w:rsidR="00B85C75" w:rsidRPr="00697CE0" w:rsidRDefault="00B85C75" w:rsidP="00B85C75">
      <w:pPr>
        <w:pStyle w:val="EndNoteBibliography"/>
        <w:spacing w:after="0"/>
        <w:ind w:left="720" w:hanging="720"/>
        <w:rPr>
          <w:rFonts w:asciiTheme="minorHAnsi" w:hAnsiTheme="minorHAnsi" w:cstheme="minorHAnsi"/>
        </w:rPr>
      </w:pPr>
      <w:bookmarkStart w:id="683" w:name="_ENREF_95"/>
      <w:r w:rsidRPr="00697CE0">
        <w:rPr>
          <w:rFonts w:asciiTheme="minorHAnsi" w:hAnsiTheme="minorHAnsi" w:cstheme="minorHAnsi"/>
        </w:rPr>
        <w:t xml:space="preserve">Merkies, I, Schmitz, P, Van der Meché, F, Samijn, J &amp; Van Doorn, P 2002, 'Quality of life complements traditional outcome measures in immune-mediated polyneuropathies', </w:t>
      </w:r>
      <w:r w:rsidRPr="00697CE0">
        <w:rPr>
          <w:rFonts w:asciiTheme="minorHAnsi" w:hAnsiTheme="minorHAnsi" w:cstheme="minorHAnsi"/>
          <w:i/>
        </w:rPr>
        <w:t>Neurology</w:t>
      </w:r>
      <w:r w:rsidRPr="00697CE0">
        <w:rPr>
          <w:rFonts w:asciiTheme="minorHAnsi" w:hAnsiTheme="minorHAnsi" w:cstheme="minorHAnsi"/>
        </w:rPr>
        <w:t>, vol.59, pp. 84-91.</w:t>
      </w:r>
      <w:bookmarkEnd w:id="683"/>
    </w:p>
    <w:p w:rsidR="00B85C75" w:rsidRPr="00697CE0" w:rsidRDefault="00B85C75" w:rsidP="00B85C75">
      <w:pPr>
        <w:pStyle w:val="EndNoteBibliography"/>
        <w:spacing w:after="0"/>
        <w:ind w:left="720" w:hanging="720"/>
        <w:rPr>
          <w:rFonts w:asciiTheme="minorHAnsi" w:hAnsiTheme="minorHAnsi" w:cstheme="minorHAnsi"/>
        </w:rPr>
      </w:pPr>
      <w:bookmarkStart w:id="684" w:name="_ENREF_96"/>
      <w:r w:rsidRPr="00697CE0">
        <w:rPr>
          <w:rFonts w:asciiTheme="minorHAnsi" w:hAnsiTheme="minorHAnsi" w:cstheme="minorHAnsi"/>
        </w:rPr>
        <w:lastRenderedPageBreak/>
        <w:t xml:space="preserve">Merkies, IS, Bril, V, Dalakas, MC, Deng, C, Donofrio, P, Hanna, K, Hartung, HP, Hughes, RA, Latov, N &amp; van Doorn, PA 2009a, 'Health-related quality-of-life improvements in CIDP with immune globulin IV 10%: the ICE Study', </w:t>
      </w:r>
      <w:r w:rsidRPr="00697CE0">
        <w:rPr>
          <w:rFonts w:asciiTheme="minorHAnsi" w:hAnsiTheme="minorHAnsi" w:cstheme="minorHAnsi"/>
          <w:i/>
        </w:rPr>
        <w:t>Neurology</w:t>
      </w:r>
      <w:r w:rsidRPr="00697CE0">
        <w:rPr>
          <w:rFonts w:asciiTheme="minorHAnsi" w:hAnsiTheme="minorHAnsi" w:cstheme="minorHAnsi"/>
        </w:rPr>
        <w:t>, vol.72, pp. 1337-44.</w:t>
      </w:r>
      <w:bookmarkEnd w:id="684"/>
    </w:p>
    <w:p w:rsidR="00B85C75" w:rsidRPr="00697CE0" w:rsidRDefault="00B85C75" w:rsidP="00B85C75">
      <w:pPr>
        <w:pStyle w:val="EndNoteBibliography"/>
        <w:spacing w:after="0"/>
        <w:ind w:left="720" w:hanging="720"/>
        <w:rPr>
          <w:rFonts w:asciiTheme="minorHAnsi" w:hAnsiTheme="minorHAnsi" w:cstheme="minorHAnsi"/>
        </w:rPr>
      </w:pPr>
      <w:bookmarkStart w:id="685" w:name="_ENREF_97"/>
      <w:r w:rsidRPr="00697CE0">
        <w:rPr>
          <w:rFonts w:asciiTheme="minorHAnsi" w:hAnsiTheme="minorHAnsi" w:cstheme="minorHAnsi"/>
        </w:rPr>
        <w:t xml:space="preserve">Merkies, IS, Hughes, RA, Donofrio, P, Bril, V, Dalakas, MC, Hanna, K, Hartung, HP, Latov, N, Van Doorn, PA &amp; Deng, C 2010, 'Understanding the consequences of chronic inflammatory demyelinating polyradiculoneuropathy from impairments to activity and participation restrictions and reduced quality of life: the ICE study', </w:t>
      </w:r>
      <w:r w:rsidRPr="00697CE0">
        <w:rPr>
          <w:rFonts w:asciiTheme="minorHAnsi" w:hAnsiTheme="minorHAnsi" w:cstheme="minorHAnsi"/>
          <w:i/>
        </w:rPr>
        <w:t>Journal of the Peripheral Nervous System</w:t>
      </w:r>
      <w:r w:rsidRPr="00697CE0">
        <w:rPr>
          <w:rFonts w:asciiTheme="minorHAnsi" w:hAnsiTheme="minorHAnsi" w:cstheme="minorHAnsi"/>
        </w:rPr>
        <w:t>, vol.15, pp. 208-15.</w:t>
      </w:r>
      <w:bookmarkEnd w:id="685"/>
    </w:p>
    <w:p w:rsidR="00B85C75" w:rsidRPr="00697CE0" w:rsidRDefault="00B85C75" w:rsidP="00B85C75">
      <w:pPr>
        <w:pStyle w:val="EndNoteBibliography"/>
        <w:spacing w:after="0"/>
        <w:ind w:left="720" w:hanging="720"/>
        <w:rPr>
          <w:rFonts w:asciiTheme="minorHAnsi" w:hAnsiTheme="minorHAnsi" w:cstheme="minorHAnsi"/>
        </w:rPr>
      </w:pPr>
      <w:bookmarkStart w:id="686" w:name="_ENREF_98"/>
      <w:r w:rsidRPr="00697CE0">
        <w:rPr>
          <w:rFonts w:asciiTheme="minorHAnsi" w:hAnsiTheme="minorHAnsi" w:cstheme="minorHAnsi"/>
        </w:rPr>
        <w:t xml:space="preserve">Merkies, ISJ, Bril, V, Dalakas, M, Deng, C, Donofrio, P, Hanna, K, Hartung, H, Hughes, R, Latov, N &amp; Van Doorn, P 2009b, 'Health-related quality-of-life improvements in CIDP with immune globulin IV 10%: the ICE Study', </w:t>
      </w:r>
      <w:r w:rsidRPr="00697CE0">
        <w:rPr>
          <w:rFonts w:asciiTheme="minorHAnsi" w:hAnsiTheme="minorHAnsi" w:cstheme="minorHAnsi"/>
          <w:i/>
        </w:rPr>
        <w:t>Neurology</w:t>
      </w:r>
      <w:r w:rsidRPr="00697CE0">
        <w:rPr>
          <w:rFonts w:asciiTheme="minorHAnsi" w:hAnsiTheme="minorHAnsi" w:cstheme="minorHAnsi"/>
        </w:rPr>
        <w:t>, vol.72, pp. 1337-44.</w:t>
      </w:r>
      <w:bookmarkEnd w:id="686"/>
    </w:p>
    <w:p w:rsidR="00B85C75" w:rsidRPr="00697CE0" w:rsidRDefault="00B85C75" w:rsidP="00B85C75">
      <w:pPr>
        <w:pStyle w:val="EndNoteBibliography"/>
        <w:spacing w:after="0"/>
        <w:ind w:left="720" w:hanging="720"/>
        <w:rPr>
          <w:rFonts w:asciiTheme="minorHAnsi" w:hAnsiTheme="minorHAnsi" w:cstheme="minorHAnsi"/>
        </w:rPr>
      </w:pPr>
      <w:bookmarkStart w:id="687" w:name="_ENREF_99"/>
      <w:r w:rsidRPr="00697CE0">
        <w:rPr>
          <w:rFonts w:asciiTheme="minorHAnsi" w:hAnsiTheme="minorHAnsi" w:cstheme="minorHAnsi"/>
        </w:rPr>
        <w:t xml:space="preserve">Merkies, ISJ, Bril, V, van Geloven, N, Hartung, HP, Lewis, RA, Sobue, G, Lawo, JP, Durn, BL, Cornblath, DR, Tackenberg, B, Mielke, O, Sabet, A, George, K, Roberts, L, Carne, R, Blum, S, Henderson, R, Van Damme, P, Demeestere, J, Larue, S, D'Amour, C, Kunc, P, Valis, M, Sussova, J, Kalous, T, Talab, R, Bednar, M, Toomsoo, T, Rubanovits, I, Gross-Paju, K, Sorro, U, Auranen, M, Pouget, J, Attarian, S, Masson, GL, Wielanek-Bachelet, A, Desnuelle, C, Delmont, E, Clavelou, P, Aufauvre, D, Zschuentzsch, J, Kramer, D, Hoffmann, O, Goerlitz, C, Haas, J, Chatzopoulos, M, Yoon, R, Gold, R, Berlit, P, Jaspert-Grehl, A, Liebetanz, D, Kutschenko, A, Stangel, M, Trebst, C, Baum, P, Bergh, F, Klehmet, J, Meisel, A, Klostermann, F, Oechtering, J, Lehmann, H, Schroeter, M, Hagenacker, T, Mueller, D, Sperfeld, A, Bethke, F, Drory, V, Algom, A, Yarnitsky, D, Murinson, B, Di Muzio, A, Ciccocioppo, F, Sorbi, S, Mata, S, Schenone, A, Grandis, M, Lauria, G, Cazzato, D, Antonini, G, Morino, S, Cocito, D, Zibetti, M, Yokota, T, Ohkubo, T, Kanda, T, Kawai, M, Kaida, K, Onoue, H, Kuwabara, S, Mori, M, Iijima, M, Ohyama, K, Baba, M, Tomiyama, M, Nishiyama, K, Akutsu, T, Yokoyama, K, Kanai, K, van Schaik, IN, Eftimov, F, Notermans, NC, Visser, N, Faber, C, Hoeijmakers, J, Rejdak, K, Chyrchel-Paszkiewicz, U, Casanovas Pons, C, Antonia, M, Gamez, J, Salvado, M, Infante, CM, Benitez, S, Lunn, M, Morrow, J, Gosal, D, Lavin, T, Melamed, I, Testori, A, Ajroud-Driss, S, Menichella, D, Simpson, E, Lai, ECH, Dimachkie, M, Barohn, RJ, Beydoun, S, Johl, H, Lange, D, Shtilbans, A, Muley, S, Ladha, S, Freimer, M, Kissel, J, Latov, N, Chin, R, Ubogu, E, Mumfrey, S, Rao, T, MacDonald, P, Sharma, K, Gonzalez, G, Allen, J, Walk, D, Hobson-Webb, L, Gable, K, De Bleecker, JL, Robberecht, W, Saarela, M, Franques, J, Leger, JM, Morales, RJ, Sommer, C, Nguento, A, Schmidt, J, Schrey, C, Kamienowski, J, Stelmasiak, Z &amp; Zwolinska, G 2019, 'Efficacy and safety of IVIG in CIDP: Combined data of the PRIMA and PATH studies', </w:t>
      </w:r>
      <w:r w:rsidRPr="00697CE0">
        <w:rPr>
          <w:rFonts w:asciiTheme="minorHAnsi" w:hAnsiTheme="minorHAnsi" w:cstheme="minorHAnsi"/>
          <w:i/>
        </w:rPr>
        <w:t>Journal of the Peripheral Nervous System.</w:t>
      </w:r>
      <w:r w:rsidRPr="00697CE0">
        <w:rPr>
          <w:rFonts w:asciiTheme="minorHAnsi" w:hAnsiTheme="minorHAnsi" w:cstheme="minorHAnsi"/>
        </w:rPr>
        <w:t xml:space="preserve">, vol., pp. </w:t>
      </w:r>
      <w:bookmarkEnd w:id="687"/>
    </w:p>
    <w:p w:rsidR="00B85C75" w:rsidRPr="00697CE0" w:rsidRDefault="00B85C75" w:rsidP="00B85C75">
      <w:pPr>
        <w:pStyle w:val="EndNoteBibliography"/>
        <w:spacing w:after="0"/>
        <w:ind w:left="720" w:hanging="720"/>
        <w:rPr>
          <w:rFonts w:asciiTheme="minorHAnsi" w:hAnsiTheme="minorHAnsi" w:cstheme="minorHAnsi"/>
        </w:rPr>
      </w:pPr>
      <w:bookmarkStart w:id="688" w:name="_ENREF_100"/>
      <w:r w:rsidRPr="00697CE0">
        <w:rPr>
          <w:rFonts w:asciiTheme="minorHAnsi" w:hAnsiTheme="minorHAnsi" w:cstheme="minorHAnsi"/>
        </w:rPr>
        <w:t xml:space="preserve">Met, R, Reekers, JA, Koelemay, MJ, Legemate, DA &amp; de Haan, RJ 2009, 'The AMC linear disability score (ALDS): a cross-sectional study with a new generic instrument to measure disability applied to patients with peripheral arterial disease', </w:t>
      </w:r>
      <w:r w:rsidRPr="00697CE0">
        <w:rPr>
          <w:rFonts w:asciiTheme="minorHAnsi" w:hAnsiTheme="minorHAnsi" w:cstheme="minorHAnsi"/>
          <w:i/>
        </w:rPr>
        <w:t>Health Qual Life Outcomes</w:t>
      </w:r>
      <w:r w:rsidRPr="00697CE0">
        <w:rPr>
          <w:rFonts w:asciiTheme="minorHAnsi" w:hAnsiTheme="minorHAnsi" w:cstheme="minorHAnsi"/>
        </w:rPr>
        <w:t>, vol.7, pp. 88.</w:t>
      </w:r>
      <w:bookmarkEnd w:id="688"/>
    </w:p>
    <w:p w:rsidR="00B85C75" w:rsidRPr="00697CE0" w:rsidRDefault="00B85C75" w:rsidP="00B85C75">
      <w:pPr>
        <w:pStyle w:val="EndNoteBibliography"/>
        <w:spacing w:after="0"/>
        <w:ind w:left="720" w:hanging="720"/>
        <w:rPr>
          <w:rFonts w:asciiTheme="minorHAnsi" w:hAnsiTheme="minorHAnsi" w:cstheme="minorHAnsi"/>
        </w:rPr>
      </w:pPr>
      <w:bookmarkStart w:id="689" w:name="_ENREF_101"/>
      <w:r w:rsidRPr="00697CE0">
        <w:rPr>
          <w:rFonts w:asciiTheme="minorHAnsi" w:hAnsiTheme="minorHAnsi" w:cstheme="minorHAnsi"/>
        </w:rPr>
        <w:t>Mielke, O, Bril, V, Cornblath, DR, Lawo, JP, van Geloven, N, Hartung, HP, Lewis, RA, Merkies, ISJ, Sobue, G, Durn, B, Shebl, A, Sabet, A, George, K, Roberts, L, Carne, R, Blum, S, Henderson, R, Van Damme, P, Demeestere, J, Larue, S, D'Amour, C, Kunc, P, Valis, M, Sussova, J, Kalous, T, Talab, R, Bednar, M, Toomsoo, T, Rubanovits, I, Gross-Paju, K, Sorro, U, Saarela, M, Auranen, M, Pouget, J, Attarian, S, Le Masson, G, Wielanek-Bachelet, A, Desnuelle, C, Delmont, E, Clavelou, P, Aufauvre, D, Schmidt, J, Zschuentzsch, J, Sommer, C, Kramer, D, Hoffmann, O, Goerlitz, C, Haas, J, Chatzopoulos, M, Yoon, R, Gold, R, Berlit, P, Jaspert-Grehl, A, Liebetanz, D, Kutschenko, A, Stangel, M, Trebst, C, Baum, P, Bergh, F, Klehmet, J, Meisel, A, Klostermann, F, Oechtering, J, Lehmann, H, Schroeter, M, Hagenacker, T, Mueller, D, Sperfeld, A, Bethke, F, Drory, V, Algom, A, Yarnitsky, D, Murinson, B, Di Muzio, A, Ciccocioppo, F, Sorbi, S, Mata, S, Schenone, A, Grandis, M, Lauria, G, Cazzato, D, Antonini, G, Morino, S, Cocito, D, Zibetti, M, Yokota, T, Ohkubo, T, Kanda, T, Kawai, M, Kaida, K, Onoue, H, Kuwabara, S, Mori, M, Iijima, M, Ohyama, K, Baba, M, Tomiyama, M, Nishiyama, K, Akutsu, T, Yokoyama, K, Kanai, K, van Schaik, IN, Eftimov, F, Notermans, NC, Visser, N, Faber, C, Hoeijmakers, J, Rejdak, K, Chyrchel-</w:t>
      </w:r>
      <w:r w:rsidRPr="00697CE0">
        <w:rPr>
          <w:rFonts w:asciiTheme="minorHAnsi" w:hAnsiTheme="minorHAnsi" w:cstheme="minorHAnsi"/>
        </w:rPr>
        <w:lastRenderedPageBreak/>
        <w:t xml:space="preserve">Paszkiewicz, U, Casanovas Pons, C, Antonia, M, Gamez, J, Salvado, M, Infante, CM, Benitez, S, Lunn, M, Morrow, J, Gosal, D, Lavin, T, Melamed, I, Testori, A, Ajroud-Driss, S, Menichella, D, Simpson, E, Lai, ECH, Dimachkie, M, Barohn, RJ, Beydoun, S, Johl, H, Lange, D, Shtilbans, A, Muley, S, Ladha, S, Freimer, M, Kissel, J, Latov, N, Chin, R, Ubogu, E, Mumfrey, S, Rao, T, MacDonald, P, Sharma, K, Gonzalez, G, Allen, J, Walk, D, Hobson-Webb, L &amp; Gable, K 2019, 'Restabilization treatment after intravenous immunoglobulin withdrawal in chronic inflammatory demyelinating polyneuropathy: Results from the pre-randomization phase of the Polyneuropathy And Treatment with Hizentra study', </w:t>
      </w:r>
      <w:r w:rsidRPr="00697CE0">
        <w:rPr>
          <w:rFonts w:asciiTheme="minorHAnsi" w:hAnsiTheme="minorHAnsi" w:cstheme="minorHAnsi"/>
          <w:i/>
        </w:rPr>
        <w:t>Journal of the Peripheral Nervous System.</w:t>
      </w:r>
      <w:r w:rsidRPr="00697CE0">
        <w:rPr>
          <w:rFonts w:asciiTheme="minorHAnsi" w:hAnsiTheme="minorHAnsi" w:cstheme="minorHAnsi"/>
        </w:rPr>
        <w:t xml:space="preserve">, vol., pp. </w:t>
      </w:r>
      <w:bookmarkEnd w:id="689"/>
    </w:p>
    <w:p w:rsidR="00EB3EF7" w:rsidRPr="00697CE0" w:rsidRDefault="00EB3EF7" w:rsidP="00B85C75">
      <w:pPr>
        <w:pStyle w:val="EndNoteBibliography"/>
        <w:spacing w:after="0"/>
        <w:ind w:left="720" w:hanging="720"/>
        <w:rPr>
          <w:rFonts w:asciiTheme="minorHAnsi" w:hAnsiTheme="minorHAnsi" w:cstheme="minorHAnsi"/>
        </w:rPr>
      </w:pPr>
      <w:bookmarkStart w:id="690" w:name="_ENREF_102"/>
      <w:r w:rsidRPr="00697CE0">
        <w:rPr>
          <w:rFonts w:asciiTheme="minorHAnsi" w:hAnsiTheme="minorHAnsi" w:cstheme="minorHAnsi"/>
        </w:rPr>
        <w:t>Milte et al. (2018) Quality of life in older adults following a hip fracture: an empirical comparison of the ICECAP-O and the EQ-5D-3 L instruments. Health and Quality of Life Outcomes (2018) 16:173</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Molenaar, DS, van Doorn, PA &amp; Vermeulen, M 1997, 'Pulsed high dose dexamethasone treatment in chronic inflammatory demyelinating polyneuropathy: a pilot study', </w:t>
      </w:r>
      <w:r w:rsidRPr="00697CE0">
        <w:rPr>
          <w:rFonts w:asciiTheme="minorHAnsi" w:hAnsiTheme="minorHAnsi" w:cstheme="minorHAnsi"/>
          <w:i/>
        </w:rPr>
        <w:t>J Neurol Neurosurg Psychiatry</w:t>
      </w:r>
      <w:r w:rsidRPr="00697CE0">
        <w:rPr>
          <w:rFonts w:asciiTheme="minorHAnsi" w:hAnsiTheme="minorHAnsi" w:cstheme="minorHAnsi"/>
        </w:rPr>
        <w:t>, vol.62, pp. 388-90.</w:t>
      </w:r>
      <w:bookmarkEnd w:id="690"/>
    </w:p>
    <w:p w:rsidR="00B85C75" w:rsidRPr="00697CE0" w:rsidRDefault="00B85C75" w:rsidP="00B85C75">
      <w:pPr>
        <w:pStyle w:val="EndNoteBibliography"/>
        <w:spacing w:after="0"/>
        <w:ind w:left="720" w:hanging="720"/>
        <w:rPr>
          <w:rFonts w:asciiTheme="minorHAnsi" w:hAnsiTheme="minorHAnsi" w:cstheme="minorHAnsi"/>
        </w:rPr>
      </w:pPr>
      <w:bookmarkStart w:id="691" w:name="_ENREF_103"/>
      <w:r w:rsidRPr="00697CE0">
        <w:rPr>
          <w:rFonts w:asciiTheme="minorHAnsi" w:hAnsiTheme="minorHAnsi" w:cstheme="minorHAnsi"/>
        </w:rPr>
        <w:t xml:space="preserve">MSAC 2016, </w:t>
      </w:r>
      <w:r w:rsidRPr="00697CE0">
        <w:rPr>
          <w:rFonts w:asciiTheme="minorHAnsi" w:hAnsiTheme="minorHAnsi" w:cstheme="minorHAnsi"/>
          <w:i/>
        </w:rPr>
        <w:t>1334 - Subcutaneous Immunoglobulins (SCIg)</w:t>
      </w:r>
      <w:r w:rsidRPr="00697CE0">
        <w:rPr>
          <w:rFonts w:asciiTheme="minorHAnsi" w:hAnsiTheme="minorHAnsi" w:cstheme="minorHAnsi"/>
        </w:rPr>
        <w:t>, Medical Service Adivsory Committee, Australia, Australia, viewed 8th April 2019, &lt;</w:t>
      </w:r>
      <w:r w:rsidRPr="00697CE0">
        <w:rPr>
          <w:rFonts w:asciiTheme="minorHAnsi" w:hAnsiTheme="minorHAnsi" w:cstheme="minorHAnsi"/>
          <w:u w:val="single"/>
        </w:rPr>
        <w:t>http://www.msac.gov.au/internet/msac/publishing.nsf/Content/1334-public</w:t>
      </w:r>
      <w:r w:rsidRPr="00697CE0">
        <w:rPr>
          <w:rFonts w:asciiTheme="minorHAnsi" w:hAnsiTheme="minorHAnsi" w:cstheme="minorHAnsi"/>
        </w:rPr>
        <w:t>&gt;.</w:t>
      </w:r>
      <w:bookmarkEnd w:id="691"/>
    </w:p>
    <w:p w:rsidR="00B85C75" w:rsidRPr="00697CE0" w:rsidRDefault="00B85C75" w:rsidP="00B85C75">
      <w:pPr>
        <w:pStyle w:val="EndNoteBibliography"/>
        <w:spacing w:after="0"/>
        <w:ind w:left="720" w:hanging="720"/>
        <w:rPr>
          <w:rFonts w:asciiTheme="minorHAnsi" w:hAnsiTheme="minorHAnsi" w:cstheme="minorHAnsi"/>
        </w:rPr>
      </w:pPr>
      <w:bookmarkStart w:id="692" w:name="_ENREF_104"/>
      <w:r w:rsidRPr="00697CE0">
        <w:rPr>
          <w:rFonts w:asciiTheme="minorHAnsi" w:hAnsiTheme="minorHAnsi" w:cstheme="minorHAnsi"/>
        </w:rPr>
        <w:t xml:space="preserve">MSAC 2019, </w:t>
      </w:r>
      <w:r w:rsidRPr="00697CE0">
        <w:rPr>
          <w:rFonts w:asciiTheme="minorHAnsi" w:hAnsiTheme="minorHAnsi" w:cstheme="minorHAnsi"/>
          <w:i/>
        </w:rPr>
        <w:t>1564- Chronic Inflammatory Demyelinating Polyneuropathy</w:t>
      </w:r>
      <w:r w:rsidRPr="00697CE0">
        <w:rPr>
          <w:rFonts w:asciiTheme="minorHAnsi" w:hAnsiTheme="minorHAnsi" w:cstheme="minorHAnsi"/>
        </w:rPr>
        <w:t>, Australian Governmnet Deparment of Health, viewed 8th April 2019, &lt;</w:t>
      </w:r>
      <w:r w:rsidRPr="00697CE0">
        <w:rPr>
          <w:rFonts w:asciiTheme="minorHAnsi" w:hAnsiTheme="minorHAnsi" w:cstheme="minorHAnsi"/>
          <w:u w:val="single"/>
        </w:rPr>
        <w:t>http://www.msac.gov.au/internet/msac/publishing.nsf/Content/1564-public</w:t>
      </w:r>
      <w:r w:rsidRPr="00697CE0">
        <w:rPr>
          <w:rFonts w:asciiTheme="minorHAnsi" w:hAnsiTheme="minorHAnsi" w:cstheme="minorHAnsi"/>
        </w:rPr>
        <w:t>&gt;.</w:t>
      </w:r>
      <w:bookmarkEnd w:id="692"/>
    </w:p>
    <w:p w:rsidR="00B85C75" w:rsidRPr="00697CE0" w:rsidRDefault="00B85C75" w:rsidP="00B85C75">
      <w:pPr>
        <w:pStyle w:val="EndNoteBibliography"/>
        <w:spacing w:after="0"/>
        <w:ind w:left="720" w:hanging="720"/>
        <w:rPr>
          <w:rFonts w:asciiTheme="minorHAnsi" w:hAnsiTheme="minorHAnsi" w:cstheme="minorHAnsi"/>
        </w:rPr>
      </w:pPr>
      <w:bookmarkStart w:id="693" w:name="_ENREF_105"/>
      <w:r w:rsidRPr="00697CE0">
        <w:rPr>
          <w:rFonts w:asciiTheme="minorHAnsi" w:hAnsiTheme="minorHAnsi" w:cstheme="minorHAnsi"/>
        </w:rPr>
        <w:t xml:space="preserve">Muley, SA, Kelkar, P &amp; Parry, GJ 2008, 'Treatment of chronic inflammatory demyelinating polyneuropathy with pulsed oral steroids', </w:t>
      </w:r>
      <w:r w:rsidRPr="00697CE0">
        <w:rPr>
          <w:rFonts w:asciiTheme="minorHAnsi" w:hAnsiTheme="minorHAnsi" w:cstheme="minorHAnsi"/>
          <w:i/>
        </w:rPr>
        <w:t>Archives of Neurology</w:t>
      </w:r>
      <w:r w:rsidRPr="00697CE0">
        <w:rPr>
          <w:rFonts w:asciiTheme="minorHAnsi" w:hAnsiTheme="minorHAnsi" w:cstheme="minorHAnsi"/>
        </w:rPr>
        <w:t>, vol.65, pp. 1460-64.</w:t>
      </w:r>
      <w:bookmarkEnd w:id="693"/>
    </w:p>
    <w:p w:rsidR="00B85C75" w:rsidRPr="00697CE0" w:rsidRDefault="00B85C75" w:rsidP="00B85C75">
      <w:pPr>
        <w:pStyle w:val="EndNoteBibliography"/>
        <w:spacing w:after="0"/>
        <w:ind w:left="720" w:hanging="720"/>
        <w:rPr>
          <w:rFonts w:asciiTheme="minorHAnsi" w:hAnsiTheme="minorHAnsi" w:cstheme="minorHAnsi"/>
        </w:rPr>
      </w:pPr>
      <w:bookmarkStart w:id="694" w:name="_ENREF_106"/>
      <w:r w:rsidRPr="00697CE0">
        <w:rPr>
          <w:rFonts w:asciiTheme="minorHAnsi" w:hAnsiTheme="minorHAnsi" w:cstheme="minorHAnsi"/>
        </w:rPr>
        <w:t xml:space="preserve">Nagelkerke, SQ &amp; Kuijpers, TW 2014, 'Immunomodulation by IVIg and the Role of Fc-Gamma Receptors: Classic Mechanisms of Action after all?', </w:t>
      </w:r>
      <w:r w:rsidRPr="00697CE0">
        <w:rPr>
          <w:rFonts w:asciiTheme="minorHAnsi" w:hAnsiTheme="minorHAnsi" w:cstheme="minorHAnsi"/>
          <w:i/>
        </w:rPr>
        <w:t>Front Immunol</w:t>
      </w:r>
      <w:r w:rsidRPr="00697CE0">
        <w:rPr>
          <w:rFonts w:asciiTheme="minorHAnsi" w:hAnsiTheme="minorHAnsi" w:cstheme="minorHAnsi"/>
        </w:rPr>
        <w:t>, vol.5, pp. 674.</w:t>
      </w:r>
      <w:bookmarkEnd w:id="694"/>
    </w:p>
    <w:p w:rsidR="00B85C75" w:rsidRPr="00697CE0" w:rsidRDefault="00B85C75" w:rsidP="00B85C75">
      <w:pPr>
        <w:pStyle w:val="EndNoteBibliography"/>
        <w:spacing w:after="0"/>
        <w:ind w:left="720" w:hanging="720"/>
        <w:rPr>
          <w:rFonts w:asciiTheme="minorHAnsi" w:hAnsiTheme="minorHAnsi" w:cstheme="minorHAnsi"/>
        </w:rPr>
      </w:pPr>
      <w:bookmarkStart w:id="695" w:name="_ENREF_107"/>
      <w:r w:rsidRPr="00697CE0">
        <w:rPr>
          <w:rFonts w:asciiTheme="minorHAnsi" w:hAnsiTheme="minorHAnsi" w:cstheme="minorHAnsi"/>
        </w:rPr>
        <w:t xml:space="preserve">NBA 2016a, </w:t>
      </w:r>
      <w:r w:rsidRPr="00697CE0">
        <w:rPr>
          <w:rFonts w:asciiTheme="minorHAnsi" w:hAnsiTheme="minorHAnsi" w:cstheme="minorHAnsi"/>
          <w:i/>
        </w:rPr>
        <w:t>Frequently Asked Questions: Subcutaneous Immunoglobulin</w:t>
      </w:r>
      <w:r w:rsidRPr="00697CE0">
        <w:rPr>
          <w:rFonts w:asciiTheme="minorHAnsi" w:hAnsiTheme="minorHAnsi" w:cstheme="minorHAnsi"/>
        </w:rPr>
        <w:t>, National Blood Authority Australia, Australia, viewed 9th May 2019, &lt;</w:t>
      </w:r>
      <w:r w:rsidRPr="00697CE0">
        <w:rPr>
          <w:rFonts w:asciiTheme="minorHAnsi" w:hAnsiTheme="minorHAnsi" w:cstheme="minorHAnsi"/>
          <w:u w:val="single"/>
        </w:rPr>
        <w:t>https://www.blood.gov.au/document/frequently-asked-questions-subcutaneous-immunoglobulin-pdf</w:t>
      </w:r>
      <w:r w:rsidRPr="00697CE0">
        <w:rPr>
          <w:rFonts w:asciiTheme="minorHAnsi" w:hAnsiTheme="minorHAnsi" w:cstheme="minorHAnsi"/>
        </w:rPr>
        <w:t>&gt;.</w:t>
      </w:r>
      <w:bookmarkEnd w:id="695"/>
    </w:p>
    <w:p w:rsidR="00B85C75" w:rsidRPr="00697CE0" w:rsidRDefault="00B85C75" w:rsidP="00B85C75">
      <w:pPr>
        <w:pStyle w:val="EndNoteBibliography"/>
        <w:spacing w:after="0"/>
        <w:ind w:left="720" w:hanging="720"/>
        <w:rPr>
          <w:rFonts w:asciiTheme="minorHAnsi" w:hAnsiTheme="minorHAnsi" w:cstheme="minorHAnsi"/>
        </w:rPr>
      </w:pPr>
      <w:bookmarkStart w:id="696" w:name="_ENREF_108"/>
      <w:r w:rsidRPr="00697CE0">
        <w:rPr>
          <w:rFonts w:asciiTheme="minorHAnsi" w:hAnsiTheme="minorHAnsi" w:cstheme="minorHAnsi"/>
        </w:rPr>
        <w:t xml:space="preserve">NBA 2016b, </w:t>
      </w:r>
      <w:r w:rsidRPr="00697CE0">
        <w:rPr>
          <w:rFonts w:asciiTheme="minorHAnsi" w:hAnsiTheme="minorHAnsi" w:cstheme="minorHAnsi"/>
          <w:i/>
        </w:rPr>
        <w:t>Immunoglobulin Governance</w:t>
      </w:r>
      <w:r w:rsidRPr="00697CE0">
        <w:rPr>
          <w:rFonts w:asciiTheme="minorHAnsi" w:hAnsiTheme="minorHAnsi" w:cstheme="minorHAnsi"/>
        </w:rPr>
        <w:t>, Australia, viewed &lt;</w:t>
      </w:r>
      <w:r w:rsidRPr="00697CE0">
        <w:rPr>
          <w:rFonts w:asciiTheme="minorHAnsi" w:hAnsiTheme="minorHAnsi" w:cstheme="minorHAnsi"/>
          <w:u w:val="single"/>
        </w:rPr>
        <w:t>https://www.blood.gov.au/system/files/2016-immunoglobulin-governance-national-policy-website.pdf</w:t>
      </w:r>
      <w:r w:rsidRPr="00697CE0">
        <w:rPr>
          <w:rFonts w:asciiTheme="minorHAnsi" w:hAnsiTheme="minorHAnsi" w:cstheme="minorHAnsi"/>
        </w:rPr>
        <w:t>&gt;.</w:t>
      </w:r>
      <w:bookmarkEnd w:id="696"/>
    </w:p>
    <w:p w:rsidR="00B85C75" w:rsidRPr="00697CE0" w:rsidRDefault="00B85C75" w:rsidP="00B85C75">
      <w:pPr>
        <w:pStyle w:val="EndNoteBibliography"/>
        <w:spacing w:after="0"/>
        <w:ind w:left="720" w:hanging="720"/>
        <w:rPr>
          <w:rFonts w:asciiTheme="minorHAnsi" w:hAnsiTheme="minorHAnsi" w:cstheme="minorHAnsi"/>
        </w:rPr>
      </w:pPr>
      <w:bookmarkStart w:id="697" w:name="_ENREF_109"/>
      <w:r w:rsidRPr="00697CE0">
        <w:rPr>
          <w:rFonts w:asciiTheme="minorHAnsi" w:hAnsiTheme="minorHAnsi" w:cstheme="minorHAnsi"/>
        </w:rPr>
        <w:t xml:space="preserve">NBA 2016c, </w:t>
      </w:r>
      <w:r w:rsidRPr="00697CE0">
        <w:rPr>
          <w:rFonts w:asciiTheme="minorHAnsi" w:hAnsiTheme="minorHAnsi" w:cstheme="minorHAnsi"/>
          <w:i/>
        </w:rPr>
        <w:t>Patient Information: Subcutaneous Immunoglobulin Treatment</w:t>
      </w:r>
      <w:r w:rsidRPr="00697CE0">
        <w:rPr>
          <w:rFonts w:asciiTheme="minorHAnsi" w:hAnsiTheme="minorHAnsi" w:cstheme="minorHAnsi"/>
        </w:rPr>
        <w:t>, National Blood Authority Australia, Australia, viewed 9th May 2019, &lt;</w:t>
      </w:r>
      <w:r w:rsidRPr="00697CE0">
        <w:rPr>
          <w:rFonts w:asciiTheme="minorHAnsi" w:hAnsiTheme="minorHAnsi" w:cstheme="minorHAnsi"/>
          <w:u w:val="single"/>
        </w:rPr>
        <w:t>https://www.blood.gov.au/document/patient-information-subcutaneous-immunoglobulin-treatment-docx</w:t>
      </w:r>
      <w:r w:rsidRPr="00697CE0">
        <w:rPr>
          <w:rFonts w:asciiTheme="minorHAnsi" w:hAnsiTheme="minorHAnsi" w:cstheme="minorHAnsi"/>
        </w:rPr>
        <w:t>&gt;.</w:t>
      </w:r>
      <w:bookmarkEnd w:id="697"/>
    </w:p>
    <w:p w:rsidR="00B85C75" w:rsidRPr="00697CE0" w:rsidRDefault="00B85C75" w:rsidP="00B85C75">
      <w:pPr>
        <w:pStyle w:val="EndNoteBibliography"/>
        <w:spacing w:after="0"/>
        <w:ind w:left="720" w:hanging="720"/>
        <w:rPr>
          <w:rFonts w:asciiTheme="minorHAnsi" w:hAnsiTheme="minorHAnsi" w:cstheme="minorHAnsi"/>
        </w:rPr>
      </w:pPr>
      <w:bookmarkStart w:id="698" w:name="_ENREF_110"/>
      <w:r w:rsidRPr="00697CE0">
        <w:rPr>
          <w:rFonts w:asciiTheme="minorHAnsi" w:hAnsiTheme="minorHAnsi" w:cstheme="minorHAnsi"/>
        </w:rPr>
        <w:t xml:space="preserve">NBA 2018, </w:t>
      </w:r>
      <w:r w:rsidRPr="00697CE0">
        <w:rPr>
          <w:rFonts w:asciiTheme="minorHAnsi" w:hAnsiTheme="minorHAnsi" w:cstheme="minorHAnsi"/>
          <w:i/>
        </w:rPr>
        <w:t>Criteria for the clinical use of immunoglobulin in Australi (the Criteria), Version 3.</w:t>
      </w:r>
      <w:r w:rsidRPr="00697CE0">
        <w:rPr>
          <w:rFonts w:asciiTheme="minorHAnsi" w:hAnsiTheme="minorHAnsi" w:cstheme="minorHAnsi"/>
        </w:rPr>
        <w:t>, National Blood Authority, viewed 3rd April 2019, &lt;</w:t>
      </w:r>
      <w:r w:rsidRPr="00697CE0">
        <w:rPr>
          <w:rFonts w:asciiTheme="minorHAnsi" w:hAnsiTheme="minorHAnsi" w:cstheme="minorHAnsi"/>
          <w:u w:val="single"/>
        </w:rPr>
        <w:t>https://www.criteria.blood.gov.au/</w:t>
      </w:r>
      <w:r w:rsidRPr="00697CE0">
        <w:rPr>
          <w:rFonts w:asciiTheme="minorHAnsi" w:hAnsiTheme="minorHAnsi" w:cstheme="minorHAnsi"/>
        </w:rPr>
        <w:t>&gt;.</w:t>
      </w:r>
      <w:bookmarkEnd w:id="698"/>
    </w:p>
    <w:p w:rsidR="00B85C75" w:rsidRPr="00697CE0" w:rsidRDefault="00B85C75" w:rsidP="00B85C75">
      <w:pPr>
        <w:pStyle w:val="EndNoteBibliography"/>
        <w:spacing w:after="0"/>
        <w:ind w:left="720" w:hanging="720"/>
        <w:rPr>
          <w:rFonts w:asciiTheme="minorHAnsi" w:hAnsiTheme="minorHAnsi" w:cstheme="minorHAnsi"/>
        </w:rPr>
      </w:pPr>
      <w:bookmarkStart w:id="699" w:name="_ENREF_111"/>
      <w:r w:rsidRPr="00697CE0">
        <w:rPr>
          <w:rFonts w:asciiTheme="minorHAnsi" w:hAnsiTheme="minorHAnsi" w:cstheme="minorHAnsi"/>
        </w:rPr>
        <w:t xml:space="preserve">NBA 2019a, </w:t>
      </w:r>
      <w:r w:rsidRPr="00697CE0">
        <w:rPr>
          <w:rFonts w:asciiTheme="minorHAnsi" w:hAnsiTheme="minorHAnsi" w:cstheme="minorHAnsi"/>
          <w:i/>
        </w:rPr>
        <w:t>Access to Subcutaneous Immunoglobulins (SCIg)</w:t>
      </w:r>
      <w:r w:rsidRPr="00697CE0">
        <w:rPr>
          <w:rFonts w:asciiTheme="minorHAnsi" w:hAnsiTheme="minorHAnsi" w:cstheme="minorHAnsi"/>
        </w:rPr>
        <w:t>, National Blood Authority Australia, Australia, viewed 9th May 2019, &lt;</w:t>
      </w:r>
      <w:r w:rsidRPr="00697CE0">
        <w:rPr>
          <w:rFonts w:asciiTheme="minorHAnsi" w:hAnsiTheme="minorHAnsi" w:cstheme="minorHAnsi"/>
          <w:u w:val="single"/>
        </w:rPr>
        <w:t>https://www.blood.gov.au/SCIg</w:t>
      </w:r>
      <w:r w:rsidRPr="00697CE0">
        <w:rPr>
          <w:rFonts w:asciiTheme="minorHAnsi" w:hAnsiTheme="minorHAnsi" w:cstheme="minorHAnsi"/>
        </w:rPr>
        <w:t>&gt;.</w:t>
      </w:r>
      <w:bookmarkEnd w:id="699"/>
    </w:p>
    <w:p w:rsidR="00B85C75" w:rsidRPr="00697CE0" w:rsidRDefault="00B85C75" w:rsidP="00B85C75">
      <w:pPr>
        <w:pStyle w:val="EndNoteBibliography"/>
        <w:spacing w:after="0"/>
        <w:ind w:left="720" w:hanging="720"/>
        <w:rPr>
          <w:rFonts w:asciiTheme="minorHAnsi" w:hAnsiTheme="minorHAnsi" w:cstheme="minorHAnsi"/>
        </w:rPr>
      </w:pPr>
      <w:bookmarkStart w:id="700" w:name="_ENREF_112"/>
      <w:r w:rsidRPr="00697CE0">
        <w:rPr>
          <w:rFonts w:asciiTheme="minorHAnsi" w:hAnsiTheme="minorHAnsi" w:cstheme="minorHAnsi"/>
        </w:rPr>
        <w:t xml:space="preserve">NBA 2019b, </w:t>
      </w:r>
      <w:r w:rsidRPr="00697CE0">
        <w:rPr>
          <w:rFonts w:asciiTheme="minorHAnsi" w:hAnsiTheme="minorHAnsi" w:cstheme="minorHAnsi"/>
          <w:i/>
        </w:rPr>
        <w:t>National report on the issue and use of immunoglobulin (Ig). Annual Report 2015-16.</w:t>
      </w:r>
      <w:r w:rsidRPr="00697CE0">
        <w:rPr>
          <w:rFonts w:asciiTheme="minorHAnsi" w:hAnsiTheme="minorHAnsi" w:cstheme="minorHAnsi"/>
        </w:rPr>
        <w:t>, Australia, viewed &lt;</w:t>
      </w:r>
      <w:r w:rsidRPr="00697CE0">
        <w:rPr>
          <w:rFonts w:asciiTheme="minorHAnsi" w:hAnsiTheme="minorHAnsi" w:cstheme="minorHAnsi"/>
          <w:u w:val="single"/>
        </w:rPr>
        <w:t>https://www.blood.gov.au/data-analysis-reporting</w:t>
      </w:r>
      <w:r w:rsidRPr="00697CE0">
        <w:rPr>
          <w:rFonts w:asciiTheme="minorHAnsi" w:hAnsiTheme="minorHAnsi" w:cstheme="minorHAnsi"/>
        </w:rPr>
        <w:t>&gt;.</w:t>
      </w:r>
      <w:bookmarkEnd w:id="700"/>
    </w:p>
    <w:p w:rsidR="00B85C75" w:rsidRPr="00697CE0" w:rsidRDefault="00B85C75" w:rsidP="00B85C75">
      <w:pPr>
        <w:pStyle w:val="EndNoteBibliography"/>
        <w:spacing w:after="0"/>
        <w:ind w:left="720" w:hanging="720"/>
        <w:rPr>
          <w:rFonts w:asciiTheme="minorHAnsi" w:hAnsiTheme="minorHAnsi" w:cstheme="minorHAnsi"/>
        </w:rPr>
      </w:pPr>
      <w:bookmarkStart w:id="701" w:name="_ENREF_113"/>
      <w:r w:rsidRPr="00697CE0">
        <w:rPr>
          <w:rFonts w:asciiTheme="minorHAnsi" w:hAnsiTheme="minorHAnsi" w:cstheme="minorHAnsi"/>
        </w:rPr>
        <w:t xml:space="preserve">NBA 2019c, </w:t>
      </w:r>
      <w:r w:rsidRPr="00697CE0">
        <w:rPr>
          <w:rFonts w:asciiTheme="minorHAnsi" w:hAnsiTheme="minorHAnsi" w:cstheme="minorHAnsi"/>
          <w:i/>
        </w:rPr>
        <w:t>What blood products are supplied - Nationa Product List</w:t>
      </w:r>
      <w:r w:rsidRPr="00697CE0">
        <w:rPr>
          <w:rFonts w:asciiTheme="minorHAnsi" w:hAnsiTheme="minorHAnsi" w:cstheme="minorHAnsi"/>
        </w:rPr>
        <w:t>, National BLood Authority Australia, Australia, viewed 8th April 2019, &lt;</w:t>
      </w:r>
      <w:r w:rsidRPr="00697CE0">
        <w:rPr>
          <w:rFonts w:asciiTheme="minorHAnsi" w:hAnsiTheme="minorHAnsi" w:cstheme="minorHAnsi"/>
          <w:u w:val="single"/>
        </w:rPr>
        <w:t>https://www.blood.gov.au/national-product-list</w:t>
      </w:r>
      <w:r w:rsidRPr="00697CE0">
        <w:rPr>
          <w:rFonts w:asciiTheme="minorHAnsi" w:hAnsiTheme="minorHAnsi" w:cstheme="minorHAnsi"/>
        </w:rPr>
        <w:t>&gt;.</w:t>
      </w:r>
      <w:bookmarkEnd w:id="701"/>
    </w:p>
    <w:p w:rsidR="00B85C75" w:rsidRPr="00697CE0" w:rsidRDefault="00B85C75" w:rsidP="00B85C75">
      <w:pPr>
        <w:pStyle w:val="EndNoteBibliography"/>
        <w:spacing w:after="0"/>
        <w:ind w:left="720" w:hanging="720"/>
        <w:rPr>
          <w:rFonts w:asciiTheme="minorHAnsi" w:hAnsiTheme="minorHAnsi" w:cstheme="minorHAnsi"/>
        </w:rPr>
      </w:pPr>
      <w:bookmarkStart w:id="702" w:name="_ENREF_114"/>
      <w:r w:rsidRPr="00697CE0">
        <w:rPr>
          <w:rFonts w:asciiTheme="minorHAnsi" w:hAnsiTheme="minorHAnsi" w:cstheme="minorHAnsi"/>
        </w:rPr>
        <w:t xml:space="preserve">NCI 2018, </w:t>
      </w:r>
      <w:r w:rsidRPr="00697CE0">
        <w:rPr>
          <w:rFonts w:asciiTheme="minorHAnsi" w:hAnsiTheme="minorHAnsi" w:cstheme="minorHAnsi"/>
          <w:i/>
        </w:rPr>
        <w:t>Common Terminology Criteria for Adverse Events (CTCAE)</w:t>
      </w:r>
      <w:r w:rsidRPr="00697CE0">
        <w:rPr>
          <w:rFonts w:asciiTheme="minorHAnsi" w:hAnsiTheme="minorHAnsi" w:cstheme="minorHAnsi"/>
        </w:rPr>
        <w:t xml:space="preserve">, National Cancer Institute, viewed 18 July 2019, </w:t>
      </w:r>
      <w:bookmarkEnd w:id="702"/>
    </w:p>
    <w:p w:rsidR="00B85C75" w:rsidRPr="00697CE0" w:rsidRDefault="00B85C75" w:rsidP="00B85C75">
      <w:pPr>
        <w:pStyle w:val="EndNoteBibliography"/>
        <w:spacing w:after="0"/>
        <w:ind w:left="720" w:hanging="720"/>
        <w:rPr>
          <w:rFonts w:asciiTheme="minorHAnsi" w:hAnsiTheme="minorHAnsi" w:cstheme="minorHAnsi"/>
        </w:rPr>
      </w:pPr>
      <w:bookmarkStart w:id="703" w:name="_ENREF_115"/>
      <w:r w:rsidRPr="00697CE0">
        <w:rPr>
          <w:rFonts w:asciiTheme="minorHAnsi" w:hAnsiTheme="minorHAnsi" w:cstheme="minorHAnsi"/>
        </w:rPr>
        <w:t xml:space="preserve">NHS 2014, </w:t>
      </w:r>
      <w:r w:rsidRPr="00697CE0">
        <w:rPr>
          <w:rFonts w:asciiTheme="minorHAnsi" w:hAnsiTheme="minorHAnsi" w:cstheme="minorHAnsi"/>
          <w:i/>
        </w:rPr>
        <w:t>Therapeutic Apheresis Services. Patient Information Leaflet - Plasma Exchange Procedure</w:t>
      </w:r>
      <w:r w:rsidRPr="00697CE0">
        <w:rPr>
          <w:rFonts w:asciiTheme="minorHAnsi" w:hAnsiTheme="minorHAnsi" w:cstheme="minorHAnsi"/>
        </w:rPr>
        <w:t>, NHS, United Kingdom, viewed 7th May 2019, &lt;</w:t>
      </w:r>
      <w:r w:rsidRPr="00697CE0">
        <w:rPr>
          <w:rFonts w:asciiTheme="minorHAnsi" w:hAnsiTheme="minorHAnsi" w:cstheme="minorHAnsi"/>
          <w:u w:val="single"/>
        </w:rPr>
        <w:t>https://nhsbtdbe.blob.core.windows.net/umbraco-assets-corp/1948/plasma-exchange-procedure.pdf</w:t>
      </w:r>
      <w:r w:rsidRPr="00697CE0">
        <w:rPr>
          <w:rFonts w:asciiTheme="minorHAnsi" w:hAnsiTheme="minorHAnsi" w:cstheme="minorHAnsi"/>
        </w:rPr>
        <w:t>&gt;.</w:t>
      </w:r>
      <w:bookmarkEnd w:id="703"/>
    </w:p>
    <w:p w:rsidR="00B85C75" w:rsidRPr="00697CE0" w:rsidRDefault="00B85C75" w:rsidP="00B85C75">
      <w:pPr>
        <w:pStyle w:val="EndNoteBibliography"/>
        <w:spacing w:after="0"/>
        <w:ind w:left="720" w:hanging="720"/>
        <w:rPr>
          <w:rFonts w:asciiTheme="minorHAnsi" w:hAnsiTheme="minorHAnsi" w:cstheme="minorHAnsi"/>
        </w:rPr>
      </w:pPr>
      <w:bookmarkStart w:id="704" w:name="_ENREF_116"/>
      <w:r w:rsidRPr="00697CE0">
        <w:rPr>
          <w:rFonts w:asciiTheme="minorHAnsi" w:hAnsiTheme="minorHAnsi" w:cstheme="minorHAnsi"/>
        </w:rPr>
        <w:lastRenderedPageBreak/>
        <w:t xml:space="preserve">NMSS 2019, </w:t>
      </w:r>
      <w:r w:rsidRPr="00697CE0">
        <w:rPr>
          <w:rFonts w:asciiTheme="minorHAnsi" w:hAnsiTheme="minorHAnsi" w:cstheme="minorHAnsi"/>
          <w:i/>
        </w:rPr>
        <w:t>Clinical Study Measures</w:t>
      </w:r>
      <w:r w:rsidRPr="00697CE0">
        <w:rPr>
          <w:rFonts w:asciiTheme="minorHAnsi" w:hAnsiTheme="minorHAnsi" w:cstheme="minorHAnsi"/>
        </w:rPr>
        <w:t>, National Multiple Sclerosis Society, viewed 14th May 2019, &lt;</w:t>
      </w:r>
      <w:r w:rsidRPr="00697CE0">
        <w:rPr>
          <w:rFonts w:asciiTheme="minorHAnsi" w:hAnsiTheme="minorHAnsi" w:cstheme="minorHAnsi"/>
          <w:u w:val="single"/>
        </w:rPr>
        <w:t>https://www.nationalmssociety.org/For-Professionals/Researchers/Resources-for-Researchers/Clinical-Study-Measures</w:t>
      </w:r>
      <w:r w:rsidRPr="00697CE0">
        <w:rPr>
          <w:rFonts w:asciiTheme="minorHAnsi" w:hAnsiTheme="minorHAnsi" w:cstheme="minorHAnsi"/>
        </w:rPr>
        <w:t>&gt;.</w:t>
      </w:r>
      <w:bookmarkEnd w:id="704"/>
    </w:p>
    <w:p w:rsidR="00B85C75" w:rsidRPr="00697CE0" w:rsidRDefault="00B85C75" w:rsidP="00B85C75">
      <w:pPr>
        <w:pStyle w:val="EndNoteBibliography"/>
        <w:spacing w:after="0"/>
        <w:ind w:left="720" w:hanging="720"/>
        <w:rPr>
          <w:rFonts w:asciiTheme="minorHAnsi" w:hAnsiTheme="minorHAnsi" w:cstheme="minorHAnsi"/>
        </w:rPr>
      </w:pPr>
      <w:bookmarkStart w:id="705" w:name="_ENREF_117"/>
      <w:r w:rsidRPr="00697CE0">
        <w:rPr>
          <w:rFonts w:asciiTheme="minorHAnsi" w:hAnsiTheme="minorHAnsi" w:cstheme="minorHAnsi"/>
        </w:rPr>
        <w:t xml:space="preserve">Nobile-Orazio, E, Cocito, D, Jann, S, Uncini, A, Beghi, E, Messina, P, Antonini, G, Fazio, R, Gallia, F &amp; Schenone, A 2012a, 'Intravenous immunoglobulin versus intravenous methylprednisolone for chronic inflammatory demyelinating polyradiculoneuropathy: a randomised controlled trial', </w:t>
      </w:r>
      <w:r w:rsidRPr="00697CE0">
        <w:rPr>
          <w:rFonts w:asciiTheme="minorHAnsi" w:hAnsiTheme="minorHAnsi" w:cstheme="minorHAnsi"/>
          <w:i/>
        </w:rPr>
        <w:t>The Lancet Neurology</w:t>
      </w:r>
      <w:r w:rsidRPr="00697CE0">
        <w:rPr>
          <w:rFonts w:asciiTheme="minorHAnsi" w:hAnsiTheme="minorHAnsi" w:cstheme="minorHAnsi"/>
        </w:rPr>
        <w:t>, vol.11, pp. 493-502.</w:t>
      </w:r>
      <w:bookmarkEnd w:id="705"/>
    </w:p>
    <w:p w:rsidR="00B85C75" w:rsidRPr="00697CE0" w:rsidRDefault="00B85C75" w:rsidP="00B85C75">
      <w:pPr>
        <w:pStyle w:val="EndNoteBibliography"/>
        <w:spacing w:after="0"/>
        <w:ind w:left="720" w:hanging="720"/>
        <w:rPr>
          <w:rFonts w:asciiTheme="minorHAnsi" w:hAnsiTheme="minorHAnsi" w:cstheme="minorHAnsi"/>
        </w:rPr>
      </w:pPr>
      <w:bookmarkStart w:id="706" w:name="_ENREF_118"/>
      <w:r w:rsidRPr="00697CE0">
        <w:rPr>
          <w:rFonts w:asciiTheme="minorHAnsi" w:hAnsiTheme="minorHAnsi" w:cstheme="minorHAnsi"/>
        </w:rPr>
        <w:t xml:space="preserve">Nobile-Orazio, E, Cocito, D, Jann, S, Uncini, A, Beghi, E, Messina, P, Antonini, G, Fazio, R, Gallia, F, Schenone, A, Francia, A, Pareyson, D, Santoro, L, Tamburin, S, Macchia, R, Cavaletti, G, Giannini, F &amp; Sabatelli, M 2012b, 'Intravenous immunoglobulin versus intravenous methylprednisolone for chronic inflammatory demyelinating polyradiculoneuropathy: a randomised controlled trial', </w:t>
      </w:r>
      <w:r w:rsidRPr="00697CE0">
        <w:rPr>
          <w:rFonts w:asciiTheme="minorHAnsi" w:hAnsiTheme="minorHAnsi" w:cstheme="minorHAnsi"/>
          <w:i/>
        </w:rPr>
        <w:t>Lancet Neurol</w:t>
      </w:r>
      <w:r w:rsidRPr="00697CE0">
        <w:rPr>
          <w:rFonts w:asciiTheme="minorHAnsi" w:hAnsiTheme="minorHAnsi" w:cstheme="minorHAnsi"/>
        </w:rPr>
        <w:t>, vol.11, pp. 493-502.</w:t>
      </w:r>
      <w:bookmarkEnd w:id="706"/>
    </w:p>
    <w:p w:rsidR="00B85C75" w:rsidRPr="00697CE0" w:rsidRDefault="00B85C75" w:rsidP="00B85C75">
      <w:pPr>
        <w:pStyle w:val="EndNoteBibliography"/>
        <w:spacing w:after="0"/>
        <w:ind w:left="720" w:hanging="720"/>
        <w:rPr>
          <w:rFonts w:asciiTheme="minorHAnsi" w:hAnsiTheme="minorHAnsi" w:cstheme="minorHAnsi"/>
        </w:rPr>
      </w:pPr>
      <w:bookmarkStart w:id="707" w:name="_ENREF_119"/>
      <w:r w:rsidRPr="00697CE0">
        <w:rPr>
          <w:rFonts w:asciiTheme="minorHAnsi" w:hAnsiTheme="minorHAnsi" w:cstheme="minorHAnsi"/>
        </w:rPr>
        <w:t xml:space="preserve">Nobile-Orazio, E, Cocito, D, Jann, S, Uncini, A, Messina, P, Antonini, G, Fazio, R, Gallia, F, Schenone, A, Francia, A, Pareyson, D, Santoro, L, Tamburin, S, Cavaletti, G, Giannini, F, Sabatelli, M &amp; Beghi, E 2015, 'Frequency and time to relapse after discontinuing 6-month therapy with IVIg or pulsed methylprednisolone in CIDP', </w:t>
      </w:r>
      <w:r w:rsidRPr="00697CE0">
        <w:rPr>
          <w:rFonts w:asciiTheme="minorHAnsi" w:hAnsiTheme="minorHAnsi" w:cstheme="minorHAnsi"/>
          <w:i/>
        </w:rPr>
        <w:t>J Neurol Neurosurg Psychiatry</w:t>
      </w:r>
      <w:r w:rsidRPr="00697CE0">
        <w:rPr>
          <w:rFonts w:asciiTheme="minorHAnsi" w:hAnsiTheme="minorHAnsi" w:cstheme="minorHAnsi"/>
        </w:rPr>
        <w:t>, vol.86, pp. 729-34.</w:t>
      </w:r>
      <w:bookmarkEnd w:id="707"/>
    </w:p>
    <w:p w:rsidR="00B85C75" w:rsidRPr="00697CE0" w:rsidRDefault="00B85C75" w:rsidP="00B85C75">
      <w:pPr>
        <w:pStyle w:val="EndNoteBibliography"/>
        <w:spacing w:after="0"/>
        <w:ind w:left="720" w:hanging="720"/>
        <w:rPr>
          <w:rFonts w:asciiTheme="minorHAnsi" w:hAnsiTheme="minorHAnsi" w:cstheme="minorHAnsi"/>
        </w:rPr>
      </w:pPr>
      <w:bookmarkStart w:id="708" w:name="_ENREF_120"/>
      <w:r w:rsidRPr="00697CE0">
        <w:rPr>
          <w:rFonts w:asciiTheme="minorHAnsi" w:hAnsiTheme="minorHAnsi" w:cstheme="minorHAnsi"/>
        </w:rPr>
        <w:t xml:space="preserve">NSW ITIM 2019, </w:t>
      </w:r>
      <w:r w:rsidRPr="00697CE0">
        <w:rPr>
          <w:rFonts w:asciiTheme="minorHAnsi" w:hAnsiTheme="minorHAnsi" w:cstheme="minorHAnsi"/>
          <w:i/>
        </w:rPr>
        <w:t>Injury Severity Score</w:t>
      </w:r>
      <w:r w:rsidRPr="00697CE0">
        <w:rPr>
          <w:rFonts w:asciiTheme="minorHAnsi" w:hAnsiTheme="minorHAnsi" w:cstheme="minorHAnsi"/>
        </w:rPr>
        <w:t>, New South Wales Institute of Trauma and Injury Management, Australia, viewed 14th May 2019, &lt;</w:t>
      </w:r>
      <w:r w:rsidRPr="00697CE0">
        <w:rPr>
          <w:rFonts w:asciiTheme="minorHAnsi" w:hAnsiTheme="minorHAnsi" w:cstheme="minorHAnsi"/>
          <w:u w:val="single"/>
        </w:rPr>
        <w:t>https://www.aci.health.nsw.gov.au/get-involved/institute-of-trauma-and-injury-management/Data/injury-scoring/injury_severity_score</w:t>
      </w:r>
      <w:r w:rsidRPr="00697CE0">
        <w:rPr>
          <w:rFonts w:asciiTheme="minorHAnsi" w:hAnsiTheme="minorHAnsi" w:cstheme="minorHAnsi"/>
        </w:rPr>
        <w:t>&gt;.</w:t>
      </w:r>
      <w:bookmarkEnd w:id="708"/>
    </w:p>
    <w:p w:rsidR="00B85C75" w:rsidRPr="00697CE0" w:rsidRDefault="00B85C75" w:rsidP="00B85C75">
      <w:pPr>
        <w:pStyle w:val="EndNoteBibliography"/>
        <w:spacing w:after="0"/>
        <w:ind w:left="720" w:hanging="720"/>
        <w:rPr>
          <w:rFonts w:asciiTheme="minorHAnsi" w:hAnsiTheme="minorHAnsi" w:cstheme="minorHAnsi"/>
        </w:rPr>
      </w:pPr>
      <w:bookmarkStart w:id="709" w:name="_ENREF_121"/>
      <w:r w:rsidRPr="00697CE0">
        <w:rPr>
          <w:rFonts w:asciiTheme="minorHAnsi" w:hAnsiTheme="minorHAnsi" w:cstheme="minorHAnsi"/>
        </w:rPr>
        <w:t xml:space="preserve">O'Reilly, D, Hopkins, R, Blackhouse, G, Clarke, P, Hux, J &amp; Guan, J. 2007, </w:t>
      </w:r>
      <w:r w:rsidRPr="00697CE0">
        <w:rPr>
          <w:rFonts w:asciiTheme="minorHAnsi" w:hAnsiTheme="minorHAnsi" w:cstheme="minorHAnsi"/>
          <w:i/>
        </w:rPr>
        <w:t>Development of an Ontario Diabetes Economic Model (ODEM) and application to a multidisciplinary primary care diabetes management program</w:t>
      </w:r>
      <w:r w:rsidRPr="00697CE0">
        <w:rPr>
          <w:rFonts w:asciiTheme="minorHAnsi" w:hAnsiTheme="minorHAnsi" w:cstheme="minorHAnsi"/>
        </w:rPr>
        <w:t xml:space="preserve">, Programs for Assessment of Technology in Health, </w:t>
      </w:r>
      <w:bookmarkEnd w:id="709"/>
    </w:p>
    <w:p w:rsidR="00B85C75" w:rsidRPr="00697CE0" w:rsidRDefault="00B85C75" w:rsidP="00B85C75">
      <w:pPr>
        <w:pStyle w:val="EndNoteBibliography"/>
        <w:spacing w:after="0"/>
        <w:ind w:left="720" w:hanging="720"/>
        <w:rPr>
          <w:rFonts w:asciiTheme="minorHAnsi" w:hAnsiTheme="minorHAnsi" w:cstheme="minorHAnsi"/>
        </w:rPr>
      </w:pPr>
      <w:bookmarkStart w:id="710" w:name="_ENREF_122"/>
      <w:r w:rsidRPr="00697CE0">
        <w:rPr>
          <w:rFonts w:asciiTheme="minorHAnsi" w:hAnsiTheme="minorHAnsi" w:cstheme="minorHAnsi"/>
        </w:rPr>
        <w:t xml:space="preserve">Oaklander, AL, Lunn, MP, Hughes, RA, van Schaik, IN, Frost, C &amp; Chalk, CH 2017, 'Treatments for chronic inflammatory demyelinating polyradiculoneuropathy (CIDP): an overview of systematic reviews', </w:t>
      </w:r>
      <w:r w:rsidRPr="00697CE0">
        <w:rPr>
          <w:rFonts w:asciiTheme="minorHAnsi" w:hAnsiTheme="minorHAnsi" w:cstheme="minorHAnsi"/>
          <w:i/>
        </w:rPr>
        <w:t>Cochrane Database Syst Rev</w:t>
      </w:r>
      <w:r w:rsidRPr="00697CE0">
        <w:rPr>
          <w:rFonts w:asciiTheme="minorHAnsi" w:hAnsiTheme="minorHAnsi" w:cstheme="minorHAnsi"/>
        </w:rPr>
        <w:t>, vol.1, pp. Cd010369.</w:t>
      </w:r>
      <w:bookmarkEnd w:id="710"/>
    </w:p>
    <w:p w:rsidR="00B85C75" w:rsidRPr="00697CE0" w:rsidRDefault="00B85C75" w:rsidP="00B85C75">
      <w:pPr>
        <w:pStyle w:val="EndNoteBibliography"/>
        <w:spacing w:after="0"/>
        <w:ind w:left="720" w:hanging="720"/>
        <w:rPr>
          <w:rFonts w:asciiTheme="minorHAnsi" w:hAnsiTheme="minorHAnsi" w:cstheme="minorHAnsi"/>
        </w:rPr>
      </w:pPr>
      <w:bookmarkStart w:id="711" w:name="_ENREF_123"/>
      <w:r w:rsidRPr="00697CE0">
        <w:rPr>
          <w:rFonts w:asciiTheme="minorHAnsi" w:hAnsiTheme="minorHAnsi" w:cstheme="minorHAnsi"/>
        </w:rPr>
        <w:t xml:space="preserve">Oray, M, Abu Samra, K, Ebrahimiadib, N, Meese, H &amp; Foster, CS 2016, 'Long-term side effects of glucocorticoids', </w:t>
      </w:r>
      <w:r w:rsidRPr="00697CE0">
        <w:rPr>
          <w:rFonts w:asciiTheme="minorHAnsi" w:hAnsiTheme="minorHAnsi" w:cstheme="minorHAnsi"/>
          <w:i/>
        </w:rPr>
        <w:t>Expert Opinion on Drug Safety</w:t>
      </w:r>
      <w:r w:rsidRPr="00697CE0">
        <w:rPr>
          <w:rFonts w:asciiTheme="minorHAnsi" w:hAnsiTheme="minorHAnsi" w:cstheme="minorHAnsi"/>
        </w:rPr>
        <w:t>, vol.15, pp. 457-65.</w:t>
      </w:r>
      <w:bookmarkEnd w:id="711"/>
    </w:p>
    <w:p w:rsidR="00B85C75" w:rsidRPr="00697CE0" w:rsidRDefault="00B85C75" w:rsidP="00B85C75">
      <w:pPr>
        <w:pStyle w:val="EndNoteBibliography"/>
        <w:spacing w:after="0"/>
        <w:ind w:left="720" w:hanging="720"/>
        <w:rPr>
          <w:rFonts w:asciiTheme="minorHAnsi" w:hAnsiTheme="minorHAnsi" w:cstheme="minorHAnsi"/>
        </w:rPr>
      </w:pPr>
      <w:bookmarkStart w:id="712" w:name="_ENREF_124"/>
      <w:r w:rsidRPr="00697CE0">
        <w:rPr>
          <w:rFonts w:asciiTheme="minorHAnsi" w:hAnsiTheme="minorHAnsi" w:cstheme="minorHAnsi"/>
        </w:rPr>
        <w:t xml:space="preserve">Padua, L, Aprile, I, Caliandro, P, Padua, R, Mazza, S &amp; Tonali, P 2004, 'Intravenous immunoglobulin treatment in autoimmune neurological disorders: pilot study on early effects on patients' quality of life', </w:t>
      </w:r>
      <w:r w:rsidRPr="00697CE0">
        <w:rPr>
          <w:rFonts w:asciiTheme="minorHAnsi" w:hAnsiTheme="minorHAnsi" w:cstheme="minorHAnsi"/>
          <w:i/>
        </w:rPr>
        <w:t>Journal of the Peripheral Nervous System</w:t>
      </w:r>
      <w:r w:rsidRPr="00697CE0">
        <w:rPr>
          <w:rFonts w:asciiTheme="minorHAnsi" w:hAnsiTheme="minorHAnsi" w:cstheme="minorHAnsi"/>
        </w:rPr>
        <w:t>, vol.9, pp. 3-6.</w:t>
      </w:r>
      <w:bookmarkEnd w:id="712"/>
    </w:p>
    <w:p w:rsidR="00B85C75" w:rsidRPr="00697CE0" w:rsidRDefault="00B85C75" w:rsidP="00B85C75">
      <w:pPr>
        <w:pStyle w:val="EndNoteBibliography"/>
        <w:spacing w:after="0"/>
        <w:ind w:left="720" w:hanging="720"/>
        <w:rPr>
          <w:rFonts w:asciiTheme="minorHAnsi" w:hAnsiTheme="minorHAnsi" w:cstheme="minorHAnsi"/>
        </w:rPr>
      </w:pPr>
      <w:bookmarkStart w:id="713" w:name="_ENREF_125"/>
      <w:r w:rsidRPr="00697CE0">
        <w:rPr>
          <w:rFonts w:asciiTheme="minorHAnsi" w:hAnsiTheme="minorHAnsi" w:cstheme="minorHAnsi"/>
        </w:rPr>
        <w:t xml:space="preserve">Padua, L, Sabatelli, M, Evoli, A, Pazzaglia, C &amp; Tonali, P 2005, 'Intravenous immunoglobulin treatment in autoimmune neurological disorders—effects on quality of life', </w:t>
      </w:r>
      <w:r w:rsidRPr="00697CE0">
        <w:rPr>
          <w:rFonts w:asciiTheme="minorHAnsi" w:hAnsiTheme="minorHAnsi" w:cstheme="minorHAnsi"/>
          <w:i/>
        </w:rPr>
        <w:t>Human immunology</w:t>
      </w:r>
      <w:r w:rsidRPr="00697CE0">
        <w:rPr>
          <w:rFonts w:asciiTheme="minorHAnsi" w:hAnsiTheme="minorHAnsi" w:cstheme="minorHAnsi"/>
        </w:rPr>
        <w:t>, vol.66, pp. 417-21.</w:t>
      </w:r>
      <w:bookmarkEnd w:id="713"/>
    </w:p>
    <w:p w:rsidR="00B85C75" w:rsidRPr="00697CE0" w:rsidRDefault="00B85C75" w:rsidP="00B85C75">
      <w:pPr>
        <w:pStyle w:val="EndNoteBibliography"/>
        <w:spacing w:after="0"/>
        <w:ind w:left="720" w:hanging="720"/>
        <w:rPr>
          <w:rFonts w:asciiTheme="minorHAnsi" w:hAnsiTheme="minorHAnsi" w:cstheme="minorHAnsi"/>
        </w:rPr>
      </w:pPr>
      <w:bookmarkStart w:id="714" w:name="_ENREF_126"/>
      <w:r w:rsidRPr="00697CE0">
        <w:rPr>
          <w:rFonts w:asciiTheme="minorHAnsi" w:hAnsiTheme="minorHAnsi" w:cstheme="minorHAnsi"/>
        </w:rPr>
        <w:t xml:space="preserve">Pavenski, K 2018, </w:t>
      </w:r>
      <w:r w:rsidRPr="00697CE0">
        <w:rPr>
          <w:rFonts w:asciiTheme="minorHAnsi" w:hAnsiTheme="minorHAnsi" w:cstheme="minorHAnsi"/>
          <w:i/>
        </w:rPr>
        <w:t>Chapter 14. Therapeutic Apheresis</w:t>
      </w:r>
      <w:r w:rsidRPr="00697CE0">
        <w:rPr>
          <w:rFonts w:asciiTheme="minorHAnsi" w:hAnsiTheme="minorHAnsi" w:cstheme="minorHAnsi"/>
        </w:rPr>
        <w:t>, Canadian Blood Services, Canada, viewed 7th May 2019, &lt;</w:t>
      </w:r>
      <w:r w:rsidRPr="00697CE0">
        <w:rPr>
          <w:rFonts w:asciiTheme="minorHAnsi" w:hAnsiTheme="minorHAnsi" w:cstheme="minorHAnsi"/>
          <w:u w:val="single"/>
        </w:rPr>
        <w:t>https://professionaleducation.blood.ca/en/transfusion/guide-clinique/therapeutic-apheresis</w:t>
      </w:r>
      <w:r w:rsidRPr="00697CE0">
        <w:rPr>
          <w:rFonts w:asciiTheme="minorHAnsi" w:hAnsiTheme="minorHAnsi" w:cstheme="minorHAnsi"/>
        </w:rPr>
        <w:t>&gt;.</w:t>
      </w:r>
      <w:bookmarkEnd w:id="714"/>
    </w:p>
    <w:p w:rsidR="004B4D4A" w:rsidRPr="00697CE0" w:rsidRDefault="004B4D4A" w:rsidP="00B85C75">
      <w:pPr>
        <w:pStyle w:val="EndNoteBibliography"/>
        <w:spacing w:after="0"/>
        <w:ind w:left="720" w:hanging="720"/>
        <w:rPr>
          <w:rFonts w:asciiTheme="minorHAnsi" w:hAnsiTheme="minorHAnsi" w:cstheme="minorHAnsi"/>
        </w:rPr>
      </w:pPr>
      <w:bookmarkStart w:id="715" w:name="_ENREF_127"/>
      <w:r w:rsidRPr="00697CE0">
        <w:rPr>
          <w:rFonts w:asciiTheme="minorHAnsi" w:hAnsiTheme="minorHAnsi" w:cstheme="minorHAnsi"/>
        </w:rPr>
        <w:t>Peasgood T, Herrmann K, Kanis JA, Brazier JE. An updated systematic review of health state utility values for osteoporosis related conditions. Osteoporos Int. 2009;20(6):853–68</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Querol, L, Rojas-Garcia, R, Casasnovas, C, Sedano, MJ, Munoz-Blanco, JL, Alberti, MA, Paradas, C, Sevilla, T, Pardo, J, Capablo, JL, Sivera, R, Guerrero, A, Gutierrez-Rivas, E &amp; Illa, I 2013, 'Long-term outcome in chronic inflammatory demyelinating polyneuropathy patients treated with intravenous immunoglobulin: A retrospective study', </w:t>
      </w:r>
      <w:r w:rsidRPr="00697CE0">
        <w:rPr>
          <w:rFonts w:asciiTheme="minorHAnsi" w:hAnsiTheme="minorHAnsi" w:cstheme="minorHAnsi"/>
          <w:i/>
        </w:rPr>
        <w:t>Muscle and Nerve.</w:t>
      </w:r>
      <w:r w:rsidRPr="00697CE0">
        <w:rPr>
          <w:rFonts w:asciiTheme="minorHAnsi" w:hAnsiTheme="minorHAnsi" w:cstheme="minorHAnsi"/>
        </w:rPr>
        <w:t xml:space="preserve">, vol., pp. </w:t>
      </w:r>
      <w:bookmarkEnd w:id="715"/>
    </w:p>
    <w:p w:rsidR="00B85C75" w:rsidRPr="00697CE0" w:rsidRDefault="00B85C75" w:rsidP="00B85C75">
      <w:pPr>
        <w:pStyle w:val="EndNoteBibliography"/>
        <w:spacing w:after="0"/>
        <w:ind w:left="720" w:hanging="720"/>
        <w:rPr>
          <w:rFonts w:asciiTheme="minorHAnsi" w:hAnsiTheme="minorHAnsi" w:cstheme="minorHAnsi"/>
        </w:rPr>
      </w:pPr>
      <w:bookmarkStart w:id="716" w:name="_ENREF_128"/>
      <w:r w:rsidRPr="00697CE0">
        <w:rPr>
          <w:rFonts w:asciiTheme="minorHAnsi" w:hAnsiTheme="minorHAnsi" w:cstheme="minorHAnsi"/>
        </w:rPr>
        <w:t xml:space="preserve">R. M. C. Trial Group 2009, 'Randomised controlled trial of methotrexate for chronic inflammatory demyelinating polyradiculoneuropathy (RMC trial): a pilot, multicentre study', </w:t>
      </w:r>
      <w:r w:rsidRPr="00697CE0">
        <w:rPr>
          <w:rFonts w:asciiTheme="minorHAnsi" w:hAnsiTheme="minorHAnsi" w:cstheme="minorHAnsi"/>
          <w:i/>
        </w:rPr>
        <w:t>The lancet</w:t>
      </w:r>
      <w:r w:rsidRPr="00697CE0">
        <w:rPr>
          <w:rFonts w:asciiTheme="minorHAnsi" w:hAnsiTheme="minorHAnsi" w:cstheme="minorHAnsi"/>
        </w:rPr>
        <w:t>, vol.Neurology. 8, pp. 158-64.</w:t>
      </w:r>
      <w:bookmarkEnd w:id="716"/>
    </w:p>
    <w:p w:rsidR="00B85C75" w:rsidRPr="00697CE0" w:rsidRDefault="00B85C75" w:rsidP="00B85C75">
      <w:pPr>
        <w:pStyle w:val="EndNoteBibliography"/>
        <w:spacing w:after="0"/>
        <w:ind w:left="720" w:hanging="720"/>
        <w:rPr>
          <w:rFonts w:asciiTheme="minorHAnsi" w:hAnsiTheme="minorHAnsi" w:cstheme="minorHAnsi"/>
        </w:rPr>
      </w:pPr>
      <w:bookmarkStart w:id="717" w:name="_ENREF_129"/>
      <w:r w:rsidRPr="00697CE0">
        <w:rPr>
          <w:rFonts w:asciiTheme="minorHAnsi" w:hAnsiTheme="minorHAnsi" w:cstheme="minorHAnsi"/>
        </w:rPr>
        <w:t xml:space="preserve">Rajabally, YA, Seow, H &amp; Wilson, P 2006, 'Dose of intravenous immunoglobulins in chronic inflammatory demyelinating polyneuropathy', </w:t>
      </w:r>
      <w:r w:rsidRPr="00697CE0">
        <w:rPr>
          <w:rFonts w:asciiTheme="minorHAnsi" w:hAnsiTheme="minorHAnsi" w:cstheme="minorHAnsi"/>
          <w:i/>
        </w:rPr>
        <w:t>Journal of the Peripheral Nervous System</w:t>
      </w:r>
      <w:r w:rsidRPr="00697CE0">
        <w:rPr>
          <w:rFonts w:asciiTheme="minorHAnsi" w:hAnsiTheme="minorHAnsi" w:cstheme="minorHAnsi"/>
        </w:rPr>
        <w:t>, vol.11, pp. 325-29.</w:t>
      </w:r>
      <w:bookmarkEnd w:id="717"/>
    </w:p>
    <w:p w:rsidR="004B4D4A" w:rsidRPr="00697CE0" w:rsidRDefault="004B4D4A" w:rsidP="00B85C75">
      <w:pPr>
        <w:pStyle w:val="EndNoteBibliography"/>
        <w:spacing w:after="0"/>
        <w:ind w:left="720" w:hanging="720"/>
        <w:rPr>
          <w:rFonts w:asciiTheme="minorHAnsi" w:hAnsiTheme="minorHAnsi" w:cstheme="minorHAnsi"/>
        </w:rPr>
      </w:pPr>
      <w:bookmarkStart w:id="718" w:name="_ENREF_130"/>
      <w:r w:rsidRPr="00697CE0">
        <w:rPr>
          <w:rFonts w:asciiTheme="minorHAnsi" w:hAnsiTheme="minorHAnsi" w:cstheme="minorHAnsi"/>
        </w:rPr>
        <w:lastRenderedPageBreak/>
        <w:t>Rhew DC, Hackner D, Henderson L et al. The clinical benefit of in-hospital observation in ‘low-risk’ pneumonia patients after conversion from parenteral to oral antimicrobial therapy. Chest 1998;113:142–6.</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Rice, JB, White, AG, Scarpati, LM, Wan, G &amp; Nelson, WW 2017, 'Long-term Systemic Corticosteroid Exposure: A Systematic Literature Review', </w:t>
      </w:r>
      <w:r w:rsidRPr="00697CE0">
        <w:rPr>
          <w:rFonts w:asciiTheme="minorHAnsi" w:hAnsiTheme="minorHAnsi" w:cstheme="minorHAnsi"/>
          <w:i/>
        </w:rPr>
        <w:t>Clin Ther</w:t>
      </w:r>
      <w:r w:rsidRPr="00697CE0">
        <w:rPr>
          <w:rFonts w:asciiTheme="minorHAnsi" w:hAnsiTheme="minorHAnsi" w:cstheme="minorHAnsi"/>
        </w:rPr>
        <w:t>, vol.39, pp. 2216-29.</w:t>
      </w:r>
      <w:bookmarkEnd w:id="718"/>
    </w:p>
    <w:p w:rsidR="004B4D4A" w:rsidRPr="00697CE0" w:rsidRDefault="004B4D4A" w:rsidP="00B85C75">
      <w:pPr>
        <w:pStyle w:val="EndNoteBibliography"/>
        <w:spacing w:after="0"/>
        <w:ind w:left="720" w:hanging="720"/>
        <w:rPr>
          <w:rFonts w:asciiTheme="minorHAnsi" w:hAnsiTheme="minorHAnsi" w:cstheme="minorHAnsi"/>
        </w:rPr>
      </w:pPr>
      <w:bookmarkStart w:id="719" w:name="_ENREF_131"/>
      <w:r w:rsidRPr="00697CE0">
        <w:rPr>
          <w:rFonts w:asciiTheme="minorHAnsi" w:hAnsiTheme="minorHAnsi" w:cstheme="minorHAnsi"/>
        </w:rPr>
        <w:t>Richard et al et al. 2005. Home management of mild to moderately severe community-acquired pneumonia: a randomised controlled trial, Med J Aust. 2005 Sep 5;183(5):235-8</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Rigas, M, Tandan, R &amp; Sterling, RJ 2008, 'Safety of liquid intravenous immunoglobulin for neuroimmunologic disorders in the home setting: A retrospective analysis of 1085 infusions', </w:t>
      </w:r>
      <w:r w:rsidRPr="00697CE0">
        <w:rPr>
          <w:rFonts w:asciiTheme="minorHAnsi" w:hAnsiTheme="minorHAnsi" w:cstheme="minorHAnsi"/>
          <w:i/>
        </w:rPr>
        <w:t>Journal of Clinical Neuromuscular Disease</w:t>
      </w:r>
      <w:r w:rsidRPr="00697CE0">
        <w:rPr>
          <w:rFonts w:asciiTheme="minorHAnsi" w:hAnsiTheme="minorHAnsi" w:cstheme="minorHAnsi"/>
        </w:rPr>
        <w:t>, vol.10, pp. 52-55.</w:t>
      </w:r>
      <w:bookmarkEnd w:id="719"/>
    </w:p>
    <w:p w:rsidR="00B85C75" w:rsidRPr="00697CE0" w:rsidRDefault="00B85C75" w:rsidP="00B85C75">
      <w:pPr>
        <w:pStyle w:val="EndNoteBibliography"/>
        <w:spacing w:after="0"/>
        <w:ind w:left="720" w:hanging="720"/>
        <w:rPr>
          <w:rFonts w:asciiTheme="minorHAnsi" w:hAnsiTheme="minorHAnsi" w:cstheme="minorHAnsi"/>
        </w:rPr>
      </w:pPr>
      <w:bookmarkStart w:id="720" w:name="_ENREF_132"/>
      <w:r w:rsidRPr="00697CE0">
        <w:rPr>
          <w:rFonts w:asciiTheme="minorHAnsi" w:hAnsiTheme="minorHAnsi" w:cstheme="minorHAnsi"/>
        </w:rPr>
        <w:t xml:space="preserve">Robert, F, Edan, G, Nicolas, G, Pouget, J, Vial, C, Antoine, JC &amp; Puget, S 2015, 'A retrospective study on the efficacy and safety of intraveinous immunoglobulin (Tegeline&lt;sup&gt;&lt;/sup&gt;) in patients with chronic inflammatory demyelinating polyneuropathy', </w:t>
      </w:r>
      <w:r w:rsidRPr="00697CE0">
        <w:rPr>
          <w:rFonts w:asciiTheme="minorHAnsi" w:hAnsiTheme="minorHAnsi" w:cstheme="minorHAnsi"/>
          <w:i/>
        </w:rPr>
        <w:t>Presse Medicale</w:t>
      </w:r>
      <w:r w:rsidRPr="00697CE0">
        <w:rPr>
          <w:rFonts w:asciiTheme="minorHAnsi" w:hAnsiTheme="minorHAnsi" w:cstheme="minorHAnsi"/>
        </w:rPr>
        <w:t>, vol.44, pp. e291-e300.</w:t>
      </w:r>
      <w:bookmarkEnd w:id="720"/>
    </w:p>
    <w:p w:rsidR="00B85C75" w:rsidRPr="00697CE0" w:rsidRDefault="00B85C75" w:rsidP="00B85C75">
      <w:pPr>
        <w:pStyle w:val="EndNoteBibliography"/>
        <w:spacing w:after="0"/>
        <w:ind w:left="720" w:hanging="720"/>
        <w:rPr>
          <w:rFonts w:asciiTheme="minorHAnsi" w:hAnsiTheme="minorHAnsi" w:cstheme="minorHAnsi"/>
        </w:rPr>
      </w:pPr>
      <w:bookmarkStart w:id="721" w:name="_ENREF_133"/>
      <w:r w:rsidRPr="00697CE0">
        <w:rPr>
          <w:rFonts w:asciiTheme="minorHAnsi" w:hAnsiTheme="minorHAnsi" w:cstheme="minorHAnsi"/>
        </w:rPr>
        <w:t xml:space="preserve">Roux, T, Debs, R, Maisonobe, T, Lenglet, T, Delorme, C, Louapre, C, Leblond, V &amp; Viala, K 2018, 'Rituximab in chronic inflammatory demyelinating polyradiculoneuropathy with associated diseases', </w:t>
      </w:r>
      <w:r w:rsidRPr="00697CE0">
        <w:rPr>
          <w:rFonts w:asciiTheme="minorHAnsi" w:hAnsiTheme="minorHAnsi" w:cstheme="minorHAnsi"/>
          <w:i/>
        </w:rPr>
        <w:t>Journal of the Peripheral Nervous System</w:t>
      </w:r>
      <w:r w:rsidRPr="00697CE0">
        <w:rPr>
          <w:rFonts w:asciiTheme="minorHAnsi" w:hAnsiTheme="minorHAnsi" w:cstheme="minorHAnsi"/>
        </w:rPr>
        <w:t>, vol.23, pp. 235-40.</w:t>
      </w:r>
      <w:bookmarkEnd w:id="721"/>
    </w:p>
    <w:p w:rsidR="00B85C75" w:rsidRPr="00697CE0" w:rsidRDefault="00B85C75" w:rsidP="00B85C75">
      <w:pPr>
        <w:pStyle w:val="EndNoteBibliography"/>
        <w:spacing w:after="0"/>
        <w:ind w:left="720" w:hanging="720"/>
        <w:rPr>
          <w:rFonts w:asciiTheme="minorHAnsi" w:hAnsiTheme="minorHAnsi" w:cstheme="minorHAnsi"/>
        </w:rPr>
      </w:pPr>
      <w:bookmarkStart w:id="722" w:name="_ENREF_134"/>
      <w:r w:rsidRPr="00697CE0">
        <w:rPr>
          <w:rFonts w:asciiTheme="minorHAnsi" w:hAnsiTheme="minorHAnsi" w:cstheme="minorHAnsi"/>
        </w:rPr>
        <w:t xml:space="preserve">Ryan, M &amp; Ryan, SJ 2018, 'Chronic inflammatory demyelinating polyneuropathy: considerations for diagnosis, management, and population health', </w:t>
      </w:r>
      <w:r w:rsidRPr="00697CE0">
        <w:rPr>
          <w:rFonts w:asciiTheme="minorHAnsi" w:hAnsiTheme="minorHAnsi" w:cstheme="minorHAnsi"/>
          <w:i/>
        </w:rPr>
        <w:t>Am J Manag Care</w:t>
      </w:r>
      <w:r w:rsidRPr="00697CE0">
        <w:rPr>
          <w:rFonts w:asciiTheme="minorHAnsi" w:hAnsiTheme="minorHAnsi" w:cstheme="minorHAnsi"/>
        </w:rPr>
        <w:t>, vol.24, pp. S371-s79.</w:t>
      </w:r>
      <w:bookmarkEnd w:id="722"/>
    </w:p>
    <w:p w:rsidR="00B85C75" w:rsidRPr="00697CE0" w:rsidRDefault="00B85C75" w:rsidP="00B85C75">
      <w:pPr>
        <w:pStyle w:val="EndNoteBibliography"/>
        <w:spacing w:after="0"/>
        <w:ind w:left="720" w:hanging="720"/>
        <w:rPr>
          <w:rFonts w:asciiTheme="minorHAnsi" w:hAnsiTheme="minorHAnsi" w:cstheme="minorHAnsi"/>
        </w:rPr>
      </w:pPr>
      <w:bookmarkStart w:id="723" w:name="_ENREF_135"/>
      <w:r w:rsidRPr="00697CE0">
        <w:rPr>
          <w:rFonts w:asciiTheme="minorHAnsi" w:hAnsiTheme="minorHAnsi" w:cstheme="minorHAnsi"/>
        </w:rPr>
        <w:t xml:space="preserve">Santos, PLd, Almeida-Ribeiro, GA, Silva, DMD, Marques Junior, W &amp; Barreira, AA 2014, 'Chronic inflammatory demyelinating polyneuropathy: quality of life, sociodemographic profile and physical complaints', </w:t>
      </w:r>
      <w:r w:rsidRPr="00697CE0">
        <w:rPr>
          <w:rFonts w:asciiTheme="minorHAnsi" w:hAnsiTheme="minorHAnsi" w:cstheme="minorHAnsi"/>
          <w:i/>
        </w:rPr>
        <w:t>Arquivos de neuro-psiquiatria</w:t>
      </w:r>
      <w:r w:rsidRPr="00697CE0">
        <w:rPr>
          <w:rFonts w:asciiTheme="minorHAnsi" w:hAnsiTheme="minorHAnsi" w:cstheme="minorHAnsi"/>
        </w:rPr>
        <w:t>, vol.72, pp. 179-83.</w:t>
      </w:r>
      <w:bookmarkEnd w:id="723"/>
    </w:p>
    <w:p w:rsidR="00BE6854" w:rsidRPr="00697CE0" w:rsidRDefault="00BE6854" w:rsidP="00B85C75">
      <w:pPr>
        <w:pStyle w:val="EndNoteBibliography"/>
        <w:spacing w:after="0"/>
        <w:ind w:left="720" w:hanging="720"/>
        <w:rPr>
          <w:rFonts w:asciiTheme="minorHAnsi" w:hAnsiTheme="minorHAnsi" w:cstheme="minorHAnsi"/>
        </w:rPr>
      </w:pPr>
      <w:bookmarkStart w:id="724" w:name="_ENREF_136"/>
      <w:r w:rsidRPr="00697CE0">
        <w:rPr>
          <w:rFonts w:asciiTheme="minorHAnsi" w:hAnsiTheme="minorHAnsi" w:cstheme="minorHAnsi"/>
        </w:rPr>
        <w:t>Saperstein DS, Katz JS, Amato AA, Barohn RJ. Clinical spectrum of chronic acquired demyelinating polyneuropathies. Muscle Nerve 2001 Mar;24:311-324.</w:t>
      </w:r>
    </w:p>
    <w:p w:rsidR="004B4D4A" w:rsidRPr="00697CE0" w:rsidRDefault="004B4D4A"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Schrag A, Jahanshahi M, Quinn N. How does Parkinson’s disease affect quality of life? A comparison with quality of life in the general population. Mov Disord 2000; 15: 1112–1118</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Schwartz, J, Padmanabhan, A, Aqui, N, Balogun, RA, Connelly-Smith, L, Delaney, M, Dunbar, NM, Witt, V, Wu, Y &amp; Shaz, BH 2016, 'Guidelines on the Use of Therapeutic Apheresis in Clinical Practice-Evidence-Based Approach from the Writing Committee of the American Society for Apheresis: The Seventh Special Issue', </w:t>
      </w:r>
      <w:r w:rsidRPr="00697CE0">
        <w:rPr>
          <w:rFonts w:asciiTheme="minorHAnsi" w:hAnsiTheme="minorHAnsi" w:cstheme="minorHAnsi"/>
          <w:i/>
        </w:rPr>
        <w:t>J Clin Apher</w:t>
      </w:r>
      <w:r w:rsidRPr="00697CE0">
        <w:rPr>
          <w:rFonts w:asciiTheme="minorHAnsi" w:hAnsiTheme="minorHAnsi" w:cstheme="minorHAnsi"/>
        </w:rPr>
        <w:t>, vol.31, pp. 149-62.</w:t>
      </w:r>
      <w:bookmarkEnd w:id="724"/>
    </w:p>
    <w:p w:rsidR="00B85C75" w:rsidRPr="00697CE0" w:rsidRDefault="00B85C75" w:rsidP="00B85C75">
      <w:pPr>
        <w:pStyle w:val="EndNoteBibliography"/>
        <w:spacing w:after="0"/>
        <w:ind w:left="720" w:hanging="720"/>
        <w:rPr>
          <w:rFonts w:asciiTheme="minorHAnsi" w:hAnsiTheme="minorHAnsi" w:cstheme="minorHAnsi"/>
        </w:rPr>
      </w:pPr>
      <w:bookmarkStart w:id="725" w:name="_ENREF_137"/>
      <w:r w:rsidRPr="00697CE0">
        <w:rPr>
          <w:rFonts w:asciiTheme="minorHAnsi" w:hAnsiTheme="minorHAnsi" w:cstheme="minorHAnsi"/>
        </w:rPr>
        <w:t xml:space="preserve">Sharma, KR, Cross, J, Ayyar, DR, Martinez-Arizala, A &amp; Bradley, WG 2002, 'Diabetic demyelinating polyneuropathy responsive to intravenous immunoglobulin therapy', </w:t>
      </w:r>
      <w:r w:rsidRPr="00697CE0">
        <w:rPr>
          <w:rFonts w:asciiTheme="minorHAnsi" w:hAnsiTheme="minorHAnsi" w:cstheme="minorHAnsi"/>
          <w:i/>
        </w:rPr>
        <w:t>Archives of Neurology</w:t>
      </w:r>
      <w:r w:rsidRPr="00697CE0">
        <w:rPr>
          <w:rFonts w:asciiTheme="minorHAnsi" w:hAnsiTheme="minorHAnsi" w:cstheme="minorHAnsi"/>
        </w:rPr>
        <w:t>, vol.59, pp. 751-57.</w:t>
      </w:r>
      <w:bookmarkEnd w:id="725"/>
    </w:p>
    <w:p w:rsidR="00B85C75" w:rsidRPr="00697CE0" w:rsidRDefault="00B85C75" w:rsidP="00B85C75">
      <w:pPr>
        <w:pStyle w:val="EndNoteBibliography"/>
        <w:spacing w:after="0"/>
        <w:ind w:left="720" w:hanging="720"/>
        <w:rPr>
          <w:rFonts w:asciiTheme="minorHAnsi" w:hAnsiTheme="minorHAnsi" w:cstheme="minorHAnsi"/>
        </w:rPr>
      </w:pPr>
      <w:bookmarkStart w:id="726" w:name="_ENREF_138"/>
      <w:r w:rsidRPr="00697CE0">
        <w:rPr>
          <w:rFonts w:asciiTheme="minorHAnsi" w:hAnsiTheme="minorHAnsi" w:cstheme="minorHAnsi"/>
        </w:rPr>
        <w:t xml:space="preserve">Shelat, AM 2018, </w:t>
      </w:r>
      <w:r w:rsidRPr="00697CE0">
        <w:rPr>
          <w:rFonts w:asciiTheme="minorHAnsi" w:hAnsiTheme="minorHAnsi" w:cstheme="minorHAnsi"/>
          <w:i/>
        </w:rPr>
        <w:t>Chronic inflammatory demyelinating polyneuropathy</w:t>
      </w:r>
      <w:r w:rsidRPr="00697CE0">
        <w:rPr>
          <w:rFonts w:asciiTheme="minorHAnsi" w:hAnsiTheme="minorHAnsi" w:cstheme="minorHAnsi"/>
        </w:rPr>
        <w:t>, U.S. National Library of Medicine, USA, viewed 6th May 2019, &lt;</w:t>
      </w:r>
      <w:r w:rsidRPr="00697CE0">
        <w:rPr>
          <w:rFonts w:asciiTheme="minorHAnsi" w:hAnsiTheme="minorHAnsi" w:cstheme="minorHAnsi"/>
          <w:u w:val="single"/>
        </w:rPr>
        <w:t>https://medlineplus.gov/ency/article/000777.htm</w:t>
      </w:r>
      <w:r w:rsidRPr="00697CE0">
        <w:rPr>
          <w:rFonts w:asciiTheme="minorHAnsi" w:hAnsiTheme="minorHAnsi" w:cstheme="minorHAnsi"/>
        </w:rPr>
        <w:t>&gt;.</w:t>
      </w:r>
      <w:bookmarkEnd w:id="726"/>
    </w:p>
    <w:p w:rsidR="00B85C75" w:rsidRPr="00697CE0" w:rsidRDefault="00B85C75" w:rsidP="00B85C75">
      <w:pPr>
        <w:pStyle w:val="EndNoteBibliography"/>
        <w:spacing w:after="0"/>
        <w:ind w:left="720" w:hanging="720"/>
        <w:rPr>
          <w:rFonts w:asciiTheme="minorHAnsi" w:hAnsiTheme="minorHAnsi" w:cstheme="minorHAnsi"/>
        </w:rPr>
      </w:pPr>
      <w:bookmarkStart w:id="727" w:name="_ENREF_139"/>
      <w:r w:rsidRPr="00697CE0">
        <w:rPr>
          <w:rFonts w:asciiTheme="minorHAnsi" w:hAnsiTheme="minorHAnsi" w:cstheme="minorHAnsi"/>
        </w:rPr>
        <w:t xml:space="preserve">Souayah, N, Hasan, A, Khan, HMR, Yacoub, HA &amp; Jafri, M 2011, 'The safety profile of home infusion of intravenous immunoglobulin in patients with neuroimmunologic disorders', </w:t>
      </w:r>
      <w:r w:rsidRPr="00697CE0">
        <w:rPr>
          <w:rFonts w:asciiTheme="minorHAnsi" w:hAnsiTheme="minorHAnsi" w:cstheme="minorHAnsi"/>
          <w:i/>
        </w:rPr>
        <w:t>Journal of Clinical Neuromuscular Disease</w:t>
      </w:r>
      <w:r w:rsidRPr="00697CE0">
        <w:rPr>
          <w:rFonts w:asciiTheme="minorHAnsi" w:hAnsiTheme="minorHAnsi" w:cstheme="minorHAnsi"/>
        </w:rPr>
        <w:t>, vol.12, pp. S1-S10.</w:t>
      </w:r>
      <w:bookmarkEnd w:id="727"/>
    </w:p>
    <w:p w:rsidR="00B85C75" w:rsidRPr="00697CE0" w:rsidRDefault="00B85C75" w:rsidP="00B85C75">
      <w:pPr>
        <w:pStyle w:val="EndNoteBibliography"/>
        <w:spacing w:after="0"/>
        <w:ind w:left="720" w:hanging="720"/>
        <w:rPr>
          <w:rFonts w:asciiTheme="minorHAnsi" w:hAnsiTheme="minorHAnsi" w:cstheme="minorHAnsi"/>
        </w:rPr>
      </w:pPr>
      <w:bookmarkStart w:id="728" w:name="_ENREF_140"/>
      <w:r w:rsidRPr="00697CE0">
        <w:rPr>
          <w:rFonts w:asciiTheme="minorHAnsi" w:hAnsiTheme="minorHAnsi" w:cstheme="minorHAnsi"/>
        </w:rPr>
        <w:t xml:space="preserve">Souverein, PC, Berard, A, Van Staa, TP, Cooper, C, Egberts, ACG, Leufkens, HGM &amp; Walker, BR 2004, 'Use of oral glucocorticoids and risk of cardiovascular and cerebrovascular disease in a population based case-control study', </w:t>
      </w:r>
      <w:r w:rsidRPr="00697CE0">
        <w:rPr>
          <w:rFonts w:asciiTheme="minorHAnsi" w:hAnsiTheme="minorHAnsi" w:cstheme="minorHAnsi"/>
          <w:i/>
        </w:rPr>
        <w:t>Heart (British Cardiac Society)</w:t>
      </w:r>
      <w:r w:rsidRPr="00697CE0">
        <w:rPr>
          <w:rFonts w:asciiTheme="minorHAnsi" w:hAnsiTheme="minorHAnsi" w:cstheme="minorHAnsi"/>
        </w:rPr>
        <w:t>, vol.90, pp. 859-65.</w:t>
      </w:r>
      <w:bookmarkEnd w:id="728"/>
    </w:p>
    <w:p w:rsidR="004B4D4A" w:rsidRPr="00697CE0" w:rsidRDefault="004B4D4A" w:rsidP="00B85C75">
      <w:pPr>
        <w:pStyle w:val="EndNoteBibliography"/>
        <w:spacing w:after="0"/>
        <w:ind w:left="720" w:hanging="720"/>
        <w:rPr>
          <w:rFonts w:asciiTheme="minorHAnsi" w:hAnsiTheme="minorHAnsi" w:cstheme="minorHAnsi"/>
        </w:rPr>
      </w:pPr>
      <w:bookmarkStart w:id="729" w:name="_ENREF_141"/>
      <w:r w:rsidRPr="00697CE0">
        <w:rPr>
          <w:rFonts w:asciiTheme="minorHAnsi" w:hAnsiTheme="minorHAnsi" w:cstheme="minorHAnsi"/>
        </w:rPr>
        <w:t>Stewart WC, Sine C, Cate E et al. Daily cost of beta-adrenergic blocker therapy. Arch Ophthalmol 1997;115:853–6.</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Stieglitz, E 2018, </w:t>
      </w:r>
      <w:r w:rsidRPr="00697CE0">
        <w:rPr>
          <w:rFonts w:asciiTheme="minorHAnsi" w:hAnsiTheme="minorHAnsi" w:cstheme="minorHAnsi"/>
          <w:i/>
        </w:rPr>
        <w:t>Plasmapheresis</w:t>
      </w:r>
      <w:r w:rsidRPr="00697CE0">
        <w:rPr>
          <w:rFonts w:asciiTheme="minorHAnsi" w:hAnsiTheme="minorHAnsi" w:cstheme="minorHAnsi"/>
        </w:rPr>
        <w:t>, Medscape, USA, viewed 8th May 2019, &lt;</w:t>
      </w:r>
      <w:r w:rsidRPr="00697CE0">
        <w:rPr>
          <w:rFonts w:asciiTheme="minorHAnsi" w:hAnsiTheme="minorHAnsi" w:cstheme="minorHAnsi"/>
          <w:u w:val="single"/>
        </w:rPr>
        <w:t>https://emedicine.medscape.com/article/1895577-overview#a4</w:t>
      </w:r>
      <w:r w:rsidRPr="00697CE0">
        <w:rPr>
          <w:rFonts w:asciiTheme="minorHAnsi" w:hAnsiTheme="minorHAnsi" w:cstheme="minorHAnsi"/>
        </w:rPr>
        <w:t>&gt;.</w:t>
      </w:r>
      <w:bookmarkEnd w:id="729"/>
    </w:p>
    <w:p w:rsidR="00B85C75" w:rsidRPr="00697CE0" w:rsidRDefault="00B85C75" w:rsidP="00B85C75">
      <w:pPr>
        <w:pStyle w:val="EndNoteBibliography"/>
        <w:spacing w:after="0"/>
        <w:ind w:left="720" w:hanging="720"/>
        <w:rPr>
          <w:rFonts w:asciiTheme="minorHAnsi" w:hAnsiTheme="minorHAnsi" w:cstheme="minorHAnsi"/>
        </w:rPr>
      </w:pPr>
      <w:bookmarkStart w:id="730" w:name="_ENREF_142"/>
      <w:r w:rsidRPr="00697CE0">
        <w:rPr>
          <w:rFonts w:asciiTheme="minorHAnsi" w:hAnsiTheme="minorHAnsi" w:cstheme="minorHAnsi"/>
        </w:rPr>
        <w:t xml:space="preserve">Sutton, DMC, Nair, RC, Rock, G &amp; Group, CAS 1989, 'Complications of plasma exchange', </w:t>
      </w:r>
      <w:r w:rsidRPr="00697CE0">
        <w:rPr>
          <w:rFonts w:asciiTheme="minorHAnsi" w:hAnsiTheme="minorHAnsi" w:cstheme="minorHAnsi"/>
          <w:i/>
        </w:rPr>
        <w:t>Transfusion</w:t>
      </w:r>
      <w:r w:rsidRPr="00697CE0">
        <w:rPr>
          <w:rFonts w:asciiTheme="minorHAnsi" w:hAnsiTheme="minorHAnsi" w:cstheme="minorHAnsi"/>
        </w:rPr>
        <w:t>, vol.29, pp. 124-27.</w:t>
      </w:r>
      <w:bookmarkStart w:id="731" w:name="_ENREF_143"/>
      <w:bookmarkEnd w:id="730"/>
    </w:p>
    <w:p w:rsidR="00894B5E" w:rsidRPr="00697CE0" w:rsidRDefault="00894B5E" w:rsidP="00B85C75">
      <w:pPr>
        <w:pStyle w:val="EndNoteBibliography"/>
        <w:spacing w:after="0"/>
        <w:ind w:left="720" w:hanging="720"/>
        <w:rPr>
          <w:rFonts w:asciiTheme="minorHAnsi" w:hAnsiTheme="minorHAnsi" w:cstheme="minorHAnsi"/>
        </w:rPr>
      </w:pPr>
      <w:bookmarkStart w:id="732" w:name="_ENREF_144"/>
      <w:bookmarkEnd w:id="731"/>
      <w:r w:rsidRPr="00697CE0">
        <w:rPr>
          <w:rFonts w:asciiTheme="minorHAnsi" w:hAnsiTheme="minorHAnsi" w:cstheme="minorHAnsi"/>
        </w:rPr>
        <w:t>Tilden et al. (2015). Quantifying The Cost and Quality of Life Implications Of Adverse Events Associated With Long-Term Oral Corticosteroid Use, Value in Health, November 2015 Volume 18, Issue 7, Page A688</w:t>
      </w:r>
    </w:p>
    <w:p w:rsidR="004B4D4A" w:rsidRPr="00697CE0" w:rsidRDefault="004B4D4A"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lastRenderedPageBreak/>
        <w:t>Traverso et al et al. 2005. Direct costs of glaucoma and severity of the disease: a multinational long term study of resource utilisation in Europe. Br J Ophthalmol. 2005 Oct;89(10):1245-9.</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Van den Bergh, PY, Hadden, RD, Bouche, P, Cornblath, DR, Hahn, A, Illa, I, Koski, CL, Leger, JM, Nobile-Orazio, E, Pollard, J, Sommer, C, van Doorn, PA &amp; van Schaik, IN 2010, 'European Federation of Neurological Societies/Peripheral Nerve Society guideline on management of chronic inflammatory demyelinating polyradiculoneuropathy: report of a joint task force of the European Federation of Neurological Societies and the Peripheral Nerve Society - first revision', </w:t>
      </w:r>
      <w:r w:rsidRPr="00697CE0">
        <w:rPr>
          <w:rFonts w:asciiTheme="minorHAnsi" w:hAnsiTheme="minorHAnsi" w:cstheme="minorHAnsi"/>
          <w:i/>
        </w:rPr>
        <w:t>Eur J Neurol</w:t>
      </w:r>
      <w:r w:rsidRPr="00697CE0">
        <w:rPr>
          <w:rFonts w:asciiTheme="minorHAnsi" w:hAnsiTheme="minorHAnsi" w:cstheme="minorHAnsi"/>
        </w:rPr>
        <w:t>, vol.17, pp. 356-63.</w:t>
      </w:r>
      <w:bookmarkEnd w:id="732"/>
    </w:p>
    <w:p w:rsidR="00B85C75" w:rsidRPr="00697CE0" w:rsidRDefault="00B85C75" w:rsidP="00B85C75">
      <w:pPr>
        <w:pStyle w:val="EndNoteBibliography"/>
        <w:spacing w:after="0"/>
        <w:ind w:left="720" w:hanging="720"/>
        <w:rPr>
          <w:rFonts w:asciiTheme="minorHAnsi" w:hAnsiTheme="minorHAnsi" w:cstheme="minorHAnsi"/>
        </w:rPr>
      </w:pPr>
      <w:bookmarkStart w:id="733" w:name="_ENREF_145"/>
      <w:r w:rsidRPr="00697CE0">
        <w:rPr>
          <w:rFonts w:asciiTheme="minorHAnsi" w:hAnsiTheme="minorHAnsi" w:cstheme="minorHAnsi"/>
        </w:rPr>
        <w:t xml:space="preserve">van Geloven, N, Hartung, HP, Lewis, RA, Sobue, G, Lawo, JP, Praus, M, Mielke, O, Durn, BL, Cornblath, DR, Merkies, ISJ, Sabet, A, George, K, Roberts, L, Carne, R, Blum, S, Henderson, R, Van Damme, P, Demeestere, J, Larue, S, D'Amour, C, Bril, V, Breiner, A, Kunc, P, Valis, M, Sussova, J, Kalous, T, Talab, R, Bednar, M, Toomsoo, T, Rubanovits, I, Gross-Paju, K, Sorro, U, Saarela, M, Auranen, M, Pouget, J, Attarian, S, Le Masson, G, Wielanek-Bachelet, A, Desnuelle, C, Delmont, E, Clavelou, P, Aufauvre, D, Schmidt, J, Zschuentssch, J, Sommer, C, Kramer, D, Hoffmann, O, Goerlitz, C, Haas, J, Chatzopoulos, M, Yoon, R, Gold, R, Berlit, P, Jaspert-Grehl, A, Liebetanz, D, Kutschenko, A, Stangel, M, Trebst, C, Baum, P, Bergh, F, Klehmet, J, Meisel, A, Klostermann, F, Oechtering, J, Lehmann, H, Schroeter, M, Hagenacker, T, Mueller, D, Sperfeld, A, Bethke, F, Drory, V, Algom, A, Yarnitsky, D, Murinson, B, Di Muzio, A, Ciccocioppo, F, Sorbi, S, Mata, S, Schenone, A, Grandis, M, Lauria, G, Cazzato, D, Antonini, G, Morino, S, Cocito, D, Zibetti, M, Yokota, T, Ohkubo, T, Kanda, T, Kawai, M, Kaida, K, Onoue, H, Kuwabara, S, Mori, M, Iijima, M, Ohyama, K, Baba, M, Tomiyama, M, Nishiyama, K, Akutsu, T, Yokoyama, K, Kanai, K, van Schaik, IN, Eftimov, F, Notermans, NC, Visser, N, Faber, C, Hoeijmakers, J, Rejdak, K, Chyrchel-Paszkiewicz, U, Casanovas Pons, C, Alberti Aguilo, M, Gamez, J, Figueras, M, Marquez Infante, C, Benitez Rivero, S, Lunn, M, Morrow, J, Gosal, D, Lavin, T, Melamed, I, Testori, A, Ajroud-Driss, S, Menichella, D, Simpson, E, Chi-Ho Lai, E, Dimachkie, M, Barohn, RJ, Beydoun, S, Johl, H, Lange, D, Shtilbans, A, Muley, S, Ladha, S, Freimer, M, Kissel, J, Latov, N, Chin, R, Ubogu, E, Mumfrey, S, Rao, T, MacDonald, P, Sharma, K, Gonzalez, G, Allen, J, Walk, D, Hobson-Webb, L &amp; Gable, K 2018, 'Subcutaneous immunoglobulin for maintenance treatment in chronic inflammatory demyelinating polyneuropathy (PATH): a randomised, double-blind, placebo-controlled, phase 3 trial', </w:t>
      </w:r>
      <w:r w:rsidRPr="00697CE0">
        <w:rPr>
          <w:rFonts w:asciiTheme="minorHAnsi" w:hAnsiTheme="minorHAnsi" w:cstheme="minorHAnsi"/>
          <w:i/>
        </w:rPr>
        <w:t>The Lancet Neurology</w:t>
      </w:r>
      <w:r w:rsidRPr="00697CE0">
        <w:rPr>
          <w:rFonts w:asciiTheme="minorHAnsi" w:hAnsiTheme="minorHAnsi" w:cstheme="minorHAnsi"/>
        </w:rPr>
        <w:t>, vol.17, pp. 35-46.</w:t>
      </w:r>
      <w:bookmarkEnd w:id="733"/>
    </w:p>
    <w:p w:rsidR="00B85C75" w:rsidRPr="00697CE0" w:rsidRDefault="00B85C75" w:rsidP="00B85C75">
      <w:pPr>
        <w:pStyle w:val="EndNoteBibliography"/>
        <w:spacing w:after="0"/>
        <w:ind w:left="720" w:hanging="720"/>
        <w:rPr>
          <w:rFonts w:asciiTheme="minorHAnsi" w:hAnsiTheme="minorHAnsi" w:cstheme="minorHAnsi"/>
        </w:rPr>
      </w:pPr>
      <w:bookmarkStart w:id="734" w:name="_ENREF_146"/>
      <w:r w:rsidRPr="00697CE0">
        <w:rPr>
          <w:rFonts w:asciiTheme="minorHAnsi" w:hAnsiTheme="minorHAnsi" w:cstheme="minorHAnsi"/>
        </w:rPr>
        <w:t xml:space="preserve">van Lieverloo, GGA, Peric, S, Doneddu, PE, Gallia, F, Nikolic, A, Wieske, L, Verhamme, C, van Schaik, IN, Nobile-Orazio, E, Basta, I &amp; Eftimov, F 2018, 'Corticosteroids in chronic inflammatory demyelinating polyneuropathy : A retrospective, multicentre study, comparing efficacy and safety of daily prednisolone, pulsed dexamethasone, and pulsed intravenous methylprednisolone', </w:t>
      </w:r>
      <w:r w:rsidRPr="00697CE0">
        <w:rPr>
          <w:rFonts w:asciiTheme="minorHAnsi" w:hAnsiTheme="minorHAnsi" w:cstheme="minorHAnsi"/>
          <w:i/>
        </w:rPr>
        <w:t>Journal of neurology</w:t>
      </w:r>
      <w:r w:rsidRPr="00697CE0">
        <w:rPr>
          <w:rFonts w:asciiTheme="minorHAnsi" w:hAnsiTheme="minorHAnsi" w:cstheme="minorHAnsi"/>
        </w:rPr>
        <w:t>, vol.265, pp. 2052-59.</w:t>
      </w:r>
      <w:bookmarkEnd w:id="734"/>
    </w:p>
    <w:p w:rsidR="00B85C75" w:rsidRPr="00697CE0" w:rsidRDefault="00B85C75" w:rsidP="00B85C75">
      <w:pPr>
        <w:pStyle w:val="EndNoteBibliography"/>
        <w:spacing w:after="0"/>
        <w:ind w:left="720" w:hanging="720"/>
        <w:rPr>
          <w:rFonts w:asciiTheme="minorHAnsi" w:hAnsiTheme="minorHAnsi" w:cstheme="minorHAnsi"/>
        </w:rPr>
      </w:pPr>
      <w:bookmarkStart w:id="735" w:name="_ENREF_147"/>
      <w:r w:rsidRPr="00697CE0">
        <w:rPr>
          <w:rFonts w:asciiTheme="minorHAnsi" w:hAnsiTheme="minorHAnsi" w:cstheme="minorHAnsi"/>
        </w:rPr>
        <w:t xml:space="preserve">van Schaik, IN, Eftimov, F, van Doorn, PA, Brusse, E, van den Berg, LH, van der Pol, WL, Faber, CG, van Oostrom, JC, Vogels, OJ, Hadden, RD, Kleine, BU, van Norden, AG, Verschuuren, JJ, Dijkgraaf, MG &amp; Vermeulen, M 2010, 'Pulsed high-dose dexamethasone versus standard prednisolone treatment for chronic inflammatory demyelinating polyradiculoneuropathy (PREDICT study): a double-blind, randomised, controlled trial', </w:t>
      </w:r>
      <w:r w:rsidRPr="00697CE0">
        <w:rPr>
          <w:rFonts w:asciiTheme="minorHAnsi" w:hAnsiTheme="minorHAnsi" w:cstheme="minorHAnsi"/>
          <w:i/>
        </w:rPr>
        <w:t>The Lancet Neurology</w:t>
      </w:r>
      <w:r w:rsidRPr="00697CE0">
        <w:rPr>
          <w:rFonts w:asciiTheme="minorHAnsi" w:hAnsiTheme="minorHAnsi" w:cstheme="minorHAnsi"/>
        </w:rPr>
        <w:t>, vol.9, pp. 245-53.</w:t>
      </w:r>
      <w:bookmarkEnd w:id="735"/>
    </w:p>
    <w:p w:rsidR="00B85C75" w:rsidRPr="00697CE0" w:rsidRDefault="00B85C75" w:rsidP="00B85C75">
      <w:pPr>
        <w:pStyle w:val="EndNoteBibliography"/>
        <w:spacing w:after="0"/>
        <w:ind w:left="720" w:hanging="720"/>
        <w:rPr>
          <w:rFonts w:asciiTheme="minorHAnsi" w:hAnsiTheme="minorHAnsi" w:cstheme="minorHAnsi"/>
        </w:rPr>
      </w:pPr>
      <w:bookmarkStart w:id="736" w:name="_ENREF_148"/>
      <w:r w:rsidRPr="00697CE0">
        <w:rPr>
          <w:rFonts w:asciiTheme="minorHAnsi" w:hAnsiTheme="minorHAnsi" w:cstheme="minorHAnsi"/>
        </w:rPr>
        <w:t xml:space="preserve">Vanhoutte, EK, Faber, CG &amp; Merkies, IS 2013a, '196th ENMC international workshop: Outcome measures in inflammatory peripheral neuropathies 8-10 February 2013, Naarden, The Netherlands', </w:t>
      </w:r>
      <w:r w:rsidRPr="00697CE0">
        <w:rPr>
          <w:rFonts w:asciiTheme="minorHAnsi" w:hAnsiTheme="minorHAnsi" w:cstheme="minorHAnsi"/>
          <w:i/>
        </w:rPr>
        <w:t>Neuromuscul Disord</w:t>
      </w:r>
      <w:r w:rsidRPr="00697CE0">
        <w:rPr>
          <w:rFonts w:asciiTheme="minorHAnsi" w:hAnsiTheme="minorHAnsi" w:cstheme="minorHAnsi"/>
        </w:rPr>
        <w:t>, vol.23, pp. 924-33.</w:t>
      </w:r>
      <w:bookmarkEnd w:id="736"/>
    </w:p>
    <w:p w:rsidR="00B85C75" w:rsidRPr="00697CE0" w:rsidRDefault="00B85C75" w:rsidP="00B85C75">
      <w:pPr>
        <w:pStyle w:val="EndNoteBibliography"/>
        <w:spacing w:after="0"/>
        <w:ind w:left="720" w:hanging="720"/>
        <w:rPr>
          <w:rFonts w:asciiTheme="minorHAnsi" w:hAnsiTheme="minorHAnsi" w:cstheme="minorHAnsi"/>
        </w:rPr>
      </w:pPr>
      <w:bookmarkStart w:id="737" w:name="_ENREF_149"/>
      <w:r w:rsidRPr="00697CE0">
        <w:rPr>
          <w:rFonts w:asciiTheme="minorHAnsi" w:hAnsiTheme="minorHAnsi" w:cstheme="minorHAnsi"/>
        </w:rPr>
        <w:t xml:space="preserve">Vanhoutte, EK, Latov, N, Deng, C, Hanna, K, Hughes, RAC, Bril, V, Dalakas, MC, Donofrio, P, van Doorn, PA, Hartung, HP &amp; Merkies, ISJ 2013b, 'Vigorimeter grip strength in CIDP: A responsive tool that rapidly measures the effect of IVIG - the ICE study', </w:t>
      </w:r>
      <w:r w:rsidRPr="00697CE0">
        <w:rPr>
          <w:rFonts w:asciiTheme="minorHAnsi" w:hAnsiTheme="minorHAnsi" w:cstheme="minorHAnsi"/>
          <w:i/>
        </w:rPr>
        <w:t>European Journal of Neurology</w:t>
      </w:r>
      <w:r w:rsidRPr="00697CE0">
        <w:rPr>
          <w:rFonts w:asciiTheme="minorHAnsi" w:hAnsiTheme="minorHAnsi" w:cstheme="minorHAnsi"/>
        </w:rPr>
        <w:t>, vol.20, pp. 748-55.</w:t>
      </w:r>
      <w:bookmarkEnd w:id="737"/>
    </w:p>
    <w:p w:rsidR="00B85C75" w:rsidRPr="00697CE0" w:rsidRDefault="00B85C75" w:rsidP="00B85C75">
      <w:pPr>
        <w:pStyle w:val="EndNoteBibliography"/>
        <w:spacing w:after="0"/>
        <w:ind w:left="720" w:hanging="720"/>
        <w:rPr>
          <w:rFonts w:asciiTheme="minorHAnsi" w:hAnsiTheme="minorHAnsi" w:cstheme="minorHAnsi"/>
        </w:rPr>
      </w:pPr>
      <w:bookmarkStart w:id="738" w:name="_ENREF_150"/>
      <w:r w:rsidRPr="00697CE0">
        <w:rPr>
          <w:rFonts w:asciiTheme="minorHAnsi" w:hAnsiTheme="minorHAnsi" w:cstheme="minorHAnsi"/>
        </w:rPr>
        <w:t xml:space="preserve">Vermeulen, M, van Doorn, PA, Brand, A, Strengers, PF, Jennekens, FG &amp; Busch, HF 1993, 'Intravenous immunoglobulin treatment in patients with chronic inflammatory demyelinating polyneuropathy: a double blind, placebo controlled study', </w:t>
      </w:r>
      <w:r w:rsidRPr="00697CE0">
        <w:rPr>
          <w:rFonts w:asciiTheme="minorHAnsi" w:hAnsiTheme="minorHAnsi" w:cstheme="minorHAnsi"/>
          <w:i/>
        </w:rPr>
        <w:t>J Neurol Neurosurg Psychiatry</w:t>
      </w:r>
      <w:r w:rsidRPr="00697CE0">
        <w:rPr>
          <w:rFonts w:asciiTheme="minorHAnsi" w:hAnsiTheme="minorHAnsi" w:cstheme="minorHAnsi"/>
        </w:rPr>
        <w:t>, vol.56, pp. 36-9.</w:t>
      </w:r>
      <w:bookmarkEnd w:id="738"/>
    </w:p>
    <w:p w:rsidR="00B85C75" w:rsidRPr="00697CE0" w:rsidRDefault="00B85C75" w:rsidP="00B85C75">
      <w:pPr>
        <w:pStyle w:val="EndNoteBibliography"/>
        <w:spacing w:after="0"/>
        <w:ind w:left="720" w:hanging="720"/>
        <w:rPr>
          <w:rFonts w:asciiTheme="minorHAnsi" w:hAnsiTheme="minorHAnsi" w:cstheme="minorHAnsi"/>
        </w:rPr>
      </w:pPr>
      <w:bookmarkStart w:id="739" w:name="_ENREF_151"/>
      <w:r w:rsidRPr="00697CE0">
        <w:rPr>
          <w:rFonts w:asciiTheme="minorHAnsi" w:hAnsiTheme="minorHAnsi" w:cstheme="minorHAnsi"/>
        </w:rPr>
        <w:lastRenderedPageBreak/>
        <w:t xml:space="preserve">Vucic, S &amp; Davies, L 1998, 'Safety of plasmapheresis in the treatment of neurological disease', </w:t>
      </w:r>
      <w:r w:rsidRPr="00697CE0">
        <w:rPr>
          <w:rFonts w:asciiTheme="minorHAnsi" w:hAnsiTheme="minorHAnsi" w:cstheme="minorHAnsi"/>
          <w:i/>
        </w:rPr>
        <w:t>Australian and New Zealand Journal of Medicine</w:t>
      </w:r>
      <w:r w:rsidRPr="00697CE0">
        <w:rPr>
          <w:rFonts w:asciiTheme="minorHAnsi" w:hAnsiTheme="minorHAnsi" w:cstheme="minorHAnsi"/>
        </w:rPr>
        <w:t>, vol.28, pp. 301-05.</w:t>
      </w:r>
      <w:bookmarkEnd w:id="739"/>
    </w:p>
    <w:p w:rsidR="004B4D4A" w:rsidRPr="00697CE0" w:rsidRDefault="004B4D4A" w:rsidP="00B85C75">
      <w:pPr>
        <w:pStyle w:val="EndNoteBibliography"/>
        <w:spacing w:after="0"/>
        <w:ind w:left="720" w:hanging="720"/>
        <w:rPr>
          <w:rFonts w:asciiTheme="minorHAnsi" w:hAnsiTheme="minorHAnsi" w:cstheme="minorHAnsi"/>
        </w:rPr>
      </w:pPr>
      <w:bookmarkStart w:id="740" w:name="_ENREF_152"/>
      <w:r w:rsidRPr="00697CE0">
        <w:rPr>
          <w:rFonts w:asciiTheme="minorHAnsi" w:hAnsiTheme="minorHAnsi" w:cstheme="minorHAnsi"/>
        </w:rPr>
        <w:t>Watts, J. et al et al. 2012. Osteoporosis costing all Australians A new burden of disease analysis – 2012 to 2022. Osteoporosis Australia</w:t>
      </w:r>
    </w:p>
    <w:p w:rsidR="00B85C75" w:rsidRPr="00697CE0" w:rsidRDefault="00B85C75" w:rsidP="00B85C75">
      <w:pPr>
        <w:pStyle w:val="EndNoteBibliography"/>
        <w:spacing w:after="0"/>
        <w:ind w:left="720" w:hanging="720"/>
        <w:rPr>
          <w:rFonts w:asciiTheme="minorHAnsi" w:hAnsiTheme="minorHAnsi" w:cstheme="minorHAnsi"/>
        </w:rPr>
      </w:pPr>
      <w:r w:rsidRPr="00697CE0">
        <w:rPr>
          <w:rFonts w:asciiTheme="minorHAnsi" w:hAnsiTheme="minorHAnsi" w:cstheme="minorHAnsi"/>
        </w:rPr>
        <w:t xml:space="preserve">WebMD 2017, </w:t>
      </w:r>
      <w:r w:rsidRPr="00697CE0">
        <w:rPr>
          <w:rFonts w:asciiTheme="minorHAnsi" w:hAnsiTheme="minorHAnsi" w:cstheme="minorHAnsi"/>
          <w:i/>
        </w:rPr>
        <w:t>Treating Multiple Sclerosis with IV Steroids</w:t>
      </w:r>
      <w:r w:rsidRPr="00697CE0">
        <w:rPr>
          <w:rFonts w:asciiTheme="minorHAnsi" w:hAnsiTheme="minorHAnsi" w:cstheme="minorHAnsi"/>
        </w:rPr>
        <w:t>, WebMD, viewed 7th May 2019, &lt;</w:t>
      </w:r>
      <w:r w:rsidRPr="00697CE0">
        <w:rPr>
          <w:rFonts w:asciiTheme="minorHAnsi" w:hAnsiTheme="minorHAnsi" w:cstheme="minorHAnsi"/>
          <w:u w:val="single"/>
        </w:rPr>
        <w:t>https://www.webmd.com/multiple-sclerosis/treating-iv-steroids</w:t>
      </w:r>
      <w:r w:rsidRPr="00697CE0">
        <w:rPr>
          <w:rFonts w:asciiTheme="minorHAnsi" w:hAnsiTheme="minorHAnsi" w:cstheme="minorHAnsi"/>
        </w:rPr>
        <w:t>&gt;.</w:t>
      </w:r>
      <w:bookmarkEnd w:id="740"/>
    </w:p>
    <w:p w:rsidR="00B85C75" w:rsidRPr="00697CE0" w:rsidRDefault="00B85C75" w:rsidP="00B85C75">
      <w:pPr>
        <w:pStyle w:val="EndNoteBibliography"/>
        <w:spacing w:after="0"/>
        <w:ind w:left="720" w:hanging="720"/>
        <w:rPr>
          <w:rFonts w:asciiTheme="minorHAnsi" w:hAnsiTheme="minorHAnsi" w:cstheme="minorHAnsi"/>
        </w:rPr>
      </w:pPr>
      <w:bookmarkStart w:id="741" w:name="_ENREF_153"/>
      <w:r w:rsidRPr="00697CE0">
        <w:rPr>
          <w:rFonts w:asciiTheme="minorHAnsi" w:hAnsiTheme="minorHAnsi" w:cstheme="minorHAnsi"/>
        </w:rPr>
        <w:t xml:space="preserve">Wertman, E, Argov, Z &amp; Abrmasky, O 1988, 'Chronic inflammatory demyelinating polyradiculoneuropathy: Features and prognostic factors with corticosteroid therapy', </w:t>
      </w:r>
      <w:r w:rsidRPr="00697CE0">
        <w:rPr>
          <w:rFonts w:asciiTheme="minorHAnsi" w:hAnsiTheme="minorHAnsi" w:cstheme="minorHAnsi"/>
          <w:i/>
        </w:rPr>
        <w:t>European Neurology</w:t>
      </w:r>
      <w:r w:rsidRPr="00697CE0">
        <w:rPr>
          <w:rFonts w:asciiTheme="minorHAnsi" w:hAnsiTheme="minorHAnsi" w:cstheme="minorHAnsi"/>
        </w:rPr>
        <w:t>, vol.28, pp. 199-204.</w:t>
      </w:r>
      <w:bookmarkEnd w:id="741"/>
    </w:p>
    <w:p w:rsidR="00B85C75" w:rsidRPr="00697CE0" w:rsidRDefault="00B85C75" w:rsidP="00B85C75">
      <w:pPr>
        <w:pStyle w:val="EndNoteBibliography"/>
        <w:spacing w:after="0"/>
        <w:ind w:left="720" w:hanging="720"/>
        <w:rPr>
          <w:rFonts w:asciiTheme="minorHAnsi" w:hAnsiTheme="minorHAnsi" w:cstheme="minorHAnsi"/>
        </w:rPr>
      </w:pPr>
      <w:bookmarkStart w:id="742" w:name="_ENREF_154"/>
      <w:r w:rsidRPr="00697CE0">
        <w:rPr>
          <w:rFonts w:asciiTheme="minorHAnsi" w:hAnsiTheme="minorHAnsi" w:cstheme="minorHAnsi"/>
        </w:rPr>
        <w:t xml:space="preserve">Wietek, S 2018, 'Octagam((R)) for chronic inflammatory demyelinating polyneuropathy: results from three observational studies', </w:t>
      </w:r>
      <w:r w:rsidRPr="00697CE0">
        <w:rPr>
          <w:rFonts w:asciiTheme="minorHAnsi" w:hAnsiTheme="minorHAnsi" w:cstheme="minorHAnsi"/>
          <w:i/>
        </w:rPr>
        <w:t>Neurodegener Dis Manag</w:t>
      </w:r>
      <w:r w:rsidRPr="00697CE0">
        <w:rPr>
          <w:rFonts w:asciiTheme="minorHAnsi" w:hAnsiTheme="minorHAnsi" w:cstheme="minorHAnsi"/>
        </w:rPr>
        <w:t>, vol.8, pp. 227-31.</w:t>
      </w:r>
      <w:bookmarkEnd w:id="742"/>
    </w:p>
    <w:p w:rsidR="00B85C75" w:rsidRPr="00697CE0" w:rsidRDefault="00B85C75" w:rsidP="00B85C75">
      <w:pPr>
        <w:pStyle w:val="EndNoteBibliography"/>
        <w:spacing w:after="0"/>
        <w:ind w:left="720" w:hanging="720"/>
        <w:rPr>
          <w:rFonts w:asciiTheme="minorHAnsi" w:hAnsiTheme="minorHAnsi" w:cstheme="minorHAnsi"/>
        </w:rPr>
      </w:pPr>
      <w:bookmarkStart w:id="743" w:name="_ENREF_155"/>
      <w:r w:rsidRPr="00697CE0">
        <w:rPr>
          <w:rFonts w:asciiTheme="minorHAnsi" w:hAnsiTheme="minorHAnsi" w:cstheme="minorHAnsi"/>
        </w:rPr>
        <w:t xml:space="preserve">Wilson, JC, Sarsour, K, Collinson, N, Tuckwell, K, Musselman, D, Klearman, M, Napalkov, P, Jick, SS, Stone, JH &amp; Meier, CR 2017, 'Incidence of outcomes potentially associated with corticosteroid therapy in patients with giant cell arteritis', </w:t>
      </w:r>
      <w:r w:rsidRPr="00697CE0">
        <w:rPr>
          <w:rFonts w:asciiTheme="minorHAnsi" w:hAnsiTheme="minorHAnsi" w:cstheme="minorHAnsi"/>
          <w:i/>
        </w:rPr>
        <w:t>Semin Arthritis Rheum</w:t>
      </w:r>
      <w:r w:rsidRPr="00697CE0">
        <w:rPr>
          <w:rFonts w:asciiTheme="minorHAnsi" w:hAnsiTheme="minorHAnsi" w:cstheme="minorHAnsi"/>
        </w:rPr>
        <w:t>, vol.46, pp. 650-56.</w:t>
      </w:r>
      <w:bookmarkEnd w:id="743"/>
    </w:p>
    <w:p w:rsidR="00EB3EF7" w:rsidRPr="00697CE0" w:rsidRDefault="00EB3EF7" w:rsidP="00BE6854">
      <w:pPr>
        <w:pStyle w:val="EndNoteBibliography"/>
        <w:spacing w:after="0"/>
        <w:ind w:left="720" w:hanging="720"/>
        <w:rPr>
          <w:rFonts w:asciiTheme="minorHAnsi" w:hAnsiTheme="minorHAnsi" w:cstheme="minorHAnsi"/>
        </w:rPr>
      </w:pPr>
      <w:bookmarkStart w:id="744" w:name="_ENREF_156"/>
      <w:r w:rsidRPr="00697CE0">
        <w:rPr>
          <w:rFonts w:asciiTheme="minorHAnsi" w:hAnsiTheme="minorHAnsi" w:cstheme="minorHAnsi"/>
        </w:rPr>
        <w:t>Wu B, Kun L, Liu X, and He B (2014) Cost-effectiveness of different strategies for stroke prevention in patients with atrial fibrillation in a health resource-limited setting. Cardiovasc Drugs Ther 28(1):87-98</w:t>
      </w:r>
    </w:p>
    <w:p w:rsidR="00BE6854" w:rsidRPr="00697CE0" w:rsidRDefault="00BE6854" w:rsidP="00BE6854">
      <w:pPr>
        <w:pStyle w:val="EndNoteBibliography"/>
        <w:spacing w:after="0"/>
        <w:ind w:left="720" w:hanging="720"/>
        <w:rPr>
          <w:rFonts w:asciiTheme="minorHAnsi" w:hAnsiTheme="minorHAnsi" w:cstheme="minorHAnsi"/>
        </w:rPr>
      </w:pPr>
      <w:r w:rsidRPr="00697CE0">
        <w:rPr>
          <w:rFonts w:asciiTheme="minorHAnsi" w:hAnsiTheme="minorHAnsi" w:cstheme="minorHAnsi"/>
        </w:rPr>
        <w:t>Ying Lee, et al et al. 2013. The cost of diabetes in adults in Australia, Diabetes Res Clin Pract. 2013 Mar;99(3):385-90.</w:t>
      </w:r>
    </w:p>
    <w:p w:rsidR="00E572EC" w:rsidRPr="00697CE0" w:rsidRDefault="00B85C75" w:rsidP="00697CE0">
      <w:pPr>
        <w:pStyle w:val="EndNoteBibliography"/>
        <w:ind w:left="720" w:hanging="720"/>
        <w:rPr>
          <w:rFonts w:asciiTheme="minorHAnsi" w:hAnsiTheme="minorHAnsi" w:cstheme="minorHAnsi"/>
        </w:rPr>
      </w:pPr>
      <w:r w:rsidRPr="00697CE0">
        <w:rPr>
          <w:rFonts w:asciiTheme="minorHAnsi" w:hAnsiTheme="minorHAnsi" w:cstheme="minorHAnsi"/>
        </w:rPr>
        <w:t xml:space="preserve">Zinman, LH, Sutton, D, Ng, E, Nwe, P, Ngo, M &amp; Bril, V 2005, 'A pilot study to compare the use of the Excorim staphylococcal protein immunoadsorption system and IVIG in chronic inflammatory demyelinating polyneuropathy', </w:t>
      </w:r>
      <w:r w:rsidRPr="00697CE0">
        <w:rPr>
          <w:rFonts w:asciiTheme="minorHAnsi" w:hAnsiTheme="minorHAnsi" w:cstheme="minorHAnsi"/>
          <w:i/>
        </w:rPr>
        <w:t>Transfusion and Apheresis Science</w:t>
      </w:r>
      <w:r w:rsidRPr="00697CE0">
        <w:rPr>
          <w:rFonts w:asciiTheme="minorHAnsi" w:hAnsiTheme="minorHAnsi" w:cstheme="minorHAnsi"/>
        </w:rPr>
        <w:t>, vol.33, pp. 317-24.</w:t>
      </w:r>
      <w:bookmarkEnd w:id="744"/>
    </w:p>
    <w:sectPr w:rsidR="00E572EC" w:rsidRPr="00697CE0" w:rsidSect="0080059D">
      <w:headerReference w:type="even" r:id="rId32"/>
      <w:headerReference w:type="default" r:id="rId33"/>
      <w:footerReference w:type="even" r:id="rId34"/>
      <w:headerReference w:type="first" r:id="rId35"/>
      <w:pgSz w:w="11906" w:h="16838"/>
      <w:pgMar w:top="1440" w:right="1440" w:bottom="1440" w:left="1440" w:header="720" w:footer="720"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16A" w:rsidRDefault="00F2016A" w:rsidP="00A23645">
      <w:r>
        <w:separator/>
      </w:r>
    </w:p>
  </w:endnote>
  <w:endnote w:type="continuationSeparator" w:id="0">
    <w:p w:rsidR="00F2016A" w:rsidRDefault="00F2016A" w:rsidP="00A23645">
      <w:r>
        <w:continuationSeparator/>
      </w:r>
    </w:p>
  </w:endnote>
  <w:endnote w:type="continuationNotice" w:id="1">
    <w:p w:rsidR="00F2016A" w:rsidRDefault="00F201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Humanist521BT-Roman">
    <w:panose1 w:val="00000000000000000000"/>
    <w:charset w:val="4D"/>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Arial Bold">
    <w:altName w:val="Arial"/>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Open Sans">
    <w:altName w:val="Calibri"/>
    <w:charset w:val="00"/>
    <w:family w:val="auto"/>
    <w:pitch w:val="default"/>
  </w:font>
  <w:font w:name="Univers">
    <w:charset w:val="00"/>
    <w:family w:val="swiss"/>
    <w:pitch w:val="variable"/>
    <w:sig w:usb0="80000287" w:usb1="00000000" w:usb2="00000000" w:usb3="00000000" w:csb0="0000000F" w:csb1="00000000"/>
  </w:font>
  <w:font w:name="Lucida Sans">
    <w:panose1 w:val="020B0602030504020204"/>
    <w:charset w:val="00"/>
    <w:family w:val="swiss"/>
    <w:pitch w:val="variable"/>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AdvTimes">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6A" w:rsidRPr="00C843FF" w:rsidRDefault="00F2016A" w:rsidP="00A23645">
    <w:pPr>
      <w:pStyle w:val="Footer"/>
    </w:pPr>
    <w:r>
      <w:rPr>
        <w:rStyle w:val="PageNumber"/>
        <w:rFonts w:ascii="Arial" w:hAnsi="Arial" w:cs="Arial"/>
        <w:b/>
        <w:sz w:val="20"/>
      </w:rPr>
      <w:t xml:space="preserve"> 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Pr>
        <w:rStyle w:val="PageNumber"/>
        <w:rFonts w:ascii="Arial" w:hAnsi="Arial" w:cs="Arial"/>
        <w:b/>
        <w:noProof/>
        <w:sz w:val="20"/>
      </w:rPr>
      <w:t>iv</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Pr>
        <w:rStyle w:val="PageNumber"/>
        <w:rFonts w:ascii="Arial" w:hAnsi="Arial" w:cs="Arial"/>
        <w:b/>
        <w:noProof/>
        <w:sz w:val="20"/>
      </w:rPr>
      <w:t>263</w:t>
    </w:r>
    <w:r w:rsidRPr="00894FB1">
      <w:rPr>
        <w:rStyle w:val="PageNumber"/>
        <w:rFonts w:ascii="Arial" w:hAnsi="Arial" w:cs="Arial"/>
        <w:b/>
        <w:sz w:val="20"/>
      </w:rPr>
      <w:fldChar w:fldCharType="end"/>
    </w:r>
    <w:r>
      <w:rPr>
        <w:rStyle w:val="PageNumber"/>
        <w:rFonts w:ascii="Arial" w:hAnsi="Arial" w:cs="Arial"/>
        <w:b/>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6A" w:rsidRPr="00C843FF" w:rsidRDefault="00F2016A" w:rsidP="00B426FF">
    <w:pPr>
      <w:pStyle w:val="Footer"/>
      <w:tabs>
        <w:tab w:val="clear" w:pos="9000"/>
        <w:tab w:val="right" w:pos="8931"/>
      </w:tabs>
      <w:rPr>
        <w:rStyle w:val="PageNumber"/>
        <w:rFonts w:ascii="Arial" w:hAnsi="Arial" w:cs="Arial"/>
        <w:sz w:val="20"/>
      </w:rPr>
    </w:pPr>
    <w:r>
      <w:t xml:space="preserve">Chronic Inflammatory Demyelinating Polyneuropathy – MSAC </w:t>
    </w:r>
    <w:r w:rsidRPr="00236B1B">
      <w:rPr>
        <w:rFonts w:ascii="Arial Bold" w:hAnsi="Arial Bold"/>
      </w:rPr>
      <w:t>CA 1564</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6F1A0F">
      <w:rPr>
        <w:rStyle w:val="PageNumber"/>
        <w:rFonts w:ascii="Arial" w:hAnsi="Arial" w:cs="Arial"/>
        <w:noProof/>
        <w:sz w:val="20"/>
      </w:rPr>
      <w:t>22</w:t>
    </w:r>
    <w:r w:rsidRPr="00C843FF">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6A" w:rsidRPr="00F568FA" w:rsidRDefault="00F2016A"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263</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6A" w:rsidRPr="00F568FA" w:rsidRDefault="00F2016A"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263</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6A" w:rsidRDefault="00F2016A">
    <w:pPr>
      <w:pStyle w:val="Footer"/>
      <w:tabs>
        <w:tab w:val="clear" w:pos="9000"/>
        <w:tab w:val="right" w:pos="8931"/>
        <w:tab w:val="right" w:pos="14742"/>
      </w:tabs>
      <w:ind w:right="98"/>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42</w:t>
    </w:r>
    <w:r>
      <w:rPr>
        <w:rStyle w:val="PageNumber"/>
        <w:bCs/>
      </w:rPr>
      <w:fldChar w:fldCharType="end"/>
    </w:r>
    <w:r>
      <w:rPr>
        <w:rStyle w:val="PageNumber"/>
      </w:rPr>
      <w:tab/>
      <w:t>Vertebroplasty and kyphoplasty</w:t>
    </w:r>
    <w:r>
      <w:rPr>
        <w:vanish/>
        <w:color w:val="0000FF"/>
      </w:rPr>
      <w:t>&lt;Name of application&gt;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16A" w:rsidRDefault="00F2016A" w:rsidP="00A23645">
      <w:r>
        <w:separator/>
      </w:r>
    </w:p>
  </w:footnote>
  <w:footnote w:type="continuationSeparator" w:id="0">
    <w:p w:rsidR="00F2016A" w:rsidRDefault="00F2016A" w:rsidP="00A23645">
      <w:r>
        <w:continuationSeparator/>
      </w:r>
    </w:p>
  </w:footnote>
  <w:footnote w:type="continuationNotice" w:id="1">
    <w:p w:rsidR="00F2016A" w:rsidRDefault="00F2016A">
      <w:pPr>
        <w:spacing w:after="0" w:line="240" w:lineRule="auto"/>
      </w:pPr>
    </w:p>
  </w:footnote>
  <w:footnote w:id="2">
    <w:p w:rsidR="00F2016A" w:rsidRDefault="00F2016A">
      <w:pPr>
        <w:pStyle w:val="FootnoteText"/>
      </w:pPr>
      <w:r>
        <w:rPr>
          <w:rStyle w:val="FootnoteReference"/>
        </w:rPr>
        <w:footnoteRef/>
      </w:r>
      <w:r>
        <w:t xml:space="preserve"> Population, Intervention, Comparator, Outcomes</w:t>
      </w:r>
    </w:p>
  </w:footnote>
  <w:footnote w:id="3">
    <w:p w:rsidR="00F2016A" w:rsidRDefault="00F2016A" w:rsidP="00AB2055">
      <w:pPr>
        <w:pStyle w:val="FootnoteText"/>
      </w:pPr>
      <w:r>
        <w:rPr>
          <w:rStyle w:val="FootnoteReference"/>
        </w:rPr>
        <w:footnoteRef/>
      </w:r>
      <w:r>
        <w:t xml:space="preserve"> The relationship between rituximab and risk of malignancy is not yet fully elucidated in the clinical literature. These patients may have had other predisposing factors to development of lymphoma including monoclonal gammopathies with three different isotypes.</w:t>
      </w:r>
    </w:p>
  </w:footnote>
  <w:footnote w:id="4">
    <w:p w:rsidR="00F2016A" w:rsidRDefault="00F2016A" w:rsidP="00B8759E">
      <w:pPr>
        <w:pStyle w:val="FootnoteText"/>
      </w:pPr>
      <w:r>
        <w:rPr>
          <w:rStyle w:val="FootnoteReference"/>
        </w:rPr>
        <w:footnoteRef/>
      </w:r>
      <w:r>
        <w:t xml:space="preserve"> </w:t>
      </w:r>
      <w:r w:rsidRPr="004E6137">
        <w:t>This scenario is included in the economic model by assuming an annual steroid non-response probability of 99.99%</w:t>
      </w:r>
    </w:p>
  </w:footnote>
  <w:footnote w:id="5">
    <w:p w:rsidR="00F2016A" w:rsidRDefault="00F2016A">
      <w:pPr>
        <w:pStyle w:val="FootnoteText"/>
      </w:pPr>
      <w:r>
        <w:rPr>
          <w:rStyle w:val="FootnoteReference"/>
        </w:rPr>
        <w:footnoteRef/>
      </w:r>
      <w:r>
        <w:t xml:space="preserve"> The ARTG Public Summary Documents state that the route of administration for Gamunex is intravenous or subcutaneous, whilst the route of administration for Hizentra is subcutaneous only.</w:t>
      </w:r>
    </w:p>
  </w:footnote>
  <w:footnote w:id="6">
    <w:p w:rsidR="00F2016A" w:rsidRDefault="00F2016A">
      <w:pPr>
        <w:pStyle w:val="FootnoteText"/>
      </w:pPr>
      <w:r>
        <w:rPr>
          <w:rStyle w:val="FootnoteReference"/>
        </w:rPr>
        <w:footnoteRef/>
      </w:r>
      <w:r>
        <w:t xml:space="preserve"> SCIg use for the management of CIDP became funded by the NBA during the process of drafting this report. The report is written from the perspective that SCIg is not funded, but may be funded for CIDP in the future.</w:t>
      </w:r>
    </w:p>
  </w:footnote>
  <w:footnote w:id="7">
    <w:p w:rsidR="00F2016A" w:rsidRDefault="00F2016A" w:rsidP="008475E5">
      <w:pPr>
        <w:pStyle w:val="FootnoteText"/>
        <w:spacing w:after="0" w:line="240" w:lineRule="auto"/>
      </w:pPr>
      <w:r>
        <w:rPr>
          <w:rStyle w:val="FootnoteReference"/>
        </w:rPr>
        <w:footnoteRef/>
      </w:r>
      <w:r>
        <w:t xml:space="preserve"> This excludes patients reported by Dyck 1994 and Zinman 2005 as it could not be assumed that other adverse events reported in these studies did not occur.</w:t>
      </w:r>
    </w:p>
  </w:footnote>
  <w:footnote w:id="8">
    <w:p w:rsidR="00F2016A" w:rsidRDefault="00F2016A" w:rsidP="008475E5">
      <w:pPr>
        <w:pStyle w:val="FootnoteText"/>
        <w:spacing w:after="0" w:line="240" w:lineRule="auto"/>
      </w:pPr>
      <w:r>
        <w:rPr>
          <w:rStyle w:val="FootnoteReference"/>
        </w:rPr>
        <w:footnoteRef/>
      </w:r>
      <w:r>
        <w:t xml:space="preserve"> One patient died because of cardiac arrest one month after the last course of IVIg and two days after the 6-month visit. The patient had hypertension and cardiovascular risk</w:t>
      </w:r>
    </w:p>
    <w:p w:rsidR="00F2016A" w:rsidRDefault="00F2016A" w:rsidP="008475E5">
      <w:pPr>
        <w:pStyle w:val="FootnoteText"/>
        <w:spacing w:after="0" w:line="240" w:lineRule="auto"/>
      </w:pPr>
      <w:r>
        <w:t>factors and was treated with oral anticoagulants, but a possible relation to the assigned treatment could not be excluded.</w:t>
      </w:r>
    </w:p>
  </w:footnote>
  <w:footnote w:id="9">
    <w:p w:rsidR="00F2016A" w:rsidRDefault="00F2016A" w:rsidP="008475E5">
      <w:pPr>
        <w:pStyle w:val="FootnoteText"/>
        <w:spacing w:after="0" w:line="240" w:lineRule="auto"/>
      </w:pPr>
      <w:r>
        <w:rPr>
          <w:rStyle w:val="FootnoteReference"/>
        </w:rPr>
        <w:footnoteRef/>
      </w:r>
      <w:r>
        <w:t xml:space="preserve"> Developed heart failure four weeks after receiving IVIg, relationship to the intervention is uncertain.</w:t>
      </w:r>
    </w:p>
  </w:footnote>
  <w:footnote w:id="10">
    <w:p w:rsidR="00F2016A" w:rsidRDefault="00F2016A" w:rsidP="008475E5">
      <w:pPr>
        <w:pStyle w:val="FootnoteText"/>
        <w:spacing w:after="0" w:line="240" w:lineRule="auto"/>
      </w:pPr>
      <w:r>
        <w:rPr>
          <w:rStyle w:val="FootnoteReference"/>
        </w:rPr>
        <w:footnoteRef/>
      </w:r>
      <w:r>
        <w:t xml:space="preserve"> Adverse events occurred after the patient had shifted to the alternative therapy.</w:t>
      </w:r>
    </w:p>
  </w:footnote>
  <w:footnote w:id="11">
    <w:p w:rsidR="00F2016A" w:rsidRDefault="00F2016A" w:rsidP="008475E5">
      <w:pPr>
        <w:pStyle w:val="FootnoteText"/>
        <w:spacing w:after="0" w:line="240" w:lineRule="auto"/>
      </w:pPr>
      <w:r>
        <w:rPr>
          <w:rStyle w:val="FootnoteReference"/>
        </w:rPr>
        <w:footnoteRef/>
      </w:r>
      <w:r>
        <w:t xml:space="preserve"> Van Shaik reports events separately for the treatment and the follow-up period. Since patients were counted twice, if they continued to have the event into the follow-up period only the treatment period events are included in the n/N (%) calculation. However, this may underrepresent the true frequency of events. </w:t>
      </w:r>
    </w:p>
  </w:footnote>
  <w:footnote w:id="12">
    <w:p w:rsidR="00F2016A" w:rsidRDefault="00F2016A" w:rsidP="008475E5">
      <w:pPr>
        <w:pStyle w:val="FootnoteText"/>
        <w:spacing w:after="0" w:line="240" w:lineRule="auto"/>
      </w:pPr>
      <w:r>
        <w:rPr>
          <w:rStyle w:val="FootnoteReference"/>
        </w:rPr>
        <w:footnoteRef/>
      </w:r>
      <w:r>
        <w:t xml:space="preserve"> This patient also had a severe relapse of symptoms.</w:t>
      </w:r>
    </w:p>
  </w:footnote>
  <w:footnote w:id="13">
    <w:p w:rsidR="00F2016A" w:rsidRDefault="00F2016A" w:rsidP="008475E5">
      <w:pPr>
        <w:pStyle w:val="FootnoteText"/>
        <w:spacing w:after="0" w:line="240" w:lineRule="auto"/>
      </w:pPr>
      <w:r>
        <w:rPr>
          <w:rStyle w:val="FootnoteReference"/>
        </w:rPr>
        <w:footnoteRef/>
      </w:r>
      <w:r>
        <w:t xml:space="preserve"> This patient, who had been treated with two infusions of IVIg during the first period and had crossed over (25 days after the last infusion of IGIV-C) to placebo, developed fatal sepsis. Fourteen days after the last placebo infusion during the crossover period, this patient had withdrawn from the study owing to an insufficient therapeutic effect and sepsis developed about six weeks after withdrawal from the study.</w:t>
      </w:r>
    </w:p>
  </w:footnote>
  <w:footnote w:id="14">
    <w:p w:rsidR="00F2016A" w:rsidRDefault="00F2016A" w:rsidP="008475E5">
      <w:pPr>
        <w:pStyle w:val="FootnoteText"/>
        <w:spacing w:after="0" w:line="240" w:lineRule="auto"/>
      </w:pPr>
      <w:r>
        <w:rPr>
          <w:rStyle w:val="FootnoteReference"/>
        </w:rPr>
        <w:footnoteRef/>
      </w:r>
      <w:r>
        <w:t xml:space="preserve"> Previously unrecognised and was withdrawn from the trial; did not receive IVIg and died 22 weeks after randomisation.</w:t>
      </w:r>
    </w:p>
  </w:footnote>
  <w:footnote w:id="15">
    <w:p w:rsidR="00F2016A" w:rsidRDefault="00F2016A" w:rsidP="008475E5">
      <w:pPr>
        <w:pStyle w:val="FootnoteText"/>
        <w:spacing w:after="0" w:line="240" w:lineRule="auto"/>
      </w:pPr>
      <w:r>
        <w:rPr>
          <w:rStyle w:val="FootnoteReference"/>
        </w:rPr>
        <w:footnoteRef/>
      </w:r>
      <w:r>
        <w:t xml:space="preserve"> This patient received six courses of IVIg after having worsened after one course of IV methylprednisolone. Three months after the last course of IVIg</w:t>
      </w:r>
    </w:p>
    <w:p w:rsidR="00F2016A" w:rsidRDefault="00F2016A" w:rsidP="008475E5">
      <w:pPr>
        <w:pStyle w:val="FootnoteText"/>
        <w:spacing w:after="0" w:line="240" w:lineRule="auto"/>
      </w:pPr>
      <w:r>
        <w:t>and two months after the 6-month visit he died of respiratory failure. This death was not thought to be treatment related.</w:t>
      </w:r>
    </w:p>
  </w:footnote>
  <w:footnote w:id="16">
    <w:p w:rsidR="00F2016A" w:rsidRDefault="00F2016A" w:rsidP="008475E5">
      <w:pPr>
        <w:pStyle w:val="FootnoteText"/>
        <w:spacing w:after="0" w:line="240" w:lineRule="auto"/>
      </w:pPr>
      <w:r>
        <w:rPr>
          <w:rStyle w:val="FootnoteReference"/>
        </w:rPr>
        <w:footnoteRef/>
      </w:r>
      <w:r>
        <w:t xml:space="preserve"> In one of the two patients the adverse event occurred after the patient had shifted to the alternative therapy.</w:t>
      </w:r>
    </w:p>
  </w:footnote>
  <w:footnote w:id="17">
    <w:p w:rsidR="00F2016A" w:rsidRDefault="00F2016A" w:rsidP="0066686B">
      <w:pPr>
        <w:pStyle w:val="FootnoteText"/>
      </w:pPr>
      <w:r>
        <w:rPr>
          <w:rStyle w:val="FootnoteReference"/>
        </w:rPr>
        <w:footnoteRef/>
      </w:r>
      <w:r>
        <w:t xml:space="preserve"> Two studies contributing isolated adverse events are mentioned in the text but not formally included owing to the paucity of data. </w:t>
      </w:r>
      <w:r>
        <w:rPr>
          <w:noProof/>
        </w:rPr>
        <w:t xml:space="preserve">Dyck, PJ, Litchy, WJ, Kratz, KM, Suarez, GA, Low, PA, Pineda, AA, Windebank, AJ, Karnes, JL &amp; O'Brien, PC 1994, 'A plasma exchange versus immune globulin infusion trial in chronic inflammatory demyelinating polyradiculoneuropathy', </w:t>
      </w:r>
      <w:r w:rsidRPr="00B85C75">
        <w:rPr>
          <w:i/>
          <w:noProof/>
        </w:rPr>
        <w:t>Ann Neurol</w:t>
      </w:r>
      <w:r>
        <w:rPr>
          <w:noProof/>
        </w:rPr>
        <w:t xml:space="preserve">, vol.36, pp. 838-45, Zinman, LH, Sutton, D, Ng, E, Nwe, P, Ngo, M &amp; Bril, V 2005, 'A pilot study to compare the use of the Excorim staphylococcal protein immunoadsorption system and IVIG in chronic inflammatory demyelinating polyneuropathy', </w:t>
      </w:r>
      <w:r w:rsidRPr="00B85C75">
        <w:rPr>
          <w:i/>
          <w:noProof/>
        </w:rPr>
        <w:t>Transfusion and Apheresis Science</w:t>
      </w:r>
      <w:r>
        <w:rPr>
          <w:noProof/>
        </w:rPr>
        <w:t>, vol.33, pp. 317-24.</w:t>
      </w:r>
    </w:p>
  </w:footnote>
  <w:footnote w:id="18">
    <w:p w:rsidR="00F2016A" w:rsidRDefault="00F2016A" w:rsidP="0066686B">
      <w:pPr>
        <w:pStyle w:val="FootnoteText"/>
      </w:pPr>
      <w:r>
        <w:rPr>
          <w:rStyle w:val="FootnoteReference"/>
        </w:rPr>
        <w:footnoteRef/>
      </w:r>
      <w:r>
        <w:t xml:space="preserve"> Adverse events will not sum to 38 as some patients experienced &gt; 1 event. </w:t>
      </w:r>
    </w:p>
  </w:footnote>
  <w:footnote w:id="19">
    <w:p w:rsidR="00F2016A" w:rsidRDefault="00F2016A" w:rsidP="0066686B">
      <w:pPr>
        <w:pStyle w:val="FootnoteText"/>
      </w:pPr>
      <w:r>
        <w:rPr>
          <w:rStyle w:val="FootnoteReference"/>
        </w:rPr>
        <w:footnoteRef/>
      </w:r>
      <w:r>
        <w:t xml:space="preserve"> An emergency coronary angiogram showed an isolated thrombotic occlusion of the left anterior descending coronary artery associated with a mild localised stenosis but no other evidence of coronary artery disease. The coronary circulation was restored by an angioplasty and the patient made a full recovery. While being observed in the coronary care unit, his neurological function deteriorated rapidly and he became quadriplegic, despite prior and ongoing prescription of prednisone 60 mg daily for eight weeks. He then responded favourably to treatment with IVIg.</w:t>
      </w:r>
    </w:p>
  </w:footnote>
  <w:footnote w:id="20">
    <w:p w:rsidR="00F2016A" w:rsidRDefault="00F2016A" w:rsidP="0025076A">
      <w:pPr>
        <w:pStyle w:val="FootnoteText"/>
      </w:pPr>
      <w:r>
        <w:rPr>
          <w:rStyle w:val="FootnoteReference"/>
        </w:rPr>
        <w:footnoteRef/>
      </w:r>
      <w:r>
        <w:t xml:space="preserve"> S</w:t>
      </w:r>
      <w:r w:rsidRPr="00523844">
        <w:t>everal studies reported that many patients in their series experienced headache, however</w:t>
      </w:r>
      <w:r>
        <w:t xml:space="preserve"> </w:t>
      </w:r>
      <w:r w:rsidRPr="00523844">
        <w:t xml:space="preserve">actual numbers </w:t>
      </w:r>
      <w:r>
        <w:t>were</w:t>
      </w:r>
      <w:r w:rsidRPr="00523844">
        <w:t xml:space="preserve"> not report</w:t>
      </w:r>
      <w:r>
        <w:t>ed</w:t>
      </w:r>
      <w:r w:rsidRPr="00523844">
        <w:t>. Consequently, this outcome is likely to be under</w:t>
      </w:r>
      <w:r>
        <w:t>-</w:t>
      </w:r>
      <w:r w:rsidRPr="00523844">
        <w:t>reported in the included studies.</w:t>
      </w:r>
    </w:p>
  </w:footnote>
  <w:footnote w:id="21">
    <w:p w:rsidR="00F2016A" w:rsidRDefault="00F2016A" w:rsidP="0025076A">
      <w:pPr>
        <w:pStyle w:val="FootnoteText"/>
      </w:pPr>
      <w:r w:rsidRPr="001455C3">
        <w:rPr>
          <w:rStyle w:val="FootnoteReference"/>
        </w:rPr>
        <w:footnoteRef/>
      </w:r>
      <w:r w:rsidRPr="001455C3">
        <w:t xml:space="preserve"> Includes only patients who experienced this event and where the event continued into, or developed within, the extended follow-up period.</w:t>
      </w:r>
      <w:r>
        <w:t xml:space="preserve"> </w:t>
      </w:r>
    </w:p>
  </w:footnote>
  <w:footnote w:id="22">
    <w:p w:rsidR="00F2016A" w:rsidRDefault="00F2016A" w:rsidP="0025076A">
      <w:pPr>
        <w:pStyle w:val="FootnoteText"/>
      </w:pPr>
      <w:r>
        <w:rPr>
          <w:rStyle w:val="FootnoteReference"/>
        </w:rPr>
        <w:footnoteRef/>
      </w:r>
      <w:r>
        <w:t xml:space="preserve"> The relationship between rituximab and risk of malignancy is not yet fully elucidated in the clinical literature, however, this patient may have had other predisposing factors to development of lymphoma including monoclonal gammopathies with three different isotypes.</w:t>
      </w:r>
    </w:p>
  </w:footnote>
  <w:footnote w:id="23">
    <w:p w:rsidR="00F2016A" w:rsidRDefault="00F2016A" w:rsidP="001F5B33">
      <w:pPr>
        <w:pStyle w:val="FootnoteText"/>
      </w:pPr>
      <w:r>
        <w:rPr>
          <w:rStyle w:val="FootnoteReference"/>
        </w:rPr>
        <w:footnoteRef/>
      </w:r>
      <w:r>
        <w:t xml:space="preserve"> S</w:t>
      </w:r>
      <w:r w:rsidRPr="00F34F04">
        <w:t>ignificant disability in upper or lower limb functions (at least arm disability grade 2 or leg disability grade 1), stable or worsening clinical condition (not improving spontaneously)</w:t>
      </w:r>
    </w:p>
  </w:footnote>
  <w:footnote w:id="24">
    <w:p w:rsidR="00F2016A" w:rsidRDefault="00F2016A" w:rsidP="001F5B33">
      <w:pPr>
        <w:pStyle w:val="FootnoteText"/>
      </w:pPr>
      <w:r>
        <w:rPr>
          <w:rStyle w:val="FootnoteReference"/>
        </w:rPr>
        <w:footnoteRef/>
      </w:r>
      <w:r>
        <w:t xml:space="preserve"> Induction as two 1g/kg doses and maintenance as a single 1g/kg dose every 3 weeks (19.3g/kg, or 1,447g in the first year). Assuming an average Australia patient weight of 82.5kg, annual Ig usage would be 1,594g at 19.3g/kg.</w:t>
      </w:r>
    </w:p>
  </w:footnote>
  <w:footnote w:id="25">
    <w:p w:rsidR="00F2016A" w:rsidRDefault="00F2016A" w:rsidP="001F5B33">
      <w:pPr>
        <w:pStyle w:val="FootnoteText"/>
      </w:pPr>
      <w:r>
        <w:rPr>
          <w:rStyle w:val="FootnoteReference"/>
        </w:rPr>
        <w:footnoteRef/>
      </w:r>
      <w:r>
        <w:t xml:space="preserve"> </w:t>
      </w:r>
      <w:r w:rsidRPr="000F7119">
        <w:t>Action in Diabetes and Vascular Disease: Preterax and Diamicron MR Controlled Evaluation</w:t>
      </w:r>
    </w:p>
  </w:footnote>
  <w:footnote w:id="26">
    <w:p w:rsidR="00F2016A" w:rsidRDefault="00F2016A" w:rsidP="001F5B33">
      <w:pPr>
        <w:pStyle w:val="FootnoteText"/>
      </w:pPr>
      <w:r>
        <w:rPr>
          <w:rStyle w:val="FootnoteReference"/>
        </w:rPr>
        <w:footnoteRef/>
      </w:r>
      <w:r>
        <w:t xml:space="preserve"> </w:t>
      </w:r>
      <w:r w:rsidRPr="000F7119">
        <w:t>Fenof</w:t>
      </w:r>
      <w:r>
        <w:t>i</w:t>
      </w:r>
      <w:r w:rsidRPr="000F7119">
        <w:t>brate Intervention and Event Lowering in Diabetes</w:t>
      </w:r>
    </w:p>
  </w:footnote>
  <w:footnote w:id="27">
    <w:p w:rsidR="00F2016A" w:rsidRDefault="00F2016A" w:rsidP="00AC4C89">
      <w:pPr>
        <w:pStyle w:val="FootnoteText"/>
      </w:pPr>
      <w:r>
        <w:rPr>
          <w:rStyle w:val="FootnoteReference"/>
        </w:rPr>
        <w:footnoteRef/>
      </w:r>
      <w:r>
        <w:t xml:space="preserve"> Induction as two 1g/kg doses, and maintenance as a single 1g/kg dose every 3 weeks = 19.3g/kg, or 1,447g in the first year. Assuming an average Australia patient weight of 83kg, annual Ig usage would be 1,601g at 19.3g/kg</w:t>
      </w:r>
    </w:p>
  </w:footnote>
  <w:footnote w:id="28">
    <w:p w:rsidR="00F2016A" w:rsidRDefault="00F2016A" w:rsidP="001F5B33">
      <w:pPr>
        <w:pStyle w:val="FootnoteText"/>
      </w:pPr>
      <w:r>
        <w:rPr>
          <w:rStyle w:val="FootnoteReference"/>
        </w:rPr>
        <w:footnoteRef/>
      </w:r>
      <w:r>
        <w:t xml:space="preserve"> The authors noted (p. 558) that a</w:t>
      </w:r>
      <w:r w:rsidRPr="00BF35A7">
        <w:t>fter the end of initial treatment, patients who responded to treatment moved to a remission state and were assumed to switch to corticosteroids alone. Patients not responding to initial treatment were assumed to receive additional IVI</w:t>
      </w:r>
      <w:r>
        <w:t>g</w:t>
      </w:r>
      <w:r w:rsidRPr="00BF35A7">
        <w:t xml:space="preserve"> plus corticosteroids for another cycle, then either responded or relapsed</w:t>
      </w:r>
      <w:r>
        <w:t>.</w:t>
      </w:r>
    </w:p>
  </w:footnote>
  <w:footnote w:id="29">
    <w:p w:rsidR="00F2016A" w:rsidRDefault="00F2016A" w:rsidP="00BB4D88">
      <w:pPr>
        <w:pStyle w:val="FootnoteText"/>
      </w:pPr>
      <w:r>
        <w:rPr>
          <w:rStyle w:val="FootnoteReference"/>
        </w:rPr>
        <w:footnoteRef/>
      </w:r>
      <w:r>
        <w:t xml:space="preserve"> Induction as two 1g/kg doses, and maintenance as a single 1g/kg dose every 3 weeks ie 19.3 g/kg or 1,447g in the first year. </w:t>
      </w:r>
    </w:p>
  </w:footnote>
  <w:footnote w:id="30">
    <w:p w:rsidR="00F2016A" w:rsidRDefault="00F2016A" w:rsidP="001F5B33">
      <w:pPr>
        <w:pStyle w:val="FootnoteText"/>
      </w:pPr>
      <w:r>
        <w:rPr>
          <w:rStyle w:val="FootnoteReference"/>
        </w:rPr>
        <w:footnoteRef/>
      </w:r>
      <w:r>
        <w:t xml:space="preserve"> Patients on &gt; 20mg prednisolone for &gt; 2 weeks may also require additional management for prevention of infectious complications. This includes testing for latent infection (e.g. hepatitis B) and prophylactic antibiotics for prevention of opportunistic infection.</w:t>
      </w:r>
    </w:p>
  </w:footnote>
  <w:footnote w:id="31">
    <w:p w:rsidR="00F2016A" w:rsidRDefault="00F2016A" w:rsidP="000343E6">
      <w:pPr>
        <w:pStyle w:val="FootnoteText"/>
      </w:pPr>
      <w:r>
        <w:rPr>
          <w:rStyle w:val="FootnoteReference"/>
        </w:rPr>
        <w:footnoteRef/>
      </w:r>
      <w:r>
        <w:t xml:space="preserve"> </w:t>
      </w:r>
      <w:r w:rsidRPr="00263967">
        <w:t>4364.0.55.001 - National Health Survey: First Results, 2017-18</w:t>
      </w:r>
      <w:r>
        <w:t>.</w:t>
      </w:r>
    </w:p>
  </w:footnote>
  <w:footnote w:id="32">
    <w:p w:rsidR="00F2016A" w:rsidRDefault="00F2016A">
      <w:pPr>
        <w:pStyle w:val="FootnoteText"/>
      </w:pPr>
      <w:r>
        <w:rPr>
          <w:rStyle w:val="FootnoteReference"/>
        </w:rPr>
        <w:footnoteRef/>
      </w:r>
      <w:r>
        <w:t xml:space="preserve"> This scenario is included in the economic model by assuming an a</w:t>
      </w:r>
      <w:r w:rsidRPr="00045F1B">
        <w:t>nnual steroid non-response probability</w:t>
      </w:r>
      <w:r>
        <w:t xml:space="preserve"> of 99.99%.</w:t>
      </w:r>
    </w:p>
  </w:footnote>
  <w:footnote w:id="33">
    <w:p w:rsidR="00F2016A" w:rsidRDefault="00F2016A">
      <w:pPr>
        <w:pStyle w:val="FootnoteText"/>
      </w:pPr>
      <w:r>
        <w:rPr>
          <w:rStyle w:val="FootnoteReference"/>
        </w:rPr>
        <w:footnoteRef/>
      </w:r>
      <w:r>
        <w:t xml:space="preserve"> </w:t>
      </w:r>
      <w:r w:rsidRPr="00BA762C">
        <w:t>ttps://www.abs.gov.au/AUSSTATS/abs@.nsf/mf/3101.0</w:t>
      </w:r>
    </w:p>
  </w:footnote>
  <w:footnote w:id="34">
    <w:p w:rsidR="00F2016A" w:rsidRDefault="00F2016A" w:rsidP="00464E0A">
      <w:pPr>
        <w:pStyle w:val="FootnoteText"/>
      </w:pPr>
      <w:r>
        <w:rPr>
          <w:rStyle w:val="FootnoteReference"/>
        </w:rPr>
        <w:footnoteRef/>
      </w:r>
      <w:r>
        <w:t xml:space="preserve"> </w:t>
      </w:r>
      <w:r w:rsidRPr="00D629B2">
        <w:rPr>
          <w:rFonts w:ascii="Arial Narrow" w:hAnsi="Arial Narrow" w:cs="Calibri"/>
          <w:color w:val="000000"/>
          <w:sz w:val="18"/>
          <w:szCs w:val="18"/>
        </w:rPr>
        <w:t>Patients with an IgG or IgM monoclonal gammopathy of undetermined significance (MGUS) were only included when they had a clinical course fully consistent with CIDP. Patients with an IgM MGUS who had antibodies against myelin-associated glycoprotein were excluded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6A" w:rsidRDefault="00F2016A" w:rsidP="00B426FF">
    <w:pPr>
      <w:pStyle w:val="Header"/>
      <w:tabs>
        <w:tab w:val="clear" w:pos="8306"/>
        <w:tab w:val="right" w:pos="8931"/>
      </w:tabs>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6A" w:rsidRDefault="00F2016A" w:rsidP="00B426FF">
    <w:pPr>
      <w:pStyle w:val="Header"/>
      <w:tabs>
        <w:tab w:val="clear" w:pos="8306"/>
        <w:tab w:val="right" w:pos="8931"/>
      </w:tabs>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6A" w:rsidRDefault="00F2016A" w:rsidP="00A2364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6A" w:rsidRDefault="006F1A0F">
    <w:pPr>
      <w:pStyle w:val="Header"/>
    </w:pPr>
    <w:r>
      <w:rPr>
        <w:noProof/>
      </w:rPr>
      <w:pict w14:anchorId="2FFBFF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508" o:spid="_x0000_s2050" type="#_x0000_t136" style="position:absolute;margin-left:0;margin-top:0;width:412.2pt;height:247.3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6A" w:rsidRDefault="00F2016A" w:rsidP="00006961">
    <w:pPr>
      <w:pStyle w:val="Header"/>
      <w:jc w:val="both"/>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6A" w:rsidRDefault="006F1A0F">
    <w:pPr>
      <w:pStyle w:val="Header"/>
    </w:pPr>
    <w:r>
      <w:rPr>
        <w:noProof/>
      </w:rPr>
      <w:pict w14:anchorId="2FFBFF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507" o:spid="_x0000_s2049" type="#_x0000_t136" style="position:absolute;margin-left:0;margin-top:0;width:412.2pt;height:247.3pt;rotation:315;z-index:-2516592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6A" w:rsidRDefault="00F2016A" w:rsidP="00B426FF">
    <w:pPr>
      <w:pStyle w:val="Header"/>
      <w:tabs>
        <w:tab w:val="clear" w:pos="8306"/>
        <w:tab w:val="right" w:pos="8931"/>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6A" w:rsidRDefault="00F2016A" w:rsidP="00A236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6A" w:rsidRDefault="00F2016A" w:rsidP="00B426FF">
    <w:pPr>
      <w:pStyle w:val="Header"/>
      <w:tabs>
        <w:tab w:val="clear" w:pos="8306"/>
        <w:tab w:val="right" w:pos="8931"/>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6A" w:rsidRDefault="00F2016A" w:rsidP="00A236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6A" w:rsidRDefault="00F2016A" w:rsidP="00A236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6A" w:rsidRDefault="00F2016A" w:rsidP="00B426FF">
    <w:pPr>
      <w:pStyle w:val="Header"/>
      <w:tabs>
        <w:tab w:val="clear" w:pos="8306"/>
        <w:tab w:val="right" w:pos="8931"/>
      </w:tab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6A" w:rsidRDefault="00F2016A" w:rsidP="00A2364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16A" w:rsidRDefault="00F2016A" w:rsidP="00A236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68BC"/>
    <w:multiLevelType w:val="hybridMultilevel"/>
    <w:tmpl w:val="7F4600F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 w15:restartNumberingAfterBreak="0">
    <w:nsid w:val="07C41CCC"/>
    <w:multiLevelType w:val="hybridMultilevel"/>
    <w:tmpl w:val="08561C8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 w15:restartNumberingAfterBreak="0">
    <w:nsid w:val="0C8F731E"/>
    <w:multiLevelType w:val="hybridMultilevel"/>
    <w:tmpl w:val="1068A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FA7DAF"/>
    <w:multiLevelType w:val="hybridMultilevel"/>
    <w:tmpl w:val="10BA2C5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0EBF7AA5"/>
    <w:multiLevelType w:val="hybridMultilevel"/>
    <w:tmpl w:val="CDE41B9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 w15:restartNumberingAfterBreak="0">
    <w:nsid w:val="0F074477"/>
    <w:multiLevelType w:val="hybridMultilevel"/>
    <w:tmpl w:val="8DB6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427E51"/>
    <w:multiLevelType w:val="hybridMultilevel"/>
    <w:tmpl w:val="79960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8" w15:restartNumberingAfterBreak="0">
    <w:nsid w:val="19DC37BE"/>
    <w:multiLevelType w:val="hybridMultilevel"/>
    <w:tmpl w:val="51EE8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A767BF"/>
    <w:multiLevelType w:val="hybridMultilevel"/>
    <w:tmpl w:val="8AFA2A22"/>
    <w:lvl w:ilvl="0" w:tplc="0C090001">
      <w:start w:val="1"/>
      <w:numFmt w:val="bullet"/>
      <w:lvlText w:val=""/>
      <w:lvlJc w:val="left"/>
      <w:pPr>
        <w:ind w:left="360" w:hanging="360"/>
      </w:pPr>
      <w:rPr>
        <w:rFonts w:ascii="Symbol" w:hAnsi="Symbol" w:hint="default"/>
      </w:rPr>
    </w:lvl>
    <w:lvl w:ilvl="1" w:tplc="C24A269A">
      <w:numFmt w:val="bullet"/>
      <w:lvlText w:val="-"/>
      <w:lvlJc w:val="left"/>
      <w:pPr>
        <w:ind w:left="1290" w:hanging="570"/>
      </w:pPr>
      <w:rPr>
        <w:rFonts w:ascii="Calibri" w:eastAsia="Times New Roman"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E474595"/>
    <w:multiLevelType w:val="hybridMultilevel"/>
    <w:tmpl w:val="53A6842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220A07EC"/>
    <w:multiLevelType w:val="singleLevel"/>
    <w:tmpl w:val="FC24B238"/>
    <w:lvl w:ilvl="0">
      <w:start w:val="1"/>
      <w:numFmt w:val="decimal"/>
      <w:pStyle w:val="ESNumberedSectionHeading"/>
      <w:lvlText w:val="A.%1"/>
      <w:lvlJc w:val="left"/>
      <w:pPr>
        <w:ind w:left="644" w:hanging="360"/>
      </w:pPr>
      <w:rPr>
        <w:rFonts w:ascii="Calibri" w:hAnsi="Calibri" w:hint="default"/>
        <w:b/>
        <w:i w:val="0"/>
        <w:color w:val="auto"/>
        <w:sz w:val="24"/>
      </w:rPr>
    </w:lvl>
  </w:abstractNum>
  <w:abstractNum w:abstractNumId="12" w15:restartNumberingAfterBreak="0">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3" w15:restartNumberingAfterBreak="0">
    <w:nsid w:val="23DB40DF"/>
    <w:multiLevelType w:val="hybridMultilevel"/>
    <w:tmpl w:val="EB4ED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C41F2"/>
    <w:multiLevelType w:val="hybridMultilevel"/>
    <w:tmpl w:val="332A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D6727C"/>
    <w:multiLevelType w:val="hybridMultilevel"/>
    <w:tmpl w:val="D76859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C2D6640"/>
    <w:multiLevelType w:val="hybridMultilevel"/>
    <w:tmpl w:val="5A664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D5550EF"/>
    <w:multiLevelType w:val="hybridMultilevel"/>
    <w:tmpl w:val="5A04C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A95691"/>
    <w:multiLevelType w:val="hybridMultilevel"/>
    <w:tmpl w:val="45EE3298"/>
    <w:lvl w:ilvl="0" w:tplc="A7C6C6F4">
      <w:numFmt w:val="bullet"/>
      <w:lvlText w:val="•"/>
      <w:lvlJc w:val="left"/>
      <w:pPr>
        <w:ind w:left="570" w:hanging="570"/>
      </w:pPr>
      <w:rPr>
        <w:rFonts w:ascii="Calibri" w:eastAsia="Times New Roman"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35E573A"/>
    <w:multiLevelType w:val="hybridMultilevel"/>
    <w:tmpl w:val="43769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526C27"/>
    <w:multiLevelType w:val="hybridMultilevel"/>
    <w:tmpl w:val="BC3239A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3B932B75"/>
    <w:multiLevelType w:val="hybridMultilevel"/>
    <w:tmpl w:val="A0F423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C792CD4"/>
    <w:multiLevelType w:val="multilevel"/>
    <w:tmpl w:val="FEE071C8"/>
    <w:numStyleLink w:val="ESSectionheading-numbered"/>
  </w:abstractNum>
  <w:abstractNum w:abstractNumId="23" w15:restartNumberingAfterBreak="0">
    <w:nsid w:val="3DB5789F"/>
    <w:multiLevelType w:val="hybridMultilevel"/>
    <w:tmpl w:val="72DC0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CD07BC"/>
    <w:multiLevelType w:val="hybridMultilevel"/>
    <w:tmpl w:val="A47E1B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EDC5060"/>
    <w:multiLevelType w:val="hybridMultilevel"/>
    <w:tmpl w:val="58D688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83E4001"/>
    <w:multiLevelType w:val="hybridMultilevel"/>
    <w:tmpl w:val="58AE778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7" w15:restartNumberingAfterBreak="0">
    <w:nsid w:val="4B9F58B8"/>
    <w:multiLevelType w:val="hybridMultilevel"/>
    <w:tmpl w:val="BE184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811E1F"/>
    <w:multiLevelType w:val="hybridMultilevel"/>
    <w:tmpl w:val="89888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7F1764"/>
    <w:multiLevelType w:val="hybridMultilevel"/>
    <w:tmpl w:val="14C8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891D8A"/>
    <w:multiLevelType w:val="multilevel"/>
    <w:tmpl w:val="FEE071C8"/>
    <w:numStyleLink w:val="ESSectionheading-numbered"/>
  </w:abstractNum>
  <w:abstractNum w:abstractNumId="31" w15:restartNumberingAfterBreak="0">
    <w:nsid w:val="5B8C610D"/>
    <w:multiLevelType w:val="hybridMultilevel"/>
    <w:tmpl w:val="F092B1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BC5701E"/>
    <w:multiLevelType w:val="hybridMultilevel"/>
    <w:tmpl w:val="F2B23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34" w15:restartNumberingAfterBreak="0">
    <w:nsid w:val="5DA70BF6"/>
    <w:multiLevelType w:val="hybridMultilevel"/>
    <w:tmpl w:val="3A5EA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2405E0"/>
    <w:multiLevelType w:val="hybridMultilevel"/>
    <w:tmpl w:val="2D34A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F11438"/>
    <w:multiLevelType w:val="multilevel"/>
    <w:tmpl w:val="A9964C2E"/>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7" w15:restartNumberingAfterBreak="0">
    <w:nsid w:val="63254D4C"/>
    <w:multiLevelType w:val="hybridMultilevel"/>
    <w:tmpl w:val="610ECD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4BB32BE"/>
    <w:multiLevelType w:val="hybridMultilevel"/>
    <w:tmpl w:val="2788D6C6"/>
    <w:lvl w:ilvl="0" w:tplc="B0DA2C7E">
      <w:start w:val="1"/>
      <w:numFmt w:val="decimal"/>
      <w:pStyle w:val="MainBodySectionHeading-numbered"/>
      <w:lvlText w:val="A.%1"/>
      <w:lvlJc w:val="left"/>
      <w:pPr>
        <w:ind w:left="720" w:hanging="360"/>
      </w:pPr>
      <w:rPr>
        <w:rFonts w:ascii="Calibri" w:hAnsi="Calibri" w:hint="default"/>
        <w:b/>
        <w:i w:val="0"/>
        <w:color w:val="auto"/>
        <w:sz w:val="28"/>
      </w:rPr>
    </w:lvl>
    <w:lvl w:ilvl="1" w:tplc="3412F0B6" w:tentative="1">
      <w:start w:val="1"/>
      <w:numFmt w:val="lowerLetter"/>
      <w:lvlText w:val="%2."/>
      <w:lvlJc w:val="left"/>
      <w:pPr>
        <w:ind w:left="1440" w:hanging="360"/>
      </w:pPr>
    </w:lvl>
    <w:lvl w:ilvl="2" w:tplc="0A2C92E8" w:tentative="1">
      <w:start w:val="1"/>
      <w:numFmt w:val="lowerRoman"/>
      <w:lvlText w:val="%3."/>
      <w:lvlJc w:val="right"/>
      <w:pPr>
        <w:ind w:left="2160" w:hanging="180"/>
      </w:pPr>
    </w:lvl>
    <w:lvl w:ilvl="3" w:tplc="51E06328" w:tentative="1">
      <w:start w:val="1"/>
      <w:numFmt w:val="decimal"/>
      <w:lvlText w:val="%4."/>
      <w:lvlJc w:val="left"/>
      <w:pPr>
        <w:ind w:left="2880" w:hanging="360"/>
      </w:pPr>
    </w:lvl>
    <w:lvl w:ilvl="4" w:tplc="55121EB0" w:tentative="1">
      <w:start w:val="1"/>
      <w:numFmt w:val="lowerLetter"/>
      <w:lvlText w:val="%5."/>
      <w:lvlJc w:val="left"/>
      <w:pPr>
        <w:ind w:left="3600" w:hanging="360"/>
      </w:pPr>
    </w:lvl>
    <w:lvl w:ilvl="5" w:tplc="C0BC6618" w:tentative="1">
      <w:start w:val="1"/>
      <w:numFmt w:val="lowerRoman"/>
      <w:lvlText w:val="%6."/>
      <w:lvlJc w:val="right"/>
      <w:pPr>
        <w:ind w:left="4320" w:hanging="180"/>
      </w:pPr>
    </w:lvl>
    <w:lvl w:ilvl="6" w:tplc="2C762004" w:tentative="1">
      <w:start w:val="1"/>
      <w:numFmt w:val="decimal"/>
      <w:lvlText w:val="%7."/>
      <w:lvlJc w:val="left"/>
      <w:pPr>
        <w:ind w:left="5040" w:hanging="360"/>
      </w:pPr>
    </w:lvl>
    <w:lvl w:ilvl="7" w:tplc="AAE0D5E4" w:tentative="1">
      <w:start w:val="1"/>
      <w:numFmt w:val="lowerLetter"/>
      <w:lvlText w:val="%8."/>
      <w:lvlJc w:val="left"/>
      <w:pPr>
        <w:ind w:left="5760" w:hanging="360"/>
      </w:pPr>
    </w:lvl>
    <w:lvl w:ilvl="8" w:tplc="37CCD67A" w:tentative="1">
      <w:start w:val="1"/>
      <w:numFmt w:val="lowerRoman"/>
      <w:lvlText w:val="%9."/>
      <w:lvlJc w:val="right"/>
      <w:pPr>
        <w:ind w:left="6480" w:hanging="180"/>
      </w:pPr>
    </w:lvl>
  </w:abstractNum>
  <w:abstractNum w:abstractNumId="39" w15:restartNumberingAfterBreak="0">
    <w:nsid w:val="65D560CE"/>
    <w:multiLevelType w:val="hybridMultilevel"/>
    <w:tmpl w:val="285A6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C252901"/>
    <w:multiLevelType w:val="multilevel"/>
    <w:tmpl w:val="77D0E56C"/>
    <w:lvl w:ilvl="0">
      <w:start w:val="1"/>
      <w:numFmt w:val="decimal"/>
      <w:lvlText w:val="A.%1."/>
      <w:lvlJc w:val="left"/>
      <w:pPr>
        <w:ind w:left="1134" w:hanging="1134"/>
      </w:pPr>
      <w:rPr>
        <w:rFonts w:hint="default"/>
        <w:b/>
        <w:i w:val="0"/>
        <w:color w:val="auto"/>
        <w:sz w:val="24"/>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41" w15:restartNumberingAfterBreak="0">
    <w:nsid w:val="6D082BF0"/>
    <w:multiLevelType w:val="hybridMultilevel"/>
    <w:tmpl w:val="ACACA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EB0001"/>
    <w:multiLevelType w:val="hybridMultilevel"/>
    <w:tmpl w:val="FAF67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14F34D4"/>
    <w:multiLevelType w:val="hybridMultilevel"/>
    <w:tmpl w:val="B5F29D10"/>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4" w15:restartNumberingAfterBreak="0">
    <w:nsid w:val="718D1123"/>
    <w:multiLevelType w:val="hybridMultilevel"/>
    <w:tmpl w:val="1CD2149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5" w15:restartNumberingAfterBreak="0">
    <w:nsid w:val="74384704"/>
    <w:multiLevelType w:val="hybridMultilevel"/>
    <w:tmpl w:val="05FCD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5201B3E"/>
    <w:multiLevelType w:val="hybridMultilevel"/>
    <w:tmpl w:val="7DA22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C9C3F4C"/>
    <w:multiLevelType w:val="hybridMultilevel"/>
    <w:tmpl w:val="058E6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200C70"/>
    <w:multiLevelType w:val="multilevel"/>
    <w:tmpl w:val="37B0CA18"/>
    <w:lvl w:ilvl="0">
      <w:start w:val="1"/>
      <w:numFmt w:val="none"/>
      <w:pStyle w:val="ESSectionHeading-numbered0"/>
      <w:lvlText w:val="A.1"/>
      <w:lvlJc w:val="left"/>
      <w:pPr>
        <w:ind w:left="1134" w:hanging="1134"/>
      </w:pPr>
      <w:rPr>
        <w:rFonts w:ascii="Calibri" w:hAnsi="Calibri" w:hint="default"/>
        <w:b/>
        <w:i w:val="0"/>
        <w:color w:val="auto"/>
        <w:sz w:val="24"/>
      </w:rPr>
    </w:lvl>
    <w:lvl w:ilvl="1">
      <w:start w:val="2"/>
      <w:numFmt w:val="decimal"/>
      <w:lvlText w:val="B.%2"/>
      <w:lvlJc w:val="left"/>
      <w:pPr>
        <w:ind w:left="1134" w:hanging="1134"/>
      </w:pPr>
      <w:rPr>
        <w:rFonts w:ascii="Calibri" w:hAnsi="Calibri" w:hint="default"/>
        <w:b/>
        <w:i w:val="0"/>
        <w:color w:val="auto"/>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49" w15:restartNumberingAfterBreak="0">
    <w:nsid w:val="7D82494C"/>
    <w:multiLevelType w:val="hybridMultilevel"/>
    <w:tmpl w:val="754C848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0" w15:restartNumberingAfterBreak="0">
    <w:nsid w:val="7EB401D7"/>
    <w:multiLevelType w:val="hybridMultilevel"/>
    <w:tmpl w:val="DB76B6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num w:numId="1">
    <w:abstractNumId w:val="33"/>
  </w:num>
  <w:num w:numId="2">
    <w:abstractNumId w:val="7"/>
  </w:num>
  <w:num w:numId="3">
    <w:abstractNumId w:val="51"/>
  </w:num>
  <w:num w:numId="4">
    <w:abstractNumId w:val="38"/>
  </w:num>
  <w:num w:numId="5">
    <w:abstractNumId w:val="12"/>
  </w:num>
  <w:num w:numId="6">
    <w:abstractNumId w:val="48"/>
  </w:num>
  <w:num w:numId="7">
    <w:abstractNumId w:val="11"/>
  </w:num>
  <w:num w:numId="8">
    <w:abstractNumId w:val="40"/>
  </w:num>
  <w:num w:numId="9">
    <w:abstractNumId w:val="22"/>
  </w:num>
  <w:num w:numId="10">
    <w:abstractNumId w:val="30"/>
  </w:num>
  <w:num w:numId="11">
    <w:abstractNumId w:val="36"/>
  </w:num>
  <w:num w:numId="12">
    <w:abstractNumId w:val="43"/>
  </w:num>
  <w:num w:numId="13">
    <w:abstractNumId w:val="20"/>
  </w:num>
  <w:num w:numId="14">
    <w:abstractNumId w:val="14"/>
  </w:num>
  <w:num w:numId="15">
    <w:abstractNumId w:val="8"/>
  </w:num>
  <w:num w:numId="16">
    <w:abstractNumId w:val="13"/>
  </w:num>
  <w:num w:numId="17">
    <w:abstractNumId w:val="29"/>
  </w:num>
  <w:num w:numId="18">
    <w:abstractNumId w:val="17"/>
  </w:num>
  <w:num w:numId="19">
    <w:abstractNumId w:val="19"/>
  </w:num>
  <w:num w:numId="20">
    <w:abstractNumId w:val="44"/>
  </w:num>
  <w:num w:numId="21">
    <w:abstractNumId w:val="10"/>
  </w:num>
  <w:num w:numId="22">
    <w:abstractNumId w:val="49"/>
  </w:num>
  <w:num w:numId="23">
    <w:abstractNumId w:val="5"/>
  </w:num>
  <w:num w:numId="24">
    <w:abstractNumId w:val="34"/>
  </w:num>
  <w:num w:numId="25">
    <w:abstractNumId w:val="6"/>
  </w:num>
  <w:num w:numId="26">
    <w:abstractNumId w:val="23"/>
  </w:num>
  <w:num w:numId="27">
    <w:abstractNumId w:val="3"/>
  </w:num>
  <w:num w:numId="28">
    <w:abstractNumId w:val="37"/>
  </w:num>
  <w:num w:numId="29">
    <w:abstractNumId w:val="27"/>
  </w:num>
  <w:num w:numId="30">
    <w:abstractNumId w:val="35"/>
  </w:num>
  <w:num w:numId="31">
    <w:abstractNumId w:val="28"/>
  </w:num>
  <w:num w:numId="32">
    <w:abstractNumId w:val="46"/>
  </w:num>
  <w:num w:numId="33">
    <w:abstractNumId w:val="42"/>
  </w:num>
  <w:num w:numId="34">
    <w:abstractNumId w:val="39"/>
  </w:num>
  <w:num w:numId="35">
    <w:abstractNumId w:val="45"/>
  </w:num>
  <w:num w:numId="36">
    <w:abstractNumId w:val="50"/>
  </w:num>
  <w:num w:numId="37">
    <w:abstractNumId w:val="15"/>
  </w:num>
  <w:num w:numId="38">
    <w:abstractNumId w:val="16"/>
  </w:num>
  <w:num w:numId="39">
    <w:abstractNumId w:val="25"/>
  </w:num>
  <w:num w:numId="40">
    <w:abstractNumId w:val="21"/>
  </w:num>
  <w:num w:numId="41">
    <w:abstractNumId w:val="9"/>
  </w:num>
  <w:num w:numId="42">
    <w:abstractNumId w:val="18"/>
  </w:num>
  <w:num w:numId="43">
    <w:abstractNumId w:val="24"/>
  </w:num>
  <w:num w:numId="44">
    <w:abstractNumId w:val="26"/>
  </w:num>
  <w:num w:numId="45">
    <w:abstractNumId w:val="1"/>
  </w:num>
  <w:num w:numId="46">
    <w:abstractNumId w:val="4"/>
  </w:num>
  <w:num w:numId="47">
    <w:abstractNumId w:val="31"/>
  </w:num>
  <w:num w:numId="48">
    <w:abstractNumId w:val="0"/>
  </w:num>
  <w:num w:numId="49">
    <w:abstractNumId w:val="2"/>
  </w:num>
  <w:num w:numId="50">
    <w:abstractNumId w:val="47"/>
  </w:num>
  <w:num w:numId="51">
    <w:abstractNumId w:val="41"/>
  </w:num>
  <w:num w:numId="52">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YzNbQwNTU0MDcBMpV0lIJTi4sz8/NACowMagFgA1DSLQAAAA=="/>
    <w:docVar w:name="EN.InstantFormat" w:val="&lt;ENInstantFormat&gt;&lt;Enabled&gt;0&lt;/Enabled&gt;&lt;ScanUnformatted&gt;1&lt;/ScanUnformatted&gt;&lt;ScanChanges&gt;1&lt;/ScanChanges&gt;&lt;Suspended&gt;1&lt;/Suspended&gt;&lt;/ENInstantFormat&gt;"/>
    <w:docVar w:name="EN.Layout" w:val="&lt;ENLayout&gt;&lt;Style&gt;Harvard RACS Copy&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w0arxps9xfps8ed0xm50rxq55dtz09zztza&quot;&gt;TRAVELLING LIBRARY FOR REPORT&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7&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record-ids&gt;&lt;/item&gt;&lt;item db-id=&quot;tds22vxa20aepgeprfr5p9xxd92tdfwda055&quot;&gt;CIDP report&lt;record-ids&gt;&lt;item&gt;109&lt;/item&gt;&lt;item&gt;138&lt;/item&gt;&lt;/record-ids&gt;&lt;/item&gt;&lt;item db-id=&quot;xe0v25vpurevf0e0w9txtdw32tpsprsv0rxp&quot;&gt;Full text_jo&lt;record-ids&gt;&lt;item&gt;28&lt;/item&gt;&lt;item&gt;50&lt;/item&gt;&lt;/record-ids&gt;&lt;/item&gt;&lt;/Libraries&gt;"/>
  </w:docVars>
  <w:rsids>
    <w:rsidRoot w:val="00640EBD"/>
    <w:rsid w:val="000006B5"/>
    <w:rsid w:val="00000B9C"/>
    <w:rsid w:val="00000BEB"/>
    <w:rsid w:val="00000C42"/>
    <w:rsid w:val="00000FA9"/>
    <w:rsid w:val="0000127D"/>
    <w:rsid w:val="0000136D"/>
    <w:rsid w:val="0000157A"/>
    <w:rsid w:val="000018E8"/>
    <w:rsid w:val="0000190C"/>
    <w:rsid w:val="00001C3C"/>
    <w:rsid w:val="00001E31"/>
    <w:rsid w:val="00001F98"/>
    <w:rsid w:val="0000226A"/>
    <w:rsid w:val="0000228D"/>
    <w:rsid w:val="00002552"/>
    <w:rsid w:val="000029F2"/>
    <w:rsid w:val="00003287"/>
    <w:rsid w:val="00003796"/>
    <w:rsid w:val="0000430A"/>
    <w:rsid w:val="00004731"/>
    <w:rsid w:val="00004790"/>
    <w:rsid w:val="00004990"/>
    <w:rsid w:val="00004D16"/>
    <w:rsid w:val="00005109"/>
    <w:rsid w:val="00005257"/>
    <w:rsid w:val="0000536A"/>
    <w:rsid w:val="000055D4"/>
    <w:rsid w:val="000056FA"/>
    <w:rsid w:val="000057AE"/>
    <w:rsid w:val="00006627"/>
    <w:rsid w:val="00006641"/>
    <w:rsid w:val="0000682A"/>
    <w:rsid w:val="00006961"/>
    <w:rsid w:val="000069A7"/>
    <w:rsid w:val="00006C74"/>
    <w:rsid w:val="000070F9"/>
    <w:rsid w:val="0000721C"/>
    <w:rsid w:val="0000763F"/>
    <w:rsid w:val="000078F6"/>
    <w:rsid w:val="00007948"/>
    <w:rsid w:val="00007A44"/>
    <w:rsid w:val="00007A4C"/>
    <w:rsid w:val="00007BE0"/>
    <w:rsid w:val="00007D81"/>
    <w:rsid w:val="00007DC0"/>
    <w:rsid w:val="000103C4"/>
    <w:rsid w:val="000106F7"/>
    <w:rsid w:val="0001085B"/>
    <w:rsid w:val="0001088E"/>
    <w:rsid w:val="000108EE"/>
    <w:rsid w:val="000109F3"/>
    <w:rsid w:val="00010BF8"/>
    <w:rsid w:val="00010FB8"/>
    <w:rsid w:val="000111D2"/>
    <w:rsid w:val="0001135D"/>
    <w:rsid w:val="00011550"/>
    <w:rsid w:val="00011758"/>
    <w:rsid w:val="00011772"/>
    <w:rsid w:val="000119E5"/>
    <w:rsid w:val="00011F11"/>
    <w:rsid w:val="00012A0D"/>
    <w:rsid w:val="00012EA4"/>
    <w:rsid w:val="00012EA6"/>
    <w:rsid w:val="0001307B"/>
    <w:rsid w:val="000130D3"/>
    <w:rsid w:val="000133F9"/>
    <w:rsid w:val="000134C1"/>
    <w:rsid w:val="0001357B"/>
    <w:rsid w:val="00013791"/>
    <w:rsid w:val="0001388D"/>
    <w:rsid w:val="00013934"/>
    <w:rsid w:val="000139D1"/>
    <w:rsid w:val="000139D3"/>
    <w:rsid w:val="000139EB"/>
    <w:rsid w:val="00013B46"/>
    <w:rsid w:val="00013FA1"/>
    <w:rsid w:val="000145D9"/>
    <w:rsid w:val="00014736"/>
    <w:rsid w:val="00014917"/>
    <w:rsid w:val="000149C2"/>
    <w:rsid w:val="00014A66"/>
    <w:rsid w:val="00014D6D"/>
    <w:rsid w:val="00014EC1"/>
    <w:rsid w:val="00014F4E"/>
    <w:rsid w:val="00015282"/>
    <w:rsid w:val="000155E6"/>
    <w:rsid w:val="0001563F"/>
    <w:rsid w:val="000156F4"/>
    <w:rsid w:val="00015787"/>
    <w:rsid w:val="00015B87"/>
    <w:rsid w:val="00015C26"/>
    <w:rsid w:val="00015E03"/>
    <w:rsid w:val="000160B3"/>
    <w:rsid w:val="00016333"/>
    <w:rsid w:val="00016641"/>
    <w:rsid w:val="00016676"/>
    <w:rsid w:val="0001667E"/>
    <w:rsid w:val="00016792"/>
    <w:rsid w:val="0001695D"/>
    <w:rsid w:val="00016FDF"/>
    <w:rsid w:val="000171FD"/>
    <w:rsid w:val="00017692"/>
    <w:rsid w:val="00017B2B"/>
    <w:rsid w:val="00017D44"/>
    <w:rsid w:val="000207BE"/>
    <w:rsid w:val="000208A2"/>
    <w:rsid w:val="00020A61"/>
    <w:rsid w:val="00020C59"/>
    <w:rsid w:val="00020F15"/>
    <w:rsid w:val="00021072"/>
    <w:rsid w:val="00021C0A"/>
    <w:rsid w:val="00021FDC"/>
    <w:rsid w:val="0002230A"/>
    <w:rsid w:val="0002265C"/>
    <w:rsid w:val="000226D8"/>
    <w:rsid w:val="00022FCD"/>
    <w:rsid w:val="000236CF"/>
    <w:rsid w:val="00023792"/>
    <w:rsid w:val="0002446C"/>
    <w:rsid w:val="00024819"/>
    <w:rsid w:val="00024BA0"/>
    <w:rsid w:val="0002581D"/>
    <w:rsid w:val="00025A9F"/>
    <w:rsid w:val="00025D96"/>
    <w:rsid w:val="00025F1A"/>
    <w:rsid w:val="000261CA"/>
    <w:rsid w:val="000266AD"/>
    <w:rsid w:val="0002695E"/>
    <w:rsid w:val="00026D2F"/>
    <w:rsid w:val="00026D6A"/>
    <w:rsid w:val="00027055"/>
    <w:rsid w:val="0002707D"/>
    <w:rsid w:val="0002728B"/>
    <w:rsid w:val="00027329"/>
    <w:rsid w:val="0002749F"/>
    <w:rsid w:val="00027611"/>
    <w:rsid w:val="00027B53"/>
    <w:rsid w:val="00027CAF"/>
    <w:rsid w:val="00027DDF"/>
    <w:rsid w:val="00027F1B"/>
    <w:rsid w:val="000303D8"/>
    <w:rsid w:val="00030C76"/>
    <w:rsid w:val="00030E53"/>
    <w:rsid w:val="00030E6F"/>
    <w:rsid w:val="00030FB4"/>
    <w:rsid w:val="000311A8"/>
    <w:rsid w:val="00031330"/>
    <w:rsid w:val="0003136E"/>
    <w:rsid w:val="000313F3"/>
    <w:rsid w:val="000314E2"/>
    <w:rsid w:val="00031A2C"/>
    <w:rsid w:val="00031AA4"/>
    <w:rsid w:val="000321D9"/>
    <w:rsid w:val="000323A3"/>
    <w:rsid w:val="0003260D"/>
    <w:rsid w:val="00032F99"/>
    <w:rsid w:val="0003333F"/>
    <w:rsid w:val="00033955"/>
    <w:rsid w:val="00033A86"/>
    <w:rsid w:val="00033B86"/>
    <w:rsid w:val="00033E27"/>
    <w:rsid w:val="000340BA"/>
    <w:rsid w:val="000343E6"/>
    <w:rsid w:val="00034AE9"/>
    <w:rsid w:val="00034CFE"/>
    <w:rsid w:val="000352DA"/>
    <w:rsid w:val="0003587F"/>
    <w:rsid w:val="0003595E"/>
    <w:rsid w:val="00035FF2"/>
    <w:rsid w:val="00036221"/>
    <w:rsid w:val="0003639B"/>
    <w:rsid w:val="0003669F"/>
    <w:rsid w:val="000368B9"/>
    <w:rsid w:val="00036954"/>
    <w:rsid w:val="00036C65"/>
    <w:rsid w:val="00036DA3"/>
    <w:rsid w:val="00036F0B"/>
    <w:rsid w:val="000373D6"/>
    <w:rsid w:val="000373E8"/>
    <w:rsid w:val="00037562"/>
    <w:rsid w:val="00037729"/>
    <w:rsid w:val="00037B2B"/>
    <w:rsid w:val="00037FB8"/>
    <w:rsid w:val="000401D9"/>
    <w:rsid w:val="00040305"/>
    <w:rsid w:val="00040570"/>
    <w:rsid w:val="000406B4"/>
    <w:rsid w:val="000408FA"/>
    <w:rsid w:val="00040D41"/>
    <w:rsid w:val="00040DD2"/>
    <w:rsid w:val="0004109F"/>
    <w:rsid w:val="0004165A"/>
    <w:rsid w:val="00041867"/>
    <w:rsid w:val="00041ADB"/>
    <w:rsid w:val="00041B23"/>
    <w:rsid w:val="00041C6F"/>
    <w:rsid w:val="00041F2B"/>
    <w:rsid w:val="000424B4"/>
    <w:rsid w:val="000427F8"/>
    <w:rsid w:val="00043293"/>
    <w:rsid w:val="00043C04"/>
    <w:rsid w:val="0004468B"/>
    <w:rsid w:val="00044B7A"/>
    <w:rsid w:val="000450C6"/>
    <w:rsid w:val="0004536B"/>
    <w:rsid w:val="00045A06"/>
    <w:rsid w:val="00045C50"/>
    <w:rsid w:val="00045F1B"/>
    <w:rsid w:val="000461E3"/>
    <w:rsid w:val="0004642F"/>
    <w:rsid w:val="000464C3"/>
    <w:rsid w:val="000466DD"/>
    <w:rsid w:val="00046836"/>
    <w:rsid w:val="00046E1D"/>
    <w:rsid w:val="000470EA"/>
    <w:rsid w:val="000473DD"/>
    <w:rsid w:val="00047660"/>
    <w:rsid w:val="00047812"/>
    <w:rsid w:val="00047ADA"/>
    <w:rsid w:val="00047EB6"/>
    <w:rsid w:val="00050356"/>
    <w:rsid w:val="000507B7"/>
    <w:rsid w:val="000508A4"/>
    <w:rsid w:val="00050DAA"/>
    <w:rsid w:val="00051060"/>
    <w:rsid w:val="00051085"/>
    <w:rsid w:val="000512A0"/>
    <w:rsid w:val="0005156D"/>
    <w:rsid w:val="00051666"/>
    <w:rsid w:val="000518E0"/>
    <w:rsid w:val="00051A96"/>
    <w:rsid w:val="0005232D"/>
    <w:rsid w:val="00052434"/>
    <w:rsid w:val="0005272E"/>
    <w:rsid w:val="00052741"/>
    <w:rsid w:val="0005281F"/>
    <w:rsid w:val="0005287C"/>
    <w:rsid w:val="00052935"/>
    <w:rsid w:val="00052AA9"/>
    <w:rsid w:val="00052E3F"/>
    <w:rsid w:val="00052FBC"/>
    <w:rsid w:val="00053A89"/>
    <w:rsid w:val="00053C3A"/>
    <w:rsid w:val="00053F32"/>
    <w:rsid w:val="00054958"/>
    <w:rsid w:val="00054C69"/>
    <w:rsid w:val="000554AA"/>
    <w:rsid w:val="00055E08"/>
    <w:rsid w:val="00056684"/>
    <w:rsid w:val="000568F0"/>
    <w:rsid w:val="00056BE2"/>
    <w:rsid w:val="00056DC4"/>
    <w:rsid w:val="00056ED1"/>
    <w:rsid w:val="000576CC"/>
    <w:rsid w:val="00057834"/>
    <w:rsid w:val="00057FD3"/>
    <w:rsid w:val="00060875"/>
    <w:rsid w:val="000608FD"/>
    <w:rsid w:val="000609A2"/>
    <w:rsid w:val="00060B82"/>
    <w:rsid w:val="00060E4F"/>
    <w:rsid w:val="00060E70"/>
    <w:rsid w:val="000613E7"/>
    <w:rsid w:val="00061A1C"/>
    <w:rsid w:val="00061A9C"/>
    <w:rsid w:val="00061AF5"/>
    <w:rsid w:val="00061DB6"/>
    <w:rsid w:val="00061E1C"/>
    <w:rsid w:val="00062064"/>
    <w:rsid w:val="000625F7"/>
    <w:rsid w:val="00062F2F"/>
    <w:rsid w:val="00063007"/>
    <w:rsid w:val="0006306E"/>
    <w:rsid w:val="00063167"/>
    <w:rsid w:val="00063311"/>
    <w:rsid w:val="0006384B"/>
    <w:rsid w:val="00063A3A"/>
    <w:rsid w:val="00063C88"/>
    <w:rsid w:val="00063CC4"/>
    <w:rsid w:val="00063F44"/>
    <w:rsid w:val="00063FE3"/>
    <w:rsid w:val="0006406E"/>
    <w:rsid w:val="0006420B"/>
    <w:rsid w:val="0006422B"/>
    <w:rsid w:val="00064AA6"/>
    <w:rsid w:val="000650CB"/>
    <w:rsid w:val="000650FB"/>
    <w:rsid w:val="0006531D"/>
    <w:rsid w:val="00065836"/>
    <w:rsid w:val="0006587B"/>
    <w:rsid w:val="00065CD5"/>
    <w:rsid w:val="00065DD7"/>
    <w:rsid w:val="00066CD5"/>
    <w:rsid w:val="00066F5D"/>
    <w:rsid w:val="000679D8"/>
    <w:rsid w:val="00067BF6"/>
    <w:rsid w:val="00067F8C"/>
    <w:rsid w:val="0007007F"/>
    <w:rsid w:val="00070110"/>
    <w:rsid w:val="00070B84"/>
    <w:rsid w:val="000715CB"/>
    <w:rsid w:val="00071963"/>
    <w:rsid w:val="00071B67"/>
    <w:rsid w:val="00071BA0"/>
    <w:rsid w:val="00071EAB"/>
    <w:rsid w:val="00072199"/>
    <w:rsid w:val="0007284B"/>
    <w:rsid w:val="00072A22"/>
    <w:rsid w:val="00072DC0"/>
    <w:rsid w:val="00073235"/>
    <w:rsid w:val="00073267"/>
    <w:rsid w:val="00073339"/>
    <w:rsid w:val="00073376"/>
    <w:rsid w:val="00073636"/>
    <w:rsid w:val="0007379A"/>
    <w:rsid w:val="00073882"/>
    <w:rsid w:val="000739E5"/>
    <w:rsid w:val="00073A8D"/>
    <w:rsid w:val="00073EC5"/>
    <w:rsid w:val="000742E5"/>
    <w:rsid w:val="00074788"/>
    <w:rsid w:val="00074A0B"/>
    <w:rsid w:val="00074ABF"/>
    <w:rsid w:val="00074F92"/>
    <w:rsid w:val="00075A7C"/>
    <w:rsid w:val="00075C24"/>
    <w:rsid w:val="00076394"/>
    <w:rsid w:val="000768BB"/>
    <w:rsid w:val="00076A45"/>
    <w:rsid w:val="00076A70"/>
    <w:rsid w:val="00076EEF"/>
    <w:rsid w:val="00076F32"/>
    <w:rsid w:val="00077247"/>
    <w:rsid w:val="000774DB"/>
    <w:rsid w:val="00077880"/>
    <w:rsid w:val="00077A75"/>
    <w:rsid w:val="00077DDA"/>
    <w:rsid w:val="0008033F"/>
    <w:rsid w:val="00080706"/>
    <w:rsid w:val="00080986"/>
    <w:rsid w:val="000809D5"/>
    <w:rsid w:val="00080FA3"/>
    <w:rsid w:val="00081443"/>
    <w:rsid w:val="00081674"/>
    <w:rsid w:val="0008168D"/>
    <w:rsid w:val="00081B12"/>
    <w:rsid w:val="000821BD"/>
    <w:rsid w:val="000822EA"/>
    <w:rsid w:val="0008260B"/>
    <w:rsid w:val="0008261B"/>
    <w:rsid w:val="00082712"/>
    <w:rsid w:val="00082977"/>
    <w:rsid w:val="00082C5A"/>
    <w:rsid w:val="00082CDD"/>
    <w:rsid w:val="00082E66"/>
    <w:rsid w:val="00082EC5"/>
    <w:rsid w:val="0008336A"/>
    <w:rsid w:val="00083498"/>
    <w:rsid w:val="0008367E"/>
    <w:rsid w:val="000838C2"/>
    <w:rsid w:val="00083A0F"/>
    <w:rsid w:val="00084CE9"/>
    <w:rsid w:val="00084ED5"/>
    <w:rsid w:val="00084F83"/>
    <w:rsid w:val="00085282"/>
    <w:rsid w:val="00085400"/>
    <w:rsid w:val="000856FC"/>
    <w:rsid w:val="00085883"/>
    <w:rsid w:val="00085981"/>
    <w:rsid w:val="00085C31"/>
    <w:rsid w:val="0008612D"/>
    <w:rsid w:val="000861FA"/>
    <w:rsid w:val="00086491"/>
    <w:rsid w:val="000868BD"/>
    <w:rsid w:val="000869F6"/>
    <w:rsid w:val="00086D44"/>
    <w:rsid w:val="00086DB8"/>
    <w:rsid w:val="00087E7F"/>
    <w:rsid w:val="00087F4E"/>
    <w:rsid w:val="00087FDE"/>
    <w:rsid w:val="00090330"/>
    <w:rsid w:val="000903F9"/>
    <w:rsid w:val="000905F4"/>
    <w:rsid w:val="00090904"/>
    <w:rsid w:val="00090AA3"/>
    <w:rsid w:val="00090AB1"/>
    <w:rsid w:val="00090BD2"/>
    <w:rsid w:val="00090DDE"/>
    <w:rsid w:val="00090EF8"/>
    <w:rsid w:val="00090F80"/>
    <w:rsid w:val="00091296"/>
    <w:rsid w:val="00091667"/>
    <w:rsid w:val="000917C7"/>
    <w:rsid w:val="00091989"/>
    <w:rsid w:val="00091A2F"/>
    <w:rsid w:val="00092116"/>
    <w:rsid w:val="00092A35"/>
    <w:rsid w:val="00092CFA"/>
    <w:rsid w:val="00093113"/>
    <w:rsid w:val="000933E6"/>
    <w:rsid w:val="000937B3"/>
    <w:rsid w:val="0009386C"/>
    <w:rsid w:val="000939B9"/>
    <w:rsid w:val="00093C9A"/>
    <w:rsid w:val="00093CE9"/>
    <w:rsid w:val="00093CEF"/>
    <w:rsid w:val="00093DC4"/>
    <w:rsid w:val="00093EE9"/>
    <w:rsid w:val="00094977"/>
    <w:rsid w:val="00094B91"/>
    <w:rsid w:val="00094B93"/>
    <w:rsid w:val="00094DBD"/>
    <w:rsid w:val="00095947"/>
    <w:rsid w:val="00096949"/>
    <w:rsid w:val="00096AAE"/>
    <w:rsid w:val="00096B92"/>
    <w:rsid w:val="00096BD5"/>
    <w:rsid w:val="00096EBE"/>
    <w:rsid w:val="00097AAC"/>
    <w:rsid w:val="000A0146"/>
    <w:rsid w:val="000A0332"/>
    <w:rsid w:val="000A051D"/>
    <w:rsid w:val="000A0790"/>
    <w:rsid w:val="000A07CB"/>
    <w:rsid w:val="000A0C9C"/>
    <w:rsid w:val="000A0D18"/>
    <w:rsid w:val="000A1298"/>
    <w:rsid w:val="000A13F7"/>
    <w:rsid w:val="000A1508"/>
    <w:rsid w:val="000A1599"/>
    <w:rsid w:val="000A1BD4"/>
    <w:rsid w:val="000A1D85"/>
    <w:rsid w:val="000A2278"/>
    <w:rsid w:val="000A2445"/>
    <w:rsid w:val="000A272A"/>
    <w:rsid w:val="000A2C9E"/>
    <w:rsid w:val="000A350A"/>
    <w:rsid w:val="000A375A"/>
    <w:rsid w:val="000A39BE"/>
    <w:rsid w:val="000A39F4"/>
    <w:rsid w:val="000A3AAF"/>
    <w:rsid w:val="000A3B29"/>
    <w:rsid w:val="000A3E60"/>
    <w:rsid w:val="000A3F8D"/>
    <w:rsid w:val="000A4157"/>
    <w:rsid w:val="000A4641"/>
    <w:rsid w:val="000A4DD7"/>
    <w:rsid w:val="000A4DF3"/>
    <w:rsid w:val="000A4E4F"/>
    <w:rsid w:val="000A4F95"/>
    <w:rsid w:val="000A5193"/>
    <w:rsid w:val="000A546E"/>
    <w:rsid w:val="000A54AD"/>
    <w:rsid w:val="000A55B4"/>
    <w:rsid w:val="000A5CE8"/>
    <w:rsid w:val="000A5DB5"/>
    <w:rsid w:val="000A612B"/>
    <w:rsid w:val="000A6C01"/>
    <w:rsid w:val="000A7356"/>
    <w:rsid w:val="000A77C8"/>
    <w:rsid w:val="000A7943"/>
    <w:rsid w:val="000A7D0A"/>
    <w:rsid w:val="000B0364"/>
    <w:rsid w:val="000B06C4"/>
    <w:rsid w:val="000B0993"/>
    <w:rsid w:val="000B0F0F"/>
    <w:rsid w:val="000B1256"/>
    <w:rsid w:val="000B1434"/>
    <w:rsid w:val="000B164F"/>
    <w:rsid w:val="000B1D2B"/>
    <w:rsid w:val="000B1F56"/>
    <w:rsid w:val="000B21C0"/>
    <w:rsid w:val="000B21CB"/>
    <w:rsid w:val="000B23EA"/>
    <w:rsid w:val="000B2675"/>
    <w:rsid w:val="000B274D"/>
    <w:rsid w:val="000B2871"/>
    <w:rsid w:val="000B2DCA"/>
    <w:rsid w:val="000B2E4B"/>
    <w:rsid w:val="000B30A2"/>
    <w:rsid w:val="000B3350"/>
    <w:rsid w:val="000B3610"/>
    <w:rsid w:val="000B3BCD"/>
    <w:rsid w:val="000B3CA5"/>
    <w:rsid w:val="000B4253"/>
    <w:rsid w:val="000B4A87"/>
    <w:rsid w:val="000B4BDC"/>
    <w:rsid w:val="000B4CAD"/>
    <w:rsid w:val="000B508C"/>
    <w:rsid w:val="000B525C"/>
    <w:rsid w:val="000B5C73"/>
    <w:rsid w:val="000B5C7B"/>
    <w:rsid w:val="000B5D81"/>
    <w:rsid w:val="000B5E0D"/>
    <w:rsid w:val="000B63E1"/>
    <w:rsid w:val="000B6871"/>
    <w:rsid w:val="000B688F"/>
    <w:rsid w:val="000B7991"/>
    <w:rsid w:val="000B7A2F"/>
    <w:rsid w:val="000B7B78"/>
    <w:rsid w:val="000B7DFE"/>
    <w:rsid w:val="000B7EE2"/>
    <w:rsid w:val="000B7EE7"/>
    <w:rsid w:val="000B7F5D"/>
    <w:rsid w:val="000C0364"/>
    <w:rsid w:val="000C0493"/>
    <w:rsid w:val="000C04C1"/>
    <w:rsid w:val="000C0684"/>
    <w:rsid w:val="000C0E99"/>
    <w:rsid w:val="000C0FE1"/>
    <w:rsid w:val="000C10BA"/>
    <w:rsid w:val="000C14EF"/>
    <w:rsid w:val="000C1599"/>
    <w:rsid w:val="000C1714"/>
    <w:rsid w:val="000C1747"/>
    <w:rsid w:val="000C1AFE"/>
    <w:rsid w:val="000C226B"/>
    <w:rsid w:val="000C296F"/>
    <w:rsid w:val="000C2EA1"/>
    <w:rsid w:val="000C32A4"/>
    <w:rsid w:val="000C36C4"/>
    <w:rsid w:val="000C3CDE"/>
    <w:rsid w:val="000C410B"/>
    <w:rsid w:val="000C4137"/>
    <w:rsid w:val="000C4404"/>
    <w:rsid w:val="000C44CA"/>
    <w:rsid w:val="000C53B8"/>
    <w:rsid w:val="000C5752"/>
    <w:rsid w:val="000C5A22"/>
    <w:rsid w:val="000C5A70"/>
    <w:rsid w:val="000C5D0A"/>
    <w:rsid w:val="000C5F36"/>
    <w:rsid w:val="000C61C5"/>
    <w:rsid w:val="000C651F"/>
    <w:rsid w:val="000C6D10"/>
    <w:rsid w:val="000C6E6B"/>
    <w:rsid w:val="000C769F"/>
    <w:rsid w:val="000C7C44"/>
    <w:rsid w:val="000C7F6A"/>
    <w:rsid w:val="000D0128"/>
    <w:rsid w:val="000D04F4"/>
    <w:rsid w:val="000D0784"/>
    <w:rsid w:val="000D0B68"/>
    <w:rsid w:val="000D1300"/>
    <w:rsid w:val="000D13CD"/>
    <w:rsid w:val="000D180A"/>
    <w:rsid w:val="000D186C"/>
    <w:rsid w:val="000D18A2"/>
    <w:rsid w:val="000D19B7"/>
    <w:rsid w:val="000D1C4C"/>
    <w:rsid w:val="000D1C72"/>
    <w:rsid w:val="000D1FEF"/>
    <w:rsid w:val="000D2C4E"/>
    <w:rsid w:val="000D2D78"/>
    <w:rsid w:val="000D2D89"/>
    <w:rsid w:val="000D2E96"/>
    <w:rsid w:val="000D2EB6"/>
    <w:rsid w:val="000D3024"/>
    <w:rsid w:val="000D328F"/>
    <w:rsid w:val="000D3317"/>
    <w:rsid w:val="000D33CE"/>
    <w:rsid w:val="000D34EB"/>
    <w:rsid w:val="000D3AD0"/>
    <w:rsid w:val="000D3AD2"/>
    <w:rsid w:val="000D3B89"/>
    <w:rsid w:val="000D3BEC"/>
    <w:rsid w:val="000D3E93"/>
    <w:rsid w:val="000D4203"/>
    <w:rsid w:val="000D4324"/>
    <w:rsid w:val="000D4515"/>
    <w:rsid w:val="000D4A40"/>
    <w:rsid w:val="000D4AB6"/>
    <w:rsid w:val="000D4D6A"/>
    <w:rsid w:val="000D4DFE"/>
    <w:rsid w:val="000D4F8C"/>
    <w:rsid w:val="000D4FCE"/>
    <w:rsid w:val="000D50CD"/>
    <w:rsid w:val="000D5A53"/>
    <w:rsid w:val="000D5AF8"/>
    <w:rsid w:val="000D5C15"/>
    <w:rsid w:val="000D60AA"/>
    <w:rsid w:val="000D63E0"/>
    <w:rsid w:val="000D6684"/>
    <w:rsid w:val="000D6840"/>
    <w:rsid w:val="000D6DB4"/>
    <w:rsid w:val="000D708E"/>
    <w:rsid w:val="000E02D8"/>
    <w:rsid w:val="000E073C"/>
    <w:rsid w:val="000E09A4"/>
    <w:rsid w:val="000E0B6A"/>
    <w:rsid w:val="000E0D09"/>
    <w:rsid w:val="000E1036"/>
    <w:rsid w:val="000E10A1"/>
    <w:rsid w:val="000E125E"/>
    <w:rsid w:val="000E1439"/>
    <w:rsid w:val="000E145B"/>
    <w:rsid w:val="000E1520"/>
    <w:rsid w:val="000E160C"/>
    <w:rsid w:val="000E1C9D"/>
    <w:rsid w:val="000E1D12"/>
    <w:rsid w:val="000E204A"/>
    <w:rsid w:val="000E21A2"/>
    <w:rsid w:val="000E27A3"/>
    <w:rsid w:val="000E2864"/>
    <w:rsid w:val="000E2B85"/>
    <w:rsid w:val="000E3189"/>
    <w:rsid w:val="000E362B"/>
    <w:rsid w:val="000E398C"/>
    <w:rsid w:val="000E3AD5"/>
    <w:rsid w:val="000E3D82"/>
    <w:rsid w:val="000E3F05"/>
    <w:rsid w:val="000E41E8"/>
    <w:rsid w:val="000E4217"/>
    <w:rsid w:val="000E436A"/>
    <w:rsid w:val="000E455E"/>
    <w:rsid w:val="000E4D70"/>
    <w:rsid w:val="000E50DC"/>
    <w:rsid w:val="000E551B"/>
    <w:rsid w:val="000E5E5C"/>
    <w:rsid w:val="000E5EAC"/>
    <w:rsid w:val="000E6179"/>
    <w:rsid w:val="000E61AD"/>
    <w:rsid w:val="000E63DD"/>
    <w:rsid w:val="000E65EF"/>
    <w:rsid w:val="000E6784"/>
    <w:rsid w:val="000E6891"/>
    <w:rsid w:val="000E6A1B"/>
    <w:rsid w:val="000E6C55"/>
    <w:rsid w:val="000E74BC"/>
    <w:rsid w:val="000E7851"/>
    <w:rsid w:val="000E7969"/>
    <w:rsid w:val="000E7A82"/>
    <w:rsid w:val="000E7AC3"/>
    <w:rsid w:val="000E7B84"/>
    <w:rsid w:val="000E7E95"/>
    <w:rsid w:val="000E7EE5"/>
    <w:rsid w:val="000F06BC"/>
    <w:rsid w:val="000F080F"/>
    <w:rsid w:val="000F0975"/>
    <w:rsid w:val="000F0C54"/>
    <w:rsid w:val="000F0D08"/>
    <w:rsid w:val="000F14C7"/>
    <w:rsid w:val="000F166F"/>
    <w:rsid w:val="000F1C98"/>
    <w:rsid w:val="000F1E70"/>
    <w:rsid w:val="000F1FA8"/>
    <w:rsid w:val="000F204E"/>
    <w:rsid w:val="000F219E"/>
    <w:rsid w:val="000F236B"/>
    <w:rsid w:val="000F285B"/>
    <w:rsid w:val="000F357F"/>
    <w:rsid w:val="000F3A24"/>
    <w:rsid w:val="000F3B50"/>
    <w:rsid w:val="000F4CB0"/>
    <w:rsid w:val="000F508A"/>
    <w:rsid w:val="000F50C5"/>
    <w:rsid w:val="000F589F"/>
    <w:rsid w:val="000F5FC9"/>
    <w:rsid w:val="000F640C"/>
    <w:rsid w:val="000F66F8"/>
    <w:rsid w:val="000F6918"/>
    <w:rsid w:val="000F6C65"/>
    <w:rsid w:val="000F6D1C"/>
    <w:rsid w:val="000F70AD"/>
    <w:rsid w:val="000F7361"/>
    <w:rsid w:val="000F76EF"/>
    <w:rsid w:val="000F7A58"/>
    <w:rsid w:val="000F7C32"/>
    <w:rsid w:val="000F7E1F"/>
    <w:rsid w:val="000F7FD2"/>
    <w:rsid w:val="00100186"/>
    <w:rsid w:val="001001F0"/>
    <w:rsid w:val="00100281"/>
    <w:rsid w:val="00100570"/>
    <w:rsid w:val="001005AA"/>
    <w:rsid w:val="00100938"/>
    <w:rsid w:val="00100987"/>
    <w:rsid w:val="00101616"/>
    <w:rsid w:val="001019F6"/>
    <w:rsid w:val="00101BE7"/>
    <w:rsid w:val="00101DAF"/>
    <w:rsid w:val="00101EA6"/>
    <w:rsid w:val="001024C0"/>
    <w:rsid w:val="001024FE"/>
    <w:rsid w:val="0010271E"/>
    <w:rsid w:val="00102752"/>
    <w:rsid w:val="00102ACE"/>
    <w:rsid w:val="00102C26"/>
    <w:rsid w:val="00103282"/>
    <w:rsid w:val="00103470"/>
    <w:rsid w:val="0010377A"/>
    <w:rsid w:val="001037EC"/>
    <w:rsid w:val="00103FE2"/>
    <w:rsid w:val="0010407C"/>
    <w:rsid w:val="001042DB"/>
    <w:rsid w:val="00104641"/>
    <w:rsid w:val="001047AE"/>
    <w:rsid w:val="00104C4D"/>
    <w:rsid w:val="00104C76"/>
    <w:rsid w:val="001053AD"/>
    <w:rsid w:val="00105477"/>
    <w:rsid w:val="001059C5"/>
    <w:rsid w:val="00105C53"/>
    <w:rsid w:val="00105C6A"/>
    <w:rsid w:val="00105F4B"/>
    <w:rsid w:val="0010618E"/>
    <w:rsid w:val="001061A1"/>
    <w:rsid w:val="001064DF"/>
    <w:rsid w:val="001064E2"/>
    <w:rsid w:val="00106705"/>
    <w:rsid w:val="00106CAC"/>
    <w:rsid w:val="00106D47"/>
    <w:rsid w:val="00106D5A"/>
    <w:rsid w:val="00107317"/>
    <w:rsid w:val="001074D7"/>
    <w:rsid w:val="00107E45"/>
    <w:rsid w:val="00107F3E"/>
    <w:rsid w:val="001106E0"/>
    <w:rsid w:val="00110763"/>
    <w:rsid w:val="00110A0A"/>
    <w:rsid w:val="00110A66"/>
    <w:rsid w:val="00110DE9"/>
    <w:rsid w:val="00110F5A"/>
    <w:rsid w:val="0011120F"/>
    <w:rsid w:val="00111444"/>
    <w:rsid w:val="00111A9D"/>
    <w:rsid w:val="00111FD8"/>
    <w:rsid w:val="00112756"/>
    <w:rsid w:val="001131C7"/>
    <w:rsid w:val="001134B2"/>
    <w:rsid w:val="001140D8"/>
    <w:rsid w:val="00114341"/>
    <w:rsid w:val="00114A80"/>
    <w:rsid w:val="00114A88"/>
    <w:rsid w:val="00114DB0"/>
    <w:rsid w:val="00115103"/>
    <w:rsid w:val="00115312"/>
    <w:rsid w:val="0011532F"/>
    <w:rsid w:val="00115568"/>
    <w:rsid w:val="001158F0"/>
    <w:rsid w:val="00116F9A"/>
    <w:rsid w:val="00116FF7"/>
    <w:rsid w:val="00117291"/>
    <w:rsid w:val="00117514"/>
    <w:rsid w:val="001176B4"/>
    <w:rsid w:val="001176E9"/>
    <w:rsid w:val="001178D8"/>
    <w:rsid w:val="00117C27"/>
    <w:rsid w:val="00117D72"/>
    <w:rsid w:val="001203AE"/>
    <w:rsid w:val="00120799"/>
    <w:rsid w:val="00120EA6"/>
    <w:rsid w:val="001214B2"/>
    <w:rsid w:val="001214FB"/>
    <w:rsid w:val="001217CB"/>
    <w:rsid w:val="00121E37"/>
    <w:rsid w:val="00122253"/>
    <w:rsid w:val="00122847"/>
    <w:rsid w:val="00122BFE"/>
    <w:rsid w:val="00122D77"/>
    <w:rsid w:val="0012306C"/>
    <w:rsid w:val="00123707"/>
    <w:rsid w:val="00123994"/>
    <w:rsid w:val="001239E8"/>
    <w:rsid w:val="001246F3"/>
    <w:rsid w:val="00124B78"/>
    <w:rsid w:val="00124D5D"/>
    <w:rsid w:val="00124EA4"/>
    <w:rsid w:val="00125441"/>
    <w:rsid w:val="00125879"/>
    <w:rsid w:val="0012591E"/>
    <w:rsid w:val="00125C85"/>
    <w:rsid w:val="00125D53"/>
    <w:rsid w:val="00125FE7"/>
    <w:rsid w:val="0012607A"/>
    <w:rsid w:val="00126186"/>
    <w:rsid w:val="001263D7"/>
    <w:rsid w:val="00126943"/>
    <w:rsid w:val="00126DE3"/>
    <w:rsid w:val="00126EFA"/>
    <w:rsid w:val="0012715D"/>
    <w:rsid w:val="00127363"/>
    <w:rsid w:val="001273C4"/>
    <w:rsid w:val="001279F9"/>
    <w:rsid w:val="00127AA3"/>
    <w:rsid w:val="00127CA9"/>
    <w:rsid w:val="001302CC"/>
    <w:rsid w:val="0013031C"/>
    <w:rsid w:val="0013042C"/>
    <w:rsid w:val="00130495"/>
    <w:rsid w:val="00130648"/>
    <w:rsid w:val="00130AD5"/>
    <w:rsid w:val="00130B01"/>
    <w:rsid w:val="00130B44"/>
    <w:rsid w:val="00130D24"/>
    <w:rsid w:val="00130F53"/>
    <w:rsid w:val="00130F6E"/>
    <w:rsid w:val="0013111A"/>
    <w:rsid w:val="00131140"/>
    <w:rsid w:val="001316D7"/>
    <w:rsid w:val="001317A0"/>
    <w:rsid w:val="00131895"/>
    <w:rsid w:val="001320D4"/>
    <w:rsid w:val="001324EC"/>
    <w:rsid w:val="00133128"/>
    <w:rsid w:val="001333E5"/>
    <w:rsid w:val="00133662"/>
    <w:rsid w:val="00133825"/>
    <w:rsid w:val="00133A8D"/>
    <w:rsid w:val="00133FA5"/>
    <w:rsid w:val="001341F5"/>
    <w:rsid w:val="0013468D"/>
    <w:rsid w:val="001346B4"/>
    <w:rsid w:val="0013485E"/>
    <w:rsid w:val="001349E0"/>
    <w:rsid w:val="00134A3D"/>
    <w:rsid w:val="001353E6"/>
    <w:rsid w:val="00135585"/>
    <w:rsid w:val="0013575F"/>
    <w:rsid w:val="001358F1"/>
    <w:rsid w:val="00135E02"/>
    <w:rsid w:val="0013708B"/>
    <w:rsid w:val="001372D7"/>
    <w:rsid w:val="00137789"/>
    <w:rsid w:val="00137928"/>
    <w:rsid w:val="00137B1B"/>
    <w:rsid w:val="00137CA8"/>
    <w:rsid w:val="00137F23"/>
    <w:rsid w:val="00140038"/>
    <w:rsid w:val="00140185"/>
    <w:rsid w:val="00140573"/>
    <w:rsid w:val="00140654"/>
    <w:rsid w:val="00140C12"/>
    <w:rsid w:val="00140C17"/>
    <w:rsid w:val="00140D15"/>
    <w:rsid w:val="00140E14"/>
    <w:rsid w:val="00140F50"/>
    <w:rsid w:val="00141210"/>
    <w:rsid w:val="001412E5"/>
    <w:rsid w:val="001415B8"/>
    <w:rsid w:val="0014188E"/>
    <w:rsid w:val="001419E2"/>
    <w:rsid w:val="00141AA4"/>
    <w:rsid w:val="00141B06"/>
    <w:rsid w:val="00141D60"/>
    <w:rsid w:val="0014200D"/>
    <w:rsid w:val="00142285"/>
    <w:rsid w:val="0014254D"/>
    <w:rsid w:val="001428F3"/>
    <w:rsid w:val="001429FA"/>
    <w:rsid w:val="00142BE7"/>
    <w:rsid w:val="00142FAB"/>
    <w:rsid w:val="0014300A"/>
    <w:rsid w:val="00143063"/>
    <w:rsid w:val="001431A4"/>
    <w:rsid w:val="001433BE"/>
    <w:rsid w:val="00143893"/>
    <w:rsid w:val="00143895"/>
    <w:rsid w:val="00143A51"/>
    <w:rsid w:val="00143A58"/>
    <w:rsid w:val="00143DB1"/>
    <w:rsid w:val="00143DDC"/>
    <w:rsid w:val="001442F1"/>
    <w:rsid w:val="0014499A"/>
    <w:rsid w:val="00144A0B"/>
    <w:rsid w:val="00144D58"/>
    <w:rsid w:val="00144EB4"/>
    <w:rsid w:val="001450A2"/>
    <w:rsid w:val="0014524F"/>
    <w:rsid w:val="00145259"/>
    <w:rsid w:val="00145509"/>
    <w:rsid w:val="001455C3"/>
    <w:rsid w:val="00145798"/>
    <w:rsid w:val="001458BC"/>
    <w:rsid w:val="00145A91"/>
    <w:rsid w:val="00145AE0"/>
    <w:rsid w:val="001465EA"/>
    <w:rsid w:val="00146708"/>
    <w:rsid w:val="00146BFB"/>
    <w:rsid w:val="00146C81"/>
    <w:rsid w:val="00146CD6"/>
    <w:rsid w:val="00146D8D"/>
    <w:rsid w:val="0014710C"/>
    <w:rsid w:val="0014750D"/>
    <w:rsid w:val="0014774F"/>
    <w:rsid w:val="001479B1"/>
    <w:rsid w:val="00147BE1"/>
    <w:rsid w:val="00147BFF"/>
    <w:rsid w:val="00147F55"/>
    <w:rsid w:val="00147FB2"/>
    <w:rsid w:val="00150300"/>
    <w:rsid w:val="0015033A"/>
    <w:rsid w:val="001503B1"/>
    <w:rsid w:val="00150675"/>
    <w:rsid w:val="00151ABF"/>
    <w:rsid w:val="00151D89"/>
    <w:rsid w:val="00152100"/>
    <w:rsid w:val="001525DB"/>
    <w:rsid w:val="00152EFA"/>
    <w:rsid w:val="001530D6"/>
    <w:rsid w:val="00153121"/>
    <w:rsid w:val="00153514"/>
    <w:rsid w:val="0015398F"/>
    <w:rsid w:val="00153BBF"/>
    <w:rsid w:val="00153C4D"/>
    <w:rsid w:val="00153FD2"/>
    <w:rsid w:val="001544FF"/>
    <w:rsid w:val="00154913"/>
    <w:rsid w:val="00154B49"/>
    <w:rsid w:val="001550E8"/>
    <w:rsid w:val="00155135"/>
    <w:rsid w:val="001552F6"/>
    <w:rsid w:val="001555D6"/>
    <w:rsid w:val="00155820"/>
    <w:rsid w:val="00155C9E"/>
    <w:rsid w:val="0015646F"/>
    <w:rsid w:val="00156859"/>
    <w:rsid w:val="0015692D"/>
    <w:rsid w:val="00156D16"/>
    <w:rsid w:val="0015712D"/>
    <w:rsid w:val="00157BEF"/>
    <w:rsid w:val="00157DCC"/>
    <w:rsid w:val="001603FF"/>
    <w:rsid w:val="00160452"/>
    <w:rsid w:val="00160761"/>
    <w:rsid w:val="00160D13"/>
    <w:rsid w:val="00160E43"/>
    <w:rsid w:val="00160F57"/>
    <w:rsid w:val="00161324"/>
    <w:rsid w:val="00161B4A"/>
    <w:rsid w:val="00161B8B"/>
    <w:rsid w:val="00161F5D"/>
    <w:rsid w:val="00162196"/>
    <w:rsid w:val="0016230E"/>
    <w:rsid w:val="0016243D"/>
    <w:rsid w:val="0016247E"/>
    <w:rsid w:val="001624A7"/>
    <w:rsid w:val="0016271D"/>
    <w:rsid w:val="001628CD"/>
    <w:rsid w:val="00162928"/>
    <w:rsid w:val="00162B88"/>
    <w:rsid w:val="0016314A"/>
    <w:rsid w:val="0016350A"/>
    <w:rsid w:val="00163C39"/>
    <w:rsid w:val="00163C4A"/>
    <w:rsid w:val="00163F13"/>
    <w:rsid w:val="00164043"/>
    <w:rsid w:val="001645B3"/>
    <w:rsid w:val="001647C1"/>
    <w:rsid w:val="00164E34"/>
    <w:rsid w:val="00164EDF"/>
    <w:rsid w:val="00164FE0"/>
    <w:rsid w:val="00165002"/>
    <w:rsid w:val="001654F6"/>
    <w:rsid w:val="00165813"/>
    <w:rsid w:val="0016686F"/>
    <w:rsid w:val="00166B64"/>
    <w:rsid w:val="0016725F"/>
    <w:rsid w:val="00167B2A"/>
    <w:rsid w:val="00167E78"/>
    <w:rsid w:val="001702C4"/>
    <w:rsid w:val="001705B7"/>
    <w:rsid w:val="001706D7"/>
    <w:rsid w:val="00170717"/>
    <w:rsid w:val="0017093A"/>
    <w:rsid w:val="00170B46"/>
    <w:rsid w:val="00170CD1"/>
    <w:rsid w:val="00170CEB"/>
    <w:rsid w:val="00171806"/>
    <w:rsid w:val="001719B3"/>
    <w:rsid w:val="00171A53"/>
    <w:rsid w:val="00171B8C"/>
    <w:rsid w:val="00171CFA"/>
    <w:rsid w:val="00171FC7"/>
    <w:rsid w:val="00172756"/>
    <w:rsid w:val="001728A5"/>
    <w:rsid w:val="00172D3B"/>
    <w:rsid w:val="00172D93"/>
    <w:rsid w:val="00172FA1"/>
    <w:rsid w:val="00173048"/>
    <w:rsid w:val="0017367D"/>
    <w:rsid w:val="00174536"/>
    <w:rsid w:val="00174A82"/>
    <w:rsid w:val="00174C1E"/>
    <w:rsid w:val="00174CBB"/>
    <w:rsid w:val="00175429"/>
    <w:rsid w:val="001755CA"/>
    <w:rsid w:val="00175691"/>
    <w:rsid w:val="00175AFF"/>
    <w:rsid w:val="00176377"/>
    <w:rsid w:val="00176716"/>
    <w:rsid w:val="0017680D"/>
    <w:rsid w:val="001769AB"/>
    <w:rsid w:val="00176BA6"/>
    <w:rsid w:val="00176C84"/>
    <w:rsid w:val="00177069"/>
    <w:rsid w:val="00177987"/>
    <w:rsid w:val="00177A89"/>
    <w:rsid w:val="00177BE4"/>
    <w:rsid w:val="00177F02"/>
    <w:rsid w:val="00177FF7"/>
    <w:rsid w:val="00180295"/>
    <w:rsid w:val="00180A95"/>
    <w:rsid w:val="00180C91"/>
    <w:rsid w:val="001810C7"/>
    <w:rsid w:val="001811A5"/>
    <w:rsid w:val="001814EC"/>
    <w:rsid w:val="00181942"/>
    <w:rsid w:val="00181AB2"/>
    <w:rsid w:val="00181ADE"/>
    <w:rsid w:val="00181B0D"/>
    <w:rsid w:val="00181B39"/>
    <w:rsid w:val="001822C4"/>
    <w:rsid w:val="00182C18"/>
    <w:rsid w:val="00182D1F"/>
    <w:rsid w:val="00182ED0"/>
    <w:rsid w:val="0018308E"/>
    <w:rsid w:val="0018337A"/>
    <w:rsid w:val="00183A45"/>
    <w:rsid w:val="00183B2F"/>
    <w:rsid w:val="00183B4B"/>
    <w:rsid w:val="00183E4D"/>
    <w:rsid w:val="00183FF4"/>
    <w:rsid w:val="00184148"/>
    <w:rsid w:val="0018480C"/>
    <w:rsid w:val="001850C0"/>
    <w:rsid w:val="00185497"/>
    <w:rsid w:val="00185A14"/>
    <w:rsid w:val="00185AAE"/>
    <w:rsid w:val="00185C33"/>
    <w:rsid w:val="00185DC1"/>
    <w:rsid w:val="00185E19"/>
    <w:rsid w:val="00186246"/>
    <w:rsid w:val="001866BF"/>
    <w:rsid w:val="0018690B"/>
    <w:rsid w:val="00186A92"/>
    <w:rsid w:val="00186AA4"/>
    <w:rsid w:val="00186C9F"/>
    <w:rsid w:val="00187020"/>
    <w:rsid w:val="001870D1"/>
    <w:rsid w:val="001877E8"/>
    <w:rsid w:val="00187CA6"/>
    <w:rsid w:val="00187CF5"/>
    <w:rsid w:val="00190510"/>
    <w:rsid w:val="0019059F"/>
    <w:rsid w:val="00190D6F"/>
    <w:rsid w:val="00190E47"/>
    <w:rsid w:val="00190E57"/>
    <w:rsid w:val="00191577"/>
    <w:rsid w:val="0019204F"/>
    <w:rsid w:val="001925B9"/>
    <w:rsid w:val="001926D6"/>
    <w:rsid w:val="00192AA4"/>
    <w:rsid w:val="00192B76"/>
    <w:rsid w:val="00192CC3"/>
    <w:rsid w:val="00192F46"/>
    <w:rsid w:val="00192FB6"/>
    <w:rsid w:val="001930AF"/>
    <w:rsid w:val="001932BF"/>
    <w:rsid w:val="00193751"/>
    <w:rsid w:val="001937F6"/>
    <w:rsid w:val="001937FC"/>
    <w:rsid w:val="00193AB1"/>
    <w:rsid w:val="00193B87"/>
    <w:rsid w:val="00193CE5"/>
    <w:rsid w:val="00193DE2"/>
    <w:rsid w:val="00193E3B"/>
    <w:rsid w:val="00193E84"/>
    <w:rsid w:val="00193EC8"/>
    <w:rsid w:val="00194025"/>
    <w:rsid w:val="001941FC"/>
    <w:rsid w:val="0019554C"/>
    <w:rsid w:val="00195BF9"/>
    <w:rsid w:val="00195CBC"/>
    <w:rsid w:val="0019624D"/>
    <w:rsid w:val="001963F1"/>
    <w:rsid w:val="00196816"/>
    <w:rsid w:val="00196EED"/>
    <w:rsid w:val="00196F63"/>
    <w:rsid w:val="00196FCD"/>
    <w:rsid w:val="00196FD6"/>
    <w:rsid w:val="001A0148"/>
    <w:rsid w:val="001A0EEA"/>
    <w:rsid w:val="001A1153"/>
    <w:rsid w:val="001A12A4"/>
    <w:rsid w:val="001A1623"/>
    <w:rsid w:val="001A1860"/>
    <w:rsid w:val="001A1BDB"/>
    <w:rsid w:val="001A1C91"/>
    <w:rsid w:val="001A1E0A"/>
    <w:rsid w:val="001A27B7"/>
    <w:rsid w:val="001A281A"/>
    <w:rsid w:val="001A2CC1"/>
    <w:rsid w:val="001A3113"/>
    <w:rsid w:val="001A31BB"/>
    <w:rsid w:val="001A3319"/>
    <w:rsid w:val="001A361C"/>
    <w:rsid w:val="001A41E3"/>
    <w:rsid w:val="001A43AC"/>
    <w:rsid w:val="001A4B24"/>
    <w:rsid w:val="001A4BD8"/>
    <w:rsid w:val="001A4D96"/>
    <w:rsid w:val="001A4FAC"/>
    <w:rsid w:val="001A589C"/>
    <w:rsid w:val="001A5972"/>
    <w:rsid w:val="001A59BF"/>
    <w:rsid w:val="001A5C3F"/>
    <w:rsid w:val="001A5EF8"/>
    <w:rsid w:val="001A652C"/>
    <w:rsid w:val="001A6B50"/>
    <w:rsid w:val="001A6B5E"/>
    <w:rsid w:val="001A6B84"/>
    <w:rsid w:val="001A6C1A"/>
    <w:rsid w:val="001A73C9"/>
    <w:rsid w:val="001B0D83"/>
    <w:rsid w:val="001B2063"/>
    <w:rsid w:val="001B2430"/>
    <w:rsid w:val="001B25E1"/>
    <w:rsid w:val="001B25F4"/>
    <w:rsid w:val="001B279B"/>
    <w:rsid w:val="001B2A0B"/>
    <w:rsid w:val="001B2A7E"/>
    <w:rsid w:val="001B33AE"/>
    <w:rsid w:val="001B35B1"/>
    <w:rsid w:val="001B361B"/>
    <w:rsid w:val="001B3A2C"/>
    <w:rsid w:val="001B3A9D"/>
    <w:rsid w:val="001B3D0D"/>
    <w:rsid w:val="001B45BF"/>
    <w:rsid w:val="001B49CC"/>
    <w:rsid w:val="001B4CC7"/>
    <w:rsid w:val="001B4DDE"/>
    <w:rsid w:val="001B4E96"/>
    <w:rsid w:val="001B51C9"/>
    <w:rsid w:val="001B576E"/>
    <w:rsid w:val="001B57EA"/>
    <w:rsid w:val="001B5C73"/>
    <w:rsid w:val="001B5EDE"/>
    <w:rsid w:val="001B600A"/>
    <w:rsid w:val="001B601D"/>
    <w:rsid w:val="001B60A6"/>
    <w:rsid w:val="001B6A91"/>
    <w:rsid w:val="001B6D1F"/>
    <w:rsid w:val="001B7309"/>
    <w:rsid w:val="001B7522"/>
    <w:rsid w:val="001B791D"/>
    <w:rsid w:val="001B7947"/>
    <w:rsid w:val="001B79C4"/>
    <w:rsid w:val="001C011D"/>
    <w:rsid w:val="001C0441"/>
    <w:rsid w:val="001C0511"/>
    <w:rsid w:val="001C0761"/>
    <w:rsid w:val="001C0CEF"/>
    <w:rsid w:val="001C0F86"/>
    <w:rsid w:val="001C1129"/>
    <w:rsid w:val="001C192E"/>
    <w:rsid w:val="001C197E"/>
    <w:rsid w:val="001C1A17"/>
    <w:rsid w:val="001C1BF1"/>
    <w:rsid w:val="001C2957"/>
    <w:rsid w:val="001C2D9A"/>
    <w:rsid w:val="001C2E1E"/>
    <w:rsid w:val="001C3249"/>
    <w:rsid w:val="001C360E"/>
    <w:rsid w:val="001C3A68"/>
    <w:rsid w:val="001C3C5F"/>
    <w:rsid w:val="001C3E29"/>
    <w:rsid w:val="001C42E3"/>
    <w:rsid w:val="001C464C"/>
    <w:rsid w:val="001C4872"/>
    <w:rsid w:val="001C4A9A"/>
    <w:rsid w:val="001C4E5C"/>
    <w:rsid w:val="001C58AF"/>
    <w:rsid w:val="001C62B6"/>
    <w:rsid w:val="001C645C"/>
    <w:rsid w:val="001C68C7"/>
    <w:rsid w:val="001C69A9"/>
    <w:rsid w:val="001C69AC"/>
    <w:rsid w:val="001C6A22"/>
    <w:rsid w:val="001C6D80"/>
    <w:rsid w:val="001C6E82"/>
    <w:rsid w:val="001C75A6"/>
    <w:rsid w:val="001C7B87"/>
    <w:rsid w:val="001D003A"/>
    <w:rsid w:val="001D0548"/>
    <w:rsid w:val="001D08EE"/>
    <w:rsid w:val="001D0E71"/>
    <w:rsid w:val="001D102B"/>
    <w:rsid w:val="001D152F"/>
    <w:rsid w:val="001D1546"/>
    <w:rsid w:val="001D169C"/>
    <w:rsid w:val="001D1AD6"/>
    <w:rsid w:val="001D1BF1"/>
    <w:rsid w:val="001D1CC7"/>
    <w:rsid w:val="001D1DDF"/>
    <w:rsid w:val="001D2001"/>
    <w:rsid w:val="001D22EB"/>
    <w:rsid w:val="001D269C"/>
    <w:rsid w:val="001D3018"/>
    <w:rsid w:val="001D388C"/>
    <w:rsid w:val="001D396E"/>
    <w:rsid w:val="001D3A9B"/>
    <w:rsid w:val="001D3AA3"/>
    <w:rsid w:val="001D3EA1"/>
    <w:rsid w:val="001D48F3"/>
    <w:rsid w:val="001D5263"/>
    <w:rsid w:val="001D5380"/>
    <w:rsid w:val="001D53A0"/>
    <w:rsid w:val="001D565B"/>
    <w:rsid w:val="001D5676"/>
    <w:rsid w:val="001D5AA7"/>
    <w:rsid w:val="001D5C4C"/>
    <w:rsid w:val="001D62B4"/>
    <w:rsid w:val="001D6423"/>
    <w:rsid w:val="001D646C"/>
    <w:rsid w:val="001D6BA0"/>
    <w:rsid w:val="001D6C21"/>
    <w:rsid w:val="001D778E"/>
    <w:rsid w:val="001D7A0B"/>
    <w:rsid w:val="001D7B2F"/>
    <w:rsid w:val="001D7CCE"/>
    <w:rsid w:val="001D7CD1"/>
    <w:rsid w:val="001D7D4A"/>
    <w:rsid w:val="001E009C"/>
    <w:rsid w:val="001E025C"/>
    <w:rsid w:val="001E06B5"/>
    <w:rsid w:val="001E0C2D"/>
    <w:rsid w:val="001E0EA2"/>
    <w:rsid w:val="001E0EBE"/>
    <w:rsid w:val="001E10FA"/>
    <w:rsid w:val="001E170A"/>
    <w:rsid w:val="001E17C1"/>
    <w:rsid w:val="001E1860"/>
    <w:rsid w:val="001E1B6F"/>
    <w:rsid w:val="001E25DF"/>
    <w:rsid w:val="001E287C"/>
    <w:rsid w:val="001E28D2"/>
    <w:rsid w:val="001E2A5B"/>
    <w:rsid w:val="001E2AF7"/>
    <w:rsid w:val="001E2DFB"/>
    <w:rsid w:val="001E31DA"/>
    <w:rsid w:val="001E31F3"/>
    <w:rsid w:val="001E32B9"/>
    <w:rsid w:val="001E3578"/>
    <w:rsid w:val="001E3645"/>
    <w:rsid w:val="001E384A"/>
    <w:rsid w:val="001E3946"/>
    <w:rsid w:val="001E3963"/>
    <w:rsid w:val="001E3AA0"/>
    <w:rsid w:val="001E3CF1"/>
    <w:rsid w:val="001E4217"/>
    <w:rsid w:val="001E4486"/>
    <w:rsid w:val="001E4737"/>
    <w:rsid w:val="001E4BD6"/>
    <w:rsid w:val="001E4F09"/>
    <w:rsid w:val="001E5397"/>
    <w:rsid w:val="001E54C8"/>
    <w:rsid w:val="001E55CD"/>
    <w:rsid w:val="001E5BF0"/>
    <w:rsid w:val="001E605C"/>
    <w:rsid w:val="001E65D9"/>
    <w:rsid w:val="001E66FC"/>
    <w:rsid w:val="001E6B07"/>
    <w:rsid w:val="001E6B99"/>
    <w:rsid w:val="001E6E76"/>
    <w:rsid w:val="001E705F"/>
    <w:rsid w:val="001E709D"/>
    <w:rsid w:val="001E71F5"/>
    <w:rsid w:val="001E738D"/>
    <w:rsid w:val="001E7F65"/>
    <w:rsid w:val="001F0041"/>
    <w:rsid w:val="001F0369"/>
    <w:rsid w:val="001F069E"/>
    <w:rsid w:val="001F0799"/>
    <w:rsid w:val="001F097B"/>
    <w:rsid w:val="001F0FDD"/>
    <w:rsid w:val="001F11D2"/>
    <w:rsid w:val="001F11EB"/>
    <w:rsid w:val="001F199A"/>
    <w:rsid w:val="001F1C68"/>
    <w:rsid w:val="001F1C78"/>
    <w:rsid w:val="001F2743"/>
    <w:rsid w:val="001F2819"/>
    <w:rsid w:val="001F289A"/>
    <w:rsid w:val="001F301C"/>
    <w:rsid w:val="001F35DE"/>
    <w:rsid w:val="001F3ECF"/>
    <w:rsid w:val="001F40A7"/>
    <w:rsid w:val="001F44A0"/>
    <w:rsid w:val="001F5116"/>
    <w:rsid w:val="001F5434"/>
    <w:rsid w:val="001F579B"/>
    <w:rsid w:val="001F5B33"/>
    <w:rsid w:val="001F5E47"/>
    <w:rsid w:val="001F61E5"/>
    <w:rsid w:val="001F622B"/>
    <w:rsid w:val="001F6789"/>
    <w:rsid w:val="001F686A"/>
    <w:rsid w:val="001F6CF7"/>
    <w:rsid w:val="001F6E99"/>
    <w:rsid w:val="001F7690"/>
    <w:rsid w:val="001F76F2"/>
    <w:rsid w:val="001F79B5"/>
    <w:rsid w:val="0020001C"/>
    <w:rsid w:val="0020018B"/>
    <w:rsid w:val="002002F1"/>
    <w:rsid w:val="00200315"/>
    <w:rsid w:val="002003A2"/>
    <w:rsid w:val="00200432"/>
    <w:rsid w:val="0020044D"/>
    <w:rsid w:val="0020064E"/>
    <w:rsid w:val="00200DE0"/>
    <w:rsid w:val="00201275"/>
    <w:rsid w:val="002016B4"/>
    <w:rsid w:val="002017E7"/>
    <w:rsid w:val="00201A06"/>
    <w:rsid w:val="0020219E"/>
    <w:rsid w:val="0020228D"/>
    <w:rsid w:val="002023A3"/>
    <w:rsid w:val="00202B51"/>
    <w:rsid w:val="00203947"/>
    <w:rsid w:val="00203DD7"/>
    <w:rsid w:val="00204B96"/>
    <w:rsid w:val="00205356"/>
    <w:rsid w:val="00205A91"/>
    <w:rsid w:val="00205AE2"/>
    <w:rsid w:val="00205E54"/>
    <w:rsid w:val="002067B1"/>
    <w:rsid w:val="00206886"/>
    <w:rsid w:val="002068C1"/>
    <w:rsid w:val="00206C27"/>
    <w:rsid w:val="00207278"/>
    <w:rsid w:val="00207AAF"/>
    <w:rsid w:val="00207B1E"/>
    <w:rsid w:val="00207B7F"/>
    <w:rsid w:val="00207C1C"/>
    <w:rsid w:val="00210407"/>
    <w:rsid w:val="002106B9"/>
    <w:rsid w:val="00210C5E"/>
    <w:rsid w:val="00210FF4"/>
    <w:rsid w:val="00211DCE"/>
    <w:rsid w:val="002120D8"/>
    <w:rsid w:val="00212330"/>
    <w:rsid w:val="0021273B"/>
    <w:rsid w:val="0021294E"/>
    <w:rsid w:val="00212D8E"/>
    <w:rsid w:val="00212E6A"/>
    <w:rsid w:val="00212EE0"/>
    <w:rsid w:val="00212EFC"/>
    <w:rsid w:val="0021311F"/>
    <w:rsid w:val="00213374"/>
    <w:rsid w:val="002133C9"/>
    <w:rsid w:val="0021352C"/>
    <w:rsid w:val="0021376A"/>
    <w:rsid w:val="0021388F"/>
    <w:rsid w:val="00213B43"/>
    <w:rsid w:val="00213B66"/>
    <w:rsid w:val="00213CA2"/>
    <w:rsid w:val="00213EA5"/>
    <w:rsid w:val="00213ECD"/>
    <w:rsid w:val="00213EED"/>
    <w:rsid w:val="002140A4"/>
    <w:rsid w:val="002145C8"/>
    <w:rsid w:val="00214C6A"/>
    <w:rsid w:val="00214F43"/>
    <w:rsid w:val="00214F7B"/>
    <w:rsid w:val="00215618"/>
    <w:rsid w:val="00215807"/>
    <w:rsid w:val="00215DBC"/>
    <w:rsid w:val="002161EB"/>
    <w:rsid w:val="0021639E"/>
    <w:rsid w:val="002165BB"/>
    <w:rsid w:val="002168D5"/>
    <w:rsid w:val="00216A34"/>
    <w:rsid w:val="00216D21"/>
    <w:rsid w:val="00217A8E"/>
    <w:rsid w:val="00217B73"/>
    <w:rsid w:val="00220029"/>
    <w:rsid w:val="0022035F"/>
    <w:rsid w:val="00220A74"/>
    <w:rsid w:val="00220CBB"/>
    <w:rsid w:val="0022114B"/>
    <w:rsid w:val="00221154"/>
    <w:rsid w:val="002217FB"/>
    <w:rsid w:val="002219B8"/>
    <w:rsid w:val="002221F6"/>
    <w:rsid w:val="00222419"/>
    <w:rsid w:val="0022247B"/>
    <w:rsid w:val="00222570"/>
    <w:rsid w:val="002226F6"/>
    <w:rsid w:val="002228C4"/>
    <w:rsid w:val="00222A28"/>
    <w:rsid w:val="0022318A"/>
    <w:rsid w:val="00223476"/>
    <w:rsid w:val="0022359D"/>
    <w:rsid w:val="00223824"/>
    <w:rsid w:val="002239E3"/>
    <w:rsid w:val="00223CAC"/>
    <w:rsid w:val="002243D3"/>
    <w:rsid w:val="002245F8"/>
    <w:rsid w:val="00224E39"/>
    <w:rsid w:val="002251C3"/>
    <w:rsid w:val="0022525A"/>
    <w:rsid w:val="002258A0"/>
    <w:rsid w:val="00225B70"/>
    <w:rsid w:val="00225FEC"/>
    <w:rsid w:val="00226063"/>
    <w:rsid w:val="00226179"/>
    <w:rsid w:val="002264CB"/>
    <w:rsid w:val="0022659F"/>
    <w:rsid w:val="002265DA"/>
    <w:rsid w:val="0022719F"/>
    <w:rsid w:val="0022768B"/>
    <w:rsid w:val="00227788"/>
    <w:rsid w:val="00227CE6"/>
    <w:rsid w:val="00227DC8"/>
    <w:rsid w:val="0023007B"/>
    <w:rsid w:val="0023020D"/>
    <w:rsid w:val="0023050C"/>
    <w:rsid w:val="002305D6"/>
    <w:rsid w:val="002305E3"/>
    <w:rsid w:val="00230718"/>
    <w:rsid w:val="00230999"/>
    <w:rsid w:val="002309D7"/>
    <w:rsid w:val="00231320"/>
    <w:rsid w:val="0023168C"/>
    <w:rsid w:val="00231B9E"/>
    <w:rsid w:val="0023205F"/>
    <w:rsid w:val="0023225E"/>
    <w:rsid w:val="00232586"/>
    <w:rsid w:val="00232730"/>
    <w:rsid w:val="0023297A"/>
    <w:rsid w:val="00232C74"/>
    <w:rsid w:val="00233065"/>
    <w:rsid w:val="002338F0"/>
    <w:rsid w:val="002339E3"/>
    <w:rsid w:val="00233ADB"/>
    <w:rsid w:val="002345B1"/>
    <w:rsid w:val="002349F9"/>
    <w:rsid w:val="00234D1D"/>
    <w:rsid w:val="00234D9B"/>
    <w:rsid w:val="0023506B"/>
    <w:rsid w:val="00235ECB"/>
    <w:rsid w:val="0023643C"/>
    <w:rsid w:val="002368EB"/>
    <w:rsid w:val="00236A7B"/>
    <w:rsid w:val="00236B1B"/>
    <w:rsid w:val="00236D01"/>
    <w:rsid w:val="00236D26"/>
    <w:rsid w:val="002371C0"/>
    <w:rsid w:val="00240168"/>
    <w:rsid w:val="0024027B"/>
    <w:rsid w:val="002407F1"/>
    <w:rsid w:val="00240D9D"/>
    <w:rsid w:val="00240E92"/>
    <w:rsid w:val="00241004"/>
    <w:rsid w:val="00241979"/>
    <w:rsid w:val="00241A8C"/>
    <w:rsid w:val="00241E85"/>
    <w:rsid w:val="002422FA"/>
    <w:rsid w:val="002425EC"/>
    <w:rsid w:val="00242920"/>
    <w:rsid w:val="002429F4"/>
    <w:rsid w:val="00242BED"/>
    <w:rsid w:val="00242D36"/>
    <w:rsid w:val="00242F8E"/>
    <w:rsid w:val="00242FE6"/>
    <w:rsid w:val="00243503"/>
    <w:rsid w:val="00243530"/>
    <w:rsid w:val="002436E9"/>
    <w:rsid w:val="0024380D"/>
    <w:rsid w:val="00243AC8"/>
    <w:rsid w:val="00243F03"/>
    <w:rsid w:val="002440A5"/>
    <w:rsid w:val="00244533"/>
    <w:rsid w:val="00244875"/>
    <w:rsid w:val="002452F1"/>
    <w:rsid w:val="00245415"/>
    <w:rsid w:val="00245CC6"/>
    <w:rsid w:val="002461B6"/>
    <w:rsid w:val="002465C9"/>
    <w:rsid w:val="00246647"/>
    <w:rsid w:val="00246BCE"/>
    <w:rsid w:val="00247551"/>
    <w:rsid w:val="00247672"/>
    <w:rsid w:val="00247F76"/>
    <w:rsid w:val="0025076A"/>
    <w:rsid w:val="002509F3"/>
    <w:rsid w:val="00250AD3"/>
    <w:rsid w:val="00250E0F"/>
    <w:rsid w:val="00251081"/>
    <w:rsid w:val="0025138F"/>
    <w:rsid w:val="00251C9D"/>
    <w:rsid w:val="00251E8F"/>
    <w:rsid w:val="0025242F"/>
    <w:rsid w:val="002528E9"/>
    <w:rsid w:val="00252AEB"/>
    <w:rsid w:val="00252BAA"/>
    <w:rsid w:val="00252D88"/>
    <w:rsid w:val="00252E96"/>
    <w:rsid w:val="002530FF"/>
    <w:rsid w:val="00253384"/>
    <w:rsid w:val="0025353D"/>
    <w:rsid w:val="002536E5"/>
    <w:rsid w:val="00253941"/>
    <w:rsid w:val="002540C2"/>
    <w:rsid w:val="002540E4"/>
    <w:rsid w:val="00254906"/>
    <w:rsid w:val="00254D43"/>
    <w:rsid w:val="00255740"/>
    <w:rsid w:val="00255B28"/>
    <w:rsid w:val="00255C7C"/>
    <w:rsid w:val="00255F4E"/>
    <w:rsid w:val="00256C93"/>
    <w:rsid w:val="00256EC8"/>
    <w:rsid w:val="00257377"/>
    <w:rsid w:val="002579B5"/>
    <w:rsid w:val="00257A4F"/>
    <w:rsid w:val="00257B8F"/>
    <w:rsid w:val="00257F14"/>
    <w:rsid w:val="00260466"/>
    <w:rsid w:val="002604D1"/>
    <w:rsid w:val="002606A3"/>
    <w:rsid w:val="00260983"/>
    <w:rsid w:val="002611B2"/>
    <w:rsid w:val="002615A7"/>
    <w:rsid w:val="00261CCC"/>
    <w:rsid w:val="00261E92"/>
    <w:rsid w:val="00262853"/>
    <w:rsid w:val="00262D6F"/>
    <w:rsid w:val="00262DBC"/>
    <w:rsid w:val="00262FC1"/>
    <w:rsid w:val="0026308E"/>
    <w:rsid w:val="0026326C"/>
    <w:rsid w:val="002639BB"/>
    <w:rsid w:val="002644DF"/>
    <w:rsid w:val="002644E5"/>
    <w:rsid w:val="002646F0"/>
    <w:rsid w:val="002648F6"/>
    <w:rsid w:val="00264CC5"/>
    <w:rsid w:val="00264E3C"/>
    <w:rsid w:val="002655A7"/>
    <w:rsid w:val="002656BE"/>
    <w:rsid w:val="0026653C"/>
    <w:rsid w:val="00266665"/>
    <w:rsid w:val="002666EA"/>
    <w:rsid w:val="00266B0C"/>
    <w:rsid w:val="002670EF"/>
    <w:rsid w:val="0026730F"/>
    <w:rsid w:val="002679CF"/>
    <w:rsid w:val="002707B7"/>
    <w:rsid w:val="00270A82"/>
    <w:rsid w:val="002710B9"/>
    <w:rsid w:val="002711DC"/>
    <w:rsid w:val="002718FF"/>
    <w:rsid w:val="0027190B"/>
    <w:rsid w:val="00271AD3"/>
    <w:rsid w:val="00271AF4"/>
    <w:rsid w:val="00271E8A"/>
    <w:rsid w:val="002720B6"/>
    <w:rsid w:val="00272257"/>
    <w:rsid w:val="00272259"/>
    <w:rsid w:val="00272265"/>
    <w:rsid w:val="00272585"/>
    <w:rsid w:val="0027261C"/>
    <w:rsid w:val="00272E24"/>
    <w:rsid w:val="00273148"/>
    <w:rsid w:val="00273362"/>
    <w:rsid w:val="002735E7"/>
    <w:rsid w:val="00273978"/>
    <w:rsid w:val="00273AE5"/>
    <w:rsid w:val="00273B16"/>
    <w:rsid w:val="00273B9D"/>
    <w:rsid w:val="00273D00"/>
    <w:rsid w:val="00274085"/>
    <w:rsid w:val="002740F9"/>
    <w:rsid w:val="00274733"/>
    <w:rsid w:val="00274872"/>
    <w:rsid w:val="00274895"/>
    <w:rsid w:val="00274924"/>
    <w:rsid w:val="00274B9F"/>
    <w:rsid w:val="00274CAF"/>
    <w:rsid w:val="00274F96"/>
    <w:rsid w:val="00275321"/>
    <w:rsid w:val="00275668"/>
    <w:rsid w:val="002757F4"/>
    <w:rsid w:val="00275DB8"/>
    <w:rsid w:val="00275DD6"/>
    <w:rsid w:val="0027625C"/>
    <w:rsid w:val="0027645A"/>
    <w:rsid w:val="002767F8"/>
    <w:rsid w:val="00276CC7"/>
    <w:rsid w:val="00276D3C"/>
    <w:rsid w:val="002773E7"/>
    <w:rsid w:val="002774DC"/>
    <w:rsid w:val="002777FB"/>
    <w:rsid w:val="00277860"/>
    <w:rsid w:val="00277981"/>
    <w:rsid w:val="00277AF6"/>
    <w:rsid w:val="00277C7A"/>
    <w:rsid w:val="00277D37"/>
    <w:rsid w:val="00277DD8"/>
    <w:rsid w:val="002806AF"/>
    <w:rsid w:val="00280826"/>
    <w:rsid w:val="00280A78"/>
    <w:rsid w:val="00280A91"/>
    <w:rsid w:val="00280CDB"/>
    <w:rsid w:val="00280E58"/>
    <w:rsid w:val="00281055"/>
    <w:rsid w:val="00281582"/>
    <w:rsid w:val="00281729"/>
    <w:rsid w:val="00281742"/>
    <w:rsid w:val="00281909"/>
    <w:rsid w:val="00281E42"/>
    <w:rsid w:val="00281EC2"/>
    <w:rsid w:val="00281F58"/>
    <w:rsid w:val="002826E9"/>
    <w:rsid w:val="0028281C"/>
    <w:rsid w:val="00282D87"/>
    <w:rsid w:val="00283046"/>
    <w:rsid w:val="002832EB"/>
    <w:rsid w:val="00283644"/>
    <w:rsid w:val="00283701"/>
    <w:rsid w:val="00283A3A"/>
    <w:rsid w:val="002845AC"/>
    <w:rsid w:val="002845D9"/>
    <w:rsid w:val="00284FDB"/>
    <w:rsid w:val="002854DF"/>
    <w:rsid w:val="0028571D"/>
    <w:rsid w:val="00285BAA"/>
    <w:rsid w:val="00286135"/>
    <w:rsid w:val="0028613C"/>
    <w:rsid w:val="0028652F"/>
    <w:rsid w:val="0028655C"/>
    <w:rsid w:val="00286BFF"/>
    <w:rsid w:val="00286D2F"/>
    <w:rsid w:val="0028710E"/>
    <w:rsid w:val="0028743B"/>
    <w:rsid w:val="00287626"/>
    <w:rsid w:val="00287657"/>
    <w:rsid w:val="0029014A"/>
    <w:rsid w:val="002902F6"/>
    <w:rsid w:val="00290ADF"/>
    <w:rsid w:val="00290ECA"/>
    <w:rsid w:val="00291322"/>
    <w:rsid w:val="00291400"/>
    <w:rsid w:val="002915CD"/>
    <w:rsid w:val="002915EA"/>
    <w:rsid w:val="00292039"/>
    <w:rsid w:val="0029235B"/>
    <w:rsid w:val="00292470"/>
    <w:rsid w:val="002925AF"/>
    <w:rsid w:val="00292832"/>
    <w:rsid w:val="002929B8"/>
    <w:rsid w:val="00292D2C"/>
    <w:rsid w:val="00293266"/>
    <w:rsid w:val="00293364"/>
    <w:rsid w:val="002933D5"/>
    <w:rsid w:val="002939E7"/>
    <w:rsid w:val="00293DC0"/>
    <w:rsid w:val="00293FDA"/>
    <w:rsid w:val="00294042"/>
    <w:rsid w:val="0029507C"/>
    <w:rsid w:val="002950E0"/>
    <w:rsid w:val="00295460"/>
    <w:rsid w:val="00295A41"/>
    <w:rsid w:val="00295A7F"/>
    <w:rsid w:val="00295D83"/>
    <w:rsid w:val="002960E5"/>
    <w:rsid w:val="002964E2"/>
    <w:rsid w:val="002968E0"/>
    <w:rsid w:val="00296CD6"/>
    <w:rsid w:val="0029707C"/>
    <w:rsid w:val="002971EA"/>
    <w:rsid w:val="002976AF"/>
    <w:rsid w:val="0029778F"/>
    <w:rsid w:val="002977F8"/>
    <w:rsid w:val="00297E4B"/>
    <w:rsid w:val="00297E60"/>
    <w:rsid w:val="00297EB7"/>
    <w:rsid w:val="00297F9F"/>
    <w:rsid w:val="002A01F3"/>
    <w:rsid w:val="002A0439"/>
    <w:rsid w:val="002A0700"/>
    <w:rsid w:val="002A0A46"/>
    <w:rsid w:val="002A0AEB"/>
    <w:rsid w:val="002A0B78"/>
    <w:rsid w:val="002A0C24"/>
    <w:rsid w:val="002A0C34"/>
    <w:rsid w:val="002A106A"/>
    <w:rsid w:val="002A1741"/>
    <w:rsid w:val="002A1CFA"/>
    <w:rsid w:val="002A215C"/>
    <w:rsid w:val="002A2247"/>
    <w:rsid w:val="002A28D4"/>
    <w:rsid w:val="002A2B94"/>
    <w:rsid w:val="002A2D19"/>
    <w:rsid w:val="002A2FE7"/>
    <w:rsid w:val="002A301C"/>
    <w:rsid w:val="002A3293"/>
    <w:rsid w:val="002A34E6"/>
    <w:rsid w:val="002A38D0"/>
    <w:rsid w:val="002A39FE"/>
    <w:rsid w:val="002A3C59"/>
    <w:rsid w:val="002A3F5D"/>
    <w:rsid w:val="002A40E2"/>
    <w:rsid w:val="002A4415"/>
    <w:rsid w:val="002A5E75"/>
    <w:rsid w:val="002A5EB6"/>
    <w:rsid w:val="002A5EED"/>
    <w:rsid w:val="002A5F93"/>
    <w:rsid w:val="002A602E"/>
    <w:rsid w:val="002A613A"/>
    <w:rsid w:val="002A63EB"/>
    <w:rsid w:val="002A69BC"/>
    <w:rsid w:val="002A6B8E"/>
    <w:rsid w:val="002A6D11"/>
    <w:rsid w:val="002A7385"/>
    <w:rsid w:val="002A745F"/>
    <w:rsid w:val="002A75B6"/>
    <w:rsid w:val="002A7917"/>
    <w:rsid w:val="002A7B09"/>
    <w:rsid w:val="002B0089"/>
    <w:rsid w:val="002B010C"/>
    <w:rsid w:val="002B01FE"/>
    <w:rsid w:val="002B0221"/>
    <w:rsid w:val="002B076C"/>
    <w:rsid w:val="002B0853"/>
    <w:rsid w:val="002B0AFB"/>
    <w:rsid w:val="002B0BD1"/>
    <w:rsid w:val="002B0D4F"/>
    <w:rsid w:val="002B0EBA"/>
    <w:rsid w:val="002B0EF3"/>
    <w:rsid w:val="002B0F0C"/>
    <w:rsid w:val="002B15E2"/>
    <w:rsid w:val="002B1FD7"/>
    <w:rsid w:val="002B28C0"/>
    <w:rsid w:val="002B2C5A"/>
    <w:rsid w:val="002B2CF4"/>
    <w:rsid w:val="002B2EF6"/>
    <w:rsid w:val="002B2FEE"/>
    <w:rsid w:val="002B3676"/>
    <w:rsid w:val="002B3A81"/>
    <w:rsid w:val="002B3C11"/>
    <w:rsid w:val="002B4537"/>
    <w:rsid w:val="002B45D0"/>
    <w:rsid w:val="002B4618"/>
    <w:rsid w:val="002B476D"/>
    <w:rsid w:val="002B481D"/>
    <w:rsid w:val="002B4B9C"/>
    <w:rsid w:val="002B5288"/>
    <w:rsid w:val="002B54BA"/>
    <w:rsid w:val="002B5684"/>
    <w:rsid w:val="002B56F7"/>
    <w:rsid w:val="002B6198"/>
    <w:rsid w:val="002B63F5"/>
    <w:rsid w:val="002B644D"/>
    <w:rsid w:val="002B6500"/>
    <w:rsid w:val="002B6AA1"/>
    <w:rsid w:val="002B6AF7"/>
    <w:rsid w:val="002B6D8D"/>
    <w:rsid w:val="002B6EC6"/>
    <w:rsid w:val="002B7219"/>
    <w:rsid w:val="002B786E"/>
    <w:rsid w:val="002B791F"/>
    <w:rsid w:val="002C04D4"/>
    <w:rsid w:val="002C04E2"/>
    <w:rsid w:val="002C0564"/>
    <w:rsid w:val="002C0825"/>
    <w:rsid w:val="002C086E"/>
    <w:rsid w:val="002C0A64"/>
    <w:rsid w:val="002C148E"/>
    <w:rsid w:val="002C14E9"/>
    <w:rsid w:val="002C179B"/>
    <w:rsid w:val="002C1AC2"/>
    <w:rsid w:val="002C2175"/>
    <w:rsid w:val="002C21ED"/>
    <w:rsid w:val="002C222A"/>
    <w:rsid w:val="002C2CC5"/>
    <w:rsid w:val="002C2CCE"/>
    <w:rsid w:val="002C2EC9"/>
    <w:rsid w:val="002C2FFB"/>
    <w:rsid w:val="002C304E"/>
    <w:rsid w:val="002C31D6"/>
    <w:rsid w:val="002C378A"/>
    <w:rsid w:val="002C3CC5"/>
    <w:rsid w:val="002C40F8"/>
    <w:rsid w:val="002C4198"/>
    <w:rsid w:val="002C42C9"/>
    <w:rsid w:val="002C42E8"/>
    <w:rsid w:val="002C4AAA"/>
    <w:rsid w:val="002C5B95"/>
    <w:rsid w:val="002C5DD4"/>
    <w:rsid w:val="002C5FD8"/>
    <w:rsid w:val="002C659B"/>
    <w:rsid w:val="002C65A2"/>
    <w:rsid w:val="002C6936"/>
    <w:rsid w:val="002C6AAC"/>
    <w:rsid w:val="002C6AEC"/>
    <w:rsid w:val="002C6C2D"/>
    <w:rsid w:val="002C6E73"/>
    <w:rsid w:val="002C706C"/>
    <w:rsid w:val="002C719E"/>
    <w:rsid w:val="002C741B"/>
    <w:rsid w:val="002C774A"/>
    <w:rsid w:val="002D0203"/>
    <w:rsid w:val="002D0490"/>
    <w:rsid w:val="002D0575"/>
    <w:rsid w:val="002D0ABC"/>
    <w:rsid w:val="002D0DA8"/>
    <w:rsid w:val="002D180F"/>
    <w:rsid w:val="002D1B59"/>
    <w:rsid w:val="002D207C"/>
    <w:rsid w:val="002D2081"/>
    <w:rsid w:val="002D20AF"/>
    <w:rsid w:val="002D2319"/>
    <w:rsid w:val="002D271D"/>
    <w:rsid w:val="002D2760"/>
    <w:rsid w:val="002D2A70"/>
    <w:rsid w:val="002D2CF7"/>
    <w:rsid w:val="002D3661"/>
    <w:rsid w:val="002D395E"/>
    <w:rsid w:val="002D3966"/>
    <w:rsid w:val="002D3EFB"/>
    <w:rsid w:val="002D4230"/>
    <w:rsid w:val="002D44DB"/>
    <w:rsid w:val="002D4DBB"/>
    <w:rsid w:val="002D5173"/>
    <w:rsid w:val="002D557B"/>
    <w:rsid w:val="002D56C9"/>
    <w:rsid w:val="002D574F"/>
    <w:rsid w:val="002D5C43"/>
    <w:rsid w:val="002D5C5E"/>
    <w:rsid w:val="002D645F"/>
    <w:rsid w:val="002D654D"/>
    <w:rsid w:val="002D6DF1"/>
    <w:rsid w:val="002D7722"/>
    <w:rsid w:val="002D7924"/>
    <w:rsid w:val="002D7A50"/>
    <w:rsid w:val="002E0526"/>
    <w:rsid w:val="002E0C15"/>
    <w:rsid w:val="002E1B26"/>
    <w:rsid w:val="002E253F"/>
    <w:rsid w:val="002E255D"/>
    <w:rsid w:val="002E266A"/>
    <w:rsid w:val="002E2D57"/>
    <w:rsid w:val="002E2E09"/>
    <w:rsid w:val="002E3709"/>
    <w:rsid w:val="002E3A74"/>
    <w:rsid w:val="002E3B0C"/>
    <w:rsid w:val="002E3E7C"/>
    <w:rsid w:val="002E3F3C"/>
    <w:rsid w:val="002E3FAD"/>
    <w:rsid w:val="002E4562"/>
    <w:rsid w:val="002E4C40"/>
    <w:rsid w:val="002E4D55"/>
    <w:rsid w:val="002E50C5"/>
    <w:rsid w:val="002E5108"/>
    <w:rsid w:val="002E5149"/>
    <w:rsid w:val="002E54C6"/>
    <w:rsid w:val="002E55D1"/>
    <w:rsid w:val="002E5632"/>
    <w:rsid w:val="002E56E1"/>
    <w:rsid w:val="002E595C"/>
    <w:rsid w:val="002E5D5F"/>
    <w:rsid w:val="002E5F0C"/>
    <w:rsid w:val="002E646C"/>
    <w:rsid w:val="002E64A2"/>
    <w:rsid w:val="002E65AB"/>
    <w:rsid w:val="002E6B7F"/>
    <w:rsid w:val="002E6C89"/>
    <w:rsid w:val="002E6D72"/>
    <w:rsid w:val="002E72B0"/>
    <w:rsid w:val="002E74E2"/>
    <w:rsid w:val="002E75AA"/>
    <w:rsid w:val="002E7842"/>
    <w:rsid w:val="002E7A66"/>
    <w:rsid w:val="002F07DE"/>
    <w:rsid w:val="002F10F0"/>
    <w:rsid w:val="002F143D"/>
    <w:rsid w:val="002F1956"/>
    <w:rsid w:val="002F1C32"/>
    <w:rsid w:val="002F1C4F"/>
    <w:rsid w:val="002F1DB0"/>
    <w:rsid w:val="002F1EB7"/>
    <w:rsid w:val="002F2314"/>
    <w:rsid w:val="002F27A6"/>
    <w:rsid w:val="002F2838"/>
    <w:rsid w:val="002F334F"/>
    <w:rsid w:val="002F353C"/>
    <w:rsid w:val="002F3930"/>
    <w:rsid w:val="002F3D8D"/>
    <w:rsid w:val="002F3D91"/>
    <w:rsid w:val="002F417B"/>
    <w:rsid w:val="002F440B"/>
    <w:rsid w:val="002F44D3"/>
    <w:rsid w:val="002F47BB"/>
    <w:rsid w:val="002F47F1"/>
    <w:rsid w:val="002F4A37"/>
    <w:rsid w:val="002F5734"/>
    <w:rsid w:val="002F5782"/>
    <w:rsid w:val="002F5B62"/>
    <w:rsid w:val="002F5CAF"/>
    <w:rsid w:val="002F5F9B"/>
    <w:rsid w:val="002F64D0"/>
    <w:rsid w:val="002F6679"/>
    <w:rsid w:val="002F6788"/>
    <w:rsid w:val="002F68E5"/>
    <w:rsid w:val="002F73E2"/>
    <w:rsid w:val="002F7712"/>
    <w:rsid w:val="002F7A15"/>
    <w:rsid w:val="002F7AEA"/>
    <w:rsid w:val="002F7BCB"/>
    <w:rsid w:val="003004ED"/>
    <w:rsid w:val="00300593"/>
    <w:rsid w:val="003006F8"/>
    <w:rsid w:val="00300C8E"/>
    <w:rsid w:val="00301230"/>
    <w:rsid w:val="00301265"/>
    <w:rsid w:val="00301419"/>
    <w:rsid w:val="00301987"/>
    <w:rsid w:val="00301A75"/>
    <w:rsid w:val="00302AEA"/>
    <w:rsid w:val="00302E30"/>
    <w:rsid w:val="00302F15"/>
    <w:rsid w:val="003030AB"/>
    <w:rsid w:val="00303D54"/>
    <w:rsid w:val="00303FA4"/>
    <w:rsid w:val="00304276"/>
    <w:rsid w:val="0030469D"/>
    <w:rsid w:val="003049CA"/>
    <w:rsid w:val="003053AF"/>
    <w:rsid w:val="00305473"/>
    <w:rsid w:val="0030557E"/>
    <w:rsid w:val="003057C8"/>
    <w:rsid w:val="003059BD"/>
    <w:rsid w:val="003059CE"/>
    <w:rsid w:val="00305AD3"/>
    <w:rsid w:val="00305BEF"/>
    <w:rsid w:val="003060DC"/>
    <w:rsid w:val="00306222"/>
    <w:rsid w:val="0030624A"/>
    <w:rsid w:val="003064AE"/>
    <w:rsid w:val="003064DE"/>
    <w:rsid w:val="0030651C"/>
    <w:rsid w:val="003069A5"/>
    <w:rsid w:val="003069DD"/>
    <w:rsid w:val="00306C3C"/>
    <w:rsid w:val="00306CF3"/>
    <w:rsid w:val="00306F6C"/>
    <w:rsid w:val="003072EF"/>
    <w:rsid w:val="0030790E"/>
    <w:rsid w:val="003079EF"/>
    <w:rsid w:val="00307FB9"/>
    <w:rsid w:val="00310008"/>
    <w:rsid w:val="0031021B"/>
    <w:rsid w:val="003104A6"/>
    <w:rsid w:val="00310642"/>
    <w:rsid w:val="00310A0B"/>
    <w:rsid w:val="00310ADE"/>
    <w:rsid w:val="00310F06"/>
    <w:rsid w:val="003112FE"/>
    <w:rsid w:val="003113DF"/>
    <w:rsid w:val="003115A5"/>
    <w:rsid w:val="00311FAA"/>
    <w:rsid w:val="003120C6"/>
    <w:rsid w:val="00312133"/>
    <w:rsid w:val="003122EE"/>
    <w:rsid w:val="003122F3"/>
    <w:rsid w:val="00312327"/>
    <w:rsid w:val="00312680"/>
    <w:rsid w:val="00312C9B"/>
    <w:rsid w:val="00312EDB"/>
    <w:rsid w:val="00312F81"/>
    <w:rsid w:val="0031303D"/>
    <w:rsid w:val="00313404"/>
    <w:rsid w:val="00313426"/>
    <w:rsid w:val="00313480"/>
    <w:rsid w:val="00313AAB"/>
    <w:rsid w:val="00313E18"/>
    <w:rsid w:val="00314716"/>
    <w:rsid w:val="00314C45"/>
    <w:rsid w:val="00314C87"/>
    <w:rsid w:val="00314DA6"/>
    <w:rsid w:val="00314E9E"/>
    <w:rsid w:val="00315100"/>
    <w:rsid w:val="003155E0"/>
    <w:rsid w:val="00315A4C"/>
    <w:rsid w:val="00315AFA"/>
    <w:rsid w:val="00315C77"/>
    <w:rsid w:val="00315ED4"/>
    <w:rsid w:val="00315EEC"/>
    <w:rsid w:val="00315F37"/>
    <w:rsid w:val="00316596"/>
    <w:rsid w:val="003165DB"/>
    <w:rsid w:val="0031687B"/>
    <w:rsid w:val="00316A8D"/>
    <w:rsid w:val="00316EEF"/>
    <w:rsid w:val="00316F4B"/>
    <w:rsid w:val="003174D9"/>
    <w:rsid w:val="00317535"/>
    <w:rsid w:val="00317898"/>
    <w:rsid w:val="00317C36"/>
    <w:rsid w:val="00320025"/>
    <w:rsid w:val="00320908"/>
    <w:rsid w:val="00320C25"/>
    <w:rsid w:val="00320CBA"/>
    <w:rsid w:val="00320F9A"/>
    <w:rsid w:val="00321025"/>
    <w:rsid w:val="0032145A"/>
    <w:rsid w:val="003215BC"/>
    <w:rsid w:val="003216E7"/>
    <w:rsid w:val="003219E1"/>
    <w:rsid w:val="0032213E"/>
    <w:rsid w:val="00322151"/>
    <w:rsid w:val="00322661"/>
    <w:rsid w:val="00322A9D"/>
    <w:rsid w:val="00323033"/>
    <w:rsid w:val="00323100"/>
    <w:rsid w:val="0032374D"/>
    <w:rsid w:val="00323901"/>
    <w:rsid w:val="00323AEB"/>
    <w:rsid w:val="00323BFA"/>
    <w:rsid w:val="00323D1A"/>
    <w:rsid w:val="00323D36"/>
    <w:rsid w:val="00324172"/>
    <w:rsid w:val="0032483C"/>
    <w:rsid w:val="00324873"/>
    <w:rsid w:val="00324D3A"/>
    <w:rsid w:val="00324EEC"/>
    <w:rsid w:val="00325A3A"/>
    <w:rsid w:val="0032618C"/>
    <w:rsid w:val="00326AD1"/>
    <w:rsid w:val="00326AFF"/>
    <w:rsid w:val="00326D00"/>
    <w:rsid w:val="003278CF"/>
    <w:rsid w:val="00327A7D"/>
    <w:rsid w:val="00327ABF"/>
    <w:rsid w:val="00327D55"/>
    <w:rsid w:val="00327DF4"/>
    <w:rsid w:val="00327F60"/>
    <w:rsid w:val="00330069"/>
    <w:rsid w:val="003308C8"/>
    <w:rsid w:val="00330C5F"/>
    <w:rsid w:val="00330EB8"/>
    <w:rsid w:val="003313E3"/>
    <w:rsid w:val="0033180A"/>
    <w:rsid w:val="00332049"/>
    <w:rsid w:val="003322CC"/>
    <w:rsid w:val="0033343E"/>
    <w:rsid w:val="0033352A"/>
    <w:rsid w:val="00333F0E"/>
    <w:rsid w:val="00334216"/>
    <w:rsid w:val="003346E0"/>
    <w:rsid w:val="003349E9"/>
    <w:rsid w:val="00334F21"/>
    <w:rsid w:val="00334F6B"/>
    <w:rsid w:val="0033520B"/>
    <w:rsid w:val="003352DB"/>
    <w:rsid w:val="00335ED1"/>
    <w:rsid w:val="0033648B"/>
    <w:rsid w:val="003369C1"/>
    <w:rsid w:val="00336A6A"/>
    <w:rsid w:val="00336B1A"/>
    <w:rsid w:val="00336BBD"/>
    <w:rsid w:val="00336F02"/>
    <w:rsid w:val="00336FDA"/>
    <w:rsid w:val="0033707D"/>
    <w:rsid w:val="00337118"/>
    <w:rsid w:val="00337193"/>
    <w:rsid w:val="00337205"/>
    <w:rsid w:val="0033799C"/>
    <w:rsid w:val="00337A85"/>
    <w:rsid w:val="00337F75"/>
    <w:rsid w:val="003408F6"/>
    <w:rsid w:val="00340C6F"/>
    <w:rsid w:val="00341093"/>
    <w:rsid w:val="00341142"/>
    <w:rsid w:val="0034140E"/>
    <w:rsid w:val="00341568"/>
    <w:rsid w:val="0034179F"/>
    <w:rsid w:val="00341A6A"/>
    <w:rsid w:val="00341D5F"/>
    <w:rsid w:val="00341FF3"/>
    <w:rsid w:val="00342101"/>
    <w:rsid w:val="0034225B"/>
    <w:rsid w:val="00342469"/>
    <w:rsid w:val="00342D5D"/>
    <w:rsid w:val="003430E6"/>
    <w:rsid w:val="003431DA"/>
    <w:rsid w:val="0034368A"/>
    <w:rsid w:val="00343780"/>
    <w:rsid w:val="003439E6"/>
    <w:rsid w:val="00343F86"/>
    <w:rsid w:val="003445F0"/>
    <w:rsid w:val="00344B62"/>
    <w:rsid w:val="00344F04"/>
    <w:rsid w:val="0034519C"/>
    <w:rsid w:val="00345746"/>
    <w:rsid w:val="00345C95"/>
    <w:rsid w:val="0034667F"/>
    <w:rsid w:val="003467A2"/>
    <w:rsid w:val="00346ADC"/>
    <w:rsid w:val="00346B1F"/>
    <w:rsid w:val="00346EAF"/>
    <w:rsid w:val="00347D27"/>
    <w:rsid w:val="00347EC2"/>
    <w:rsid w:val="003503D2"/>
    <w:rsid w:val="00350586"/>
    <w:rsid w:val="00350763"/>
    <w:rsid w:val="00350912"/>
    <w:rsid w:val="00350D63"/>
    <w:rsid w:val="00350E2D"/>
    <w:rsid w:val="00350F4E"/>
    <w:rsid w:val="00350FD1"/>
    <w:rsid w:val="00351191"/>
    <w:rsid w:val="003519E4"/>
    <w:rsid w:val="00351CD8"/>
    <w:rsid w:val="00351FE9"/>
    <w:rsid w:val="00352213"/>
    <w:rsid w:val="003529C5"/>
    <w:rsid w:val="00352A30"/>
    <w:rsid w:val="00352EAD"/>
    <w:rsid w:val="00352F69"/>
    <w:rsid w:val="0035318D"/>
    <w:rsid w:val="0035329D"/>
    <w:rsid w:val="0035375B"/>
    <w:rsid w:val="00353864"/>
    <w:rsid w:val="00353AC6"/>
    <w:rsid w:val="00353CB7"/>
    <w:rsid w:val="0035405B"/>
    <w:rsid w:val="003540C2"/>
    <w:rsid w:val="003544BF"/>
    <w:rsid w:val="003545A5"/>
    <w:rsid w:val="003546C7"/>
    <w:rsid w:val="00354A70"/>
    <w:rsid w:val="00354FD0"/>
    <w:rsid w:val="003558F2"/>
    <w:rsid w:val="003560FC"/>
    <w:rsid w:val="0035648C"/>
    <w:rsid w:val="003565A5"/>
    <w:rsid w:val="003569DE"/>
    <w:rsid w:val="00356C10"/>
    <w:rsid w:val="00357276"/>
    <w:rsid w:val="00357444"/>
    <w:rsid w:val="0036040E"/>
    <w:rsid w:val="0036073D"/>
    <w:rsid w:val="00360A50"/>
    <w:rsid w:val="00360AD5"/>
    <w:rsid w:val="00360CB1"/>
    <w:rsid w:val="00360D87"/>
    <w:rsid w:val="003617A5"/>
    <w:rsid w:val="00361825"/>
    <w:rsid w:val="00362100"/>
    <w:rsid w:val="00362278"/>
    <w:rsid w:val="0036270C"/>
    <w:rsid w:val="00362734"/>
    <w:rsid w:val="0036281D"/>
    <w:rsid w:val="0036290B"/>
    <w:rsid w:val="003629C7"/>
    <w:rsid w:val="00363100"/>
    <w:rsid w:val="00363589"/>
    <w:rsid w:val="00363B21"/>
    <w:rsid w:val="00363BDF"/>
    <w:rsid w:val="00363E87"/>
    <w:rsid w:val="00364024"/>
    <w:rsid w:val="00364233"/>
    <w:rsid w:val="00364640"/>
    <w:rsid w:val="00365279"/>
    <w:rsid w:val="003652EB"/>
    <w:rsid w:val="00365CA3"/>
    <w:rsid w:val="00365D8D"/>
    <w:rsid w:val="00365D9B"/>
    <w:rsid w:val="003663F1"/>
    <w:rsid w:val="00366514"/>
    <w:rsid w:val="003666B9"/>
    <w:rsid w:val="00366796"/>
    <w:rsid w:val="00366ACF"/>
    <w:rsid w:val="00366BD2"/>
    <w:rsid w:val="00366CE1"/>
    <w:rsid w:val="003674B8"/>
    <w:rsid w:val="003675F2"/>
    <w:rsid w:val="00367879"/>
    <w:rsid w:val="00367A98"/>
    <w:rsid w:val="00367C92"/>
    <w:rsid w:val="00367CBD"/>
    <w:rsid w:val="00367F95"/>
    <w:rsid w:val="00370871"/>
    <w:rsid w:val="003708F1"/>
    <w:rsid w:val="00370C30"/>
    <w:rsid w:val="00370EDC"/>
    <w:rsid w:val="00370FF5"/>
    <w:rsid w:val="003711D3"/>
    <w:rsid w:val="003712E5"/>
    <w:rsid w:val="00371460"/>
    <w:rsid w:val="0037150F"/>
    <w:rsid w:val="00371959"/>
    <w:rsid w:val="00371A84"/>
    <w:rsid w:val="00371CD5"/>
    <w:rsid w:val="00372508"/>
    <w:rsid w:val="00372898"/>
    <w:rsid w:val="00372D7E"/>
    <w:rsid w:val="00373051"/>
    <w:rsid w:val="003733A2"/>
    <w:rsid w:val="00373408"/>
    <w:rsid w:val="00373C1F"/>
    <w:rsid w:val="00373E8E"/>
    <w:rsid w:val="00373F93"/>
    <w:rsid w:val="003740B3"/>
    <w:rsid w:val="00374541"/>
    <w:rsid w:val="003747D4"/>
    <w:rsid w:val="00374982"/>
    <w:rsid w:val="00374A5B"/>
    <w:rsid w:val="00374BB8"/>
    <w:rsid w:val="003756EE"/>
    <w:rsid w:val="00375869"/>
    <w:rsid w:val="00375AAB"/>
    <w:rsid w:val="00375EF7"/>
    <w:rsid w:val="00376648"/>
    <w:rsid w:val="0037666E"/>
    <w:rsid w:val="0037672B"/>
    <w:rsid w:val="00376B3C"/>
    <w:rsid w:val="00376BF1"/>
    <w:rsid w:val="00376BF6"/>
    <w:rsid w:val="00376C4C"/>
    <w:rsid w:val="00377334"/>
    <w:rsid w:val="0037738A"/>
    <w:rsid w:val="00377778"/>
    <w:rsid w:val="003778C9"/>
    <w:rsid w:val="00377CC2"/>
    <w:rsid w:val="00377E7C"/>
    <w:rsid w:val="00377EC5"/>
    <w:rsid w:val="00380473"/>
    <w:rsid w:val="003805A2"/>
    <w:rsid w:val="003806EF"/>
    <w:rsid w:val="00380733"/>
    <w:rsid w:val="00380B96"/>
    <w:rsid w:val="003816D7"/>
    <w:rsid w:val="0038179A"/>
    <w:rsid w:val="00381BDD"/>
    <w:rsid w:val="00381F36"/>
    <w:rsid w:val="00382187"/>
    <w:rsid w:val="0038272D"/>
    <w:rsid w:val="00382BF8"/>
    <w:rsid w:val="00383041"/>
    <w:rsid w:val="003831B4"/>
    <w:rsid w:val="003840DD"/>
    <w:rsid w:val="003841A1"/>
    <w:rsid w:val="0038436D"/>
    <w:rsid w:val="00384427"/>
    <w:rsid w:val="0038469C"/>
    <w:rsid w:val="0038498E"/>
    <w:rsid w:val="00384F92"/>
    <w:rsid w:val="003854DB"/>
    <w:rsid w:val="00385558"/>
    <w:rsid w:val="0038576A"/>
    <w:rsid w:val="00385AB7"/>
    <w:rsid w:val="003860EE"/>
    <w:rsid w:val="00386EC8"/>
    <w:rsid w:val="00386F36"/>
    <w:rsid w:val="0038700D"/>
    <w:rsid w:val="00387391"/>
    <w:rsid w:val="003876B0"/>
    <w:rsid w:val="00387BC1"/>
    <w:rsid w:val="00390077"/>
    <w:rsid w:val="0039021F"/>
    <w:rsid w:val="00390528"/>
    <w:rsid w:val="00390555"/>
    <w:rsid w:val="0039081B"/>
    <w:rsid w:val="0039098D"/>
    <w:rsid w:val="00390CA7"/>
    <w:rsid w:val="00390E49"/>
    <w:rsid w:val="0039165C"/>
    <w:rsid w:val="00391C36"/>
    <w:rsid w:val="00391D4F"/>
    <w:rsid w:val="00391EA8"/>
    <w:rsid w:val="00392060"/>
    <w:rsid w:val="00392140"/>
    <w:rsid w:val="0039322D"/>
    <w:rsid w:val="00393367"/>
    <w:rsid w:val="00393371"/>
    <w:rsid w:val="003938BD"/>
    <w:rsid w:val="00393B17"/>
    <w:rsid w:val="003948F3"/>
    <w:rsid w:val="00394D13"/>
    <w:rsid w:val="003954A0"/>
    <w:rsid w:val="00396366"/>
    <w:rsid w:val="003964BE"/>
    <w:rsid w:val="00396624"/>
    <w:rsid w:val="003967AC"/>
    <w:rsid w:val="003968D1"/>
    <w:rsid w:val="00396B7F"/>
    <w:rsid w:val="0039725D"/>
    <w:rsid w:val="00397636"/>
    <w:rsid w:val="00397669"/>
    <w:rsid w:val="00397740"/>
    <w:rsid w:val="003A00F3"/>
    <w:rsid w:val="003A033C"/>
    <w:rsid w:val="003A0BA6"/>
    <w:rsid w:val="003A0F28"/>
    <w:rsid w:val="003A1339"/>
    <w:rsid w:val="003A1538"/>
    <w:rsid w:val="003A21F5"/>
    <w:rsid w:val="003A22ED"/>
    <w:rsid w:val="003A26F7"/>
    <w:rsid w:val="003A2B36"/>
    <w:rsid w:val="003A315E"/>
    <w:rsid w:val="003A3704"/>
    <w:rsid w:val="003A38AB"/>
    <w:rsid w:val="003A3D98"/>
    <w:rsid w:val="003A445A"/>
    <w:rsid w:val="003A4B01"/>
    <w:rsid w:val="003A4EF1"/>
    <w:rsid w:val="003A4FAB"/>
    <w:rsid w:val="003A50F6"/>
    <w:rsid w:val="003A53F4"/>
    <w:rsid w:val="003A54B0"/>
    <w:rsid w:val="003A5603"/>
    <w:rsid w:val="003A5657"/>
    <w:rsid w:val="003A5820"/>
    <w:rsid w:val="003A5868"/>
    <w:rsid w:val="003A5DDD"/>
    <w:rsid w:val="003A5FFD"/>
    <w:rsid w:val="003A62CB"/>
    <w:rsid w:val="003A63CF"/>
    <w:rsid w:val="003A6692"/>
    <w:rsid w:val="003A6F23"/>
    <w:rsid w:val="003A73EF"/>
    <w:rsid w:val="003A74EA"/>
    <w:rsid w:val="003A7673"/>
    <w:rsid w:val="003A7C22"/>
    <w:rsid w:val="003A7C8F"/>
    <w:rsid w:val="003A7E35"/>
    <w:rsid w:val="003B0625"/>
    <w:rsid w:val="003B09AB"/>
    <w:rsid w:val="003B1A86"/>
    <w:rsid w:val="003B203D"/>
    <w:rsid w:val="003B20DA"/>
    <w:rsid w:val="003B29A8"/>
    <w:rsid w:val="003B3003"/>
    <w:rsid w:val="003B3267"/>
    <w:rsid w:val="003B36E5"/>
    <w:rsid w:val="003B3DE8"/>
    <w:rsid w:val="003B40C2"/>
    <w:rsid w:val="003B4101"/>
    <w:rsid w:val="003B4146"/>
    <w:rsid w:val="003B42A6"/>
    <w:rsid w:val="003B4332"/>
    <w:rsid w:val="003B4A5B"/>
    <w:rsid w:val="003B4B50"/>
    <w:rsid w:val="003B4B69"/>
    <w:rsid w:val="003B5131"/>
    <w:rsid w:val="003B559E"/>
    <w:rsid w:val="003B572C"/>
    <w:rsid w:val="003B5731"/>
    <w:rsid w:val="003B5837"/>
    <w:rsid w:val="003B599D"/>
    <w:rsid w:val="003B5ABD"/>
    <w:rsid w:val="003B5AD6"/>
    <w:rsid w:val="003B5DF4"/>
    <w:rsid w:val="003B5F3E"/>
    <w:rsid w:val="003B5FA9"/>
    <w:rsid w:val="003B6124"/>
    <w:rsid w:val="003B67E3"/>
    <w:rsid w:val="003B714A"/>
    <w:rsid w:val="003B776D"/>
    <w:rsid w:val="003B7CD6"/>
    <w:rsid w:val="003B7FCC"/>
    <w:rsid w:val="003C00CD"/>
    <w:rsid w:val="003C0C38"/>
    <w:rsid w:val="003C0CB9"/>
    <w:rsid w:val="003C0E23"/>
    <w:rsid w:val="003C1038"/>
    <w:rsid w:val="003C11EE"/>
    <w:rsid w:val="003C12E2"/>
    <w:rsid w:val="003C143C"/>
    <w:rsid w:val="003C188E"/>
    <w:rsid w:val="003C208D"/>
    <w:rsid w:val="003C27F9"/>
    <w:rsid w:val="003C31E6"/>
    <w:rsid w:val="003C36F6"/>
    <w:rsid w:val="003C3A6B"/>
    <w:rsid w:val="003C40A7"/>
    <w:rsid w:val="003C431B"/>
    <w:rsid w:val="003C4B2C"/>
    <w:rsid w:val="003C4E43"/>
    <w:rsid w:val="003C4F76"/>
    <w:rsid w:val="003C5130"/>
    <w:rsid w:val="003C5158"/>
    <w:rsid w:val="003C52F5"/>
    <w:rsid w:val="003C5960"/>
    <w:rsid w:val="003C59BD"/>
    <w:rsid w:val="003C5A3C"/>
    <w:rsid w:val="003C5FB0"/>
    <w:rsid w:val="003C61BF"/>
    <w:rsid w:val="003C61C3"/>
    <w:rsid w:val="003C6276"/>
    <w:rsid w:val="003C6937"/>
    <w:rsid w:val="003C7350"/>
    <w:rsid w:val="003C7731"/>
    <w:rsid w:val="003C79ED"/>
    <w:rsid w:val="003C7A14"/>
    <w:rsid w:val="003C7A70"/>
    <w:rsid w:val="003C7B1D"/>
    <w:rsid w:val="003C7EF3"/>
    <w:rsid w:val="003D02AA"/>
    <w:rsid w:val="003D0724"/>
    <w:rsid w:val="003D07C2"/>
    <w:rsid w:val="003D0969"/>
    <w:rsid w:val="003D0DF5"/>
    <w:rsid w:val="003D0F14"/>
    <w:rsid w:val="003D0F5C"/>
    <w:rsid w:val="003D1B55"/>
    <w:rsid w:val="003D282F"/>
    <w:rsid w:val="003D2ABD"/>
    <w:rsid w:val="003D2DA1"/>
    <w:rsid w:val="003D3111"/>
    <w:rsid w:val="003D3331"/>
    <w:rsid w:val="003D34FC"/>
    <w:rsid w:val="003D3562"/>
    <w:rsid w:val="003D42F3"/>
    <w:rsid w:val="003D42FB"/>
    <w:rsid w:val="003D435A"/>
    <w:rsid w:val="003D436A"/>
    <w:rsid w:val="003D46D9"/>
    <w:rsid w:val="003D47E3"/>
    <w:rsid w:val="003D4930"/>
    <w:rsid w:val="003D4F30"/>
    <w:rsid w:val="003D5146"/>
    <w:rsid w:val="003D54CE"/>
    <w:rsid w:val="003D562E"/>
    <w:rsid w:val="003D5B24"/>
    <w:rsid w:val="003D5FA7"/>
    <w:rsid w:val="003D6180"/>
    <w:rsid w:val="003D662F"/>
    <w:rsid w:val="003D745D"/>
    <w:rsid w:val="003D781D"/>
    <w:rsid w:val="003D795B"/>
    <w:rsid w:val="003D7EF3"/>
    <w:rsid w:val="003D7F5B"/>
    <w:rsid w:val="003E0125"/>
    <w:rsid w:val="003E036A"/>
    <w:rsid w:val="003E03F7"/>
    <w:rsid w:val="003E0648"/>
    <w:rsid w:val="003E0D55"/>
    <w:rsid w:val="003E0D7C"/>
    <w:rsid w:val="003E0EE1"/>
    <w:rsid w:val="003E11FF"/>
    <w:rsid w:val="003E14C6"/>
    <w:rsid w:val="003E15E0"/>
    <w:rsid w:val="003E1827"/>
    <w:rsid w:val="003E1A47"/>
    <w:rsid w:val="003E1B16"/>
    <w:rsid w:val="003E1C24"/>
    <w:rsid w:val="003E1EBD"/>
    <w:rsid w:val="003E1FBA"/>
    <w:rsid w:val="003E2159"/>
    <w:rsid w:val="003E27C8"/>
    <w:rsid w:val="003E2D79"/>
    <w:rsid w:val="003E2E57"/>
    <w:rsid w:val="003E31F7"/>
    <w:rsid w:val="003E3736"/>
    <w:rsid w:val="003E3748"/>
    <w:rsid w:val="003E391A"/>
    <w:rsid w:val="003E3A41"/>
    <w:rsid w:val="003E3F0F"/>
    <w:rsid w:val="003E4265"/>
    <w:rsid w:val="003E44CB"/>
    <w:rsid w:val="003E4683"/>
    <w:rsid w:val="003E4E1F"/>
    <w:rsid w:val="003E5452"/>
    <w:rsid w:val="003E55C9"/>
    <w:rsid w:val="003E600A"/>
    <w:rsid w:val="003E626D"/>
    <w:rsid w:val="003E6272"/>
    <w:rsid w:val="003E629B"/>
    <w:rsid w:val="003E6476"/>
    <w:rsid w:val="003E6698"/>
    <w:rsid w:val="003E686C"/>
    <w:rsid w:val="003E68BE"/>
    <w:rsid w:val="003E72FC"/>
    <w:rsid w:val="003E7374"/>
    <w:rsid w:val="003E7A34"/>
    <w:rsid w:val="003E7C79"/>
    <w:rsid w:val="003E7F7D"/>
    <w:rsid w:val="003F0004"/>
    <w:rsid w:val="003F0FE3"/>
    <w:rsid w:val="003F169D"/>
    <w:rsid w:val="003F1732"/>
    <w:rsid w:val="003F1C21"/>
    <w:rsid w:val="003F1CAD"/>
    <w:rsid w:val="003F1CE5"/>
    <w:rsid w:val="003F23B9"/>
    <w:rsid w:val="003F27A5"/>
    <w:rsid w:val="003F2811"/>
    <w:rsid w:val="003F2968"/>
    <w:rsid w:val="003F2B77"/>
    <w:rsid w:val="003F2C1C"/>
    <w:rsid w:val="003F2E17"/>
    <w:rsid w:val="003F30D0"/>
    <w:rsid w:val="003F3676"/>
    <w:rsid w:val="003F3EEE"/>
    <w:rsid w:val="003F3FCA"/>
    <w:rsid w:val="003F45FD"/>
    <w:rsid w:val="003F4C17"/>
    <w:rsid w:val="003F5101"/>
    <w:rsid w:val="003F51D6"/>
    <w:rsid w:val="003F52F5"/>
    <w:rsid w:val="003F5AE6"/>
    <w:rsid w:val="003F5C1D"/>
    <w:rsid w:val="003F5C8F"/>
    <w:rsid w:val="003F5D56"/>
    <w:rsid w:val="003F60C2"/>
    <w:rsid w:val="003F693C"/>
    <w:rsid w:val="003F6D36"/>
    <w:rsid w:val="003F6F94"/>
    <w:rsid w:val="003F75E2"/>
    <w:rsid w:val="003F7658"/>
    <w:rsid w:val="003F7692"/>
    <w:rsid w:val="003F7727"/>
    <w:rsid w:val="003F7786"/>
    <w:rsid w:val="003F7946"/>
    <w:rsid w:val="003F7E35"/>
    <w:rsid w:val="003F7F2D"/>
    <w:rsid w:val="004000E4"/>
    <w:rsid w:val="004002DE"/>
    <w:rsid w:val="0040042C"/>
    <w:rsid w:val="004004B2"/>
    <w:rsid w:val="004007FC"/>
    <w:rsid w:val="004009F5"/>
    <w:rsid w:val="004010FE"/>
    <w:rsid w:val="004012BA"/>
    <w:rsid w:val="004015BF"/>
    <w:rsid w:val="004019EA"/>
    <w:rsid w:val="00401BFB"/>
    <w:rsid w:val="00401CB6"/>
    <w:rsid w:val="00401EEF"/>
    <w:rsid w:val="00401F9E"/>
    <w:rsid w:val="00402028"/>
    <w:rsid w:val="00402140"/>
    <w:rsid w:val="004023B8"/>
    <w:rsid w:val="00402B7A"/>
    <w:rsid w:val="00402CE8"/>
    <w:rsid w:val="00402DD9"/>
    <w:rsid w:val="00402FBA"/>
    <w:rsid w:val="0040306F"/>
    <w:rsid w:val="00403204"/>
    <w:rsid w:val="0040389F"/>
    <w:rsid w:val="00403926"/>
    <w:rsid w:val="00403C41"/>
    <w:rsid w:val="00403E59"/>
    <w:rsid w:val="00404037"/>
    <w:rsid w:val="00404277"/>
    <w:rsid w:val="0040440A"/>
    <w:rsid w:val="00404428"/>
    <w:rsid w:val="00404BE7"/>
    <w:rsid w:val="00404C3F"/>
    <w:rsid w:val="00404D13"/>
    <w:rsid w:val="00404E68"/>
    <w:rsid w:val="00405079"/>
    <w:rsid w:val="004051A2"/>
    <w:rsid w:val="004058C2"/>
    <w:rsid w:val="00406DB2"/>
    <w:rsid w:val="00407068"/>
    <w:rsid w:val="004072A9"/>
    <w:rsid w:val="0040770C"/>
    <w:rsid w:val="004102F1"/>
    <w:rsid w:val="0041073F"/>
    <w:rsid w:val="00410F75"/>
    <w:rsid w:val="00411746"/>
    <w:rsid w:val="00411AE5"/>
    <w:rsid w:val="00411CA1"/>
    <w:rsid w:val="00412320"/>
    <w:rsid w:val="0041296F"/>
    <w:rsid w:val="00412BEB"/>
    <w:rsid w:val="00412D83"/>
    <w:rsid w:val="00412D84"/>
    <w:rsid w:val="004130B7"/>
    <w:rsid w:val="0041313B"/>
    <w:rsid w:val="004132F7"/>
    <w:rsid w:val="004135BF"/>
    <w:rsid w:val="00413774"/>
    <w:rsid w:val="0041388D"/>
    <w:rsid w:val="00413A22"/>
    <w:rsid w:val="00413C7F"/>
    <w:rsid w:val="004140C9"/>
    <w:rsid w:val="00414215"/>
    <w:rsid w:val="00414359"/>
    <w:rsid w:val="004144C3"/>
    <w:rsid w:val="004149B5"/>
    <w:rsid w:val="00414AAC"/>
    <w:rsid w:val="00414E37"/>
    <w:rsid w:val="00414E86"/>
    <w:rsid w:val="00414FD7"/>
    <w:rsid w:val="0041507D"/>
    <w:rsid w:val="00415CF2"/>
    <w:rsid w:val="00415F09"/>
    <w:rsid w:val="0041656C"/>
    <w:rsid w:val="004166D2"/>
    <w:rsid w:val="004169C7"/>
    <w:rsid w:val="00416A1E"/>
    <w:rsid w:val="00416A79"/>
    <w:rsid w:val="00416C2B"/>
    <w:rsid w:val="00416DF4"/>
    <w:rsid w:val="0041715E"/>
    <w:rsid w:val="00417696"/>
    <w:rsid w:val="00417823"/>
    <w:rsid w:val="00417A7B"/>
    <w:rsid w:val="00417B08"/>
    <w:rsid w:val="0042014A"/>
    <w:rsid w:val="0042103B"/>
    <w:rsid w:val="00421094"/>
    <w:rsid w:val="00421129"/>
    <w:rsid w:val="0042127A"/>
    <w:rsid w:val="00421694"/>
    <w:rsid w:val="004218D9"/>
    <w:rsid w:val="004225F6"/>
    <w:rsid w:val="004229DE"/>
    <w:rsid w:val="00422A65"/>
    <w:rsid w:val="00422A6E"/>
    <w:rsid w:val="00422F5A"/>
    <w:rsid w:val="00422FBC"/>
    <w:rsid w:val="00423145"/>
    <w:rsid w:val="0042356F"/>
    <w:rsid w:val="00423821"/>
    <w:rsid w:val="004239FE"/>
    <w:rsid w:val="00423F03"/>
    <w:rsid w:val="00423F27"/>
    <w:rsid w:val="004246EE"/>
    <w:rsid w:val="00424DC8"/>
    <w:rsid w:val="00424E90"/>
    <w:rsid w:val="00425139"/>
    <w:rsid w:val="004251FA"/>
    <w:rsid w:val="0042535D"/>
    <w:rsid w:val="00425509"/>
    <w:rsid w:val="00425DA5"/>
    <w:rsid w:val="004261F7"/>
    <w:rsid w:val="00426279"/>
    <w:rsid w:val="0042636F"/>
    <w:rsid w:val="0042651B"/>
    <w:rsid w:val="004267CC"/>
    <w:rsid w:val="004267EE"/>
    <w:rsid w:val="00426967"/>
    <w:rsid w:val="00426EAD"/>
    <w:rsid w:val="00426F62"/>
    <w:rsid w:val="00426F73"/>
    <w:rsid w:val="00427321"/>
    <w:rsid w:val="0042760F"/>
    <w:rsid w:val="00427A54"/>
    <w:rsid w:val="00427AC6"/>
    <w:rsid w:val="00430005"/>
    <w:rsid w:val="004300C6"/>
    <w:rsid w:val="00430877"/>
    <w:rsid w:val="004308BC"/>
    <w:rsid w:val="00430CE3"/>
    <w:rsid w:val="00430D0C"/>
    <w:rsid w:val="004313CF"/>
    <w:rsid w:val="0043156A"/>
    <w:rsid w:val="00431B4A"/>
    <w:rsid w:val="004327D8"/>
    <w:rsid w:val="00432B0C"/>
    <w:rsid w:val="00432BF4"/>
    <w:rsid w:val="00432CE6"/>
    <w:rsid w:val="004331A0"/>
    <w:rsid w:val="00433336"/>
    <w:rsid w:val="00433907"/>
    <w:rsid w:val="00433AB3"/>
    <w:rsid w:val="00433D24"/>
    <w:rsid w:val="00433D8E"/>
    <w:rsid w:val="00434342"/>
    <w:rsid w:val="00434B16"/>
    <w:rsid w:val="00434BF0"/>
    <w:rsid w:val="00434DF9"/>
    <w:rsid w:val="00434F7E"/>
    <w:rsid w:val="00435051"/>
    <w:rsid w:val="0043538E"/>
    <w:rsid w:val="00435408"/>
    <w:rsid w:val="00435983"/>
    <w:rsid w:val="00435B56"/>
    <w:rsid w:val="00435EF3"/>
    <w:rsid w:val="004360A8"/>
    <w:rsid w:val="004362EC"/>
    <w:rsid w:val="00436DEC"/>
    <w:rsid w:val="00436E15"/>
    <w:rsid w:val="00437147"/>
    <w:rsid w:val="004376D0"/>
    <w:rsid w:val="00437915"/>
    <w:rsid w:val="00437B2F"/>
    <w:rsid w:val="00437B60"/>
    <w:rsid w:val="00437DE4"/>
    <w:rsid w:val="00437E6C"/>
    <w:rsid w:val="00440092"/>
    <w:rsid w:val="00440114"/>
    <w:rsid w:val="00440136"/>
    <w:rsid w:val="0044045C"/>
    <w:rsid w:val="004404CD"/>
    <w:rsid w:val="004406AC"/>
    <w:rsid w:val="004413BA"/>
    <w:rsid w:val="0044183A"/>
    <w:rsid w:val="00441845"/>
    <w:rsid w:val="0044197B"/>
    <w:rsid w:val="00441D63"/>
    <w:rsid w:val="00442150"/>
    <w:rsid w:val="004422F6"/>
    <w:rsid w:val="0044279A"/>
    <w:rsid w:val="00442C69"/>
    <w:rsid w:val="00442E18"/>
    <w:rsid w:val="00442FC2"/>
    <w:rsid w:val="00442FF4"/>
    <w:rsid w:val="004437C4"/>
    <w:rsid w:val="00443ADB"/>
    <w:rsid w:val="00444187"/>
    <w:rsid w:val="004442B0"/>
    <w:rsid w:val="00444444"/>
    <w:rsid w:val="004446C5"/>
    <w:rsid w:val="004449C4"/>
    <w:rsid w:val="00444B61"/>
    <w:rsid w:val="004450D5"/>
    <w:rsid w:val="00445A94"/>
    <w:rsid w:val="00446856"/>
    <w:rsid w:val="00446E3B"/>
    <w:rsid w:val="00447016"/>
    <w:rsid w:val="00447850"/>
    <w:rsid w:val="00447EF6"/>
    <w:rsid w:val="00450506"/>
    <w:rsid w:val="00450636"/>
    <w:rsid w:val="004506FA"/>
    <w:rsid w:val="00450967"/>
    <w:rsid w:val="00450B91"/>
    <w:rsid w:val="00450CB7"/>
    <w:rsid w:val="0045112B"/>
    <w:rsid w:val="004512F6"/>
    <w:rsid w:val="004514A1"/>
    <w:rsid w:val="00451B2B"/>
    <w:rsid w:val="00451ECD"/>
    <w:rsid w:val="00451FDB"/>
    <w:rsid w:val="00451FE7"/>
    <w:rsid w:val="00452169"/>
    <w:rsid w:val="00452746"/>
    <w:rsid w:val="004527D8"/>
    <w:rsid w:val="004528A8"/>
    <w:rsid w:val="00452AC9"/>
    <w:rsid w:val="00452F32"/>
    <w:rsid w:val="00452FDE"/>
    <w:rsid w:val="004534F3"/>
    <w:rsid w:val="00453971"/>
    <w:rsid w:val="004539BA"/>
    <w:rsid w:val="00453A9C"/>
    <w:rsid w:val="00453EE4"/>
    <w:rsid w:val="004541AC"/>
    <w:rsid w:val="004543CC"/>
    <w:rsid w:val="004553C6"/>
    <w:rsid w:val="004553F8"/>
    <w:rsid w:val="00455626"/>
    <w:rsid w:val="00455D88"/>
    <w:rsid w:val="00455DF3"/>
    <w:rsid w:val="004563AB"/>
    <w:rsid w:val="00456EB7"/>
    <w:rsid w:val="00457516"/>
    <w:rsid w:val="004603ED"/>
    <w:rsid w:val="00460891"/>
    <w:rsid w:val="00460A55"/>
    <w:rsid w:val="00460E43"/>
    <w:rsid w:val="00461747"/>
    <w:rsid w:val="00461B43"/>
    <w:rsid w:val="00461BA6"/>
    <w:rsid w:val="00462004"/>
    <w:rsid w:val="004626DA"/>
    <w:rsid w:val="00462725"/>
    <w:rsid w:val="00462965"/>
    <w:rsid w:val="00462D78"/>
    <w:rsid w:val="00462EBA"/>
    <w:rsid w:val="004630DA"/>
    <w:rsid w:val="004631A5"/>
    <w:rsid w:val="0046335C"/>
    <w:rsid w:val="00463536"/>
    <w:rsid w:val="004635C7"/>
    <w:rsid w:val="0046367B"/>
    <w:rsid w:val="00463863"/>
    <w:rsid w:val="004639A8"/>
    <w:rsid w:val="004639BC"/>
    <w:rsid w:val="00463B7F"/>
    <w:rsid w:val="00463C24"/>
    <w:rsid w:val="004640D7"/>
    <w:rsid w:val="00464A01"/>
    <w:rsid w:val="00464E0A"/>
    <w:rsid w:val="00464FCB"/>
    <w:rsid w:val="0046505E"/>
    <w:rsid w:val="00465293"/>
    <w:rsid w:val="00465442"/>
    <w:rsid w:val="0046657C"/>
    <w:rsid w:val="00466B37"/>
    <w:rsid w:val="00467094"/>
    <w:rsid w:val="004670BD"/>
    <w:rsid w:val="004672CC"/>
    <w:rsid w:val="00467586"/>
    <w:rsid w:val="004679F5"/>
    <w:rsid w:val="00467B9D"/>
    <w:rsid w:val="004705ED"/>
    <w:rsid w:val="00470769"/>
    <w:rsid w:val="00470915"/>
    <w:rsid w:val="00470AA5"/>
    <w:rsid w:val="00471016"/>
    <w:rsid w:val="0047105E"/>
    <w:rsid w:val="00471675"/>
    <w:rsid w:val="0047168C"/>
    <w:rsid w:val="004717DF"/>
    <w:rsid w:val="004718CA"/>
    <w:rsid w:val="00471E82"/>
    <w:rsid w:val="00472236"/>
    <w:rsid w:val="00472770"/>
    <w:rsid w:val="00472BA1"/>
    <w:rsid w:val="00472EA0"/>
    <w:rsid w:val="0047367C"/>
    <w:rsid w:val="004738ED"/>
    <w:rsid w:val="004739C7"/>
    <w:rsid w:val="00473E00"/>
    <w:rsid w:val="00474303"/>
    <w:rsid w:val="00474515"/>
    <w:rsid w:val="00474639"/>
    <w:rsid w:val="00474A17"/>
    <w:rsid w:val="004753DE"/>
    <w:rsid w:val="00475740"/>
    <w:rsid w:val="004757AC"/>
    <w:rsid w:val="00475845"/>
    <w:rsid w:val="00475DA9"/>
    <w:rsid w:val="0047657E"/>
    <w:rsid w:val="00476A02"/>
    <w:rsid w:val="00476B3A"/>
    <w:rsid w:val="00476C6D"/>
    <w:rsid w:val="00476E96"/>
    <w:rsid w:val="00476EE9"/>
    <w:rsid w:val="00476F88"/>
    <w:rsid w:val="00477166"/>
    <w:rsid w:val="004775E0"/>
    <w:rsid w:val="00477CC0"/>
    <w:rsid w:val="00477D37"/>
    <w:rsid w:val="00477F62"/>
    <w:rsid w:val="00480612"/>
    <w:rsid w:val="004810F0"/>
    <w:rsid w:val="00481526"/>
    <w:rsid w:val="0048157D"/>
    <w:rsid w:val="00481ABA"/>
    <w:rsid w:val="00482144"/>
    <w:rsid w:val="00482165"/>
    <w:rsid w:val="0048226E"/>
    <w:rsid w:val="0048227C"/>
    <w:rsid w:val="004825DC"/>
    <w:rsid w:val="00482802"/>
    <w:rsid w:val="00482BAA"/>
    <w:rsid w:val="00482D5C"/>
    <w:rsid w:val="00482E9A"/>
    <w:rsid w:val="0048316C"/>
    <w:rsid w:val="0048320A"/>
    <w:rsid w:val="00483381"/>
    <w:rsid w:val="004838FA"/>
    <w:rsid w:val="00483A86"/>
    <w:rsid w:val="00483B9F"/>
    <w:rsid w:val="00483DD9"/>
    <w:rsid w:val="00483E41"/>
    <w:rsid w:val="00483FA8"/>
    <w:rsid w:val="004841B6"/>
    <w:rsid w:val="00484381"/>
    <w:rsid w:val="004844C1"/>
    <w:rsid w:val="004849F1"/>
    <w:rsid w:val="00484A9F"/>
    <w:rsid w:val="00484F13"/>
    <w:rsid w:val="004851BE"/>
    <w:rsid w:val="00485AC4"/>
    <w:rsid w:val="00485B21"/>
    <w:rsid w:val="00485BA8"/>
    <w:rsid w:val="00485C1D"/>
    <w:rsid w:val="00486375"/>
    <w:rsid w:val="004864B6"/>
    <w:rsid w:val="004864D4"/>
    <w:rsid w:val="004866E7"/>
    <w:rsid w:val="00486A64"/>
    <w:rsid w:val="00486C36"/>
    <w:rsid w:val="00486D61"/>
    <w:rsid w:val="00487022"/>
    <w:rsid w:val="004870B2"/>
    <w:rsid w:val="00487411"/>
    <w:rsid w:val="00487913"/>
    <w:rsid w:val="00487B53"/>
    <w:rsid w:val="00487CA6"/>
    <w:rsid w:val="00487D02"/>
    <w:rsid w:val="004900F4"/>
    <w:rsid w:val="0049030D"/>
    <w:rsid w:val="00490389"/>
    <w:rsid w:val="004903A2"/>
    <w:rsid w:val="004914B6"/>
    <w:rsid w:val="00491532"/>
    <w:rsid w:val="0049156F"/>
    <w:rsid w:val="00491A87"/>
    <w:rsid w:val="00491AB0"/>
    <w:rsid w:val="00491ADB"/>
    <w:rsid w:val="0049206E"/>
    <w:rsid w:val="00492AF5"/>
    <w:rsid w:val="00492BEF"/>
    <w:rsid w:val="00492C76"/>
    <w:rsid w:val="00492E2D"/>
    <w:rsid w:val="00492F6D"/>
    <w:rsid w:val="00492FD5"/>
    <w:rsid w:val="00493145"/>
    <w:rsid w:val="00493C60"/>
    <w:rsid w:val="00493DDF"/>
    <w:rsid w:val="004941DB"/>
    <w:rsid w:val="004941FF"/>
    <w:rsid w:val="00494468"/>
    <w:rsid w:val="00494958"/>
    <w:rsid w:val="00494F03"/>
    <w:rsid w:val="00494FCA"/>
    <w:rsid w:val="004950AE"/>
    <w:rsid w:val="00495274"/>
    <w:rsid w:val="00495829"/>
    <w:rsid w:val="0049596E"/>
    <w:rsid w:val="00495AB5"/>
    <w:rsid w:val="00495B32"/>
    <w:rsid w:val="00495D50"/>
    <w:rsid w:val="00495D86"/>
    <w:rsid w:val="004964E8"/>
    <w:rsid w:val="0049684F"/>
    <w:rsid w:val="00496BCA"/>
    <w:rsid w:val="00496D1B"/>
    <w:rsid w:val="00497005"/>
    <w:rsid w:val="0049722F"/>
    <w:rsid w:val="00497726"/>
    <w:rsid w:val="00497A35"/>
    <w:rsid w:val="00497E19"/>
    <w:rsid w:val="004A0100"/>
    <w:rsid w:val="004A03DA"/>
    <w:rsid w:val="004A05DA"/>
    <w:rsid w:val="004A0601"/>
    <w:rsid w:val="004A14A5"/>
    <w:rsid w:val="004A2274"/>
    <w:rsid w:val="004A2325"/>
    <w:rsid w:val="004A31A3"/>
    <w:rsid w:val="004A32D7"/>
    <w:rsid w:val="004A3350"/>
    <w:rsid w:val="004A378E"/>
    <w:rsid w:val="004A3DFE"/>
    <w:rsid w:val="004A3FD8"/>
    <w:rsid w:val="004A4130"/>
    <w:rsid w:val="004A4259"/>
    <w:rsid w:val="004A4454"/>
    <w:rsid w:val="004A4471"/>
    <w:rsid w:val="004A4700"/>
    <w:rsid w:val="004A5128"/>
    <w:rsid w:val="004A5770"/>
    <w:rsid w:val="004A5927"/>
    <w:rsid w:val="004A59AC"/>
    <w:rsid w:val="004A5A00"/>
    <w:rsid w:val="004A66AF"/>
    <w:rsid w:val="004A66EE"/>
    <w:rsid w:val="004A7077"/>
    <w:rsid w:val="004A770B"/>
    <w:rsid w:val="004A7F00"/>
    <w:rsid w:val="004A7F80"/>
    <w:rsid w:val="004B0295"/>
    <w:rsid w:val="004B0C08"/>
    <w:rsid w:val="004B0D63"/>
    <w:rsid w:val="004B0EE9"/>
    <w:rsid w:val="004B1073"/>
    <w:rsid w:val="004B1699"/>
    <w:rsid w:val="004B1735"/>
    <w:rsid w:val="004B1DB2"/>
    <w:rsid w:val="004B2036"/>
    <w:rsid w:val="004B26BB"/>
    <w:rsid w:val="004B2863"/>
    <w:rsid w:val="004B29B9"/>
    <w:rsid w:val="004B2B72"/>
    <w:rsid w:val="004B3AD1"/>
    <w:rsid w:val="004B3C53"/>
    <w:rsid w:val="004B3C89"/>
    <w:rsid w:val="004B41D8"/>
    <w:rsid w:val="004B46F9"/>
    <w:rsid w:val="004B4D4A"/>
    <w:rsid w:val="004B5157"/>
    <w:rsid w:val="004B522C"/>
    <w:rsid w:val="004B5508"/>
    <w:rsid w:val="004B556E"/>
    <w:rsid w:val="004B56D8"/>
    <w:rsid w:val="004B5806"/>
    <w:rsid w:val="004B591F"/>
    <w:rsid w:val="004B595F"/>
    <w:rsid w:val="004B5992"/>
    <w:rsid w:val="004B5AE2"/>
    <w:rsid w:val="004B5B32"/>
    <w:rsid w:val="004B5B83"/>
    <w:rsid w:val="004B5D5B"/>
    <w:rsid w:val="004B6403"/>
    <w:rsid w:val="004B646B"/>
    <w:rsid w:val="004B67C6"/>
    <w:rsid w:val="004B6876"/>
    <w:rsid w:val="004B69FC"/>
    <w:rsid w:val="004B6AB7"/>
    <w:rsid w:val="004B6B40"/>
    <w:rsid w:val="004B6DAC"/>
    <w:rsid w:val="004B744D"/>
    <w:rsid w:val="004B79B1"/>
    <w:rsid w:val="004B7A12"/>
    <w:rsid w:val="004B7F4E"/>
    <w:rsid w:val="004C05C2"/>
    <w:rsid w:val="004C0747"/>
    <w:rsid w:val="004C0B50"/>
    <w:rsid w:val="004C1804"/>
    <w:rsid w:val="004C215E"/>
    <w:rsid w:val="004C2839"/>
    <w:rsid w:val="004C2A04"/>
    <w:rsid w:val="004C2E66"/>
    <w:rsid w:val="004C3060"/>
    <w:rsid w:val="004C314D"/>
    <w:rsid w:val="004C3219"/>
    <w:rsid w:val="004C3809"/>
    <w:rsid w:val="004C39CD"/>
    <w:rsid w:val="004C3C41"/>
    <w:rsid w:val="004C3E23"/>
    <w:rsid w:val="004C4115"/>
    <w:rsid w:val="004C454A"/>
    <w:rsid w:val="004C4B96"/>
    <w:rsid w:val="004C4CC8"/>
    <w:rsid w:val="004C4DF1"/>
    <w:rsid w:val="004C4EE6"/>
    <w:rsid w:val="004C4F45"/>
    <w:rsid w:val="004C5A84"/>
    <w:rsid w:val="004C5E79"/>
    <w:rsid w:val="004C5E7B"/>
    <w:rsid w:val="004C5E9D"/>
    <w:rsid w:val="004C5F58"/>
    <w:rsid w:val="004C609C"/>
    <w:rsid w:val="004C617B"/>
    <w:rsid w:val="004C65BB"/>
    <w:rsid w:val="004C6788"/>
    <w:rsid w:val="004C6981"/>
    <w:rsid w:val="004C6B15"/>
    <w:rsid w:val="004C6CA6"/>
    <w:rsid w:val="004C746A"/>
    <w:rsid w:val="004C7B75"/>
    <w:rsid w:val="004D005A"/>
    <w:rsid w:val="004D01B8"/>
    <w:rsid w:val="004D05C5"/>
    <w:rsid w:val="004D09BD"/>
    <w:rsid w:val="004D0C04"/>
    <w:rsid w:val="004D10A9"/>
    <w:rsid w:val="004D123A"/>
    <w:rsid w:val="004D12B5"/>
    <w:rsid w:val="004D14AF"/>
    <w:rsid w:val="004D17A5"/>
    <w:rsid w:val="004D19C8"/>
    <w:rsid w:val="004D2074"/>
    <w:rsid w:val="004D2527"/>
    <w:rsid w:val="004D26D2"/>
    <w:rsid w:val="004D2C2F"/>
    <w:rsid w:val="004D2C77"/>
    <w:rsid w:val="004D2EC0"/>
    <w:rsid w:val="004D3A0B"/>
    <w:rsid w:val="004D41D4"/>
    <w:rsid w:val="004D43FA"/>
    <w:rsid w:val="004D4BB6"/>
    <w:rsid w:val="004D53A0"/>
    <w:rsid w:val="004D5B59"/>
    <w:rsid w:val="004D5C14"/>
    <w:rsid w:val="004D6133"/>
    <w:rsid w:val="004D6276"/>
    <w:rsid w:val="004D64BC"/>
    <w:rsid w:val="004D64E0"/>
    <w:rsid w:val="004D6547"/>
    <w:rsid w:val="004D66F7"/>
    <w:rsid w:val="004D6B89"/>
    <w:rsid w:val="004D6C03"/>
    <w:rsid w:val="004D727B"/>
    <w:rsid w:val="004D7391"/>
    <w:rsid w:val="004D7A16"/>
    <w:rsid w:val="004D7C52"/>
    <w:rsid w:val="004D7CA2"/>
    <w:rsid w:val="004E0320"/>
    <w:rsid w:val="004E0443"/>
    <w:rsid w:val="004E0488"/>
    <w:rsid w:val="004E050F"/>
    <w:rsid w:val="004E0762"/>
    <w:rsid w:val="004E15CD"/>
    <w:rsid w:val="004E162C"/>
    <w:rsid w:val="004E1CBF"/>
    <w:rsid w:val="004E2005"/>
    <w:rsid w:val="004E25AE"/>
    <w:rsid w:val="004E2650"/>
    <w:rsid w:val="004E2AFD"/>
    <w:rsid w:val="004E2FE2"/>
    <w:rsid w:val="004E3411"/>
    <w:rsid w:val="004E3835"/>
    <w:rsid w:val="004E389B"/>
    <w:rsid w:val="004E3976"/>
    <w:rsid w:val="004E39FE"/>
    <w:rsid w:val="004E45C4"/>
    <w:rsid w:val="004E4727"/>
    <w:rsid w:val="004E5198"/>
    <w:rsid w:val="004E51D8"/>
    <w:rsid w:val="004E5363"/>
    <w:rsid w:val="004E579C"/>
    <w:rsid w:val="004E5856"/>
    <w:rsid w:val="004E596C"/>
    <w:rsid w:val="004E598D"/>
    <w:rsid w:val="004E5A45"/>
    <w:rsid w:val="004E6137"/>
    <w:rsid w:val="004E66D7"/>
    <w:rsid w:val="004E7433"/>
    <w:rsid w:val="004E75C8"/>
    <w:rsid w:val="004E7766"/>
    <w:rsid w:val="004E78A0"/>
    <w:rsid w:val="004E7F71"/>
    <w:rsid w:val="004F0317"/>
    <w:rsid w:val="004F07BA"/>
    <w:rsid w:val="004F1C5F"/>
    <w:rsid w:val="004F20EE"/>
    <w:rsid w:val="004F249F"/>
    <w:rsid w:val="004F25F8"/>
    <w:rsid w:val="004F3637"/>
    <w:rsid w:val="004F36F1"/>
    <w:rsid w:val="004F3970"/>
    <w:rsid w:val="004F3A7D"/>
    <w:rsid w:val="004F3C40"/>
    <w:rsid w:val="004F3EFC"/>
    <w:rsid w:val="004F475A"/>
    <w:rsid w:val="004F4859"/>
    <w:rsid w:val="004F4F41"/>
    <w:rsid w:val="004F58AF"/>
    <w:rsid w:val="004F5FCC"/>
    <w:rsid w:val="004F6159"/>
    <w:rsid w:val="004F61B0"/>
    <w:rsid w:val="004F61DA"/>
    <w:rsid w:val="004F628E"/>
    <w:rsid w:val="004F653B"/>
    <w:rsid w:val="004F6685"/>
    <w:rsid w:val="004F66DF"/>
    <w:rsid w:val="004F686C"/>
    <w:rsid w:val="004F6AD0"/>
    <w:rsid w:val="004F7712"/>
    <w:rsid w:val="004F7813"/>
    <w:rsid w:val="004F7887"/>
    <w:rsid w:val="004F7897"/>
    <w:rsid w:val="004F7BEA"/>
    <w:rsid w:val="004F7BF4"/>
    <w:rsid w:val="004F7C26"/>
    <w:rsid w:val="004F7E75"/>
    <w:rsid w:val="0050071E"/>
    <w:rsid w:val="00500FE1"/>
    <w:rsid w:val="005010CB"/>
    <w:rsid w:val="00501472"/>
    <w:rsid w:val="005014FD"/>
    <w:rsid w:val="00501966"/>
    <w:rsid w:val="00501B2A"/>
    <w:rsid w:val="00501B61"/>
    <w:rsid w:val="00501D0C"/>
    <w:rsid w:val="00501FFC"/>
    <w:rsid w:val="0050217B"/>
    <w:rsid w:val="005021EC"/>
    <w:rsid w:val="0050232B"/>
    <w:rsid w:val="00502A9B"/>
    <w:rsid w:val="00502F65"/>
    <w:rsid w:val="005035C6"/>
    <w:rsid w:val="00503677"/>
    <w:rsid w:val="00503C5B"/>
    <w:rsid w:val="00503E46"/>
    <w:rsid w:val="00503F66"/>
    <w:rsid w:val="0050426E"/>
    <w:rsid w:val="005044A8"/>
    <w:rsid w:val="00504669"/>
    <w:rsid w:val="005046EE"/>
    <w:rsid w:val="005049F5"/>
    <w:rsid w:val="00505027"/>
    <w:rsid w:val="00505086"/>
    <w:rsid w:val="00505124"/>
    <w:rsid w:val="0050520B"/>
    <w:rsid w:val="00505641"/>
    <w:rsid w:val="00505F7D"/>
    <w:rsid w:val="00506194"/>
    <w:rsid w:val="005062EA"/>
    <w:rsid w:val="00506328"/>
    <w:rsid w:val="005067ED"/>
    <w:rsid w:val="0050680D"/>
    <w:rsid w:val="00506878"/>
    <w:rsid w:val="005068F5"/>
    <w:rsid w:val="005068F9"/>
    <w:rsid w:val="0050694B"/>
    <w:rsid w:val="00506CCA"/>
    <w:rsid w:val="00506D81"/>
    <w:rsid w:val="005071FD"/>
    <w:rsid w:val="005072E1"/>
    <w:rsid w:val="005073E6"/>
    <w:rsid w:val="00507419"/>
    <w:rsid w:val="00507ABE"/>
    <w:rsid w:val="00507D2C"/>
    <w:rsid w:val="005104D8"/>
    <w:rsid w:val="0051096D"/>
    <w:rsid w:val="00510C3E"/>
    <w:rsid w:val="00510EF4"/>
    <w:rsid w:val="00511292"/>
    <w:rsid w:val="005112E5"/>
    <w:rsid w:val="005116F2"/>
    <w:rsid w:val="00511D3C"/>
    <w:rsid w:val="0051205F"/>
    <w:rsid w:val="00512694"/>
    <w:rsid w:val="005128E7"/>
    <w:rsid w:val="005139BC"/>
    <w:rsid w:val="00513C4E"/>
    <w:rsid w:val="0051452F"/>
    <w:rsid w:val="00514694"/>
    <w:rsid w:val="00514BDE"/>
    <w:rsid w:val="00515330"/>
    <w:rsid w:val="005158DD"/>
    <w:rsid w:val="00515930"/>
    <w:rsid w:val="00515BC6"/>
    <w:rsid w:val="00515D3B"/>
    <w:rsid w:val="00516041"/>
    <w:rsid w:val="00516182"/>
    <w:rsid w:val="00516396"/>
    <w:rsid w:val="005164DE"/>
    <w:rsid w:val="00517CD1"/>
    <w:rsid w:val="00517D8C"/>
    <w:rsid w:val="00520095"/>
    <w:rsid w:val="005200E2"/>
    <w:rsid w:val="00520649"/>
    <w:rsid w:val="005208D7"/>
    <w:rsid w:val="0052165C"/>
    <w:rsid w:val="00521FAD"/>
    <w:rsid w:val="0052200F"/>
    <w:rsid w:val="0052247F"/>
    <w:rsid w:val="0052270C"/>
    <w:rsid w:val="00522A4C"/>
    <w:rsid w:val="00522CEA"/>
    <w:rsid w:val="00523152"/>
    <w:rsid w:val="005231F0"/>
    <w:rsid w:val="00523C5D"/>
    <w:rsid w:val="00523C99"/>
    <w:rsid w:val="00523FF6"/>
    <w:rsid w:val="00524AEB"/>
    <w:rsid w:val="00524C29"/>
    <w:rsid w:val="00524C71"/>
    <w:rsid w:val="00524E33"/>
    <w:rsid w:val="0052571B"/>
    <w:rsid w:val="00525934"/>
    <w:rsid w:val="00525969"/>
    <w:rsid w:val="00525F1A"/>
    <w:rsid w:val="005262A5"/>
    <w:rsid w:val="005265C4"/>
    <w:rsid w:val="00526F13"/>
    <w:rsid w:val="00526F9A"/>
    <w:rsid w:val="0052731A"/>
    <w:rsid w:val="00527860"/>
    <w:rsid w:val="005278E7"/>
    <w:rsid w:val="00527959"/>
    <w:rsid w:val="00527D00"/>
    <w:rsid w:val="00527E51"/>
    <w:rsid w:val="005303A4"/>
    <w:rsid w:val="00530D38"/>
    <w:rsid w:val="00530FDA"/>
    <w:rsid w:val="00532625"/>
    <w:rsid w:val="0053290B"/>
    <w:rsid w:val="005336CD"/>
    <w:rsid w:val="00533732"/>
    <w:rsid w:val="00533830"/>
    <w:rsid w:val="00533E16"/>
    <w:rsid w:val="00534492"/>
    <w:rsid w:val="0053459C"/>
    <w:rsid w:val="005345E0"/>
    <w:rsid w:val="00534EF8"/>
    <w:rsid w:val="00534F13"/>
    <w:rsid w:val="00535065"/>
    <w:rsid w:val="005350B7"/>
    <w:rsid w:val="00535262"/>
    <w:rsid w:val="005354F8"/>
    <w:rsid w:val="0053589D"/>
    <w:rsid w:val="005358D5"/>
    <w:rsid w:val="0053598B"/>
    <w:rsid w:val="00535B3F"/>
    <w:rsid w:val="0053625B"/>
    <w:rsid w:val="00536D4A"/>
    <w:rsid w:val="00536D8F"/>
    <w:rsid w:val="005370FC"/>
    <w:rsid w:val="00537278"/>
    <w:rsid w:val="0053794C"/>
    <w:rsid w:val="00537B6D"/>
    <w:rsid w:val="00537E50"/>
    <w:rsid w:val="00537E9D"/>
    <w:rsid w:val="0054004F"/>
    <w:rsid w:val="00540056"/>
    <w:rsid w:val="00540242"/>
    <w:rsid w:val="0054025E"/>
    <w:rsid w:val="00540583"/>
    <w:rsid w:val="005406E5"/>
    <w:rsid w:val="00540C86"/>
    <w:rsid w:val="00540F5E"/>
    <w:rsid w:val="0054130E"/>
    <w:rsid w:val="005416DA"/>
    <w:rsid w:val="005417EB"/>
    <w:rsid w:val="005420BF"/>
    <w:rsid w:val="00542174"/>
    <w:rsid w:val="00542244"/>
    <w:rsid w:val="00542307"/>
    <w:rsid w:val="00542570"/>
    <w:rsid w:val="00542C3E"/>
    <w:rsid w:val="00542CA4"/>
    <w:rsid w:val="00542E81"/>
    <w:rsid w:val="00543140"/>
    <w:rsid w:val="005431DA"/>
    <w:rsid w:val="005432D8"/>
    <w:rsid w:val="005434C0"/>
    <w:rsid w:val="005440E8"/>
    <w:rsid w:val="00544764"/>
    <w:rsid w:val="005448DA"/>
    <w:rsid w:val="005449BC"/>
    <w:rsid w:val="00544B1B"/>
    <w:rsid w:val="0054554A"/>
    <w:rsid w:val="0054574A"/>
    <w:rsid w:val="00545A83"/>
    <w:rsid w:val="00545BAA"/>
    <w:rsid w:val="00545C12"/>
    <w:rsid w:val="005467E9"/>
    <w:rsid w:val="005468A1"/>
    <w:rsid w:val="00546AEF"/>
    <w:rsid w:val="00546BDD"/>
    <w:rsid w:val="00546F58"/>
    <w:rsid w:val="005475BB"/>
    <w:rsid w:val="0054778B"/>
    <w:rsid w:val="00547872"/>
    <w:rsid w:val="00547BFA"/>
    <w:rsid w:val="0055069F"/>
    <w:rsid w:val="00550AB6"/>
    <w:rsid w:val="00551C6A"/>
    <w:rsid w:val="005524D4"/>
    <w:rsid w:val="00552DEC"/>
    <w:rsid w:val="00552F12"/>
    <w:rsid w:val="00552F6F"/>
    <w:rsid w:val="00553006"/>
    <w:rsid w:val="00553167"/>
    <w:rsid w:val="0055323C"/>
    <w:rsid w:val="005533BB"/>
    <w:rsid w:val="005533BC"/>
    <w:rsid w:val="00553518"/>
    <w:rsid w:val="0055374B"/>
    <w:rsid w:val="005538C9"/>
    <w:rsid w:val="00553E4B"/>
    <w:rsid w:val="005541CA"/>
    <w:rsid w:val="005543EC"/>
    <w:rsid w:val="005548C0"/>
    <w:rsid w:val="00554B37"/>
    <w:rsid w:val="00554D3E"/>
    <w:rsid w:val="00554DFF"/>
    <w:rsid w:val="00554EF5"/>
    <w:rsid w:val="0055525A"/>
    <w:rsid w:val="00555630"/>
    <w:rsid w:val="00555691"/>
    <w:rsid w:val="00555773"/>
    <w:rsid w:val="00555DAC"/>
    <w:rsid w:val="00555EDF"/>
    <w:rsid w:val="00555F07"/>
    <w:rsid w:val="00556235"/>
    <w:rsid w:val="00556319"/>
    <w:rsid w:val="00556472"/>
    <w:rsid w:val="005569EA"/>
    <w:rsid w:val="00556C2A"/>
    <w:rsid w:val="00556D54"/>
    <w:rsid w:val="0055709F"/>
    <w:rsid w:val="005570A6"/>
    <w:rsid w:val="00557133"/>
    <w:rsid w:val="00557167"/>
    <w:rsid w:val="005571BE"/>
    <w:rsid w:val="005572A7"/>
    <w:rsid w:val="005576B5"/>
    <w:rsid w:val="00557B92"/>
    <w:rsid w:val="005601D2"/>
    <w:rsid w:val="005602D3"/>
    <w:rsid w:val="00560575"/>
    <w:rsid w:val="005606A5"/>
    <w:rsid w:val="005609CB"/>
    <w:rsid w:val="00560D53"/>
    <w:rsid w:val="00560E52"/>
    <w:rsid w:val="00560F26"/>
    <w:rsid w:val="005613FD"/>
    <w:rsid w:val="00561421"/>
    <w:rsid w:val="0056151E"/>
    <w:rsid w:val="00561569"/>
    <w:rsid w:val="005615AB"/>
    <w:rsid w:val="005615E7"/>
    <w:rsid w:val="0056192A"/>
    <w:rsid w:val="00561C12"/>
    <w:rsid w:val="00561D7A"/>
    <w:rsid w:val="00561DBB"/>
    <w:rsid w:val="00561EA8"/>
    <w:rsid w:val="005620E2"/>
    <w:rsid w:val="00562110"/>
    <w:rsid w:val="0056225F"/>
    <w:rsid w:val="005625A4"/>
    <w:rsid w:val="00562D04"/>
    <w:rsid w:val="00562FFA"/>
    <w:rsid w:val="00563043"/>
    <w:rsid w:val="005631A9"/>
    <w:rsid w:val="00563335"/>
    <w:rsid w:val="00563502"/>
    <w:rsid w:val="005636B6"/>
    <w:rsid w:val="00563B17"/>
    <w:rsid w:val="00563D45"/>
    <w:rsid w:val="00564592"/>
    <w:rsid w:val="0056466E"/>
    <w:rsid w:val="005646B8"/>
    <w:rsid w:val="005648C3"/>
    <w:rsid w:val="0056542F"/>
    <w:rsid w:val="00565EDD"/>
    <w:rsid w:val="00566331"/>
    <w:rsid w:val="00566715"/>
    <w:rsid w:val="00567517"/>
    <w:rsid w:val="00567821"/>
    <w:rsid w:val="00567A5A"/>
    <w:rsid w:val="00567AFD"/>
    <w:rsid w:val="00567C20"/>
    <w:rsid w:val="00567CC7"/>
    <w:rsid w:val="00567E1B"/>
    <w:rsid w:val="00570445"/>
    <w:rsid w:val="00570640"/>
    <w:rsid w:val="00570703"/>
    <w:rsid w:val="00571163"/>
    <w:rsid w:val="00571267"/>
    <w:rsid w:val="0057194A"/>
    <w:rsid w:val="00571C57"/>
    <w:rsid w:val="005720E8"/>
    <w:rsid w:val="00572BB4"/>
    <w:rsid w:val="005735DE"/>
    <w:rsid w:val="00573669"/>
    <w:rsid w:val="00573C36"/>
    <w:rsid w:val="00573E8C"/>
    <w:rsid w:val="005743A7"/>
    <w:rsid w:val="0057443A"/>
    <w:rsid w:val="005744F6"/>
    <w:rsid w:val="005745B8"/>
    <w:rsid w:val="00574605"/>
    <w:rsid w:val="005746D0"/>
    <w:rsid w:val="0057493E"/>
    <w:rsid w:val="00574A22"/>
    <w:rsid w:val="00574ADC"/>
    <w:rsid w:val="00574BF8"/>
    <w:rsid w:val="00574C4D"/>
    <w:rsid w:val="005754D8"/>
    <w:rsid w:val="0057571F"/>
    <w:rsid w:val="0057593A"/>
    <w:rsid w:val="00575CAE"/>
    <w:rsid w:val="00575EC9"/>
    <w:rsid w:val="00575EFE"/>
    <w:rsid w:val="00575F01"/>
    <w:rsid w:val="0057647B"/>
    <w:rsid w:val="00576726"/>
    <w:rsid w:val="005767C6"/>
    <w:rsid w:val="00576C2E"/>
    <w:rsid w:val="00576C8F"/>
    <w:rsid w:val="00576D65"/>
    <w:rsid w:val="00577570"/>
    <w:rsid w:val="00577EBB"/>
    <w:rsid w:val="0058046C"/>
    <w:rsid w:val="005804C2"/>
    <w:rsid w:val="005804D8"/>
    <w:rsid w:val="00580726"/>
    <w:rsid w:val="00581159"/>
    <w:rsid w:val="005811EC"/>
    <w:rsid w:val="005811F0"/>
    <w:rsid w:val="005814B7"/>
    <w:rsid w:val="00581514"/>
    <w:rsid w:val="00581891"/>
    <w:rsid w:val="005819DD"/>
    <w:rsid w:val="00581A83"/>
    <w:rsid w:val="00581B24"/>
    <w:rsid w:val="00581D41"/>
    <w:rsid w:val="00581DE0"/>
    <w:rsid w:val="00581FCA"/>
    <w:rsid w:val="005821EF"/>
    <w:rsid w:val="00582613"/>
    <w:rsid w:val="0058272D"/>
    <w:rsid w:val="0058290E"/>
    <w:rsid w:val="00582929"/>
    <w:rsid w:val="0058294C"/>
    <w:rsid w:val="00582BF0"/>
    <w:rsid w:val="00582FD0"/>
    <w:rsid w:val="005833DB"/>
    <w:rsid w:val="005834AA"/>
    <w:rsid w:val="00583965"/>
    <w:rsid w:val="00583DE0"/>
    <w:rsid w:val="00584196"/>
    <w:rsid w:val="00584479"/>
    <w:rsid w:val="00584679"/>
    <w:rsid w:val="0058480B"/>
    <w:rsid w:val="00584BE2"/>
    <w:rsid w:val="00584F11"/>
    <w:rsid w:val="005852BF"/>
    <w:rsid w:val="0058637B"/>
    <w:rsid w:val="0058639C"/>
    <w:rsid w:val="0058640F"/>
    <w:rsid w:val="005868FC"/>
    <w:rsid w:val="00586E4A"/>
    <w:rsid w:val="0058726E"/>
    <w:rsid w:val="005875BA"/>
    <w:rsid w:val="005901D1"/>
    <w:rsid w:val="00590547"/>
    <w:rsid w:val="00590688"/>
    <w:rsid w:val="00590933"/>
    <w:rsid w:val="00590BC3"/>
    <w:rsid w:val="00590FE7"/>
    <w:rsid w:val="00591206"/>
    <w:rsid w:val="005913CD"/>
    <w:rsid w:val="00591599"/>
    <w:rsid w:val="0059199C"/>
    <w:rsid w:val="00591A6D"/>
    <w:rsid w:val="00591DEF"/>
    <w:rsid w:val="0059219E"/>
    <w:rsid w:val="005929F3"/>
    <w:rsid w:val="00592D90"/>
    <w:rsid w:val="00592FEF"/>
    <w:rsid w:val="0059316B"/>
    <w:rsid w:val="005932AF"/>
    <w:rsid w:val="00593423"/>
    <w:rsid w:val="0059371B"/>
    <w:rsid w:val="0059381D"/>
    <w:rsid w:val="00594A22"/>
    <w:rsid w:val="00594BC6"/>
    <w:rsid w:val="00594F35"/>
    <w:rsid w:val="00595003"/>
    <w:rsid w:val="005953B5"/>
    <w:rsid w:val="0059576F"/>
    <w:rsid w:val="00595CD5"/>
    <w:rsid w:val="00596058"/>
    <w:rsid w:val="0059665E"/>
    <w:rsid w:val="00596ADE"/>
    <w:rsid w:val="005972B0"/>
    <w:rsid w:val="0059751A"/>
    <w:rsid w:val="00597D01"/>
    <w:rsid w:val="00597DFA"/>
    <w:rsid w:val="00597FDE"/>
    <w:rsid w:val="005A0180"/>
    <w:rsid w:val="005A05FA"/>
    <w:rsid w:val="005A0630"/>
    <w:rsid w:val="005A064F"/>
    <w:rsid w:val="005A1230"/>
    <w:rsid w:val="005A125C"/>
    <w:rsid w:val="005A158B"/>
    <w:rsid w:val="005A1874"/>
    <w:rsid w:val="005A20E0"/>
    <w:rsid w:val="005A21FB"/>
    <w:rsid w:val="005A23F5"/>
    <w:rsid w:val="005A2494"/>
    <w:rsid w:val="005A2610"/>
    <w:rsid w:val="005A2B76"/>
    <w:rsid w:val="005A2E15"/>
    <w:rsid w:val="005A2E8C"/>
    <w:rsid w:val="005A30B5"/>
    <w:rsid w:val="005A33B4"/>
    <w:rsid w:val="005A4149"/>
    <w:rsid w:val="005A41F5"/>
    <w:rsid w:val="005A4CA3"/>
    <w:rsid w:val="005A5594"/>
    <w:rsid w:val="005A5831"/>
    <w:rsid w:val="005A5EC8"/>
    <w:rsid w:val="005A60F5"/>
    <w:rsid w:val="005A6353"/>
    <w:rsid w:val="005A6E0E"/>
    <w:rsid w:val="005A6F2E"/>
    <w:rsid w:val="005A72AE"/>
    <w:rsid w:val="005A73A4"/>
    <w:rsid w:val="005A77EA"/>
    <w:rsid w:val="005A7F8F"/>
    <w:rsid w:val="005B0162"/>
    <w:rsid w:val="005B07D9"/>
    <w:rsid w:val="005B07E0"/>
    <w:rsid w:val="005B0CA0"/>
    <w:rsid w:val="005B11DE"/>
    <w:rsid w:val="005B154C"/>
    <w:rsid w:val="005B20D8"/>
    <w:rsid w:val="005B298D"/>
    <w:rsid w:val="005B2A33"/>
    <w:rsid w:val="005B3045"/>
    <w:rsid w:val="005B3053"/>
    <w:rsid w:val="005B3496"/>
    <w:rsid w:val="005B35CA"/>
    <w:rsid w:val="005B3646"/>
    <w:rsid w:val="005B3957"/>
    <w:rsid w:val="005B3BF2"/>
    <w:rsid w:val="005B43AD"/>
    <w:rsid w:val="005B4507"/>
    <w:rsid w:val="005B475B"/>
    <w:rsid w:val="005B4B03"/>
    <w:rsid w:val="005B5346"/>
    <w:rsid w:val="005B591C"/>
    <w:rsid w:val="005B5B40"/>
    <w:rsid w:val="005B6270"/>
    <w:rsid w:val="005B6294"/>
    <w:rsid w:val="005B673A"/>
    <w:rsid w:val="005B6FD0"/>
    <w:rsid w:val="005B7A48"/>
    <w:rsid w:val="005B7AA4"/>
    <w:rsid w:val="005B7C71"/>
    <w:rsid w:val="005C0273"/>
    <w:rsid w:val="005C03B3"/>
    <w:rsid w:val="005C0568"/>
    <w:rsid w:val="005C061E"/>
    <w:rsid w:val="005C0874"/>
    <w:rsid w:val="005C0949"/>
    <w:rsid w:val="005C099D"/>
    <w:rsid w:val="005C0C30"/>
    <w:rsid w:val="005C0D05"/>
    <w:rsid w:val="005C0D82"/>
    <w:rsid w:val="005C0E3B"/>
    <w:rsid w:val="005C15FD"/>
    <w:rsid w:val="005C19AE"/>
    <w:rsid w:val="005C1EA5"/>
    <w:rsid w:val="005C20A8"/>
    <w:rsid w:val="005C25AA"/>
    <w:rsid w:val="005C2FB0"/>
    <w:rsid w:val="005C38E0"/>
    <w:rsid w:val="005C3E17"/>
    <w:rsid w:val="005C40F3"/>
    <w:rsid w:val="005C4155"/>
    <w:rsid w:val="005C4181"/>
    <w:rsid w:val="005C44A6"/>
    <w:rsid w:val="005C4640"/>
    <w:rsid w:val="005C4ED5"/>
    <w:rsid w:val="005C512F"/>
    <w:rsid w:val="005C5316"/>
    <w:rsid w:val="005C5428"/>
    <w:rsid w:val="005C5709"/>
    <w:rsid w:val="005C5790"/>
    <w:rsid w:val="005C5844"/>
    <w:rsid w:val="005C5DD1"/>
    <w:rsid w:val="005C5FE8"/>
    <w:rsid w:val="005C6209"/>
    <w:rsid w:val="005C6F40"/>
    <w:rsid w:val="005C6F6D"/>
    <w:rsid w:val="005C7342"/>
    <w:rsid w:val="005C7403"/>
    <w:rsid w:val="005C7808"/>
    <w:rsid w:val="005C7913"/>
    <w:rsid w:val="005C7ED1"/>
    <w:rsid w:val="005C7FEF"/>
    <w:rsid w:val="005D00A2"/>
    <w:rsid w:val="005D0247"/>
    <w:rsid w:val="005D04F2"/>
    <w:rsid w:val="005D0795"/>
    <w:rsid w:val="005D08D2"/>
    <w:rsid w:val="005D0A58"/>
    <w:rsid w:val="005D0A84"/>
    <w:rsid w:val="005D0B1E"/>
    <w:rsid w:val="005D191A"/>
    <w:rsid w:val="005D1DC2"/>
    <w:rsid w:val="005D1DF1"/>
    <w:rsid w:val="005D1E74"/>
    <w:rsid w:val="005D2375"/>
    <w:rsid w:val="005D2675"/>
    <w:rsid w:val="005D28B5"/>
    <w:rsid w:val="005D29A5"/>
    <w:rsid w:val="005D29DE"/>
    <w:rsid w:val="005D2B8A"/>
    <w:rsid w:val="005D3738"/>
    <w:rsid w:val="005D3F74"/>
    <w:rsid w:val="005D4209"/>
    <w:rsid w:val="005D42C9"/>
    <w:rsid w:val="005D4640"/>
    <w:rsid w:val="005D475E"/>
    <w:rsid w:val="005D4C0A"/>
    <w:rsid w:val="005D52F1"/>
    <w:rsid w:val="005D560F"/>
    <w:rsid w:val="005D56D1"/>
    <w:rsid w:val="005D5830"/>
    <w:rsid w:val="005D5AA3"/>
    <w:rsid w:val="005D5AB7"/>
    <w:rsid w:val="005D5C54"/>
    <w:rsid w:val="005D5DED"/>
    <w:rsid w:val="005D5E96"/>
    <w:rsid w:val="005D5E9E"/>
    <w:rsid w:val="005D65DC"/>
    <w:rsid w:val="005D6696"/>
    <w:rsid w:val="005D7636"/>
    <w:rsid w:val="005D772D"/>
    <w:rsid w:val="005D7835"/>
    <w:rsid w:val="005D79C4"/>
    <w:rsid w:val="005D7C36"/>
    <w:rsid w:val="005D7E75"/>
    <w:rsid w:val="005E05D4"/>
    <w:rsid w:val="005E070F"/>
    <w:rsid w:val="005E07E6"/>
    <w:rsid w:val="005E094B"/>
    <w:rsid w:val="005E0A21"/>
    <w:rsid w:val="005E0D91"/>
    <w:rsid w:val="005E0E07"/>
    <w:rsid w:val="005E198E"/>
    <w:rsid w:val="005E1DA2"/>
    <w:rsid w:val="005E1F83"/>
    <w:rsid w:val="005E20FE"/>
    <w:rsid w:val="005E2A5A"/>
    <w:rsid w:val="005E2AB9"/>
    <w:rsid w:val="005E2C0A"/>
    <w:rsid w:val="005E2C47"/>
    <w:rsid w:val="005E2E55"/>
    <w:rsid w:val="005E2FA3"/>
    <w:rsid w:val="005E38DA"/>
    <w:rsid w:val="005E3C35"/>
    <w:rsid w:val="005E3CC8"/>
    <w:rsid w:val="005E3CEE"/>
    <w:rsid w:val="005E3F0C"/>
    <w:rsid w:val="005E40FD"/>
    <w:rsid w:val="005E4190"/>
    <w:rsid w:val="005E47DA"/>
    <w:rsid w:val="005E4862"/>
    <w:rsid w:val="005E48E4"/>
    <w:rsid w:val="005E4F8B"/>
    <w:rsid w:val="005E534D"/>
    <w:rsid w:val="005E5A62"/>
    <w:rsid w:val="005E5FCF"/>
    <w:rsid w:val="005E60E7"/>
    <w:rsid w:val="005E7332"/>
    <w:rsid w:val="005E74B6"/>
    <w:rsid w:val="005E75DD"/>
    <w:rsid w:val="005E78A5"/>
    <w:rsid w:val="005E7A41"/>
    <w:rsid w:val="005F0037"/>
    <w:rsid w:val="005F02F3"/>
    <w:rsid w:val="005F0981"/>
    <w:rsid w:val="005F0A12"/>
    <w:rsid w:val="005F14D4"/>
    <w:rsid w:val="005F1676"/>
    <w:rsid w:val="005F21E7"/>
    <w:rsid w:val="005F2368"/>
    <w:rsid w:val="005F2648"/>
    <w:rsid w:val="005F26F8"/>
    <w:rsid w:val="005F2A85"/>
    <w:rsid w:val="005F2B37"/>
    <w:rsid w:val="005F2C64"/>
    <w:rsid w:val="005F3012"/>
    <w:rsid w:val="005F31CF"/>
    <w:rsid w:val="005F35E7"/>
    <w:rsid w:val="005F3CEF"/>
    <w:rsid w:val="005F4029"/>
    <w:rsid w:val="005F4198"/>
    <w:rsid w:val="005F42AD"/>
    <w:rsid w:val="005F48FA"/>
    <w:rsid w:val="005F4A40"/>
    <w:rsid w:val="005F4AE6"/>
    <w:rsid w:val="005F4CC5"/>
    <w:rsid w:val="005F53FF"/>
    <w:rsid w:val="005F543E"/>
    <w:rsid w:val="005F5963"/>
    <w:rsid w:val="005F603D"/>
    <w:rsid w:val="005F624D"/>
    <w:rsid w:val="005F6753"/>
    <w:rsid w:val="005F6999"/>
    <w:rsid w:val="005F6AE2"/>
    <w:rsid w:val="005F6C75"/>
    <w:rsid w:val="005F6F8B"/>
    <w:rsid w:val="005F715D"/>
    <w:rsid w:val="005F71F6"/>
    <w:rsid w:val="005F772A"/>
    <w:rsid w:val="005F77C1"/>
    <w:rsid w:val="005F7938"/>
    <w:rsid w:val="005F7A6D"/>
    <w:rsid w:val="005F7B6E"/>
    <w:rsid w:val="0060006A"/>
    <w:rsid w:val="006000EE"/>
    <w:rsid w:val="0060025E"/>
    <w:rsid w:val="006002D6"/>
    <w:rsid w:val="006004D0"/>
    <w:rsid w:val="00600F8C"/>
    <w:rsid w:val="006010C8"/>
    <w:rsid w:val="006013CB"/>
    <w:rsid w:val="00601B38"/>
    <w:rsid w:val="006022EE"/>
    <w:rsid w:val="00602E45"/>
    <w:rsid w:val="00603EF9"/>
    <w:rsid w:val="00604026"/>
    <w:rsid w:val="006040D2"/>
    <w:rsid w:val="006041B0"/>
    <w:rsid w:val="006047C5"/>
    <w:rsid w:val="006048CF"/>
    <w:rsid w:val="00604AA8"/>
    <w:rsid w:val="00604EED"/>
    <w:rsid w:val="00605330"/>
    <w:rsid w:val="00605A2E"/>
    <w:rsid w:val="00605A81"/>
    <w:rsid w:val="00605ECD"/>
    <w:rsid w:val="00606927"/>
    <w:rsid w:val="00606ADE"/>
    <w:rsid w:val="00606B23"/>
    <w:rsid w:val="00607623"/>
    <w:rsid w:val="00607808"/>
    <w:rsid w:val="00607821"/>
    <w:rsid w:val="00607947"/>
    <w:rsid w:val="00607D01"/>
    <w:rsid w:val="0061020F"/>
    <w:rsid w:val="00610286"/>
    <w:rsid w:val="00610D9C"/>
    <w:rsid w:val="00611235"/>
    <w:rsid w:val="0061137D"/>
    <w:rsid w:val="0061167F"/>
    <w:rsid w:val="0061169D"/>
    <w:rsid w:val="00611A48"/>
    <w:rsid w:val="0061234A"/>
    <w:rsid w:val="0061237F"/>
    <w:rsid w:val="006123B4"/>
    <w:rsid w:val="00612760"/>
    <w:rsid w:val="0061282A"/>
    <w:rsid w:val="00613152"/>
    <w:rsid w:val="006134AF"/>
    <w:rsid w:val="0061393C"/>
    <w:rsid w:val="00613981"/>
    <w:rsid w:val="00613CDB"/>
    <w:rsid w:val="00613FDD"/>
    <w:rsid w:val="006140BF"/>
    <w:rsid w:val="006145F1"/>
    <w:rsid w:val="00614823"/>
    <w:rsid w:val="0061485E"/>
    <w:rsid w:val="006149AC"/>
    <w:rsid w:val="00614B96"/>
    <w:rsid w:val="006151D6"/>
    <w:rsid w:val="006156BA"/>
    <w:rsid w:val="00615C8C"/>
    <w:rsid w:val="00615CBB"/>
    <w:rsid w:val="00616545"/>
    <w:rsid w:val="00616E9B"/>
    <w:rsid w:val="00617212"/>
    <w:rsid w:val="0061731A"/>
    <w:rsid w:val="00617399"/>
    <w:rsid w:val="0061778A"/>
    <w:rsid w:val="00617EA4"/>
    <w:rsid w:val="00620316"/>
    <w:rsid w:val="00620518"/>
    <w:rsid w:val="0062084B"/>
    <w:rsid w:val="00620AF2"/>
    <w:rsid w:val="00620E19"/>
    <w:rsid w:val="00620FF3"/>
    <w:rsid w:val="00621047"/>
    <w:rsid w:val="00621094"/>
    <w:rsid w:val="00621262"/>
    <w:rsid w:val="0062132D"/>
    <w:rsid w:val="00621472"/>
    <w:rsid w:val="006214A4"/>
    <w:rsid w:val="00621761"/>
    <w:rsid w:val="006217EA"/>
    <w:rsid w:val="00621855"/>
    <w:rsid w:val="00621FDF"/>
    <w:rsid w:val="0062203F"/>
    <w:rsid w:val="006221DA"/>
    <w:rsid w:val="006224BA"/>
    <w:rsid w:val="006224EE"/>
    <w:rsid w:val="006225D8"/>
    <w:rsid w:val="0062264E"/>
    <w:rsid w:val="00622770"/>
    <w:rsid w:val="00622CDA"/>
    <w:rsid w:val="00622CE3"/>
    <w:rsid w:val="006233F7"/>
    <w:rsid w:val="00623E28"/>
    <w:rsid w:val="00623FCB"/>
    <w:rsid w:val="0062408A"/>
    <w:rsid w:val="006240C6"/>
    <w:rsid w:val="0062448A"/>
    <w:rsid w:val="0062461F"/>
    <w:rsid w:val="00624651"/>
    <w:rsid w:val="0062465B"/>
    <w:rsid w:val="00624871"/>
    <w:rsid w:val="00624893"/>
    <w:rsid w:val="00624DA2"/>
    <w:rsid w:val="00624F89"/>
    <w:rsid w:val="00625B4D"/>
    <w:rsid w:val="00625D6C"/>
    <w:rsid w:val="00625FF5"/>
    <w:rsid w:val="00626478"/>
    <w:rsid w:val="006267D5"/>
    <w:rsid w:val="006276EB"/>
    <w:rsid w:val="00627723"/>
    <w:rsid w:val="006279BA"/>
    <w:rsid w:val="00627B1D"/>
    <w:rsid w:val="00627F42"/>
    <w:rsid w:val="00630828"/>
    <w:rsid w:val="00630910"/>
    <w:rsid w:val="00630A98"/>
    <w:rsid w:val="006313BF"/>
    <w:rsid w:val="00631635"/>
    <w:rsid w:val="006317FF"/>
    <w:rsid w:val="00631B3D"/>
    <w:rsid w:val="006328D5"/>
    <w:rsid w:val="00632B7A"/>
    <w:rsid w:val="00632BCA"/>
    <w:rsid w:val="00633145"/>
    <w:rsid w:val="00633AF5"/>
    <w:rsid w:val="00633B81"/>
    <w:rsid w:val="00633CA5"/>
    <w:rsid w:val="00634353"/>
    <w:rsid w:val="00634807"/>
    <w:rsid w:val="00634D5C"/>
    <w:rsid w:val="0063543E"/>
    <w:rsid w:val="00635EEE"/>
    <w:rsid w:val="006363FA"/>
    <w:rsid w:val="0063679C"/>
    <w:rsid w:val="00636957"/>
    <w:rsid w:val="006369DE"/>
    <w:rsid w:val="00636ACB"/>
    <w:rsid w:val="00636CBE"/>
    <w:rsid w:val="00636CE6"/>
    <w:rsid w:val="00636DDA"/>
    <w:rsid w:val="00636FF4"/>
    <w:rsid w:val="00637704"/>
    <w:rsid w:val="0063777D"/>
    <w:rsid w:val="006377AA"/>
    <w:rsid w:val="00637886"/>
    <w:rsid w:val="006378AE"/>
    <w:rsid w:val="00637A18"/>
    <w:rsid w:val="00637FA7"/>
    <w:rsid w:val="0064037C"/>
    <w:rsid w:val="006406F9"/>
    <w:rsid w:val="00640AF2"/>
    <w:rsid w:val="00640C27"/>
    <w:rsid w:val="00640EBD"/>
    <w:rsid w:val="00640EF1"/>
    <w:rsid w:val="006412F2"/>
    <w:rsid w:val="0064162F"/>
    <w:rsid w:val="006416EA"/>
    <w:rsid w:val="006418DB"/>
    <w:rsid w:val="00641A7B"/>
    <w:rsid w:val="00641BEC"/>
    <w:rsid w:val="00641D34"/>
    <w:rsid w:val="00641F14"/>
    <w:rsid w:val="006424E8"/>
    <w:rsid w:val="0064262C"/>
    <w:rsid w:val="00642641"/>
    <w:rsid w:val="006426B8"/>
    <w:rsid w:val="006429E1"/>
    <w:rsid w:val="00642AFB"/>
    <w:rsid w:val="00643301"/>
    <w:rsid w:val="00643445"/>
    <w:rsid w:val="00643DB4"/>
    <w:rsid w:val="00643F0E"/>
    <w:rsid w:val="00644099"/>
    <w:rsid w:val="0064449D"/>
    <w:rsid w:val="0064476C"/>
    <w:rsid w:val="0064486F"/>
    <w:rsid w:val="00644A81"/>
    <w:rsid w:val="00644B62"/>
    <w:rsid w:val="00645479"/>
    <w:rsid w:val="006458F9"/>
    <w:rsid w:val="00645D51"/>
    <w:rsid w:val="00645E86"/>
    <w:rsid w:val="00646110"/>
    <w:rsid w:val="006463B9"/>
    <w:rsid w:val="00646492"/>
    <w:rsid w:val="006468A1"/>
    <w:rsid w:val="00646ED9"/>
    <w:rsid w:val="00646F34"/>
    <w:rsid w:val="0064724E"/>
    <w:rsid w:val="006473EB"/>
    <w:rsid w:val="00647A0E"/>
    <w:rsid w:val="00647B95"/>
    <w:rsid w:val="00647D38"/>
    <w:rsid w:val="00647DE2"/>
    <w:rsid w:val="00647E3C"/>
    <w:rsid w:val="00647EB8"/>
    <w:rsid w:val="00647F16"/>
    <w:rsid w:val="006506EA"/>
    <w:rsid w:val="00650BDA"/>
    <w:rsid w:val="00651618"/>
    <w:rsid w:val="006516C3"/>
    <w:rsid w:val="006518EE"/>
    <w:rsid w:val="00651CEE"/>
    <w:rsid w:val="006520BA"/>
    <w:rsid w:val="00652566"/>
    <w:rsid w:val="00652E9C"/>
    <w:rsid w:val="006536A7"/>
    <w:rsid w:val="00653E00"/>
    <w:rsid w:val="00653FA8"/>
    <w:rsid w:val="0065424F"/>
    <w:rsid w:val="00654AAE"/>
    <w:rsid w:val="00654B30"/>
    <w:rsid w:val="00654B44"/>
    <w:rsid w:val="00654C78"/>
    <w:rsid w:val="00654C90"/>
    <w:rsid w:val="00654CAA"/>
    <w:rsid w:val="00654D27"/>
    <w:rsid w:val="00655127"/>
    <w:rsid w:val="006551C4"/>
    <w:rsid w:val="0065532A"/>
    <w:rsid w:val="006553AD"/>
    <w:rsid w:val="006553E2"/>
    <w:rsid w:val="006557C2"/>
    <w:rsid w:val="00655C2E"/>
    <w:rsid w:val="00655CC9"/>
    <w:rsid w:val="00655D0C"/>
    <w:rsid w:val="00656561"/>
    <w:rsid w:val="00656C5F"/>
    <w:rsid w:val="00657B36"/>
    <w:rsid w:val="00657DB6"/>
    <w:rsid w:val="00660454"/>
    <w:rsid w:val="006606AA"/>
    <w:rsid w:val="00660727"/>
    <w:rsid w:val="006608B8"/>
    <w:rsid w:val="006608CF"/>
    <w:rsid w:val="00660AF9"/>
    <w:rsid w:val="00660D4B"/>
    <w:rsid w:val="00661261"/>
    <w:rsid w:val="00661579"/>
    <w:rsid w:val="0066168F"/>
    <w:rsid w:val="006619FD"/>
    <w:rsid w:val="00661C3D"/>
    <w:rsid w:val="00661D1C"/>
    <w:rsid w:val="00661DE7"/>
    <w:rsid w:val="00661E80"/>
    <w:rsid w:val="0066214B"/>
    <w:rsid w:val="00662166"/>
    <w:rsid w:val="0066227F"/>
    <w:rsid w:val="006626E4"/>
    <w:rsid w:val="00662A3B"/>
    <w:rsid w:val="00662A53"/>
    <w:rsid w:val="00662AB0"/>
    <w:rsid w:val="00662BB8"/>
    <w:rsid w:val="00663116"/>
    <w:rsid w:val="00663477"/>
    <w:rsid w:val="006635E4"/>
    <w:rsid w:val="00663A8E"/>
    <w:rsid w:val="0066407A"/>
    <w:rsid w:val="00664678"/>
    <w:rsid w:val="006648BB"/>
    <w:rsid w:val="00664948"/>
    <w:rsid w:val="00664A0C"/>
    <w:rsid w:val="00664B73"/>
    <w:rsid w:val="00664DEB"/>
    <w:rsid w:val="00664FD1"/>
    <w:rsid w:val="006650A6"/>
    <w:rsid w:val="00665179"/>
    <w:rsid w:val="006657A0"/>
    <w:rsid w:val="00665A39"/>
    <w:rsid w:val="00665AD0"/>
    <w:rsid w:val="00665C2A"/>
    <w:rsid w:val="00665CBE"/>
    <w:rsid w:val="00666286"/>
    <w:rsid w:val="00666777"/>
    <w:rsid w:val="0066686B"/>
    <w:rsid w:val="00666F9E"/>
    <w:rsid w:val="00667482"/>
    <w:rsid w:val="006677FE"/>
    <w:rsid w:val="0067002D"/>
    <w:rsid w:val="00670248"/>
    <w:rsid w:val="006705BD"/>
    <w:rsid w:val="00670800"/>
    <w:rsid w:val="00671824"/>
    <w:rsid w:val="00671A4F"/>
    <w:rsid w:val="00672186"/>
    <w:rsid w:val="006722B0"/>
    <w:rsid w:val="00672447"/>
    <w:rsid w:val="00672A82"/>
    <w:rsid w:val="00672D16"/>
    <w:rsid w:val="00673001"/>
    <w:rsid w:val="006732C6"/>
    <w:rsid w:val="006734CD"/>
    <w:rsid w:val="0067378A"/>
    <w:rsid w:val="00673C81"/>
    <w:rsid w:val="00673CA8"/>
    <w:rsid w:val="0067412B"/>
    <w:rsid w:val="006743F5"/>
    <w:rsid w:val="006744CC"/>
    <w:rsid w:val="00674C10"/>
    <w:rsid w:val="006755E5"/>
    <w:rsid w:val="0067565F"/>
    <w:rsid w:val="00675997"/>
    <w:rsid w:val="00675ACF"/>
    <w:rsid w:val="00675F14"/>
    <w:rsid w:val="00676040"/>
    <w:rsid w:val="006760A1"/>
    <w:rsid w:val="006760BC"/>
    <w:rsid w:val="0067660A"/>
    <w:rsid w:val="00676774"/>
    <w:rsid w:val="00676860"/>
    <w:rsid w:val="00676A80"/>
    <w:rsid w:val="00676B3F"/>
    <w:rsid w:val="006773E1"/>
    <w:rsid w:val="0067745C"/>
    <w:rsid w:val="006775F3"/>
    <w:rsid w:val="0067766E"/>
    <w:rsid w:val="00677841"/>
    <w:rsid w:val="00677D7F"/>
    <w:rsid w:val="00677E78"/>
    <w:rsid w:val="0068007F"/>
    <w:rsid w:val="0068028A"/>
    <w:rsid w:val="00680FF2"/>
    <w:rsid w:val="00681E2D"/>
    <w:rsid w:val="00681EB5"/>
    <w:rsid w:val="0068241D"/>
    <w:rsid w:val="00682A5A"/>
    <w:rsid w:val="00683063"/>
    <w:rsid w:val="006830F3"/>
    <w:rsid w:val="00683359"/>
    <w:rsid w:val="0068350A"/>
    <w:rsid w:val="00683AB9"/>
    <w:rsid w:val="00683CE2"/>
    <w:rsid w:val="00684137"/>
    <w:rsid w:val="006844BB"/>
    <w:rsid w:val="0068461F"/>
    <w:rsid w:val="00684783"/>
    <w:rsid w:val="00684EF5"/>
    <w:rsid w:val="00685D87"/>
    <w:rsid w:val="00685D8D"/>
    <w:rsid w:val="00685F63"/>
    <w:rsid w:val="00685FEA"/>
    <w:rsid w:val="00686302"/>
    <w:rsid w:val="006863C5"/>
    <w:rsid w:val="00687106"/>
    <w:rsid w:val="0068730C"/>
    <w:rsid w:val="006873F6"/>
    <w:rsid w:val="006876E2"/>
    <w:rsid w:val="00687C72"/>
    <w:rsid w:val="00687E6F"/>
    <w:rsid w:val="006902BD"/>
    <w:rsid w:val="0069040E"/>
    <w:rsid w:val="0069066E"/>
    <w:rsid w:val="006907D5"/>
    <w:rsid w:val="006909F2"/>
    <w:rsid w:val="00690FEE"/>
    <w:rsid w:val="0069111F"/>
    <w:rsid w:val="006914F3"/>
    <w:rsid w:val="006918F1"/>
    <w:rsid w:val="00691B1A"/>
    <w:rsid w:val="0069225D"/>
    <w:rsid w:val="0069265B"/>
    <w:rsid w:val="00692C1C"/>
    <w:rsid w:val="00692C39"/>
    <w:rsid w:val="00693109"/>
    <w:rsid w:val="00693266"/>
    <w:rsid w:val="006937BC"/>
    <w:rsid w:val="0069386D"/>
    <w:rsid w:val="00693CA3"/>
    <w:rsid w:val="00693EB9"/>
    <w:rsid w:val="00694B70"/>
    <w:rsid w:val="00694D77"/>
    <w:rsid w:val="0069531E"/>
    <w:rsid w:val="006956D4"/>
    <w:rsid w:val="006956E1"/>
    <w:rsid w:val="00695731"/>
    <w:rsid w:val="00695928"/>
    <w:rsid w:val="00695BAF"/>
    <w:rsid w:val="00695BF5"/>
    <w:rsid w:val="00695DDE"/>
    <w:rsid w:val="00695EE2"/>
    <w:rsid w:val="00695FAA"/>
    <w:rsid w:val="00696330"/>
    <w:rsid w:val="006963D0"/>
    <w:rsid w:val="00696594"/>
    <w:rsid w:val="006966FB"/>
    <w:rsid w:val="00696C06"/>
    <w:rsid w:val="0069723C"/>
    <w:rsid w:val="006972D3"/>
    <w:rsid w:val="0069761E"/>
    <w:rsid w:val="006978E9"/>
    <w:rsid w:val="00697AEE"/>
    <w:rsid w:val="00697CE0"/>
    <w:rsid w:val="00697D1A"/>
    <w:rsid w:val="00697D5F"/>
    <w:rsid w:val="00697F8E"/>
    <w:rsid w:val="00697FCA"/>
    <w:rsid w:val="006A03A4"/>
    <w:rsid w:val="006A03A9"/>
    <w:rsid w:val="006A03AC"/>
    <w:rsid w:val="006A064A"/>
    <w:rsid w:val="006A066A"/>
    <w:rsid w:val="006A0875"/>
    <w:rsid w:val="006A08C4"/>
    <w:rsid w:val="006A13EB"/>
    <w:rsid w:val="006A1828"/>
    <w:rsid w:val="006A1A69"/>
    <w:rsid w:val="006A1FF0"/>
    <w:rsid w:val="006A28F3"/>
    <w:rsid w:val="006A2D78"/>
    <w:rsid w:val="006A3D1A"/>
    <w:rsid w:val="006A433F"/>
    <w:rsid w:val="006A4CE8"/>
    <w:rsid w:val="006A5313"/>
    <w:rsid w:val="006A55B2"/>
    <w:rsid w:val="006A5814"/>
    <w:rsid w:val="006A5D71"/>
    <w:rsid w:val="006A5EA9"/>
    <w:rsid w:val="006A5F72"/>
    <w:rsid w:val="006A60A6"/>
    <w:rsid w:val="006A61BE"/>
    <w:rsid w:val="006A6907"/>
    <w:rsid w:val="006A6B43"/>
    <w:rsid w:val="006A6B9A"/>
    <w:rsid w:val="006A6D61"/>
    <w:rsid w:val="006A6FE4"/>
    <w:rsid w:val="006A717D"/>
    <w:rsid w:val="006A722F"/>
    <w:rsid w:val="006A788D"/>
    <w:rsid w:val="006A7AF4"/>
    <w:rsid w:val="006A7BD7"/>
    <w:rsid w:val="006A7C13"/>
    <w:rsid w:val="006B0074"/>
    <w:rsid w:val="006B0450"/>
    <w:rsid w:val="006B07FA"/>
    <w:rsid w:val="006B0909"/>
    <w:rsid w:val="006B0A4F"/>
    <w:rsid w:val="006B0D16"/>
    <w:rsid w:val="006B0DBC"/>
    <w:rsid w:val="006B0DFF"/>
    <w:rsid w:val="006B13EB"/>
    <w:rsid w:val="006B1915"/>
    <w:rsid w:val="006B1B8F"/>
    <w:rsid w:val="006B20D9"/>
    <w:rsid w:val="006B262D"/>
    <w:rsid w:val="006B27C9"/>
    <w:rsid w:val="006B2BE7"/>
    <w:rsid w:val="006B2D6C"/>
    <w:rsid w:val="006B2FAD"/>
    <w:rsid w:val="006B37A0"/>
    <w:rsid w:val="006B39C8"/>
    <w:rsid w:val="006B3C28"/>
    <w:rsid w:val="006B3FC9"/>
    <w:rsid w:val="006B40C1"/>
    <w:rsid w:val="006B4155"/>
    <w:rsid w:val="006B469C"/>
    <w:rsid w:val="006B476E"/>
    <w:rsid w:val="006B49B6"/>
    <w:rsid w:val="006B519B"/>
    <w:rsid w:val="006B52E7"/>
    <w:rsid w:val="006B5611"/>
    <w:rsid w:val="006B590A"/>
    <w:rsid w:val="006B5EAA"/>
    <w:rsid w:val="006B5ECD"/>
    <w:rsid w:val="006B696D"/>
    <w:rsid w:val="006B6B82"/>
    <w:rsid w:val="006B6BC7"/>
    <w:rsid w:val="006B6EE1"/>
    <w:rsid w:val="006B7A7B"/>
    <w:rsid w:val="006B7AAE"/>
    <w:rsid w:val="006B7C8A"/>
    <w:rsid w:val="006C0016"/>
    <w:rsid w:val="006C0024"/>
    <w:rsid w:val="006C002A"/>
    <w:rsid w:val="006C0851"/>
    <w:rsid w:val="006C0BD6"/>
    <w:rsid w:val="006C0DE1"/>
    <w:rsid w:val="006C10D5"/>
    <w:rsid w:val="006C135F"/>
    <w:rsid w:val="006C1442"/>
    <w:rsid w:val="006C148F"/>
    <w:rsid w:val="006C21FA"/>
    <w:rsid w:val="006C2265"/>
    <w:rsid w:val="006C2342"/>
    <w:rsid w:val="006C26E1"/>
    <w:rsid w:val="006C2A5F"/>
    <w:rsid w:val="006C2E58"/>
    <w:rsid w:val="006C2F30"/>
    <w:rsid w:val="006C301A"/>
    <w:rsid w:val="006C363C"/>
    <w:rsid w:val="006C3878"/>
    <w:rsid w:val="006C3890"/>
    <w:rsid w:val="006C3D19"/>
    <w:rsid w:val="006C4623"/>
    <w:rsid w:val="006C4764"/>
    <w:rsid w:val="006C4FF1"/>
    <w:rsid w:val="006C53C5"/>
    <w:rsid w:val="006C549F"/>
    <w:rsid w:val="006C587D"/>
    <w:rsid w:val="006C5B34"/>
    <w:rsid w:val="006C63B0"/>
    <w:rsid w:val="006C64DA"/>
    <w:rsid w:val="006D0012"/>
    <w:rsid w:val="006D06DB"/>
    <w:rsid w:val="006D09AA"/>
    <w:rsid w:val="006D1062"/>
    <w:rsid w:val="006D16C9"/>
    <w:rsid w:val="006D1B05"/>
    <w:rsid w:val="006D2F8E"/>
    <w:rsid w:val="006D377C"/>
    <w:rsid w:val="006D38E5"/>
    <w:rsid w:val="006D3C45"/>
    <w:rsid w:val="006D3D9F"/>
    <w:rsid w:val="006D3E62"/>
    <w:rsid w:val="006D426E"/>
    <w:rsid w:val="006D455A"/>
    <w:rsid w:val="006D49EC"/>
    <w:rsid w:val="006D55A5"/>
    <w:rsid w:val="006D574D"/>
    <w:rsid w:val="006D6067"/>
    <w:rsid w:val="006D643B"/>
    <w:rsid w:val="006D659B"/>
    <w:rsid w:val="006D65D0"/>
    <w:rsid w:val="006D669C"/>
    <w:rsid w:val="006D6992"/>
    <w:rsid w:val="006D6FE2"/>
    <w:rsid w:val="006D7382"/>
    <w:rsid w:val="006D7A60"/>
    <w:rsid w:val="006D7A99"/>
    <w:rsid w:val="006D7C45"/>
    <w:rsid w:val="006D7FDD"/>
    <w:rsid w:val="006E021D"/>
    <w:rsid w:val="006E04A8"/>
    <w:rsid w:val="006E0BCF"/>
    <w:rsid w:val="006E0CB9"/>
    <w:rsid w:val="006E0D78"/>
    <w:rsid w:val="006E0EB6"/>
    <w:rsid w:val="006E1047"/>
    <w:rsid w:val="006E1210"/>
    <w:rsid w:val="006E152C"/>
    <w:rsid w:val="006E15AC"/>
    <w:rsid w:val="006E163F"/>
    <w:rsid w:val="006E16FF"/>
    <w:rsid w:val="006E1B95"/>
    <w:rsid w:val="006E1F21"/>
    <w:rsid w:val="006E2311"/>
    <w:rsid w:val="006E2494"/>
    <w:rsid w:val="006E2496"/>
    <w:rsid w:val="006E277E"/>
    <w:rsid w:val="006E2D55"/>
    <w:rsid w:val="006E2EA3"/>
    <w:rsid w:val="006E2FE8"/>
    <w:rsid w:val="006E328F"/>
    <w:rsid w:val="006E34C0"/>
    <w:rsid w:val="006E3562"/>
    <w:rsid w:val="006E3820"/>
    <w:rsid w:val="006E39C7"/>
    <w:rsid w:val="006E4178"/>
    <w:rsid w:val="006E429A"/>
    <w:rsid w:val="006E4401"/>
    <w:rsid w:val="006E4617"/>
    <w:rsid w:val="006E4873"/>
    <w:rsid w:val="006E49C8"/>
    <w:rsid w:val="006E4C38"/>
    <w:rsid w:val="006E4D5F"/>
    <w:rsid w:val="006E505D"/>
    <w:rsid w:val="006E50E6"/>
    <w:rsid w:val="006E54C5"/>
    <w:rsid w:val="006E5AF0"/>
    <w:rsid w:val="006E5EA8"/>
    <w:rsid w:val="006E5ED1"/>
    <w:rsid w:val="006E60B9"/>
    <w:rsid w:val="006E60D0"/>
    <w:rsid w:val="006E6397"/>
    <w:rsid w:val="006E67C4"/>
    <w:rsid w:val="006E6A0B"/>
    <w:rsid w:val="006E6B4B"/>
    <w:rsid w:val="006E6E33"/>
    <w:rsid w:val="006E6FDD"/>
    <w:rsid w:val="006E700F"/>
    <w:rsid w:val="006E7140"/>
    <w:rsid w:val="006E72C9"/>
    <w:rsid w:val="006E77E8"/>
    <w:rsid w:val="006E78B9"/>
    <w:rsid w:val="006E79F0"/>
    <w:rsid w:val="006E7CCB"/>
    <w:rsid w:val="006E7E2E"/>
    <w:rsid w:val="006F01B1"/>
    <w:rsid w:val="006F01EE"/>
    <w:rsid w:val="006F04C3"/>
    <w:rsid w:val="006F065C"/>
    <w:rsid w:val="006F06F4"/>
    <w:rsid w:val="006F08DA"/>
    <w:rsid w:val="006F1283"/>
    <w:rsid w:val="006F138C"/>
    <w:rsid w:val="006F1554"/>
    <w:rsid w:val="006F1929"/>
    <w:rsid w:val="006F1A0F"/>
    <w:rsid w:val="006F1A58"/>
    <w:rsid w:val="006F1C26"/>
    <w:rsid w:val="006F1DDB"/>
    <w:rsid w:val="006F24FD"/>
    <w:rsid w:val="006F258C"/>
    <w:rsid w:val="006F2687"/>
    <w:rsid w:val="006F2A56"/>
    <w:rsid w:val="006F2CF7"/>
    <w:rsid w:val="006F2E70"/>
    <w:rsid w:val="006F2F03"/>
    <w:rsid w:val="006F2F57"/>
    <w:rsid w:val="006F305F"/>
    <w:rsid w:val="006F35B9"/>
    <w:rsid w:val="006F36A0"/>
    <w:rsid w:val="006F3B9A"/>
    <w:rsid w:val="006F3C47"/>
    <w:rsid w:val="006F3EC3"/>
    <w:rsid w:val="006F4027"/>
    <w:rsid w:val="006F4227"/>
    <w:rsid w:val="006F4365"/>
    <w:rsid w:val="006F459D"/>
    <w:rsid w:val="006F4686"/>
    <w:rsid w:val="006F4B55"/>
    <w:rsid w:val="006F4E75"/>
    <w:rsid w:val="006F5222"/>
    <w:rsid w:val="006F5623"/>
    <w:rsid w:val="006F5644"/>
    <w:rsid w:val="006F5683"/>
    <w:rsid w:val="006F5B5F"/>
    <w:rsid w:val="006F5E63"/>
    <w:rsid w:val="006F669F"/>
    <w:rsid w:val="006F6931"/>
    <w:rsid w:val="006F6A37"/>
    <w:rsid w:val="006F7156"/>
    <w:rsid w:val="006F729A"/>
    <w:rsid w:val="006F78C8"/>
    <w:rsid w:val="006F7B17"/>
    <w:rsid w:val="006F7CB7"/>
    <w:rsid w:val="006F7F1B"/>
    <w:rsid w:val="00700393"/>
    <w:rsid w:val="00700394"/>
    <w:rsid w:val="00700446"/>
    <w:rsid w:val="007005FE"/>
    <w:rsid w:val="007006E2"/>
    <w:rsid w:val="00700860"/>
    <w:rsid w:val="00700A27"/>
    <w:rsid w:val="00700BCE"/>
    <w:rsid w:val="00700CDE"/>
    <w:rsid w:val="0070111D"/>
    <w:rsid w:val="007018D7"/>
    <w:rsid w:val="00701B5F"/>
    <w:rsid w:val="00701DA9"/>
    <w:rsid w:val="00702375"/>
    <w:rsid w:val="00702535"/>
    <w:rsid w:val="00702542"/>
    <w:rsid w:val="00702F4F"/>
    <w:rsid w:val="007034F4"/>
    <w:rsid w:val="00703668"/>
    <w:rsid w:val="007039ED"/>
    <w:rsid w:val="00703AB2"/>
    <w:rsid w:val="0070413A"/>
    <w:rsid w:val="007041C8"/>
    <w:rsid w:val="0070423B"/>
    <w:rsid w:val="0070435D"/>
    <w:rsid w:val="00704447"/>
    <w:rsid w:val="007046A6"/>
    <w:rsid w:val="00704B0B"/>
    <w:rsid w:val="00704B5C"/>
    <w:rsid w:val="00704CEC"/>
    <w:rsid w:val="00704FB9"/>
    <w:rsid w:val="0070513A"/>
    <w:rsid w:val="00705415"/>
    <w:rsid w:val="00706A35"/>
    <w:rsid w:val="00706BAD"/>
    <w:rsid w:val="00707184"/>
    <w:rsid w:val="007071FC"/>
    <w:rsid w:val="00707294"/>
    <w:rsid w:val="007077E0"/>
    <w:rsid w:val="0070784F"/>
    <w:rsid w:val="007079EF"/>
    <w:rsid w:val="00707B0B"/>
    <w:rsid w:val="00707C25"/>
    <w:rsid w:val="00707FC9"/>
    <w:rsid w:val="0071000F"/>
    <w:rsid w:val="007100E2"/>
    <w:rsid w:val="00710832"/>
    <w:rsid w:val="00710844"/>
    <w:rsid w:val="007108D1"/>
    <w:rsid w:val="00710D77"/>
    <w:rsid w:val="00711197"/>
    <w:rsid w:val="00711470"/>
    <w:rsid w:val="00711689"/>
    <w:rsid w:val="007118C1"/>
    <w:rsid w:val="007119D8"/>
    <w:rsid w:val="00711A18"/>
    <w:rsid w:val="00711B4D"/>
    <w:rsid w:val="0071213B"/>
    <w:rsid w:val="007122D0"/>
    <w:rsid w:val="00712431"/>
    <w:rsid w:val="00712E0D"/>
    <w:rsid w:val="007136B7"/>
    <w:rsid w:val="0071395E"/>
    <w:rsid w:val="00713C52"/>
    <w:rsid w:val="00713EF0"/>
    <w:rsid w:val="00714078"/>
    <w:rsid w:val="007140CB"/>
    <w:rsid w:val="007143E4"/>
    <w:rsid w:val="00714551"/>
    <w:rsid w:val="0071472F"/>
    <w:rsid w:val="007147AC"/>
    <w:rsid w:val="00714BEA"/>
    <w:rsid w:val="00715135"/>
    <w:rsid w:val="00715379"/>
    <w:rsid w:val="00715384"/>
    <w:rsid w:val="00716127"/>
    <w:rsid w:val="00716216"/>
    <w:rsid w:val="00716257"/>
    <w:rsid w:val="00716308"/>
    <w:rsid w:val="0071637F"/>
    <w:rsid w:val="007165A0"/>
    <w:rsid w:val="00716A6F"/>
    <w:rsid w:val="00716B51"/>
    <w:rsid w:val="00716EBD"/>
    <w:rsid w:val="007172B4"/>
    <w:rsid w:val="007175BF"/>
    <w:rsid w:val="007176B3"/>
    <w:rsid w:val="00720159"/>
    <w:rsid w:val="007201B1"/>
    <w:rsid w:val="00720277"/>
    <w:rsid w:val="00720876"/>
    <w:rsid w:val="00720A21"/>
    <w:rsid w:val="00720B97"/>
    <w:rsid w:val="00720C09"/>
    <w:rsid w:val="00720DB7"/>
    <w:rsid w:val="007212BE"/>
    <w:rsid w:val="00721CDA"/>
    <w:rsid w:val="00722788"/>
    <w:rsid w:val="00722B87"/>
    <w:rsid w:val="00723170"/>
    <w:rsid w:val="00723350"/>
    <w:rsid w:val="007236AE"/>
    <w:rsid w:val="007236F0"/>
    <w:rsid w:val="00723EB3"/>
    <w:rsid w:val="007242CA"/>
    <w:rsid w:val="00724544"/>
    <w:rsid w:val="0072464B"/>
    <w:rsid w:val="007246AF"/>
    <w:rsid w:val="00724779"/>
    <w:rsid w:val="00724983"/>
    <w:rsid w:val="0072581D"/>
    <w:rsid w:val="00725F55"/>
    <w:rsid w:val="00726515"/>
    <w:rsid w:val="0072687B"/>
    <w:rsid w:val="00726CA1"/>
    <w:rsid w:val="00726DDC"/>
    <w:rsid w:val="00727607"/>
    <w:rsid w:val="0072772F"/>
    <w:rsid w:val="00727D38"/>
    <w:rsid w:val="00727D8E"/>
    <w:rsid w:val="007301DF"/>
    <w:rsid w:val="00730894"/>
    <w:rsid w:val="00730911"/>
    <w:rsid w:val="00730A7B"/>
    <w:rsid w:val="00730C7A"/>
    <w:rsid w:val="0073118F"/>
    <w:rsid w:val="00731674"/>
    <w:rsid w:val="00731C5A"/>
    <w:rsid w:val="00731F25"/>
    <w:rsid w:val="00731FFE"/>
    <w:rsid w:val="00732351"/>
    <w:rsid w:val="007329A5"/>
    <w:rsid w:val="0073341C"/>
    <w:rsid w:val="0073354A"/>
    <w:rsid w:val="00733941"/>
    <w:rsid w:val="00733B56"/>
    <w:rsid w:val="00733DED"/>
    <w:rsid w:val="00733F01"/>
    <w:rsid w:val="00734011"/>
    <w:rsid w:val="00734573"/>
    <w:rsid w:val="00734EB2"/>
    <w:rsid w:val="007356AA"/>
    <w:rsid w:val="00735893"/>
    <w:rsid w:val="0073591D"/>
    <w:rsid w:val="00735E3B"/>
    <w:rsid w:val="00736E74"/>
    <w:rsid w:val="00737362"/>
    <w:rsid w:val="0073743B"/>
    <w:rsid w:val="00737543"/>
    <w:rsid w:val="007376EE"/>
    <w:rsid w:val="00737D4E"/>
    <w:rsid w:val="007400BE"/>
    <w:rsid w:val="007400F6"/>
    <w:rsid w:val="00740369"/>
    <w:rsid w:val="0074042B"/>
    <w:rsid w:val="007405FD"/>
    <w:rsid w:val="00740640"/>
    <w:rsid w:val="007409DB"/>
    <w:rsid w:val="00740A82"/>
    <w:rsid w:val="00740F40"/>
    <w:rsid w:val="00740F4B"/>
    <w:rsid w:val="00741107"/>
    <w:rsid w:val="00741176"/>
    <w:rsid w:val="007415D5"/>
    <w:rsid w:val="007416A8"/>
    <w:rsid w:val="007418FE"/>
    <w:rsid w:val="00742565"/>
    <w:rsid w:val="007427A1"/>
    <w:rsid w:val="007428AF"/>
    <w:rsid w:val="00742E41"/>
    <w:rsid w:val="00742FAB"/>
    <w:rsid w:val="00743BDB"/>
    <w:rsid w:val="00743EC4"/>
    <w:rsid w:val="00743FFF"/>
    <w:rsid w:val="0074438B"/>
    <w:rsid w:val="00744493"/>
    <w:rsid w:val="00744555"/>
    <w:rsid w:val="0074468B"/>
    <w:rsid w:val="00744797"/>
    <w:rsid w:val="007449D9"/>
    <w:rsid w:val="00744A65"/>
    <w:rsid w:val="00744C31"/>
    <w:rsid w:val="00744E75"/>
    <w:rsid w:val="00745565"/>
    <w:rsid w:val="00745843"/>
    <w:rsid w:val="00745A51"/>
    <w:rsid w:val="00745E07"/>
    <w:rsid w:val="00745FF8"/>
    <w:rsid w:val="0074615F"/>
    <w:rsid w:val="0074685C"/>
    <w:rsid w:val="007468EF"/>
    <w:rsid w:val="00746974"/>
    <w:rsid w:val="00746FCD"/>
    <w:rsid w:val="00746FEA"/>
    <w:rsid w:val="0074744A"/>
    <w:rsid w:val="0074751E"/>
    <w:rsid w:val="00747962"/>
    <w:rsid w:val="00747C9D"/>
    <w:rsid w:val="00747E09"/>
    <w:rsid w:val="00747E7D"/>
    <w:rsid w:val="0075008B"/>
    <w:rsid w:val="00750445"/>
    <w:rsid w:val="00750999"/>
    <w:rsid w:val="00750DAC"/>
    <w:rsid w:val="007513FC"/>
    <w:rsid w:val="007514CB"/>
    <w:rsid w:val="0075151D"/>
    <w:rsid w:val="00751590"/>
    <w:rsid w:val="00751A06"/>
    <w:rsid w:val="00751D2F"/>
    <w:rsid w:val="00752019"/>
    <w:rsid w:val="00752189"/>
    <w:rsid w:val="00752563"/>
    <w:rsid w:val="007529A4"/>
    <w:rsid w:val="00752C99"/>
    <w:rsid w:val="00753141"/>
    <w:rsid w:val="007531F1"/>
    <w:rsid w:val="007535E7"/>
    <w:rsid w:val="00753B09"/>
    <w:rsid w:val="00753F70"/>
    <w:rsid w:val="0075405E"/>
    <w:rsid w:val="00754321"/>
    <w:rsid w:val="00754531"/>
    <w:rsid w:val="0075460A"/>
    <w:rsid w:val="00754990"/>
    <w:rsid w:val="00754E01"/>
    <w:rsid w:val="00754F1D"/>
    <w:rsid w:val="00755309"/>
    <w:rsid w:val="007556F5"/>
    <w:rsid w:val="00755916"/>
    <w:rsid w:val="00755C3E"/>
    <w:rsid w:val="00755D76"/>
    <w:rsid w:val="00755F3E"/>
    <w:rsid w:val="00755F96"/>
    <w:rsid w:val="00756166"/>
    <w:rsid w:val="0075630F"/>
    <w:rsid w:val="007563A4"/>
    <w:rsid w:val="0075658B"/>
    <w:rsid w:val="007566AA"/>
    <w:rsid w:val="00756824"/>
    <w:rsid w:val="007569E5"/>
    <w:rsid w:val="00756E1F"/>
    <w:rsid w:val="0075747D"/>
    <w:rsid w:val="007574B0"/>
    <w:rsid w:val="0075784D"/>
    <w:rsid w:val="00757ECB"/>
    <w:rsid w:val="00761A75"/>
    <w:rsid w:val="00761CAB"/>
    <w:rsid w:val="00761D8C"/>
    <w:rsid w:val="007627F5"/>
    <w:rsid w:val="0076284E"/>
    <w:rsid w:val="00762DA2"/>
    <w:rsid w:val="00762E16"/>
    <w:rsid w:val="0076301E"/>
    <w:rsid w:val="007633B5"/>
    <w:rsid w:val="007637B1"/>
    <w:rsid w:val="007638C3"/>
    <w:rsid w:val="007639CA"/>
    <w:rsid w:val="007639DF"/>
    <w:rsid w:val="00764329"/>
    <w:rsid w:val="007643FA"/>
    <w:rsid w:val="007646D2"/>
    <w:rsid w:val="007648E9"/>
    <w:rsid w:val="00764BF3"/>
    <w:rsid w:val="00764CE9"/>
    <w:rsid w:val="00765660"/>
    <w:rsid w:val="00765D44"/>
    <w:rsid w:val="00765D55"/>
    <w:rsid w:val="00765F50"/>
    <w:rsid w:val="00766014"/>
    <w:rsid w:val="0076601B"/>
    <w:rsid w:val="00766606"/>
    <w:rsid w:val="00766CCB"/>
    <w:rsid w:val="00766FAB"/>
    <w:rsid w:val="0076709B"/>
    <w:rsid w:val="0076720F"/>
    <w:rsid w:val="0076778B"/>
    <w:rsid w:val="00767A52"/>
    <w:rsid w:val="00767B5B"/>
    <w:rsid w:val="00767F87"/>
    <w:rsid w:val="00770B26"/>
    <w:rsid w:val="00770F71"/>
    <w:rsid w:val="00770FD1"/>
    <w:rsid w:val="00771454"/>
    <w:rsid w:val="007716BF"/>
    <w:rsid w:val="00771756"/>
    <w:rsid w:val="007717EA"/>
    <w:rsid w:val="007724DF"/>
    <w:rsid w:val="00772B77"/>
    <w:rsid w:val="00772E67"/>
    <w:rsid w:val="007733A7"/>
    <w:rsid w:val="00773520"/>
    <w:rsid w:val="0077352B"/>
    <w:rsid w:val="00773A24"/>
    <w:rsid w:val="00773E87"/>
    <w:rsid w:val="00773F7B"/>
    <w:rsid w:val="0077418B"/>
    <w:rsid w:val="007743DB"/>
    <w:rsid w:val="0077481C"/>
    <w:rsid w:val="007748EC"/>
    <w:rsid w:val="0077567C"/>
    <w:rsid w:val="00775A1B"/>
    <w:rsid w:val="00775A26"/>
    <w:rsid w:val="00775B3D"/>
    <w:rsid w:val="00776092"/>
    <w:rsid w:val="007761EB"/>
    <w:rsid w:val="00776201"/>
    <w:rsid w:val="00776237"/>
    <w:rsid w:val="0077646C"/>
    <w:rsid w:val="0077655F"/>
    <w:rsid w:val="007766D6"/>
    <w:rsid w:val="00776777"/>
    <w:rsid w:val="00776931"/>
    <w:rsid w:val="0077738B"/>
    <w:rsid w:val="007774C4"/>
    <w:rsid w:val="007776A4"/>
    <w:rsid w:val="007777E1"/>
    <w:rsid w:val="00777842"/>
    <w:rsid w:val="00777972"/>
    <w:rsid w:val="00777AFC"/>
    <w:rsid w:val="00777D5A"/>
    <w:rsid w:val="00780685"/>
    <w:rsid w:val="00780A9C"/>
    <w:rsid w:val="00780BDD"/>
    <w:rsid w:val="00780DEE"/>
    <w:rsid w:val="00780FD4"/>
    <w:rsid w:val="00781304"/>
    <w:rsid w:val="0078144B"/>
    <w:rsid w:val="007814B9"/>
    <w:rsid w:val="00781691"/>
    <w:rsid w:val="00781AD8"/>
    <w:rsid w:val="00781B83"/>
    <w:rsid w:val="00781CDC"/>
    <w:rsid w:val="00781E39"/>
    <w:rsid w:val="007822AD"/>
    <w:rsid w:val="0078239C"/>
    <w:rsid w:val="00782B2D"/>
    <w:rsid w:val="00782FFB"/>
    <w:rsid w:val="00783178"/>
    <w:rsid w:val="0078331F"/>
    <w:rsid w:val="0078351D"/>
    <w:rsid w:val="007835C4"/>
    <w:rsid w:val="007835FD"/>
    <w:rsid w:val="00783607"/>
    <w:rsid w:val="00783896"/>
    <w:rsid w:val="007839F9"/>
    <w:rsid w:val="00783C0F"/>
    <w:rsid w:val="00783C3E"/>
    <w:rsid w:val="00783DF7"/>
    <w:rsid w:val="007840E2"/>
    <w:rsid w:val="00784773"/>
    <w:rsid w:val="00784A69"/>
    <w:rsid w:val="00784E8E"/>
    <w:rsid w:val="0078502D"/>
    <w:rsid w:val="0078510A"/>
    <w:rsid w:val="0078518F"/>
    <w:rsid w:val="0078574E"/>
    <w:rsid w:val="0078589C"/>
    <w:rsid w:val="00785A42"/>
    <w:rsid w:val="00785A74"/>
    <w:rsid w:val="007864A3"/>
    <w:rsid w:val="00786B89"/>
    <w:rsid w:val="00786D70"/>
    <w:rsid w:val="00786E58"/>
    <w:rsid w:val="00787189"/>
    <w:rsid w:val="007877B4"/>
    <w:rsid w:val="007877DE"/>
    <w:rsid w:val="00787A5D"/>
    <w:rsid w:val="00787B32"/>
    <w:rsid w:val="00787F5E"/>
    <w:rsid w:val="0079023C"/>
    <w:rsid w:val="0079057F"/>
    <w:rsid w:val="007907E2"/>
    <w:rsid w:val="00790F71"/>
    <w:rsid w:val="00791280"/>
    <w:rsid w:val="007913A7"/>
    <w:rsid w:val="007914F7"/>
    <w:rsid w:val="00791EED"/>
    <w:rsid w:val="0079295F"/>
    <w:rsid w:val="00792A26"/>
    <w:rsid w:val="00792AC3"/>
    <w:rsid w:val="007930EE"/>
    <w:rsid w:val="007934D8"/>
    <w:rsid w:val="00793AC3"/>
    <w:rsid w:val="00793D3F"/>
    <w:rsid w:val="00794001"/>
    <w:rsid w:val="007941B2"/>
    <w:rsid w:val="007947E1"/>
    <w:rsid w:val="00794BA2"/>
    <w:rsid w:val="00794D12"/>
    <w:rsid w:val="00794FDB"/>
    <w:rsid w:val="007955E2"/>
    <w:rsid w:val="00795AB3"/>
    <w:rsid w:val="00795AEA"/>
    <w:rsid w:val="00795B32"/>
    <w:rsid w:val="00795BB2"/>
    <w:rsid w:val="00795C9C"/>
    <w:rsid w:val="00796044"/>
    <w:rsid w:val="00796207"/>
    <w:rsid w:val="0079670B"/>
    <w:rsid w:val="00796A3B"/>
    <w:rsid w:val="00796C3C"/>
    <w:rsid w:val="00797213"/>
    <w:rsid w:val="0079772E"/>
    <w:rsid w:val="00797789"/>
    <w:rsid w:val="007977AC"/>
    <w:rsid w:val="00797CDE"/>
    <w:rsid w:val="007A0085"/>
    <w:rsid w:val="007A0392"/>
    <w:rsid w:val="007A04F4"/>
    <w:rsid w:val="007A0B02"/>
    <w:rsid w:val="007A0D23"/>
    <w:rsid w:val="007A0D36"/>
    <w:rsid w:val="007A0FF0"/>
    <w:rsid w:val="007A1BA1"/>
    <w:rsid w:val="007A1C6E"/>
    <w:rsid w:val="007A1DE6"/>
    <w:rsid w:val="007A20BD"/>
    <w:rsid w:val="007A21E3"/>
    <w:rsid w:val="007A22D9"/>
    <w:rsid w:val="007A2341"/>
    <w:rsid w:val="007A2B96"/>
    <w:rsid w:val="007A2C4B"/>
    <w:rsid w:val="007A315D"/>
    <w:rsid w:val="007A34D4"/>
    <w:rsid w:val="007A3C14"/>
    <w:rsid w:val="007A3C29"/>
    <w:rsid w:val="007A40FA"/>
    <w:rsid w:val="007A4A4E"/>
    <w:rsid w:val="007A4DD5"/>
    <w:rsid w:val="007A50B8"/>
    <w:rsid w:val="007A5114"/>
    <w:rsid w:val="007A5173"/>
    <w:rsid w:val="007A54D8"/>
    <w:rsid w:val="007A5DFB"/>
    <w:rsid w:val="007A6124"/>
    <w:rsid w:val="007A615D"/>
    <w:rsid w:val="007A61A1"/>
    <w:rsid w:val="007A651E"/>
    <w:rsid w:val="007A66F4"/>
    <w:rsid w:val="007A6D11"/>
    <w:rsid w:val="007A6EF7"/>
    <w:rsid w:val="007A7066"/>
    <w:rsid w:val="007A7153"/>
    <w:rsid w:val="007A71CD"/>
    <w:rsid w:val="007A73DC"/>
    <w:rsid w:val="007A7436"/>
    <w:rsid w:val="007A7960"/>
    <w:rsid w:val="007A7DD8"/>
    <w:rsid w:val="007B0448"/>
    <w:rsid w:val="007B0482"/>
    <w:rsid w:val="007B04D3"/>
    <w:rsid w:val="007B0527"/>
    <w:rsid w:val="007B094F"/>
    <w:rsid w:val="007B0BFB"/>
    <w:rsid w:val="007B135A"/>
    <w:rsid w:val="007B139D"/>
    <w:rsid w:val="007B162D"/>
    <w:rsid w:val="007B16A5"/>
    <w:rsid w:val="007B1A8F"/>
    <w:rsid w:val="007B1C86"/>
    <w:rsid w:val="007B1DC8"/>
    <w:rsid w:val="007B25A2"/>
    <w:rsid w:val="007B2812"/>
    <w:rsid w:val="007B2997"/>
    <w:rsid w:val="007B2ADA"/>
    <w:rsid w:val="007B2BF6"/>
    <w:rsid w:val="007B2C4F"/>
    <w:rsid w:val="007B2FEE"/>
    <w:rsid w:val="007B32E8"/>
    <w:rsid w:val="007B378B"/>
    <w:rsid w:val="007B3B3C"/>
    <w:rsid w:val="007B3E0D"/>
    <w:rsid w:val="007B3EF4"/>
    <w:rsid w:val="007B3F87"/>
    <w:rsid w:val="007B41F6"/>
    <w:rsid w:val="007B4370"/>
    <w:rsid w:val="007B44B2"/>
    <w:rsid w:val="007B4841"/>
    <w:rsid w:val="007B4B4F"/>
    <w:rsid w:val="007B518F"/>
    <w:rsid w:val="007B5518"/>
    <w:rsid w:val="007B5729"/>
    <w:rsid w:val="007B592B"/>
    <w:rsid w:val="007B5C5E"/>
    <w:rsid w:val="007B5F36"/>
    <w:rsid w:val="007B6301"/>
    <w:rsid w:val="007B631E"/>
    <w:rsid w:val="007B672D"/>
    <w:rsid w:val="007B67D6"/>
    <w:rsid w:val="007B6A3B"/>
    <w:rsid w:val="007B6D02"/>
    <w:rsid w:val="007B6E94"/>
    <w:rsid w:val="007B7366"/>
    <w:rsid w:val="007B74BB"/>
    <w:rsid w:val="007B74E0"/>
    <w:rsid w:val="007B7B13"/>
    <w:rsid w:val="007B7BCB"/>
    <w:rsid w:val="007B7EDF"/>
    <w:rsid w:val="007C0437"/>
    <w:rsid w:val="007C068F"/>
    <w:rsid w:val="007C0A4E"/>
    <w:rsid w:val="007C0E29"/>
    <w:rsid w:val="007C0F1E"/>
    <w:rsid w:val="007C1085"/>
    <w:rsid w:val="007C1130"/>
    <w:rsid w:val="007C1643"/>
    <w:rsid w:val="007C1751"/>
    <w:rsid w:val="007C1B18"/>
    <w:rsid w:val="007C1B68"/>
    <w:rsid w:val="007C28FD"/>
    <w:rsid w:val="007C2CDD"/>
    <w:rsid w:val="007C2DBB"/>
    <w:rsid w:val="007C2ED7"/>
    <w:rsid w:val="007C32D3"/>
    <w:rsid w:val="007C33AB"/>
    <w:rsid w:val="007C354F"/>
    <w:rsid w:val="007C3682"/>
    <w:rsid w:val="007C36B2"/>
    <w:rsid w:val="007C3716"/>
    <w:rsid w:val="007C37CF"/>
    <w:rsid w:val="007C3A98"/>
    <w:rsid w:val="007C4243"/>
    <w:rsid w:val="007C435B"/>
    <w:rsid w:val="007C460D"/>
    <w:rsid w:val="007C4938"/>
    <w:rsid w:val="007C49AB"/>
    <w:rsid w:val="007C4BBB"/>
    <w:rsid w:val="007C4CBB"/>
    <w:rsid w:val="007C4F0E"/>
    <w:rsid w:val="007C5163"/>
    <w:rsid w:val="007C5255"/>
    <w:rsid w:val="007C55CB"/>
    <w:rsid w:val="007C56B1"/>
    <w:rsid w:val="007C5F86"/>
    <w:rsid w:val="007C6003"/>
    <w:rsid w:val="007C667B"/>
    <w:rsid w:val="007C6B7C"/>
    <w:rsid w:val="007C6DDD"/>
    <w:rsid w:val="007C75DB"/>
    <w:rsid w:val="007C76DA"/>
    <w:rsid w:val="007C7922"/>
    <w:rsid w:val="007C7978"/>
    <w:rsid w:val="007C79DF"/>
    <w:rsid w:val="007C7B63"/>
    <w:rsid w:val="007C7BEA"/>
    <w:rsid w:val="007D01C4"/>
    <w:rsid w:val="007D0235"/>
    <w:rsid w:val="007D02A1"/>
    <w:rsid w:val="007D0B01"/>
    <w:rsid w:val="007D0BE2"/>
    <w:rsid w:val="007D0DE3"/>
    <w:rsid w:val="007D0EE3"/>
    <w:rsid w:val="007D127C"/>
    <w:rsid w:val="007D139F"/>
    <w:rsid w:val="007D15B9"/>
    <w:rsid w:val="007D19B2"/>
    <w:rsid w:val="007D24A5"/>
    <w:rsid w:val="007D2548"/>
    <w:rsid w:val="007D255B"/>
    <w:rsid w:val="007D2842"/>
    <w:rsid w:val="007D2B25"/>
    <w:rsid w:val="007D2D76"/>
    <w:rsid w:val="007D31C6"/>
    <w:rsid w:val="007D3866"/>
    <w:rsid w:val="007D3AD9"/>
    <w:rsid w:val="007D45A9"/>
    <w:rsid w:val="007D4CD2"/>
    <w:rsid w:val="007D568C"/>
    <w:rsid w:val="007D571C"/>
    <w:rsid w:val="007D61D3"/>
    <w:rsid w:val="007D661A"/>
    <w:rsid w:val="007D6FFC"/>
    <w:rsid w:val="007D71D8"/>
    <w:rsid w:val="007D746C"/>
    <w:rsid w:val="007D763E"/>
    <w:rsid w:val="007D7A19"/>
    <w:rsid w:val="007D7C2C"/>
    <w:rsid w:val="007D7C99"/>
    <w:rsid w:val="007D7F10"/>
    <w:rsid w:val="007E012C"/>
    <w:rsid w:val="007E014D"/>
    <w:rsid w:val="007E0648"/>
    <w:rsid w:val="007E0E0D"/>
    <w:rsid w:val="007E0F24"/>
    <w:rsid w:val="007E104E"/>
    <w:rsid w:val="007E1130"/>
    <w:rsid w:val="007E1292"/>
    <w:rsid w:val="007E153C"/>
    <w:rsid w:val="007E2268"/>
    <w:rsid w:val="007E2521"/>
    <w:rsid w:val="007E25E5"/>
    <w:rsid w:val="007E2709"/>
    <w:rsid w:val="007E28C5"/>
    <w:rsid w:val="007E28D9"/>
    <w:rsid w:val="007E2951"/>
    <w:rsid w:val="007E2D94"/>
    <w:rsid w:val="007E2E38"/>
    <w:rsid w:val="007E2E46"/>
    <w:rsid w:val="007E3168"/>
    <w:rsid w:val="007E3688"/>
    <w:rsid w:val="007E3D35"/>
    <w:rsid w:val="007E41E7"/>
    <w:rsid w:val="007E44F7"/>
    <w:rsid w:val="007E4689"/>
    <w:rsid w:val="007E475F"/>
    <w:rsid w:val="007E4A02"/>
    <w:rsid w:val="007E4CAD"/>
    <w:rsid w:val="007E510D"/>
    <w:rsid w:val="007E5398"/>
    <w:rsid w:val="007E55E7"/>
    <w:rsid w:val="007E5A60"/>
    <w:rsid w:val="007E5B5C"/>
    <w:rsid w:val="007E5F88"/>
    <w:rsid w:val="007E6554"/>
    <w:rsid w:val="007E6768"/>
    <w:rsid w:val="007E71D5"/>
    <w:rsid w:val="007E7453"/>
    <w:rsid w:val="007E745E"/>
    <w:rsid w:val="007E7679"/>
    <w:rsid w:val="007E78A7"/>
    <w:rsid w:val="007F0577"/>
    <w:rsid w:val="007F0650"/>
    <w:rsid w:val="007F074A"/>
    <w:rsid w:val="007F08A3"/>
    <w:rsid w:val="007F0F8E"/>
    <w:rsid w:val="007F1128"/>
    <w:rsid w:val="007F1232"/>
    <w:rsid w:val="007F1416"/>
    <w:rsid w:val="007F1445"/>
    <w:rsid w:val="007F149B"/>
    <w:rsid w:val="007F1524"/>
    <w:rsid w:val="007F1890"/>
    <w:rsid w:val="007F1DB1"/>
    <w:rsid w:val="007F1E89"/>
    <w:rsid w:val="007F2119"/>
    <w:rsid w:val="007F2221"/>
    <w:rsid w:val="007F26F8"/>
    <w:rsid w:val="007F2728"/>
    <w:rsid w:val="007F28F0"/>
    <w:rsid w:val="007F2C5D"/>
    <w:rsid w:val="007F33F1"/>
    <w:rsid w:val="007F361A"/>
    <w:rsid w:val="007F3B52"/>
    <w:rsid w:val="007F3B75"/>
    <w:rsid w:val="007F410E"/>
    <w:rsid w:val="007F452A"/>
    <w:rsid w:val="007F46D5"/>
    <w:rsid w:val="007F471E"/>
    <w:rsid w:val="007F51C5"/>
    <w:rsid w:val="007F5411"/>
    <w:rsid w:val="007F5901"/>
    <w:rsid w:val="007F5DFD"/>
    <w:rsid w:val="007F6AA8"/>
    <w:rsid w:val="007F6DD2"/>
    <w:rsid w:val="007F6E1D"/>
    <w:rsid w:val="007F6EF6"/>
    <w:rsid w:val="007F7181"/>
    <w:rsid w:val="007F739E"/>
    <w:rsid w:val="007F740E"/>
    <w:rsid w:val="007F7930"/>
    <w:rsid w:val="007F7B1A"/>
    <w:rsid w:val="007F7B4C"/>
    <w:rsid w:val="007F7BEC"/>
    <w:rsid w:val="007F7DCE"/>
    <w:rsid w:val="008001D1"/>
    <w:rsid w:val="0080059D"/>
    <w:rsid w:val="008006A1"/>
    <w:rsid w:val="008006A6"/>
    <w:rsid w:val="0080073B"/>
    <w:rsid w:val="008007A7"/>
    <w:rsid w:val="00800950"/>
    <w:rsid w:val="00800BFA"/>
    <w:rsid w:val="0080150F"/>
    <w:rsid w:val="00801B0B"/>
    <w:rsid w:val="00801B4E"/>
    <w:rsid w:val="00801C9E"/>
    <w:rsid w:val="00801DB8"/>
    <w:rsid w:val="00801EAC"/>
    <w:rsid w:val="00802162"/>
    <w:rsid w:val="00802348"/>
    <w:rsid w:val="00802780"/>
    <w:rsid w:val="00802AC3"/>
    <w:rsid w:val="00802BE7"/>
    <w:rsid w:val="00802CD8"/>
    <w:rsid w:val="0080375D"/>
    <w:rsid w:val="0080378E"/>
    <w:rsid w:val="0080393E"/>
    <w:rsid w:val="008040A2"/>
    <w:rsid w:val="00804489"/>
    <w:rsid w:val="008044F8"/>
    <w:rsid w:val="00804782"/>
    <w:rsid w:val="00804E3C"/>
    <w:rsid w:val="00804FF4"/>
    <w:rsid w:val="00805170"/>
    <w:rsid w:val="00805277"/>
    <w:rsid w:val="0080543C"/>
    <w:rsid w:val="00805D90"/>
    <w:rsid w:val="00805DDF"/>
    <w:rsid w:val="00805F35"/>
    <w:rsid w:val="0080609E"/>
    <w:rsid w:val="00806305"/>
    <w:rsid w:val="0080679A"/>
    <w:rsid w:val="008069B7"/>
    <w:rsid w:val="00806A36"/>
    <w:rsid w:val="00806A92"/>
    <w:rsid w:val="00806C0C"/>
    <w:rsid w:val="00806D42"/>
    <w:rsid w:val="008070B3"/>
    <w:rsid w:val="008070F0"/>
    <w:rsid w:val="0080720A"/>
    <w:rsid w:val="00807246"/>
    <w:rsid w:val="00807665"/>
    <w:rsid w:val="0081021B"/>
    <w:rsid w:val="00810386"/>
    <w:rsid w:val="0081074A"/>
    <w:rsid w:val="00810A49"/>
    <w:rsid w:val="00810AF8"/>
    <w:rsid w:val="00810ECD"/>
    <w:rsid w:val="00811F1F"/>
    <w:rsid w:val="008120C8"/>
    <w:rsid w:val="00812226"/>
    <w:rsid w:val="0081243F"/>
    <w:rsid w:val="00812C60"/>
    <w:rsid w:val="00812DB6"/>
    <w:rsid w:val="00812F17"/>
    <w:rsid w:val="00813420"/>
    <w:rsid w:val="00813608"/>
    <w:rsid w:val="0081386F"/>
    <w:rsid w:val="00813CFD"/>
    <w:rsid w:val="00813DA4"/>
    <w:rsid w:val="00814298"/>
    <w:rsid w:val="008144C7"/>
    <w:rsid w:val="00814536"/>
    <w:rsid w:val="00815579"/>
    <w:rsid w:val="0081586A"/>
    <w:rsid w:val="008159B0"/>
    <w:rsid w:val="00816291"/>
    <w:rsid w:val="00816893"/>
    <w:rsid w:val="00816996"/>
    <w:rsid w:val="00816A21"/>
    <w:rsid w:val="008170B5"/>
    <w:rsid w:val="008170B6"/>
    <w:rsid w:val="00817790"/>
    <w:rsid w:val="00817A27"/>
    <w:rsid w:val="008201FA"/>
    <w:rsid w:val="00820286"/>
    <w:rsid w:val="008208D4"/>
    <w:rsid w:val="008209D1"/>
    <w:rsid w:val="00820C28"/>
    <w:rsid w:val="00820CA2"/>
    <w:rsid w:val="00820DD7"/>
    <w:rsid w:val="00821534"/>
    <w:rsid w:val="00821574"/>
    <w:rsid w:val="008216D5"/>
    <w:rsid w:val="0082190D"/>
    <w:rsid w:val="00821974"/>
    <w:rsid w:val="00821BBC"/>
    <w:rsid w:val="008220B1"/>
    <w:rsid w:val="008226EB"/>
    <w:rsid w:val="00822AA7"/>
    <w:rsid w:val="00823195"/>
    <w:rsid w:val="0082361C"/>
    <w:rsid w:val="00823922"/>
    <w:rsid w:val="008239CC"/>
    <w:rsid w:val="008239FF"/>
    <w:rsid w:val="00823C17"/>
    <w:rsid w:val="00823D71"/>
    <w:rsid w:val="00823F8E"/>
    <w:rsid w:val="00824384"/>
    <w:rsid w:val="00824411"/>
    <w:rsid w:val="008245C2"/>
    <w:rsid w:val="008245E5"/>
    <w:rsid w:val="00824DBA"/>
    <w:rsid w:val="00825028"/>
    <w:rsid w:val="008250B0"/>
    <w:rsid w:val="00825486"/>
    <w:rsid w:val="00826020"/>
    <w:rsid w:val="00826259"/>
    <w:rsid w:val="0082741F"/>
    <w:rsid w:val="008275A1"/>
    <w:rsid w:val="008275B4"/>
    <w:rsid w:val="008275E9"/>
    <w:rsid w:val="00827958"/>
    <w:rsid w:val="00830765"/>
    <w:rsid w:val="00830F13"/>
    <w:rsid w:val="00830F16"/>
    <w:rsid w:val="0083119B"/>
    <w:rsid w:val="00831648"/>
    <w:rsid w:val="008317EB"/>
    <w:rsid w:val="008318A2"/>
    <w:rsid w:val="008318C0"/>
    <w:rsid w:val="00831CB5"/>
    <w:rsid w:val="00831DE1"/>
    <w:rsid w:val="00832450"/>
    <w:rsid w:val="00832A4E"/>
    <w:rsid w:val="00832BC9"/>
    <w:rsid w:val="00832C0F"/>
    <w:rsid w:val="0083328D"/>
    <w:rsid w:val="00833627"/>
    <w:rsid w:val="00833909"/>
    <w:rsid w:val="00833C42"/>
    <w:rsid w:val="00833C6B"/>
    <w:rsid w:val="00833E6E"/>
    <w:rsid w:val="008340E9"/>
    <w:rsid w:val="008344DE"/>
    <w:rsid w:val="008344F3"/>
    <w:rsid w:val="0083477B"/>
    <w:rsid w:val="00834837"/>
    <w:rsid w:val="008348C7"/>
    <w:rsid w:val="008348FD"/>
    <w:rsid w:val="00834D75"/>
    <w:rsid w:val="00834EEB"/>
    <w:rsid w:val="00835007"/>
    <w:rsid w:val="0083564D"/>
    <w:rsid w:val="00835CE6"/>
    <w:rsid w:val="008361AE"/>
    <w:rsid w:val="0083667E"/>
    <w:rsid w:val="00837530"/>
    <w:rsid w:val="00837532"/>
    <w:rsid w:val="00837CE7"/>
    <w:rsid w:val="00837E1C"/>
    <w:rsid w:val="008401DC"/>
    <w:rsid w:val="008402B3"/>
    <w:rsid w:val="00840347"/>
    <w:rsid w:val="008405D8"/>
    <w:rsid w:val="00840837"/>
    <w:rsid w:val="0084087A"/>
    <w:rsid w:val="00840D7E"/>
    <w:rsid w:val="00840E66"/>
    <w:rsid w:val="0084117C"/>
    <w:rsid w:val="00841286"/>
    <w:rsid w:val="00841746"/>
    <w:rsid w:val="00841BEA"/>
    <w:rsid w:val="00841D0C"/>
    <w:rsid w:val="00841D97"/>
    <w:rsid w:val="00841DB0"/>
    <w:rsid w:val="00841E38"/>
    <w:rsid w:val="00841F0D"/>
    <w:rsid w:val="00842430"/>
    <w:rsid w:val="008425FC"/>
    <w:rsid w:val="00842655"/>
    <w:rsid w:val="008428ED"/>
    <w:rsid w:val="008428FF"/>
    <w:rsid w:val="00842971"/>
    <w:rsid w:val="00842989"/>
    <w:rsid w:val="00842BF3"/>
    <w:rsid w:val="00842C07"/>
    <w:rsid w:val="008431E2"/>
    <w:rsid w:val="00843224"/>
    <w:rsid w:val="008434A8"/>
    <w:rsid w:val="008435C1"/>
    <w:rsid w:val="00843713"/>
    <w:rsid w:val="00843722"/>
    <w:rsid w:val="0084382C"/>
    <w:rsid w:val="0084383F"/>
    <w:rsid w:val="008438D3"/>
    <w:rsid w:val="0084483D"/>
    <w:rsid w:val="008448F4"/>
    <w:rsid w:val="008449BD"/>
    <w:rsid w:val="00844B7C"/>
    <w:rsid w:val="00844E8D"/>
    <w:rsid w:val="0084518B"/>
    <w:rsid w:val="00845418"/>
    <w:rsid w:val="00845ACA"/>
    <w:rsid w:val="008463F5"/>
    <w:rsid w:val="0084673F"/>
    <w:rsid w:val="00846795"/>
    <w:rsid w:val="008467FE"/>
    <w:rsid w:val="00847142"/>
    <w:rsid w:val="008475E5"/>
    <w:rsid w:val="008476FA"/>
    <w:rsid w:val="00847E30"/>
    <w:rsid w:val="00847E44"/>
    <w:rsid w:val="008501C0"/>
    <w:rsid w:val="008501CC"/>
    <w:rsid w:val="00850E3A"/>
    <w:rsid w:val="00851159"/>
    <w:rsid w:val="008512F1"/>
    <w:rsid w:val="008513DB"/>
    <w:rsid w:val="00851862"/>
    <w:rsid w:val="00851F81"/>
    <w:rsid w:val="008524A6"/>
    <w:rsid w:val="0085259E"/>
    <w:rsid w:val="008525A8"/>
    <w:rsid w:val="008525F7"/>
    <w:rsid w:val="00852C42"/>
    <w:rsid w:val="00852FF0"/>
    <w:rsid w:val="00853716"/>
    <w:rsid w:val="0085373B"/>
    <w:rsid w:val="00853D47"/>
    <w:rsid w:val="00854165"/>
    <w:rsid w:val="0085444E"/>
    <w:rsid w:val="008547B2"/>
    <w:rsid w:val="00854E2C"/>
    <w:rsid w:val="00854E8A"/>
    <w:rsid w:val="00855414"/>
    <w:rsid w:val="0085564D"/>
    <w:rsid w:val="00855ADC"/>
    <w:rsid w:val="00855B04"/>
    <w:rsid w:val="00855E6A"/>
    <w:rsid w:val="00855E6E"/>
    <w:rsid w:val="00855F2D"/>
    <w:rsid w:val="00855FAC"/>
    <w:rsid w:val="00856764"/>
    <w:rsid w:val="008567D1"/>
    <w:rsid w:val="008568DF"/>
    <w:rsid w:val="00856953"/>
    <w:rsid w:val="00856C1F"/>
    <w:rsid w:val="00856F56"/>
    <w:rsid w:val="008571EC"/>
    <w:rsid w:val="008572FD"/>
    <w:rsid w:val="00857459"/>
    <w:rsid w:val="008575D7"/>
    <w:rsid w:val="008576AE"/>
    <w:rsid w:val="00857AC1"/>
    <w:rsid w:val="008602E9"/>
    <w:rsid w:val="00860321"/>
    <w:rsid w:val="008604FF"/>
    <w:rsid w:val="00860C6F"/>
    <w:rsid w:val="00860E40"/>
    <w:rsid w:val="00860F04"/>
    <w:rsid w:val="008614CF"/>
    <w:rsid w:val="008618E3"/>
    <w:rsid w:val="008619AC"/>
    <w:rsid w:val="00861C61"/>
    <w:rsid w:val="00861C76"/>
    <w:rsid w:val="00862425"/>
    <w:rsid w:val="008624F3"/>
    <w:rsid w:val="008627FB"/>
    <w:rsid w:val="00862912"/>
    <w:rsid w:val="00862A16"/>
    <w:rsid w:val="00863AD3"/>
    <w:rsid w:val="00864659"/>
    <w:rsid w:val="0086498D"/>
    <w:rsid w:val="008649D5"/>
    <w:rsid w:val="00864B08"/>
    <w:rsid w:val="008653DB"/>
    <w:rsid w:val="0086559B"/>
    <w:rsid w:val="0086593E"/>
    <w:rsid w:val="00865C8B"/>
    <w:rsid w:val="00865F14"/>
    <w:rsid w:val="008660C7"/>
    <w:rsid w:val="008663C0"/>
    <w:rsid w:val="0086663B"/>
    <w:rsid w:val="00866677"/>
    <w:rsid w:val="00866AAA"/>
    <w:rsid w:val="00866FFE"/>
    <w:rsid w:val="00867450"/>
    <w:rsid w:val="00867543"/>
    <w:rsid w:val="00867B01"/>
    <w:rsid w:val="00867BF6"/>
    <w:rsid w:val="00867D52"/>
    <w:rsid w:val="00867F7A"/>
    <w:rsid w:val="0087034F"/>
    <w:rsid w:val="00870390"/>
    <w:rsid w:val="00870D03"/>
    <w:rsid w:val="00870E07"/>
    <w:rsid w:val="008712E3"/>
    <w:rsid w:val="008713DF"/>
    <w:rsid w:val="00871674"/>
    <w:rsid w:val="008716A6"/>
    <w:rsid w:val="008716BD"/>
    <w:rsid w:val="00871988"/>
    <w:rsid w:val="00871AB1"/>
    <w:rsid w:val="00871D20"/>
    <w:rsid w:val="00871E5E"/>
    <w:rsid w:val="00871F1C"/>
    <w:rsid w:val="00871F1D"/>
    <w:rsid w:val="00871F61"/>
    <w:rsid w:val="00872358"/>
    <w:rsid w:val="008723F1"/>
    <w:rsid w:val="008728FC"/>
    <w:rsid w:val="00872E22"/>
    <w:rsid w:val="008730B1"/>
    <w:rsid w:val="00873267"/>
    <w:rsid w:val="00873463"/>
    <w:rsid w:val="00873AFA"/>
    <w:rsid w:val="00873C70"/>
    <w:rsid w:val="00873DE9"/>
    <w:rsid w:val="008740DD"/>
    <w:rsid w:val="0087431B"/>
    <w:rsid w:val="008746D6"/>
    <w:rsid w:val="008746FF"/>
    <w:rsid w:val="00874CED"/>
    <w:rsid w:val="0087517A"/>
    <w:rsid w:val="0087555B"/>
    <w:rsid w:val="008757DF"/>
    <w:rsid w:val="00875D09"/>
    <w:rsid w:val="00876E57"/>
    <w:rsid w:val="00876ED9"/>
    <w:rsid w:val="0087749D"/>
    <w:rsid w:val="00877700"/>
    <w:rsid w:val="00877A07"/>
    <w:rsid w:val="00877B9E"/>
    <w:rsid w:val="00880539"/>
    <w:rsid w:val="008805D4"/>
    <w:rsid w:val="008806FF"/>
    <w:rsid w:val="00880A12"/>
    <w:rsid w:val="00880E35"/>
    <w:rsid w:val="00880FD1"/>
    <w:rsid w:val="00881344"/>
    <w:rsid w:val="00881472"/>
    <w:rsid w:val="008816E0"/>
    <w:rsid w:val="00881DFB"/>
    <w:rsid w:val="00882382"/>
    <w:rsid w:val="00882446"/>
    <w:rsid w:val="008825AA"/>
    <w:rsid w:val="00883066"/>
    <w:rsid w:val="00883330"/>
    <w:rsid w:val="008833B8"/>
    <w:rsid w:val="00883815"/>
    <w:rsid w:val="008840DC"/>
    <w:rsid w:val="00884621"/>
    <w:rsid w:val="008846C3"/>
    <w:rsid w:val="00884A02"/>
    <w:rsid w:val="00884C4C"/>
    <w:rsid w:val="00884CE3"/>
    <w:rsid w:val="00884EA1"/>
    <w:rsid w:val="00885268"/>
    <w:rsid w:val="00885907"/>
    <w:rsid w:val="00885C63"/>
    <w:rsid w:val="00885D1A"/>
    <w:rsid w:val="0088661A"/>
    <w:rsid w:val="008866BC"/>
    <w:rsid w:val="008866C4"/>
    <w:rsid w:val="00886935"/>
    <w:rsid w:val="0088698C"/>
    <w:rsid w:val="008869C6"/>
    <w:rsid w:val="00886EBB"/>
    <w:rsid w:val="00886FD7"/>
    <w:rsid w:val="0088742A"/>
    <w:rsid w:val="00887DB9"/>
    <w:rsid w:val="00887F9B"/>
    <w:rsid w:val="00890725"/>
    <w:rsid w:val="0089081E"/>
    <w:rsid w:val="00890B35"/>
    <w:rsid w:val="00890D2F"/>
    <w:rsid w:val="00890ED2"/>
    <w:rsid w:val="00890EDC"/>
    <w:rsid w:val="008911D3"/>
    <w:rsid w:val="00891444"/>
    <w:rsid w:val="008916E3"/>
    <w:rsid w:val="008918AA"/>
    <w:rsid w:val="00891BF9"/>
    <w:rsid w:val="00891CBD"/>
    <w:rsid w:val="008920A7"/>
    <w:rsid w:val="008924B1"/>
    <w:rsid w:val="0089337B"/>
    <w:rsid w:val="00893ED8"/>
    <w:rsid w:val="00893F9B"/>
    <w:rsid w:val="008945D1"/>
    <w:rsid w:val="00894612"/>
    <w:rsid w:val="00894A7B"/>
    <w:rsid w:val="00894AE4"/>
    <w:rsid w:val="00894B5E"/>
    <w:rsid w:val="00894C0A"/>
    <w:rsid w:val="00894D2B"/>
    <w:rsid w:val="00894E83"/>
    <w:rsid w:val="00894F8D"/>
    <w:rsid w:val="00894FB1"/>
    <w:rsid w:val="00894FE6"/>
    <w:rsid w:val="0089502D"/>
    <w:rsid w:val="00895A09"/>
    <w:rsid w:val="0089638A"/>
    <w:rsid w:val="008964EB"/>
    <w:rsid w:val="0089651B"/>
    <w:rsid w:val="00896AC9"/>
    <w:rsid w:val="00896D37"/>
    <w:rsid w:val="00896D5F"/>
    <w:rsid w:val="00896D68"/>
    <w:rsid w:val="00897698"/>
    <w:rsid w:val="00897729"/>
    <w:rsid w:val="00897DD9"/>
    <w:rsid w:val="00897EDF"/>
    <w:rsid w:val="008A0043"/>
    <w:rsid w:val="008A0448"/>
    <w:rsid w:val="008A06D0"/>
    <w:rsid w:val="008A0C03"/>
    <w:rsid w:val="008A0C53"/>
    <w:rsid w:val="008A0DAE"/>
    <w:rsid w:val="008A0DFB"/>
    <w:rsid w:val="008A150A"/>
    <w:rsid w:val="008A2042"/>
    <w:rsid w:val="008A2675"/>
    <w:rsid w:val="008A2A11"/>
    <w:rsid w:val="008A2AB4"/>
    <w:rsid w:val="008A2BC9"/>
    <w:rsid w:val="008A2BD7"/>
    <w:rsid w:val="008A2F20"/>
    <w:rsid w:val="008A31CB"/>
    <w:rsid w:val="008A369C"/>
    <w:rsid w:val="008A387C"/>
    <w:rsid w:val="008A3A7B"/>
    <w:rsid w:val="008A3C4E"/>
    <w:rsid w:val="008A3C61"/>
    <w:rsid w:val="008A3EE6"/>
    <w:rsid w:val="008A3FCE"/>
    <w:rsid w:val="008A4272"/>
    <w:rsid w:val="008A42D3"/>
    <w:rsid w:val="008A46A4"/>
    <w:rsid w:val="008A4C08"/>
    <w:rsid w:val="008A4EC7"/>
    <w:rsid w:val="008A53B5"/>
    <w:rsid w:val="008A5F46"/>
    <w:rsid w:val="008A6055"/>
    <w:rsid w:val="008A6152"/>
    <w:rsid w:val="008A63B6"/>
    <w:rsid w:val="008A675E"/>
    <w:rsid w:val="008A689B"/>
    <w:rsid w:val="008A6D0E"/>
    <w:rsid w:val="008A7177"/>
    <w:rsid w:val="008A74FD"/>
    <w:rsid w:val="008A7AFB"/>
    <w:rsid w:val="008B064D"/>
    <w:rsid w:val="008B0B81"/>
    <w:rsid w:val="008B128C"/>
    <w:rsid w:val="008B1441"/>
    <w:rsid w:val="008B19B9"/>
    <w:rsid w:val="008B1C31"/>
    <w:rsid w:val="008B1E69"/>
    <w:rsid w:val="008B27F3"/>
    <w:rsid w:val="008B2875"/>
    <w:rsid w:val="008B2CE3"/>
    <w:rsid w:val="008B35DC"/>
    <w:rsid w:val="008B3C83"/>
    <w:rsid w:val="008B3D53"/>
    <w:rsid w:val="008B455C"/>
    <w:rsid w:val="008B4586"/>
    <w:rsid w:val="008B4725"/>
    <w:rsid w:val="008B4F56"/>
    <w:rsid w:val="008B5BEE"/>
    <w:rsid w:val="008B5C5B"/>
    <w:rsid w:val="008B5C5C"/>
    <w:rsid w:val="008B5F23"/>
    <w:rsid w:val="008B6116"/>
    <w:rsid w:val="008B6700"/>
    <w:rsid w:val="008B69C5"/>
    <w:rsid w:val="008B6A65"/>
    <w:rsid w:val="008B6E35"/>
    <w:rsid w:val="008B6E7C"/>
    <w:rsid w:val="008B6EBE"/>
    <w:rsid w:val="008B7925"/>
    <w:rsid w:val="008B7D94"/>
    <w:rsid w:val="008C02A9"/>
    <w:rsid w:val="008C08B5"/>
    <w:rsid w:val="008C0B48"/>
    <w:rsid w:val="008C0D07"/>
    <w:rsid w:val="008C1256"/>
    <w:rsid w:val="008C1957"/>
    <w:rsid w:val="008C1D3A"/>
    <w:rsid w:val="008C2178"/>
    <w:rsid w:val="008C22D5"/>
    <w:rsid w:val="008C28FC"/>
    <w:rsid w:val="008C29E6"/>
    <w:rsid w:val="008C2CCD"/>
    <w:rsid w:val="008C3211"/>
    <w:rsid w:val="008C380B"/>
    <w:rsid w:val="008C39B8"/>
    <w:rsid w:val="008C3EB2"/>
    <w:rsid w:val="008C4120"/>
    <w:rsid w:val="008C4345"/>
    <w:rsid w:val="008C486F"/>
    <w:rsid w:val="008C4B70"/>
    <w:rsid w:val="008C4B97"/>
    <w:rsid w:val="008C4CC5"/>
    <w:rsid w:val="008C4EB3"/>
    <w:rsid w:val="008C510F"/>
    <w:rsid w:val="008C5204"/>
    <w:rsid w:val="008C5B06"/>
    <w:rsid w:val="008C6759"/>
    <w:rsid w:val="008C67ED"/>
    <w:rsid w:val="008C6938"/>
    <w:rsid w:val="008C7152"/>
    <w:rsid w:val="008C7308"/>
    <w:rsid w:val="008C7346"/>
    <w:rsid w:val="008C73BD"/>
    <w:rsid w:val="008C7695"/>
    <w:rsid w:val="008C76A6"/>
    <w:rsid w:val="008C7909"/>
    <w:rsid w:val="008C796F"/>
    <w:rsid w:val="008C7C39"/>
    <w:rsid w:val="008C7F58"/>
    <w:rsid w:val="008D0055"/>
    <w:rsid w:val="008D0D22"/>
    <w:rsid w:val="008D0D70"/>
    <w:rsid w:val="008D0E46"/>
    <w:rsid w:val="008D0F60"/>
    <w:rsid w:val="008D17F0"/>
    <w:rsid w:val="008D18E7"/>
    <w:rsid w:val="008D1C8F"/>
    <w:rsid w:val="008D21A8"/>
    <w:rsid w:val="008D2C61"/>
    <w:rsid w:val="008D2CF5"/>
    <w:rsid w:val="008D3233"/>
    <w:rsid w:val="008D37C8"/>
    <w:rsid w:val="008D3C50"/>
    <w:rsid w:val="008D3ED9"/>
    <w:rsid w:val="008D403E"/>
    <w:rsid w:val="008D4376"/>
    <w:rsid w:val="008D4635"/>
    <w:rsid w:val="008D47E9"/>
    <w:rsid w:val="008D48BE"/>
    <w:rsid w:val="008D4D6E"/>
    <w:rsid w:val="008D4F20"/>
    <w:rsid w:val="008D5FF0"/>
    <w:rsid w:val="008D619E"/>
    <w:rsid w:val="008D6551"/>
    <w:rsid w:val="008D6611"/>
    <w:rsid w:val="008D66D1"/>
    <w:rsid w:val="008D6716"/>
    <w:rsid w:val="008D77C9"/>
    <w:rsid w:val="008D78EB"/>
    <w:rsid w:val="008D7C3B"/>
    <w:rsid w:val="008D7FD9"/>
    <w:rsid w:val="008E027F"/>
    <w:rsid w:val="008E051E"/>
    <w:rsid w:val="008E0528"/>
    <w:rsid w:val="008E0588"/>
    <w:rsid w:val="008E0EF7"/>
    <w:rsid w:val="008E152F"/>
    <w:rsid w:val="008E188F"/>
    <w:rsid w:val="008E1C82"/>
    <w:rsid w:val="008E20FB"/>
    <w:rsid w:val="008E22DE"/>
    <w:rsid w:val="008E25C6"/>
    <w:rsid w:val="008E2631"/>
    <w:rsid w:val="008E2C95"/>
    <w:rsid w:val="008E2E85"/>
    <w:rsid w:val="008E357B"/>
    <w:rsid w:val="008E3634"/>
    <w:rsid w:val="008E39A1"/>
    <w:rsid w:val="008E3C93"/>
    <w:rsid w:val="008E3D7E"/>
    <w:rsid w:val="008E3EEA"/>
    <w:rsid w:val="008E5884"/>
    <w:rsid w:val="008E5D4D"/>
    <w:rsid w:val="008E634E"/>
    <w:rsid w:val="008E6941"/>
    <w:rsid w:val="008E6D91"/>
    <w:rsid w:val="008E6DA4"/>
    <w:rsid w:val="008E6EA3"/>
    <w:rsid w:val="008E71F2"/>
    <w:rsid w:val="008E72EF"/>
    <w:rsid w:val="008E74AC"/>
    <w:rsid w:val="008E7508"/>
    <w:rsid w:val="008E7688"/>
    <w:rsid w:val="008E7822"/>
    <w:rsid w:val="008E7A21"/>
    <w:rsid w:val="008E7D93"/>
    <w:rsid w:val="008E7DD1"/>
    <w:rsid w:val="008E7FD9"/>
    <w:rsid w:val="008F0170"/>
    <w:rsid w:val="008F0582"/>
    <w:rsid w:val="008F0739"/>
    <w:rsid w:val="008F087B"/>
    <w:rsid w:val="008F08D8"/>
    <w:rsid w:val="008F111F"/>
    <w:rsid w:val="008F1171"/>
    <w:rsid w:val="008F183A"/>
    <w:rsid w:val="008F1D1C"/>
    <w:rsid w:val="008F1E99"/>
    <w:rsid w:val="008F1F82"/>
    <w:rsid w:val="008F1FFC"/>
    <w:rsid w:val="008F23B2"/>
    <w:rsid w:val="008F2411"/>
    <w:rsid w:val="008F2448"/>
    <w:rsid w:val="008F2BF2"/>
    <w:rsid w:val="008F2C1C"/>
    <w:rsid w:val="008F3030"/>
    <w:rsid w:val="008F30DA"/>
    <w:rsid w:val="008F3358"/>
    <w:rsid w:val="008F34BA"/>
    <w:rsid w:val="008F3819"/>
    <w:rsid w:val="008F38D3"/>
    <w:rsid w:val="008F3D0C"/>
    <w:rsid w:val="008F4DDD"/>
    <w:rsid w:val="008F4EE5"/>
    <w:rsid w:val="008F53B5"/>
    <w:rsid w:val="008F59A8"/>
    <w:rsid w:val="008F5DC3"/>
    <w:rsid w:val="008F6137"/>
    <w:rsid w:val="008F63DB"/>
    <w:rsid w:val="008F64F5"/>
    <w:rsid w:val="008F6732"/>
    <w:rsid w:val="008F6840"/>
    <w:rsid w:val="008F7067"/>
    <w:rsid w:val="008F72B5"/>
    <w:rsid w:val="008F734B"/>
    <w:rsid w:val="008F76B2"/>
    <w:rsid w:val="008F775D"/>
    <w:rsid w:val="008F793E"/>
    <w:rsid w:val="008F7C28"/>
    <w:rsid w:val="008F7E19"/>
    <w:rsid w:val="008F7F79"/>
    <w:rsid w:val="0090004B"/>
    <w:rsid w:val="00900077"/>
    <w:rsid w:val="00900432"/>
    <w:rsid w:val="00900479"/>
    <w:rsid w:val="0090047B"/>
    <w:rsid w:val="00900ED8"/>
    <w:rsid w:val="0090153B"/>
    <w:rsid w:val="009015BF"/>
    <w:rsid w:val="009022FB"/>
    <w:rsid w:val="009026BC"/>
    <w:rsid w:val="00902B49"/>
    <w:rsid w:val="00902CE0"/>
    <w:rsid w:val="00902EAE"/>
    <w:rsid w:val="00902EF6"/>
    <w:rsid w:val="00903487"/>
    <w:rsid w:val="00903492"/>
    <w:rsid w:val="00903645"/>
    <w:rsid w:val="009036EB"/>
    <w:rsid w:val="009039EC"/>
    <w:rsid w:val="009044CC"/>
    <w:rsid w:val="00904757"/>
    <w:rsid w:val="009047DF"/>
    <w:rsid w:val="009057F7"/>
    <w:rsid w:val="0090597B"/>
    <w:rsid w:val="009059F8"/>
    <w:rsid w:val="00905BBB"/>
    <w:rsid w:val="00905D0F"/>
    <w:rsid w:val="009065D7"/>
    <w:rsid w:val="00906817"/>
    <w:rsid w:val="009068E0"/>
    <w:rsid w:val="00906B04"/>
    <w:rsid w:val="00906C5E"/>
    <w:rsid w:val="00906C9A"/>
    <w:rsid w:val="00906E68"/>
    <w:rsid w:val="009076AF"/>
    <w:rsid w:val="00907B2B"/>
    <w:rsid w:val="00907C6E"/>
    <w:rsid w:val="00907D32"/>
    <w:rsid w:val="00907D7A"/>
    <w:rsid w:val="00907DF6"/>
    <w:rsid w:val="00907E5B"/>
    <w:rsid w:val="00907E62"/>
    <w:rsid w:val="00907E6F"/>
    <w:rsid w:val="0091036E"/>
    <w:rsid w:val="009107AD"/>
    <w:rsid w:val="00911A6B"/>
    <w:rsid w:val="00911C59"/>
    <w:rsid w:val="00911D4E"/>
    <w:rsid w:val="009125F6"/>
    <w:rsid w:val="00912A72"/>
    <w:rsid w:val="00913128"/>
    <w:rsid w:val="00913620"/>
    <w:rsid w:val="00913ED7"/>
    <w:rsid w:val="00914C6D"/>
    <w:rsid w:val="00914D0F"/>
    <w:rsid w:val="00914EE5"/>
    <w:rsid w:val="00915102"/>
    <w:rsid w:val="009155B0"/>
    <w:rsid w:val="009156A4"/>
    <w:rsid w:val="00915890"/>
    <w:rsid w:val="009165F1"/>
    <w:rsid w:val="0091728B"/>
    <w:rsid w:val="00917BA5"/>
    <w:rsid w:val="00917C28"/>
    <w:rsid w:val="00920452"/>
    <w:rsid w:val="0092050E"/>
    <w:rsid w:val="00920974"/>
    <w:rsid w:val="00920E9E"/>
    <w:rsid w:val="00920FC9"/>
    <w:rsid w:val="00921632"/>
    <w:rsid w:val="00921756"/>
    <w:rsid w:val="009217F8"/>
    <w:rsid w:val="00921FC0"/>
    <w:rsid w:val="00922326"/>
    <w:rsid w:val="009223B4"/>
    <w:rsid w:val="009224E1"/>
    <w:rsid w:val="009224FC"/>
    <w:rsid w:val="00922B1B"/>
    <w:rsid w:val="00923234"/>
    <w:rsid w:val="0092354C"/>
    <w:rsid w:val="0092378F"/>
    <w:rsid w:val="009237BA"/>
    <w:rsid w:val="00923847"/>
    <w:rsid w:val="00923AD4"/>
    <w:rsid w:val="00923DB7"/>
    <w:rsid w:val="00924076"/>
    <w:rsid w:val="0092410F"/>
    <w:rsid w:val="00924562"/>
    <w:rsid w:val="00924D47"/>
    <w:rsid w:val="00924E38"/>
    <w:rsid w:val="0092555D"/>
    <w:rsid w:val="009257B6"/>
    <w:rsid w:val="00925928"/>
    <w:rsid w:val="0092595C"/>
    <w:rsid w:val="009259DB"/>
    <w:rsid w:val="00925B5F"/>
    <w:rsid w:val="00925C4B"/>
    <w:rsid w:val="00925CD2"/>
    <w:rsid w:val="009260E1"/>
    <w:rsid w:val="00926264"/>
    <w:rsid w:val="00926418"/>
    <w:rsid w:val="0092648A"/>
    <w:rsid w:val="00926E97"/>
    <w:rsid w:val="00926EAB"/>
    <w:rsid w:val="00927166"/>
    <w:rsid w:val="00927795"/>
    <w:rsid w:val="009279A3"/>
    <w:rsid w:val="00927D8B"/>
    <w:rsid w:val="00927EBA"/>
    <w:rsid w:val="009302F9"/>
    <w:rsid w:val="009303B3"/>
    <w:rsid w:val="0093078D"/>
    <w:rsid w:val="009309BB"/>
    <w:rsid w:val="00930A95"/>
    <w:rsid w:val="00930B6E"/>
    <w:rsid w:val="00930CFB"/>
    <w:rsid w:val="00930E33"/>
    <w:rsid w:val="00930FDC"/>
    <w:rsid w:val="00931165"/>
    <w:rsid w:val="0093135D"/>
    <w:rsid w:val="00931929"/>
    <w:rsid w:val="009319BE"/>
    <w:rsid w:val="00931A98"/>
    <w:rsid w:val="00931FBD"/>
    <w:rsid w:val="00932174"/>
    <w:rsid w:val="00932536"/>
    <w:rsid w:val="009326E5"/>
    <w:rsid w:val="0093291D"/>
    <w:rsid w:val="009329AA"/>
    <w:rsid w:val="00932D37"/>
    <w:rsid w:val="00932D67"/>
    <w:rsid w:val="00933170"/>
    <w:rsid w:val="0093324D"/>
    <w:rsid w:val="00933649"/>
    <w:rsid w:val="0093381F"/>
    <w:rsid w:val="00933B1E"/>
    <w:rsid w:val="00933C1E"/>
    <w:rsid w:val="0093407D"/>
    <w:rsid w:val="0093426A"/>
    <w:rsid w:val="009343F5"/>
    <w:rsid w:val="009344FF"/>
    <w:rsid w:val="00934E3A"/>
    <w:rsid w:val="009355AB"/>
    <w:rsid w:val="00935624"/>
    <w:rsid w:val="00935729"/>
    <w:rsid w:val="00935857"/>
    <w:rsid w:val="00935A20"/>
    <w:rsid w:val="00935B41"/>
    <w:rsid w:val="00935C4A"/>
    <w:rsid w:val="00935CEF"/>
    <w:rsid w:val="00935D43"/>
    <w:rsid w:val="009362A7"/>
    <w:rsid w:val="00936513"/>
    <w:rsid w:val="00936C20"/>
    <w:rsid w:val="00936DF0"/>
    <w:rsid w:val="00937034"/>
    <w:rsid w:val="009375FC"/>
    <w:rsid w:val="00937640"/>
    <w:rsid w:val="009377F7"/>
    <w:rsid w:val="0094047C"/>
    <w:rsid w:val="0094055E"/>
    <w:rsid w:val="009407D0"/>
    <w:rsid w:val="00940C9E"/>
    <w:rsid w:val="00940CD6"/>
    <w:rsid w:val="00940EDE"/>
    <w:rsid w:val="009411CF"/>
    <w:rsid w:val="0094126F"/>
    <w:rsid w:val="00941750"/>
    <w:rsid w:val="009418B7"/>
    <w:rsid w:val="00941BA9"/>
    <w:rsid w:val="00941D18"/>
    <w:rsid w:val="00941F81"/>
    <w:rsid w:val="0094201C"/>
    <w:rsid w:val="00942067"/>
    <w:rsid w:val="009425EF"/>
    <w:rsid w:val="00942C2C"/>
    <w:rsid w:val="00942F31"/>
    <w:rsid w:val="0094318D"/>
    <w:rsid w:val="009433DA"/>
    <w:rsid w:val="009433DC"/>
    <w:rsid w:val="009435DC"/>
    <w:rsid w:val="0094373E"/>
    <w:rsid w:val="00943B6C"/>
    <w:rsid w:val="00943C39"/>
    <w:rsid w:val="00943D76"/>
    <w:rsid w:val="00943E45"/>
    <w:rsid w:val="00943FD8"/>
    <w:rsid w:val="009448D7"/>
    <w:rsid w:val="00944E6D"/>
    <w:rsid w:val="00945004"/>
    <w:rsid w:val="009455E7"/>
    <w:rsid w:val="0094572E"/>
    <w:rsid w:val="00945AC5"/>
    <w:rsid w:val="00945E0D"/>
    <w:rsid w:val="00945F53"/>
    <w:rsid w:val="00945FA3"/>
    <w:rsid w:val="00946212"/>
    <w:rsid w:val="0094657B"/>
    <w:rsid w:val="009466C6"/>
    <w:rsid w:val="00946871"/>
    <w:rsid w:val="0094715E"/>
    <w:rsid w:val="009471CF"/>
    <w:rsid w:val="00947534"/>
    <w:rsid w:val="0094756B"/>
    <w:rsid w:val="0094758F"/>
    <w:rsid w:val="0094782E"/>
    <w:rsid w:val="009479FF"/>
    <w:rsid w:val="0095003D"/>
    <w:rsid w:val="009500E4"/>
    <w:rsid w:val="00950346"/>
    <w:rsid w:val="00950556"/>
    <w:rsid w:val="009507A5"/>
    <w:rsid w:val="00950828"/>
    <w:rsid w:val="009510E8"/>
    <w:rsid w:val="009512B6"/>
    <w:rsid w:val="00951458"/>
    <w:rsid w:val="009517A5"/>
    <w:rsid w:val="0095189F"/>
    <w:rsid w:val="00951A10"/>
    <w:rsid w:val="00951DC0"/>
    <w:rsid w:val="00951E86"/>
    <w:rsid w:val="00951FC7"/>
    <w:rsid w:val="00952494"/>
    <w:rsid w:val="0095258C"/>
    <w:rsid w:val="009526E8"/>
    <w:rsid w:val="00952841"/>
    <w:rsid w:val="00952AB7"/>
    <w:rsid w:val="00952C44"/>
    <w:rsid w:val="00952DDF"/>
    <w:rsid w:val="00952F14"/>
    <w:rsid w:val="00953259"/>
    <w:rsid w:val="0095400C"/>
    <w:rsid w:val="0095412E"/>
    <w:rsid w:val="00954383"/>
    <w:rsid w:val="009545FC"/>
    <w:rsid w:val="00954627"/>
    <w:rsid w:val="00954702"/>
    <w:rsid w:val="00954D79"/>
    <w:rsid w:val="00954F27"/>
    <w:rsid w:val="00955021"/>
    <w:rsid w:val="00955B41"/>
    <w:rsid w:val="00956141"/>
    <w:rsid w:val="00956A6B"/>
    <w:rsid w:val="00956C1B"/>
    <w:rsid w:val="00956D42"/>
    <w:rsid w:val="00956E2D"/>
    <w:rsid w:val="0095719C"/>
    <w:rsid w:val="009573F8"/>
    <w:rsid w:val="00957422"/>
    <w:rsid w:val="00957782"/>
    <w:rsid w:val="00957817"/>
    <w:rsid w:val="00957A48"/>
    <w:rsid w:val="00957F85"/>
    <w:rsid w:val="00957FC8"/>
    <w:rsid w:val="009603D5"/>
    <w:rsid w:val="0096095E"/>
    <w:rsid w:val="0096097E"/>
    <w:rsid w:val="00960CE1"/>
    <w:rsid w:val="009613B1"/>
    <w:rsid w:val="009615CF"/>
    <w:rsid w:val="00961D15"/>
    <w:rsid w:val="00961D54"/>
    <w:rsid w:val="00961E80"/>
    <w:rsid w:val="00962174"/>
    <w:rsid w:val="00962349"/>
    <w:rsid w:val="0096243A"/>
    <w:rsid w:val="009626ED"/>
    <w:rsid w:val="00962983"/>
    <w:rsid w:val="00962BD7"/>
    <w:rsid w:val="00962D04"/>
    <w:rsid w:val="00962D77"/>
    <w:rsid w:val="00962E7F"/>
    <w:rsid w:val="00963467"/>
    <w:rsid w:val="00963882"/>
    <w:rsid w:val="009639EA"/>
    <w:rsid w:val="00963A34"/>
    <w:rsid w:val="00963B2D"/>
    <w:rsid w:val="00963BFB"/>
    <w:rsid w:val="00964328"/>
    <w:rsid w:val="009644F6"/>
    <w:rsid w:val="009648F3"/>
    <w:rsid w:val="009655B6"/>
    <w:rsid w:val="00965B8C"/>
    <w:rsid w:val="009660E1"/>
    <w:rsid w:val="0096641D"/>
    <w:rsid w:val="00966453"/>
    <w:rsid w:val="009674C5"/>
    <w:rsid w:val="00967B22"/>
    <w:rsid w:val="00967B4C"/>
    <w:rsid w:val="00970419"/>
    <w:rsid w:val="00970750"/>
    <w:rsid w:val="00970BB0"/>
    <w:rsid w:val="00970E86"/>
    <w:rsid w:val="00971036"/>
    <w:rsid w:val="00971058"/>
    <w:rsid w:val="00971156"/>
    <w:rsid w:val="0097119E"/>
    <w:rsid w:val="00971288"/>
    <w:rsid w:val="00971FD6"/>
    <w:rsid w:val="00972E99"/>
    <w:rsid w:val="00973172"/>
    <w:rsid w:val="0097324D"/>
    <w:rsid w:val="009735B1"/>
    <w:rsid w:val="0097408F"/>
    <w:rsid w:val="0097461F"/>
    <w:rsid w:val="009746A5"/>
    <w:rsid w:val="009747A1"/>
    <w:rsid w:val="00974DDE"/>
    <w:rsid w:val="00975056"/>
    <w:rsid w:val="009752F1"/>
    <w:rsid w:val="0097567D"/>
    <w:rsid w:val="0097600A"/>
    <w:rsid w:val="009761A3"/>
    <w:rsid w:val="0097693B"/>
    <w:rsid w:val="00976D2D"/>
    <w:rsid w:val="00976F16"/>
    <w:rsid w:val="0097763E"/>
    <w:rsid w:val="009776DC"/>
    <w:rsid w:val="00977A6D"/>
    <w:rsid w:val="009801FC"/>
    <w:rsid w:val="009805D7"/>
    <w:rsid w:val="009807C8"/>
    <w:rsid w:val="00980B59"/>
    <w:rsid w:val="00980F11"/>
    <w:rsid w:val="00980FCC"/>
    <w:rsid w:val="0098123D"/>
    <w:rsid w:val="00981867"/>
    <w:rsid w:val="00981CBA"/>
    <w:rsid w:val="00981D62"/>
    <w:rsid w:val="00982549"/>
    <w:rsid w:val="00982602"/>
    <w:rsid w:val="009828A4"/>
    <w:rsid w:val="00982F57"/>
    <w:rsid w:val="00983211"/>
    <w:rsid w:val="00983554"/>
    <w:rsid w:val="0098358A"/>
    <w:rsid w:val="0098394C"/>
    <w:rsid w:val="00983AEB"/>
    <w:rsid w:val="00983BA7"/>
    <w:rsid w:val="00984110"/>
    <w:rsid w:val="00984380"/>
    <w:rsid w:val="00984575"/>
    <w:rsid w:val="0098463B"/>
    <w:rsid w:val="00984858"/>
    <w:rsid w:val="009848E3"/>
    <w:rsid w:val="009852B0"/>
    <w:rsid w:val="00985364"/>
    <w:rsid w:val="00985494"/>
    <w:rsid w:val="009856EC"/>
    <w:rsid w:val="00985920"/>
    <w:rsid w:val="00985BB5"/>
    <w:rsid w:val="00985BFB"/>
    <w:rsid w:val="00985C23"/>
    <w:rsid w:val="00985EBB"/>
    <w:rsid w:val="00985F8E"/>
    <w:rsid w:val="00985F8F"/>
    <w:rsid w:val="00985FE6"/>
    <w:rsid w:val="00986010"/>
    <w:rsid w:val="0098603D"/>
    <w:rsid w:val="0098627B"/>
    <w:rsid w:val="00986342"/>
    <w:rsid w:val="0098645D"/>
    <w:rsid w:val="009867C7"/>
    <w:rsid w:val="00986AF7"/>
    <w:rsid w:val="00986B0D"/>
    <w:rsid w:val="00986B15"/>
    <w:rsid w:val="00986DE6"/>
    <w:rsid w:val="00986E02"/>
    <w:rsid w:val="0098710E"/>
    <w:rsid w:val="00987BC6"/>
    <w:rsid w:val="00987F06"/>
    <w:rsid w:val="009900AC"/>
    <w:rsid w:val="00990249"/>
    <w:rsid w:val="0099058F"/>
    <w:rsid w:val="00990904"/>
    <w:rsid w:val="00990DD4"/>
    <w:rsid w:val="009911A4"/>
    <w:rsid w:val="0099140C"/>
    <w:rsid w:val="009914A7"/>
    <w:rsid w:val="00991A6E"/>
    <w:rsid w:val="00991AD5"/>
    <w:rsid w:val="00991EB1"/>
    <w:rsid w:val="00991ED7"/>
    <w:rsid w:val="00991F4D"/>
    <w:rsid w:val="009921BD"/>
    <w:rsid w:val="0099269E"/>
    <w:rsid w:val="009926BF"/>
    <w:rsid w:val="009929BE"/>
    <w:rsid w:val="009929E8"/>
    <w:rsid w:val="00993347"/>
    <w:rsid w:val="0099345A"/>
    <w:rsid w:val="009934D2"/>
    <w:rsid w:val="009938C4"/>
    <w:rsid w:val="00993A16"/>
    <w:rsid w:val="00993BF0"/>
    <w:rsid w:val="00993D42"/>
    <w:rsid w:val="0099413B"/>
    <w:rsid w:val="00994296"/>
    <w:rsid w:val="00994562"/>
    <w:rsid w:val="00994BC1"/>
    <w:rsid w:val="00995028"/>
    <w:rsid w:val="0099566C"/>
    <w:rsid w:val="009961D3"/>
    <w:rsid w:val="00996503"/>
    <w:rsid w:val="009967DE"/>
    <w:rsid w:val="009970BF"/>
    <w:rsid w:val="009971B8"/>
    <w:rsid w:val="00997671"/>
    <w:rsid w:val="009979D1"/>
    <w:rsid w:val="00997ED0"/>
    <w:rsid w:val="009A05BD"/>
    <w:rsid w:val="009A05C1"/>
    <w:rsid w:val="009A0C00"/>
    <w:rsid w:val="009A12FE"/>
    <w:rsid w:val="009A166D"/>
    <w:rsid w:val="009A177D"/>
    <w:rsid w:val="009A19DA"/>
    <w:rsid w:val="009A1B69"/>
    <w:rsid w:val="009A2506"/>
    <w:rsid w:val="009A2D65"/>
    <w:rsid w:val="009A2DA2"/>
    <w:rsid w:val="009A3234"/>
    <w:rsid w:val="009A33C7"/>
    <w:rsid w:val="009A3655"/>
    <w:rsid w:val="009A3731"/>
    <w:rsid w:val="009A43F1"/>
    <w:rsid w:val="009A4722"/>
    <w:rsid w:val="009A4845"/>
    <w:rsid w:val="009A4C72"/>
    <w:rsid w:val="009A4CB7"/>
    <w:rsid w:val="009A4FDD"/>
    <w:rsid w:val="009A50B1"/>
    <w:rsid w:val="009A5857"/>
    <w:rsid w:val="009A5B4F"/>
    <w:rsid w:val="009A5FA0"/>
    <w:rsid w:val="009A658C"/>
    <w:rsid w:val="009A6B8D"/>
    <w:rsid w:val="009A6D55"/>
    <w:rsid w:val="009A6F9B"/>
    <w:rsid w:val="009A7074"/>
    <w:rsid w:val="009A733C"/>
    <w:rsid w:val="009A76F8"/>
    <w:rsid w:val="009A785F"/>
    <w:rsid w:val="009A7AA9"/>
    <w:rsid w:val="009A7F43"/>
    <w:rsid w:val="009B011B"/>
    <w:rsid w:val="009B017E"/>
    <w:rsid w:val="009B06D6"/>
    <w:rsid w:val="009B075E"/>
    <w:rsid w:val="009B0AAB"/>
    <w:rsid w:val="009B0CA6"/>
    <w:rsid w:val="009B1079"/>
    <w:rsid w:val="009B12F1"/>
    <w:rsid w:val="009B1313"/>
    <w:rsid w:val="009B19FF"/>
    <w:rsid w:val="009B1D08"/>
    <w:rsid w:val="009B1D79"/>
    <w:rsid w:val="009B1E8B"/>
    <w:rsid w:val="009B2072"/>
    <w:rsid w:val="009B2DF0"/>
    <w:rsid w:val="009B2F12"/>
    <w:rsid w:val="009B3122"/>
    <w:rsid w:val="009B32A7"/>
    <w:rsid w:val="009B36DD"/>
    <w:rsid w:val="009B3948"/>
    <w:rsid w:val="009B3A93"/>
    <w:rsid w:val="009B4E03"/>
    <w:rsid w:val="009B5175"/>
    <w:rsid w:val="009B52AF"/>
    <w:rsid w:val="009B52D6"/>
    <w:rsid w:val="009B558E"/>
    <w:rsid w:val="009B58B9"/>
    <w:rsid w:val="009B5C61"/>
    <w:rsid w:val="009B5E44"/>
    <w:rsid w:val="009B6306"/>
    <w:rsid w:val="009B6CBC"/>
    <w:rsid w:val="009B6D4A"/>
    <w:rsid w:val="009B7044"/>
    <w:rsid w:val="009B70AD"/>
    <w:rsid w:val="009B73DC"/>
    <w:rsid w:val="009B7439"/>
    <w:rsid w:val="009B7DCC"/>
    <w:rsid w:val="009B7F96"/>
    <w:rsid w:val="009C0122"/>
    <w:rsid w:val="009C04B9"/>
    <w:rsid w:val="009C0A89"/>
    <w:rsid w:val="009C0B3B"/>
    <w:rsid w:val="009C1083"/>
    <w:rsid w:val="009C1087"/>
    <w:rsid w:val="009C1793"/>
    <w:rsid w:val="009C18D2"/>
    <w:rsid w:val="009C1A6F"/>
    <w:rsid w:val="009C2205"/>
    <w:rsid w:val="009C244C"/>
    <w:rsid w:val="009C2707"/>
    <w:rsid w:val="009C2992"/>
    <w:rsid w:val="009C2DAA"/>
    <w:rsid w:val="009C3433"/>
    <w:rsid w:val="009C3A15"/>
    <w:rsid w:val="009C3C87"/>
    <w:rsid w:val="009C3DE2"/>
    <w:rsid w:val="009C3EBD"/>
    <w:rsid w:val="009C420B"/>
    <w:rsid w:val="009C48ED"/>
    <w:rsid w:val="009C4A78"/>
    <w:rsid w:val="009C4B21"/>
    <w:rsid w:val="009C5062"/>
    <w:rsid w:val="009C5544"/>
    <w:rsid w:val="009C57E8"/>
    <w:rsid w:val="009C57EC"/>
    <w:rsid w:val="009C5B44"/>
    <w:rsid w:val="009C5E86"/>
    <w:rsid w:val="009C6134"/>
    <w:rsid w:val="009C652D"/>
    <w:rsid w:val="009C6701"/>
    <w:rsid w:val="009C6856"/>
    <w:rsid w:val="009C6926"/>
    <w:rsid w:val="009C69CC"/>
    <w:rsid w:val="009C6A40"/>
    <w:rsid w:val="009C6B70"/>
    <w:rsid w:val="009C6C3E"/>
    <w:rsid w:val="009C6FA6"/>
    <w:rsid w:val="009C73FC"/>
    <w:rsid w:val="009C78B9"/>
    <w:rsid w:val="009D01BE"/>
    <w:rsid w:val="009D0338"/>
    <w:rsid w:val="009D05DC"/>
    <w:rsid w:val="009D0A30"/>
    <w:rsid w:val="009D0B2B"/>
    <w:rsid w:val="009D0E57"/>
    <w:rsid w:val="009D11F0"/>
    <w:rsid w:val="009D1B68"/>
    <w:rsid w:val="009D1E13"/>
    <w:rsid w:val="009D1FAC"/>
    <w:rsid w:val="009D2046"/>
    <w:rsid w:val="009D21C4"/>
    <w:rsid w:val="009D2399"/>
    <w:rsid w:val="009D2864"/>
    <w:rsid w:val="009D31C7"/>
    <w:rsid w:val="009D3504"/>
    <w:rsid w:val="009D3939"/>
    <w:rsid w:val="009D395A"/>
    <w:rsid w:val="009D3B7E"/>
    <w:rsid w:val="009D3CCB"/>
    <w:rsid w:val="009D3FA2"/>
    <w:rsid w:val="009D4044"/>
    <w:rsid w:val="009D44E4"/>
    <w:rsid w:val="009D45FA"/>
    <w:rsid w:val="009D4699"/>
    <w:rsid w:val="009D4917"/>
    <w:rsid w:val="009D4A35"/>
    <w:rsid w:val="009D4CBB"/>
    <w:rsid w:val="009D4FA6"/>
    <w:rsid w:val="009D5706"/>
    <w:rsid w:val="009D57A2"/>
    <w:rsid w:val="009D5A61"/>
    <w:rsid w:val="009D5AA0"/>
    <w:rsid w:val="009D5B97"/>
    <w:rsid w:val="009D5BE2"/>
    <w:rsid w:val="009D6349"/>
    <w:rsid w:val="009D6AD8"/>
    <w:rsid w:val="009D6C0B"/>
    <w:rsid w:val="009D6DDB"/>
    <w:rsid w:val="009D7065"/>
    <w:rsid w:val="009D7096"/>
    <w:rsid w:val="009D7874"/>
    <w:rsid w:val="009D78B4"/>
    <w:rsid w:val="009E0175"/>
    <w:rsid w:val="009E0218"/>
    <w:rsid w:val="009E059F"/>
    <w:rsid w:val="009E08E4"/>
    <w:rsid w:val="009E0A93"/>
    <w:rsid w:val="009E0C0F"/>
    <w:rsid w:val="009E132F"/>
    <w:rsid w:val="009E1773"/>
    <w:rsid w:val="009E199D"/>
    <w:rsid w:val="009E1A38"/>
    <w:rsid w:val="009E1AAB"/>
    <w:rsid w:val="009E1E1D"/>
    <w:rsid w:val="009E244F"/>
    <w:rsid w:val="009E293F"/>
    <w:rsid w:val="009E2ED8"/>
    <w:rsid w:val="009E33AA"/>
    <w:rsid w:val="009E36BD"/>
    <w:rsid w:val="009E371B"/>
    <w:rsid w:val="009E3B9D"/>
    <w:rsid w:val="009E3D15"/>
    <w:rsid w:val="009E3D6E"/>
    <w:rsid w:val="009E40A3"/>
    <w:rsid w:val="009E4159"/>
    <w:rsid w:val="009E46A8"/>
    <w:rsid w:val="009E4B50"/>
    <w:rsid w:val="009E4C64"/>
    <w:rsid w:val="009E5227"/>
    <w:rsid w:val="009E5659"/>
    <w:rsid w:val="009E5C5B"/>
    <w:rsid w:val="009E6709"/>
    <w:rsid w:val="009E677A"/>
    <w:rsid w:val="009E6851"/>
    <w:rsid w:val="009E6AD5"/>
    <w:rsid w:val="009E6E08"/>
    <w:rsid w:val="009E6E63"/>
    <w:rsid w:val="009E7661"/>
    <w:rsid w:val="009E76E6"/>
    <w:rsid w:val="009E796D"/>
    <w:rsid w:val="009E7E98"/>
    <w:rsid w:val="009F00D5"/>
    <w:rsid w:val="009F02F7"/>
    <w:rsid w:val="009F042E"/>
    <w:rsid w:val="009F08F1"/>
    <w:rsid w:val="009F08F9"/>
    <w:rsid w:val="009F1156"/>
    <w:rsid w:val="009F115A"/>
    <w:rsid w:val="009F138D"/>
    <w:rsid w:val="009F176A"/>
    <w:rsid w:val="009F17CA"/>
    <w:rsid w:val="009F21F6"/>
    <w:rsid w:val="009F2370"/>
    <w:rsid w:val="009F26BF"/>
    <w:rsid w:val="009F2C10"/>
    <w:rsid w:val="009F2D7A"/>
    <w:rsid w:val="009F2DEE"/>
    <w:rsid w:val="009F3069"/>
    <w:rsid w:val="009F311E"/>
    <w:rsid w:val="009F3206"/>
    <w:rsid w:val="009F34E8"/>
    <w:rsid w:val="009F370A"/>
    <w:rsid w:val="009F3992"/>
    <w:rsid w:val="009F3D3D"/>
    <w:rsid w:val="009F4782"/>
    <w:rsid w:val="009F4F4E"/>
    <w:rsid w:val="009F521F"/>
    <w:rsid w:val="009F5431"/>
    <w:rsid w:val="009F556F"/>
    <w:rsid w:val="009F58F6"/>
    <w:rsid w:val="009F5D23"/>
    <w:rsid w:val="009F5F6F"/>
    <w:rsid w:val="009F62A7"/>
    <w:rsid w:val="009F6635"/>
    <w:rsid w:val="009F66D8"/>
    <w:rsid w:val="009F67A0"/>
    <w:rsid w:val="009F6AB1"/>
    <w:rsid w:val="009F6C45"/>
    <w:rsid w:val="009F7373"/>
    <w:rsid w:val="009F7411"/>
    <w:rsid w:val="009F7466"/>
    <w:rsid w:val="009F77BF"/>
    <w:rsid w:val="009F789B"/>
    <w:rsid w:val="009F795D"/>
    <w:rsid w:val="009F79F8"/>
    <w:rsid w:val="00A000B3"/>
    <w:rsid w:val="00A00492"/>
    <w:rsid w:val="00A00B1F"/>
    <w:rsid w:val="00A00E11"/>
    <w:rsid w:val="00A00FB5"/>
    <w:rsid w:val="00A01213"/>
    <w:rsid w:val="00A01326"/>
    <w:rsid w:val="00A014B0"/>
    <w:rsid w:val="00A01F01"/>
    <w:rsid w:val="00A022FB"/>
    <w:rsid w:val="00A023FD"/>
    <w:rsid w:val="00A0246E"/>
    <w:rsid w:val="00A027AD"/>
    <w:rsid w:val="00A02E39"/>
    <w:rsid w:val="00A0302C"/>
    <w:rsid w:val="00A032E9"/>
    <w:rsid w:val="00A03EF1"/>
    <w:rsid w:val="00A04D8C"/>
    <w:rsid w:val="00A0555D"/>
    <w:rsid w:val="00A05A8D"/>
    <w:rsid w:val="00A05A9C"/>
    <w:rsid w:val="00A05ABF"/>
    <w:rsid w:val="00A06076"/>
    <w:rsid w:val="00A06784"/>
    <w:rsid w:val="00A06A2C"/>
    <w:rsid w:val="00A06BEC"/>
    <w:rsid w:val="00A07183"/>
    <w:rsid w:val="00A0738D"/>
    <w:rsid w:val="00A077E3"/>
    <w:rsid w:val="00A0781E"/>
    <w:rsid w:val="00A07838"/>
    <w:rsid w:val="00A07D37"/>
    <w:rsid w:val="00A102E6"/>
    <w:rsid w:val="00A10320"/>
    <w:rsid w:val="00A105E1"/>
    <w:rsid w:val="00A108F1"/>
    <w:rsid w:val="00A109E8"/>
    <w:rsid w:val="00A10A0F"/>
    <w:rsid w:val="00A10A3D"/>
    <w:rsid w:val="00A10BEA"/>
    <w:rsid w:val="00A10D06"/>
    <w:rsid w:val="00A10E9F"/>
    <w:rsid w:val="00A10FDF"/>
    <w:rsid w:val="00A1146F"/>
    <w:rsid w:val="00A117EF"/>
    <w:rsid w:val="00A1198B"/>
    <w:rsid w:val="00A11A9B"/>
    <w:rsid w:val="00A11AD6"/>
    <w:rsid w:val="00A11E3B"/>
    <w:rsid w:val="00A11E56"/>
    <w:rsid w:val="00A11ECD"/>
    <w:rsid w:val="00A12311"/>
    <w:rsid w:val="00A124D1"/>
    <w:rsid w:val="00A128A2"/>
    <w:rsid w:val="00A12A46"/>
    <w:rsid w:val="00A12E71"/>
    <w:rsid w:val="00A13197"/>
    <w:rsid w:val="00A134DA"/>
    <w:rsid w:val="00A135D9"/>
    <w:rsid w:val="00A1377D"/>
    <w:rsid w:val="00A13AE4"/>
    <w:rsid w:val="00A13BE9"/>
    <w:rsid w:val="00A14007"/>
    <w:rsid w:val="00A14D65"/>
    <w:rsid w:val="00A14F24"/>
    <w:rsid w:val="00A1506F"/>
    <w:rsid w:val="00A158A7"/>
    <w:rsid w:val="00A158CC"/>
    <w:rsid w:val="00A15B24"/>
    <w:rsid w:val="00A15B43"/>
    <w:rsid w:val="00A15BAF"/>
    <w:rsid w:val="00A15C79"/>
    <w:rsid w:val="00A15C89"/>
    <w:rsid w:val="00A15FC1"/>
    <w:rsid w:val="00A16316"/>
    <w:rsid w:val="00A16851"/>
    <w:rsid w:val="00A1694E"/>
    <w:rsid w:val="00A16ABE"/>
    <w:rsid w:val="00A16CDA"/>
    <w:rsid w:val="00A17162"/>
    <w:rsid w:val="00A17191"/>
    <w:rsid w:val="00A17662"/>
    <w:rsid w:val="00A177D3"/>
    <w:rsid w:val="00A17A30"/>
    <w:rsid w:val="00A17CB0"/>
    <w:rsid w:val="00A20790"/>
    <w:rsid w:val="00A20892"/>
    <w:rsid w:val="00A20D15"/>
    <w:rsid w:val="00A20F9C"/>
    <w:rsid w:val="00A216C4"/>
    <w:rsid w:val="00A21826"/>
    <w:rsid w:val="00A218D3"/>
    <w:rsid w:val="00A21B0D"/>
    <w:rsid w:val="00A225F8"/>
    <w:rsid w:val="00A23645"/>
    <w:rsid w:val="00A2364C"/>
    <w:rsid w:val="00A24624"/>
    <w:rsid w:val="00A24750"/>
    <w:rsid w:val="00A24782"/>
    <w:rsid w:val="00A24790"/>
    <w:rsid w:val="00A24819"/>
    <w:rsid w:val="00A24A9D"/>
    <w:rsid w:val="00A24CB6"/>
    <w:rsid w:val="00A2532C"/>
    <w:rsid w:val="00A25AB2"/>
    <w:rsid w:val="00A25F85"/>
    <w:rsid w:val="00A262AF"/>
    <w:rsid w:val="00A263EA"/>
    <w:rsid w:val="00A26427"/>
    <w:rsid w:val="00A27383"/>
    <w:rsid w:val="00A2767B"/>
    <w:rsid w:val="00A277E4"/>
    <w:rsid w:val="00A27876"/>
    <w:rsid w:val="00A27881"/>
    <w:rsid w:val="00A27B71"/>
    <w:rsid w:val="00A27FE7"/>
    <w:rsid w:val="00A305AA"/>
    <w:rsid w:val="00A30BA0"/>
    <w:rsid w:val="00A314EE"/>
    <w:rsid w:val="00A31511"/>
    <w:rsid w:val="00A318A7"/>
    <w:rsid w:val="00A31D1F"/>
    <w:rsid w:val="00A31DBE"/>
    <w:rsid w:val="00A31E69"/>
    <w:rsid w:val="00A31E6F"/>
    <w:rsid w:val="00A31EEE"/>
    <w:rsid w:val="00A32593"/>
    <w:rsid w:val="00A329EC"/>
    <w:rsid w:val="00A32C4C"/>
    <w:rsid w:val="00A33243"/>
    <w:rsid w:val="00A33FDC"/>
    <w:rsid w:val="00A3423A"/>
    <w:rsid w:val="00A34B92"/>
    <w:rsid w:val="00A34EDF"/>
    <w:rsid w:val="00A34EF9"/>
    <w:rsid w:val="00A35AAD"/>
    <w:rsid w:val="00A35B17"/>
    <w:rsid w:val="00A35E1C"/>
    <w:rsid w:val="00A35FED"/>
    <w:rsid w:val="00A36B77"/>
    <w:rsid w:val="00A36EB9"/>
    <w:rsid w:val="00A37083"/>
    <w:rsid w:val="00A37210"/>
    <w:rsid w:val="00A375FE"/>
    <w:rsid w:val="00A37A21"/>
    <w:rsid w:val="00A37AFF"/>
    <w:rsid w:val="00A37C4B"/>
    <w:rsid w:val="00A37FFA"/>
    <w:rsid w:val="00A40011"/>
    <w:rsid w:val="00A40637"/>
    <w:rsid w:val="00A409B3"/>
    <w:rsid w:val="00A409BE"/>
    <w:rsid w:val="00A40A1B"/>
    <w:rsid w:val="00A40B96"/>
    <w:rsid w:val="00A40E88"/>
    <w:rsid w:val="00A40F4F"/>
    <w:rsid w:val="00A418BC"/>
    <w:rsid w:val="00A41B39"/>
    <w:rsid w:val="00A41DD2"/>
    <w:rsid w:val="00A41EA0"/>
    <w:rsid w:val="00A42013"/>
    <w:rsid w:val="00A423BE"/>
    <w:rsid w:val="00A4241F"/>
    <w:rsid w:val="00A42B64"/>
    <w:rsid w:val="00A42C0C"/>
    <w:rsid w:val="00A430C7"/>
    <w:rsid w:val="00A43630"/>
    <w:rsid w:val="00A442E7"/>
    <w:rsid w:val="00A443E2"/>
    <w:rsid w:val="00A447C1"/>
    <w:rsid w:val="00A447D3"/>
    <w:rsid w:val="00A45316"/>
    <w:rsid w:val="00A45BA8"/>
    <w:rsid w:val="00A45CC1"/>
    <w:rsid w:val="00A45D02"/>
    <w:rsid w:val="00A469AB"/>
    <w:rsid w:val="00A4727A"/>
    <w:rsid w:val="00A47352"/>
    <w:rsid w:val="00A47497"/>
    <w:rsid w:val="00A4798B"/>
    <w:rsid w:val="00A47A87"/>
    <w:rsid w:val="00A50050"/>
    <w:rsid w:val="00A5054E"/>
    <w:rsid w:val="00A50DEE"/>
    <w:rsid w:val="00A510A1"/>
    <w:rsid w:val="00A51241"/>
    <w:rsid w:val="00A5149C"/>
    <w:rsid w:val="00A51788"/>
    <w:rsid w:val="00A517F7"/>
    <w:rsid w:val="00A51898"/>
    <w:rsid w:val="00A519B7"/>
    <w:rsid w:val="00A51B30"/>
    <w:rsid w:val="00A51D3A"/>
    <w:rsid w:val="00A5274F"/>
    <w:rsid w:val="00A527E5"/>
    <w:rsid w:val="00A52965"/>
    <w:rsid w:val="00A529B5"/>
    <w:rsid w:val="00A52DA6"/>
    <w:rsid w:val="00A5373C"/>
    <w:rsid w:val="00A537E0"/>
    <w:rsid w:val="00A53839"/>
    <w:rsid w:val="00A5391C"/>
    <w:rsid w:val="00A53949"/>
    <w:rsid w:val="00A53AFE"/>
    <w:rsid w:val="00A53B78"/>
    <w:rsid w:val="00A53E7C"/>
    <w:rsid w:val="00A540D0"/>
    <w:rsid w:val="00A54185"/>
    <w:rsid w:val="00A5482A"/>
    <w:rsid w:val="00A54840"/>
    <w:rsid w:val="00A54935"/>
    <w:rsid w:val="00A5660A"/>
    <w:rsid w:val="00A56962"/>
    <w:rsid w:val="00A569D8"/>
    <w:rsid w:val="00A56D77"/>
    <w:rsid w:val="00A56EE2"/>
    <w:rsid w:val="00A57081"/>
    <w:rsid w:val="00A570FC"/>
    <w:rsid w:val="00A572AC"/>
    <w:rsid w:val="00A5740B"/>
    <w:rsid w:val="00A57D12"/>
    <w:rsid w:val="00A60C14"/>
    <w:rsid w:val="00A60DF4"/>
    <w:rsid w:val="00A613A4"/>
    <w:rsid w:val="00A617FD"/>
    <w:rsid w:val="00A61A52"/>
    <w:rsid w:val="00A61D6F"/>
    <w:rsid w:val="00A61E89"/>
    <w:rsid w:val="00A624EA"/>
    <w:rsid w:val="00A625A1"/>
    <w:rsid w:val="00A62E7B"/>
    <w:rsid w:val="00A63295"/>
    <w:rsid w:val="00A63548"/>
    <w:rsid w:val="00A63948"/>
    <w:rsid w:val="00A639AA"/>
    <w:rsid w:val="00A63A56"/>
    <w:rsid w:val="00A63A5D"/>
    <w:rsid w:val="00A63A61"/>
    <w:rsid w:val="00A6400C"/>
    <w:rsid w:val="00A642C3"/>
    <w:rsid w:val="00A64545"/>
    <w:rsid w:val="00A65152"/>
    <w:rsid w:val="00A651A1"/>
    <w:rsid w:val="00A65498"/>
    <w:rsid w:val="00A6562F"/>
    <w:rsid w:val="00A6596E"/>
    <w:rsid w:val="00A65B80"/>
    <w:rsid w:val="00A65D65"/>
    <w:rsid w:val="00A65D8F"/>
    <w:rsid w:val="00A65E2E"/>
    <w:rsid w:val="00A65EF0"/>
    <w:rsid w:val="00A65F08"/>
    <w:rsid w:val="00A662A0"/>
    <w:rsid w:val="00A66594"/>
    <w:rsid w:val="00A66644"/>
    <w:rsid w:val="00A66C8E"/>
    <w:rsid w:val="00A66E6B"/>
    <w:rsid w:val="00A66EFB"/>
    <w:rsid w:val="00A67016"/>
    <w:rsid w:val="00A6709C"/>
    <w:rsid w:val="00A67204"/>
    <w:rsid w:val="00A672BA"/>
    <w:rsid w:val="00A676EA"/>
    <w:rsid w:val="00A67943"/>
    <w:rsid w:val="00A67C74"/>
    <w:rsid w:val="00A67D34"/>
    <w:rsid w:val="00A7018F"/>
    <w:rsid w:val="00A703B0"/>
    <w:rsid w:val="00A70403"/>
    <w:rsid w:val="00A70555"/>
    <w:rsid w:val="00A71307"/>
    <w:rsid w:val="00A71CB8"/>
    <w:rsid w:val="00A71D67"/>
    <w:rsid w:val="00A71EF5"/>
    <w:rsid w:val="00A720BC"/>
    <w:rsid w:val="00A721DB"/>
    <w:rsid w:val="00A7233E"/>
    <w:rsid w:val="00A723EF"/>
    <w:rsid w:val="00A72647"/>
    <w:rsid w:val="00A726BF"/>
    <w:rsid w:val="00A72944"/>
    <w:rsid w:val="00A72CBA"/>
    <w:rsid w:val="00A73057"/>
    <w:rsid w:val="00A73102"/>
    <w:rsid w:val="00A7319B"/>
    <w:rsid w:val="00A733C9"/>
    <w:rsid w:val="00A73401"/>
    <w:rsid w:val="00A7359A"/>
    <w:rsid w:val="00A73C3F"/>
    <w:rsid w:val="00A74304"/>
    <w:rsid w:val="00A74400"/>
    <w:rsid w:val="00A7463D"/>
    <w:rsid w:val="00A7488D"/>
    <w:rsid w:val="00A74BA4"/>
    <w:rsid w:val="00A74EA8"/>
    <w:rsid w:val="00A75007"/>
    <w:rsid w:val="00A75133"/>
    <w:rsid w:val="00A752FB"/>
    <w:rsid w:val="00A756FC"/>
    <w:rsid w:val="00A757DD"/>
    <w:rsid w:val="00A76018"/>
    <w:rsid w:val="00A761F6"/>
    <w:rsid w:val="00A7623E"/>
    <w:rsid w:val="00A7633F"/>
    <w:rsid w:val="00A76DE9"/>
    <w:rsid w:val="00A76E65"/>
    <w:rsid w:val="00A770E6"/>
    <w:rsid w:val="00A77456"/>
    <w:rsid w:val="00A7746C"/>
    <w:rsid w:val="00A7755C"/>
    <w:rsid w:val="00A77C5B"/>
    <w:rsid w:val="00A80247"/>
    <w:rsid w:val="00A80561"/>
    <w:rsid w:val="00A808AC"/>
    <w:rsid w:val="00A80931"/>
    <w:rsid w:val="00A80AA9"/>
    <w:rsid w:val="00A812D4"/>
    <w:rsid w:val="00A81C88"/>
    <w:rsid w:val="00A81E0C"/>
    <w:rsid w:val="00A82319"/>
    <w:rsid w:val="00A82C15"/>
    <w:rsid w:val="00A82FB7"/>
    <w:rsid w:val="00A83032"/>
    <w:rsid w:val="00A83135"/>
    <w:rsid w:val="00A83472"/>
    <w:rsid w:val="00A8360A"/>
    <w:rsid w:val="00A83706"/>
    <w:rsid w:val="00A83818"/>
    <w:rsid w:val="00A83BDD"/>
    <w:rsid w:val="00A83F87"/>
    <w:rsid w:val="00A83FA6"/>
    <w:rsid w:val="00A842C4"/>
    <w:rsid w:val="00A84685"/>
    <w:rsid w:val="00A84DE1"/>
    <w:rsid w:val="00A84E0F"/>
    <w:rsid w:val="00A84ED3"/>
    <w:rsid w:val="00A85576"/>
    <w:rsid w:val="00A855CF"/>
    <w:rsid w:val="00A858CD"/>
    <w:rsid w:val="00A858D1"/>
    <w:rsid w:val="00A85B45"/>
    <w:rsid w:val="00A85E48"/>
    <w:rsid w:val="00A85F12"/>
    <w:rsid w:val="00A85F6C"/>
    <w:rsid w:val="00A8604F"/>
    <w:rsid w:val="00A8608A"/>
    <w:rsid w:val="00A8665F"/>
    <w:rsid w:val="00A869A3"/>
    <w:rsid w:val="00A869E6"/>
    <w:rsid w:val="00A870E3"/>
    <w:rsid w:val="00A87209"/>
    <w:rsid w:val="00A872B4"/>
    <w:rsid w:val="00A87356"/>
    <w:rsid w:val="00A8751F"/>
    <w:rsid w:val="00A87520"/>
    <w:rsid w:val="00A877EF"/>
    <w:rsid w:val="00A87881"/>
    <w:rsid w:val="00A87A8D"/>
    <w:rsid w:val="00A87C93"/>
    <w:rsid w:val="00A9012C"/>
    <w:rsid w:val="00A907AA"/>
    <w:rsid w:val="00A90ADB"/>
    <w:rsid w:val="00A90B8D"/>
    <w:rsid w:val="00A90E8C"/>
    <w:rsid w:val="00A91058"/>
    <w:rsid w:val="00A912A9"/>
    <w:rsid w:val="00A91528"/>
    <w:rsid w:val="00A916B8"/>
    <w:rsid w:val="00A91B0E"/>
    <w:rsid w:val="00A91D93"/>
    <w:rsid w:val="00A91DAD"/>
    <w:rsid w:val="00A92016"/>
    <w:rsid w:val="00A923D3"/>
    <w:rsid w:val="00A92A76"/>
    <w:rsid w:val="00A93236"/>
    <w:rsid w:val="00A932D0"/>
    <w:rsid w:val="00A9337A"/>
    <w:rsid w:val="00A93469"/>
    <w:rsid w:val="00A93800"/>
    <w:rsid w:val="00A93D7D"/>
    <w:rsid w:val="00A93EB6"/>
    <w:rsid w:val="00A942D2"/>
    <w:rsid w:val="00A94582"/>
    <w:rsid w:val="00A94775"/>
    <w:rsid w:val="00A947D1"/>
    <w:rsid w:val="00A94883"/>
    <w:rsid w:val="00A94CD7"/>
    <w:rsid w:val="00A94D36"/>
    <w:rsid w:val="00A956B3"/>
    <w:rsid w:val="00A96029"/>
    <w:rsid w:val="00A96099"/>
    <w:rsid w:val="00A960DC"/>
    <w:rsid w:val="00A96134"/>
    <w:rsid w:val="00A963E8"/>
    <w:rsid w:val="00A96439"/>
    <w:rsid w:val="00A9651B"/>
    <w:rsid w:val="00A96E6C"/>
    <w:rsid w:val="00A96EA1"/>
    <w:rsid w:val="00A973F7"/>
    <w:rsid w:val="00A9759C"/>
    <w:rsid w:val="00A97908"/>
    <w:rsid w:val="00A979E5"/>
    <w:rsid w:val="00A97A93"/>
    <w:rsid w:val="00AA01D1"/>
    <w:rsid w:val="00AA0EC3"/>
    <w:rsid w:val="00AA100F"/>
    <w:rsid w:val="00AA147B"/>
    <w:rsid w:val="00AA18C0"/>
    <w:rsid w:val="00AA19F2"/>
    <w:rsid w:val="00AA1A63"/>
    <w:rsid w:val="00AA29A0"/>
    <w:rsid w:val="00AA2C7A"/>
    <w:rsid w:val="00AA2E2F"/>
    <w:rsid w:val="00AA3139"/>
    <w:rsid w:val="00AA3564"/>
    <w:rsid w:val="00AA358A"/>
    <w:rsid w:val="00AA3950"/>
    <w:rsid w:val="00AA3963"/>
    <w:rsid w:val="00AA3A3B"/>
    <w:rsid w:val="00AA42BE"/>
    <w:rsid w:val="00AA42D2"/>
    <w:rsid w:val="00AA4791"/>
    <w:rsid w:val="00AA5BEF"/>
    <w:rsid w:val="00AA5D21"/>
    <w:rsid w:val="00AA6647"/>
    <w:rsid w:val="00AA69E5"/>
    <w:rsid w:val="00AA6A39"/>
    <w:rsid w:val="00AA6AD9"/>
    <w:rsid w:val="00AA6E48"/>
    <w:rsid w:val="00AA708D"/>
    <w:rsid w:val="00AA723D"/>
    <w:rsid w:val="00AB04A6"/>
    <w:rsid w:val="00AB06E2"/>
    <w:rsid w:val="00AB08DA"/>
    <w:rsid w:val="00AB08E9"/>
    <w:rsid w:val="00AB0BC2"/>
    <w:rsid w:val="00AB0D12"/>
    <w:rsid w:val="00AB0FD6"/>
    <w:rsid w:val="00AB11A7"/>
    <w:rsid w:val="00AB13D9"/>
    <w:rsid w:val="00AB1406"/>
    <w:rsid w:val="00AB1CF4"/>
    <w:rsid w:val="00AB1E67"/>
    <w:rsid w:val="00AB2055"/>
    <w:rsid w:val="00AB2401"/>
    <w:rsid w:val="00AB2696"/>
    <w:rsid w:val="00AB27D8"/>
    <w:rsid w:val="00AB2A91"/>
    <w:rsid w:val="00AB2F38"/>
    <w:rsid w:val="00AB3315"/>
    <w:rsid w:val="00AB3795"/>
    <w:rsid w:val="00AB3803"/>
    <w:rsid w:val="00AB3883"/>
    <w:rsid w:val="00AB39CB"/>
    <w:rsid w:val="00AB3CB2"/>
    <w:rsid w:val="00AB3F76"/>
    <w:rsid w:val="00AB3F83"/>
    <w:rsid w:val="00AB40C6"/>
    <w:rsid w:val="00AB4900"/>
    <w:rsid w:val="00AB4A5A"/>
    <w:rsid w:val="00AB4B86"/>
    <w:rsid w:val="00AB4D16"/>
    <w:rsid w:val="00AB513D"/>
    <w:rsid w:val="00AB5797"/>
    <w:rsid w:val="00AB68D3"/>
    <w:rsid w:val="00AB6B67"/>
    <w:rsid w:val="00AB74D8"/>
    <w:rsid w:val="00AB760F"/>
    <w:rsid w:val="00AB7B11"/>
    <w:rsid w:val="00AB7CFF"/>
    <w:rsid w:val="00AC05EA"/>
    <w:rsid w:val="00AC06A8"/>
    <w:rsid w:val="00AC077B"/>
    <w:rsid w:val="00AC0B8C"/>
    <w:rsid w:val="00AC0D6A"/>
    <w:rsid w:val="00AC0E85"/>
    <w:rsid w:val="00AC0ED4"/>
    <w:rsid w:val="00AC0FD0"/>
    <w:rsid w:val="00AC1300"/>
    <w:rsid w:val="00AC14C1"/>
    <w:rsid w:val="00AC174B"/>
    <w:rsid w:val="00AC17F3"/>
    <w:rsid w:val="00AC1A19"/>
    <w:rsid w:val="00AC2179"/>
    <w:rsid w:val="00AC23A1"/>
    <w:rsid w:val="00AC26DE"/>
    <w:rsid w:val="00AC2842"/>
    <w:rsid w:val="00AC2BDF"/>
    <w:rsid w:val="00AC2D4B"/>
    <w:rsid w:val="00AC2DD2"/>
    <w:rsid w:val="00AC38F3"/>
    <w:rsid w:val="00AC3933"/>
    <w:rsid w:val="00AC3B99"/>
    <w:rsid w:val="00AC3BA7"/>
    <w:rsid w:val="00AC3BF3"/>
    <w:rsid w:val="00AC3F54"/>
    <w:rsid w:val="00AC4410"/>
    <w:rsid w:val="00AC448A"/>
    <w:rsid w:val="00AC4581"/>
    <w:rsid w:val="00AC4811"/>
    <w:rsid w:val="00AC49D7"/>
    <w:rsid w:val="00AC4C89"/>
    <w:rsid w:val="00AC519E"/>
    <w:rsid w:val="00AC5759"/>
    <w:rsid w:val="00AC5ACE"/>
    <w:rsid w:val="00AC5F58"/>
    <w:rsid w:val="00AC5FBA"/>
    <w:rsid w:val="00AC5FE4"/>
    <w:rsid w:val="00AC6012"/>
    <w:rsid w:val="00AC632B"/>
    <w:rsid w:val="00AC6678"/>
    <w:rsid w:val="00AC6B31"/>
    <w:rsid w:val="00AC6C1A"/>
    <w:rsid w:val="00AC6DAE"/>
    <w:rsid w:val="00AC6EB9"/>
    <w:rsid w:val="00AC7210"/>
    <w:rsid w:val="00AC7215"/>
    <w:rsid w:val="00AC73FB"/>
    <w:rsid w:val="00AC7659"/>
    <w:rsid w:val="00AC7915"/>
    <w:rsid w:val="00AC7F3F"/>
    <w:rsid w:val="00AC7F7B"/>
    <w:rsid w:val="00AD01FA"/>
    <w:rsid w:val="00AD047E"/>
    <w:rsid w:val="00AD05CA"/>
    <w:rsid w:val="00AD06B1"/>
    <w:rsid w:val="00AD0895"/>
    <w:rsid w:val="00AD0B11"/>
    <w:rsid w:val="00AD0F4D"/>
    <w:rsid w:val="00AD1654"/>
    <w:rsid w:val="00AD1BB5"/>
    <w:rsid w:val="00AD1BCF"/>
    <w:rsid w:val="00AD1E81"/>
    <w:rsid w:val="00AD210A"/>
    <w:rsid w:val="00AD265B"/>
    <w:rsid w:val="00AD265C"/>
    <w:rsid w:val="00AD287A"/>
    <w:rsid w:val="00AD2A88"/>
    <w:rsid w:val="00AD2DB5"/>
    <w:rsid w:val="00AD3232"/>
    <w:rsid w:val="00AD34BF"/>
    <w:rsid w:val="00AD38A5"/>
    <w:rsid w:val="00AD3C72"/>
    <w:rsid w:val="00AD4244"/>
    <w:rsid w:val="00AD474D"/>
    <w:rsid w:val="00AD4771"/>
    <w:rsid w:val="00AD4805"/>
    <w:rsid w:val="00AD4D44"/>
    <w:rsid w:val="00AD557D"/>
    <w:rsid w:val="00AD57B8"/>
    <w:rsid w:val="00AD5B03"/>
    <w:rsid w:val="00AD5CC0"/>
    <w:rsid w:val="00AD5DC1"/>
    <w:rsid w:val="00AD5E01"/>
    <w:rsid w:val="00AD602F"/>
    <w:rsid w:val="00AD6EA5"/>
    <w:rsid w:val="00AD7052"/>
    <w:rsid w:val="00AD7494"/>
    <w:rsid w:val="00AD75CC"/>
    <w:rsid w:val="00AD7CC0"/>
    <w:rsid w:val="00AE0279"/>
    <w:rsid w:val="00AE0320"/>
    <w:rsid w:val="00AE077E"/>
    <w:rsid w:val="00AE0A8A"/>
    <w:rsid w:val="00AE0BB1"/>
    <w:rsid w:val="00AE0D26"/>
    <w:rsid w:val="00AE0FEC"/>
    <w:rsid w:val="00AE10FF"/>
    <w:rsid w:val="00AE1B75"/>
    <w:rsid w:val="00AE1CBE"/>
    <w:rsid w:val="00AE2A59"/>
    <w:rsid w:val="00AE2F26"/>
    <w:rsid w:val="00AE32DD"/>
    <w:rsid w:val="00AE36D1"/>
    <w:rsid w:val="00AE387A"/>
    <w:rsid w:val="00AE3B48"/>
    <w:rsid w:val="00AE3EBC"/>
    <w:rsid w:val="00AE3F7D"/>
    <w:rsid w:val="00AE40EE"/>
    <w:rsid w:val="00AE4291"/>
    <w:rsid w:val="00AE4408"/>
    <w:rsid w:val="00AE46B1"/>
    <w:rsid w:val="00AE5075"/>
    <w:rsid w:val="00AE559D"/>
    <w:rsid w:val="00AE5AB5"/>
    <w:rsid w:val="00AE5AF0"/>
    <w:rsid w:val="00AE5BCE"/>
    <w:rsid w:val="00AE5E64"/>
    <w:rsid w:val="00AE67DF"/>
    <w:rsid w:val="00AE6C81"/>
    <w:rsid w:val="00AE6F2F"/>
    <w:rsid w:val="00AE6FD9"/>
    <w:rsid w:val="00AE70F9"/>
    <w:rsid w:val="00AE7127"/>
    <w:rsid w:val="00AE718E"/>
    <w:rsid w:val="00AE7190"/>
    <w:rsid w:val="00AE7241"/>
    <w:rsid w:val="00AE7587"/>
    <w:rsid w:val="00AE763F"/>
    <w:rsid w:val="00AE77EA"/>
    <w:rsid w:val="00AE7A7D"/>
    <w:rsid w:val="00AE7A83"/>
    <w:rsid w:val="00AF068B"/>
    <w:rsid w:val="00AF06B8"/>
    <w:rsid w:val="00AF0AC4"/>
    <w:rsid w:val="00AF1357"/>
    <w:rsid w:val="00AF136E"/>
    <w:rsid w:val="00AF13A7"/>
    <w:rsid w:val="00AF16F1"/>
    <w:rsid w:val="00AF176E"/>
    <w:rsid w:val="00AF1CC7"/>
    <w:rsid w:val="00AF1E42"/>
    <w:rsid w:val="00AF2002"/>
    <w:rsid w:val="00AF2017"/>
    <w:rsid w:val="00AF22D4"/>
    <w:rsid w:val="00AF22DE"/>
    <w:rsid w:val="00AF310A"/>
    <w:rsid w:val="00AF316B"/>
    <w:rsid w:val="00AF3CBA"/>
    <w:rsid w:val="00AF3DAB"/>
    <w:rsid w:val="00AF400B"/>
    <w:rsid w:val="00AF45EA"/>
    <w:rsid w:val="00AF4631"/>
    <w:rsid w:val="00AF4695"/>
    <w:rsid w:val="00AF4949"/>
    <w:rsid w:val="00AF4A07"/>
    <w:rsid w:val="00AF4F99"/>
    <w:rsid w:val="00AF5012"/>
    <w:rsid w:val="00AF51FD"/>
    <w:rsid w:val="00AF53AA"/>
    <w:rsid w:val="00AF59E6"/>
    <w:rsid w:val="00AF5B46"/>
    <w:rsid w:val="00AF5D9D"/>
    <w:rsid w:val="00AF5F7B"/>
    <w:rsid w:val="00AF6173"/>
    <w:rsid w:val="00AF6330"/>
    <w:rsid w:val="00AF640D"/>
    <w:rsid w:val="00AF676D"/>
    <w:rsid w:val="00AF6ABE"/>
    <w:rsid w:val="00AF6B60"/>
    <w:rsid w:val="00AF6DAB"/>
    <w:rsid w:val="00AF6EA1"/>
    <w:rsid w:val="00AF6FAD"/>
    <w:rsid w:val="00AF70BD"/>
    <w:rsid w:val="00AF7468"/>
    <w:rsid w:val="00AF7A01"/>
    <w:rsid w:val="00AF7D8B"/>
    <w:rsid w:val="00B0023A"/>
    <w:rsid w:val="00B0048C"/>
    <w:rsid w:val="00B00586"/>
    <w:rsid w:val="00B0080A"/>
    <w:rsid w:val="00B00835"/>
    <w:rsid w:val="00B00844"/>
    <w:rsid w:val="00B009D1"/>
    <w:rsid w:val="00B00BA8"/>
    <w:rsid w:val="00B00CFF"/>
    <w:rsid w:val="00B00D17"/>
    <w:rsid w:val="00B00EA1"/>
    <w:rsid w:val="00B01390"/>
    <w:rsid w:val="00B014A1"/>
    <w:rsid w:val="00B0153B"/>
    <w:rsid w:val="00B01611"/>
    <w:rsid w:val="00B01B95"/>
    <w:rsid w:val="00B01C16"/>
    <w:rsid w:val="00B01E6F"/>
    <w:rsid w:val="00B0233F"/>
    <w:rsid w:val="00B023C3"/>
    <w:rsid w:val="00B02444"/>
    <w:rsid w:val="00B02575"/>
    <w:rsid w:val="00B02932"/>
    <w:rsid w:val="00B02AE1"/>
    <w:rsid w:val="00B02F34"/>
    <w:rsid w:val="00B039FA"/>
    <w:rsid w:val="00B0422C"/>
    <w:rsid w:val="00B04470"/>
    <w:rsid w:val="00B05D1F"/>
    <w:rsid w:val="00B05D3C"/>
    <w:rsid w:val="00B062FF"/>
    <w:rsid w:val="00B069E0"/>
    <w:rsid w:val="00B06CC8"/>
    <w:rsid w:val="00B070C5"/>
    <w:rsid w:val="00B07373"/>
    <w:rsid w:val="00B07F50"/>
    <w:rsid w:val="00B10A9B"/>
    <w:rsid w:val="00B10B68"/>
    <w:rsid w:val="00B10BD5"/>
    <w:rsid w:val="00B11865"/>
    <w:rsid w:val="00B11F22"/>
    <w:rsid w:val="00B120E3"/>
    <w:rsid w:val="00B122A4"/>
    <w:rsid w:val="00B12FFF"/>
    <w:rsid w:val="00B130A6"/>
    <w:rsid w:val="00B13285"/>
    <w:rsid w:val="00B13715"/>
    <w:rsid w:val="00B138D7"/>
    <w:rsid w:val="00B13970"/>
    <w:rsid w:val="00B141B8"/>
    <w:rsid w:val="00B141EB"/>
    <w:rsid w:val="00B14A23"/>
    <w:rsid w:val="00B14B46"/>
    <w:rsid w:val="00B14E6C"/>
    <w:rsid w:val="00B14FB3"/>
    <w:rsid w:val="00B150AE"/>
    <w:rsid w:val="00B15175"/>
    <w:rsid w:val="00B1562B"/>
    <w:rsid w:val="00B15653"/>
    <w:rsid w:val="00B15B89"/>
    <w:rsid w:val="00B15EB8"/>
    <w:rsid w:val="00B16A93"/>
    <w:rsid w:val="00B171A5"/>
    <w:rsid w:val="00B17A1D"/>
    <w:rsid w:val="00B17E43"/>
    <w:rsid w:val="00B17F65"/>
    <w:rsid w:val="00B17F85"/>
    <w:rsid w:val="00B20301"/>
    <w:rsid w:val="00B2060C"/>
    <w:rsid w:val="00B2070A"/>
    <w:rsid w:val="00B207B8"/>
    <w:rsid w:val="00B209A3"/>
    <w:rsid w:val="00B20DCF"/>
    <w:rsid w:val="00B214CD"/>
    <w:rsid w:val="00B21B3C"/>
    <w:rsid w:val="00B21CED"/>
    <w:rsid w:val="00B21FF7"/>
    <w:rsid w:val="00B2201A"/>
    <w:rsid w:val="00B222A3"/>
    <w:rsid w:val="00B225CC"/>
    <w:rsid w:val="00B23397"/>
    <w:rsid w:val="00B234C8"/>
    <w:rsid w:val="00B23880"/>
    <w:rsid w:val="00B23883"/>
    <w:rsid w:val="00B23884"/>
    <w:rsid w:val="00B23B63"/>
    <w:rsid w:val="00B246CF"/>
    <w:rsid w:val="00B246E5"/>
    <w:rsid w:val="00B246F8"/>
    <w:rsid w:val="00B25032"/>
    <w:rsid w:val="00B2508F"/>
    <w:rsid w:val="00B25C5E"/>
    <w:rsid w:val="00B25DF2"/>
    <w:rsid w:val="00B2613F"/>
    <w:rsid w:val="00B263E3"/>
    <w:rsid w:val="00B26963"/>
    <w:rsid w:val="00B26987"/>
    <w:rsid w:val="00B269DF"/>
    <w:rsid w:val="00B271D2"/>
    <w:rsid w:val="00B27757"/>
    <w:rsid w:val="00B27B1A"/>
    <w:rsid w:val="00B27B7C"/>
    <w:rsid w:val="00B27C71"/>
    <w:rsid w:val="00B27DB2"/>
    <w:rsid w:val="00B27DDB"/>
    <w:rsid w:val="00B30C0B"/>
    <w:rsid w:val="00B3122E"/>
    <w:rsid w:val="00B312E0"/>
    <w:rsid w:val="00B3131F"/>
    <w:rsid w:val="00B313E2"/>
    <w:rsid w:val="00B31558"/>
    <w:rsid w:val="00B31B2B"/>
    <w:rsid w:val="00B31E21"/>
    <w:rsid w:val="00B31FEF"/>
    <w:rsid w:val="00B32111"/>
    <w:rsid w:val="00B322B5"/>
    <w:rsid w:val="00B327D5"/>
    <w:rsid w:val="00B32846"/>
    <w:rsid w:val="00B328EB"/>
    <w:rsid w:val="00B33477"/>
    <w:rsid w:val="00B3377F"/>
    <w:rsid w:val="00B337A6"/>
    <w:rsid w:val="00B337FA"/>
    <w:rsid w:val="00B33B17"/>
    <w:rsid w:val="00B345E4"/>
    <w:rsid w:val="00B34747"/>
    <w:rsid w:val="00B34B3A"/>
    <w:rsid w:val="00B34CC7"/>
    <w:rsid w:val="00B34EDB"/>
    <w:rsid w:val="00B3532B"/>
    <w:rsid w:val="00B357E2"/>
    <w:rsid w:val="00B35CCE"/>
    <w:rsid w:val="00B35D2D"/>
    <w:rsid w:val="00B35D30"/>
    <w:rsid w:val="00B36D39"/>
    <w:rsid w:val="00B36DA7"/>
    <w:rsid w:val="00B370C9"/>
    <w:rsid w:val="00B37247"/>
    <w:rsid w:val="00B372AC"/>
    <w:rsid w:val="00B3749A"/>
    <w:rsid w:val="00B379BD"/>
    <w:rsid w:val="00B37A3F"/>
    <w:rsid w:val="00B37A75"/>
    <w:rsid w:val="00B37B25"/>
    <w:rsid w:val="00B37D42"/>
    <w:rsid w:val="00B40206"/>
    <w:rsid w:val="00B40233"/>
    <w:rsid w:val="00B4042E"/>
    <w:rsid w:val="00B4070D"/>
    <w:rsid w:val="00B40710"/>
    <w:rsid w:val="00B40879"/>
    <w:rsid w:val="00B4093F"/>
    <w:rsid w:val="00B40EEE"/>
    <w:rsid w:val="00B410F7"/>
    <w:rsid w:val="00B41196"/>
    <w:rsid w:val="00B4181E"/>
    <w:rsid w:val="00B41DF8"/>
    <w:rsid w:val="00B41F07"/>
    <w:rsid w:val="00B420D5"/>
    <w:rsid w:val="00B42238"/>
    <w:rsid w:val="00B42482"/>
    <w:rsid w:val="00B42499"/>
    <w:rsid w:val="00B42638"/>
    <w:rsid w:val="00B426FF"/>
    <w:rsid w:val="00B42AF2"/>
    <w:rsid w:val="00B42C05"/>
    <w:rsid w:val="00B431B0"/>
    <w:rsid w:val="00B4320A"/>
    <w:rsid w:val="00B435E9"/>
    <w:rsid w:val="00B43BD7"/>
    <w:rsid w:val="00B43DAE"/>
    <w:rsid w:val="00B44491"/>
    <w:rsid w:val="00B445A7"/>
    <w:rsid w:val="00B447BF"/>
    <w:rsid w:val="00B45265"/>
    <w:rsid w:val="00B455F0"/>
    <w:rsid w:val="00B45672"/>
    <w:rsid w:val="00B45C63"/>
    <w:rsid w:val="00B4672E"/>
    <w:rsid w:val="00B468D4"/>
    <w:rsid w:val="00B468DD"/>
    <w:rsid w:val="00B46A9A"/>
    <w:rsid w:val="00B46BA7"/>
    <w:rsid w:val="00B46BD6"/>
    <w:rsid w:val="00B47107"/>
    <w:rsid w:val="00B4735F"/>
    <w:rsid w:val="00B476E6"/>
    <w:rsid w:val="00B479B0"/>
    <w:rsid w:val="00B500AA"/>
    <w:rsid w:val="00B50244"/>
    <w:rsid w:val="00B506CA"/>
    <w:rsid w:val="00B50732"/>
    <w:rsid w:val="00B50830"/>
    <w:rsid w:val="00B5097F"/>
    <w:rsid w:val="00B50A0E"/>
    <w:rsid w:val="00B5114E"/>
    <w:rsid w:val="00B514F1"/>
    <w:rsid w:val="00B518A1"/>
    <w:rsid w:val="00B51BBA"/>
    <w:rsid w:val="00B51FCA"/>
    <w:rsid w:val="00B5230E"/>
    <w:rsid w:val="00B52997"/>
    <w:rsid w:val="00B52DA8"/>
    <w:rsid w:val="00B534E0"/>
    <w:rsid w:val="00B536AA"/>
    <w:rsid w:val="00B538D3"/>
    <w:rsid w:val="00B53C87"/>
    <w:rsid w:val="00B53DD6"/>
    <w:rsid w:val="00B5410C"/>
    <w:rsid w:val="00B5411D"/>
    <w:rsid w:val="00B541E7"/>
    <w:rsid w:val="00B5452F"/>
    <w:rsid w:val="00B550B8"/>
    <w:rsid w:val="00B551AE"/>
    <w:rsid w:val="00B55BB8"/>
    <w:rsid w:val="00B55DBC"/>
    <w:rsid w:val="00B560D5"/>
    <w:rsid w:val="00B5610F"/>
    <w:rsid w:val="00B5630F"/>
    <w:rsid w:val="00B5645E"/>
    <w:rsid w:val="00B568B4"/>
    <w:rsid w:val="00B56B5D"/>
    <w:rsid w:val="00B56B84"/>
    <w:rsid w:val="00B57315"/>
    <w:rsid w:val="00B573CB"/>
    <w:rsid w:val="00B57731"/>
    <w:rsid w:val="00B600D1"/>
    <w:rsid w:val="00B60116"/>
    <w:rsid w:val="00B60459"/>
    <w:rsid w:val="00B605B1"/>
    <w:rsid w:val="00B610BD"/>
    <w:rsid w:val="00B6140C"/>
    <w:rsid w:val="00B6183B"/>
    <w:rsid w:val="00B618D9"/>
    <w:rsid w:val="00B619A9"/>
    <w:rsid w:val="00B6223C"/>
    <w:rsid w:val="00B6237C"/>
    <w:rsid w:val="00B630C4"/>
    <w:rsid w:val="00B6329D"/>
    <w:rsid w:val="00B6355A"/>
    <w:rsid w:val="00B63821"/>
    <w:rsid w:val="00B639BA"/>
    <w:rsid w:val="00B63E5B"/>
    <w:rsid w:val="00B64501"/>
    <w:rsid w:val="00B64578"/>
    <w:rsid w:val="00B64880"/>
    <w:rsid w:val="00B6489A"/>
    <w:rsid w:val="00B64C00"/>
    <w:rsid w:val="00B64FDC"/>
    <w:rsid w:val="00B65818"/>
    <w:rsid w:val="00B659BB"/>
    <w:rsid w:val="00B65A0B"/>
    <w:rsid w:val="00B65E0C"/>
    <w:rsid w:val="00B65F4E"/>
    <w:rsid w:val="00B661D5"/>
    <w:rsid w:val="00B66BAB"/>
    <w:rsid w:val="00B66DB2"/>
    <w:rsid w:val="00B66DDE"/>
    <w:rsid w:val="00B670FC"/>
    <w:rsid w:val="00B671C2"/>
    <w:rsid w:val="00B67236"/>
    <w:rsid w:val="00B67349"/>
    <w:rsid w:val="00B6743B"/>
    <w:rsid w:val="00B676A2"/>
    <w:rsid w:val="00B67B46"/>
    <w:rsid w:val="00B67D34"/>
    <w:rsid w:val="00B70158"/>
    <w:rsid w:val="00B7020A"/>
    <w:rsid w:val="00B707DF"/>
    <w:rsid w:val="00B70D4C"/>
    <w:rsid w:val="00B7150B"/>
    <w:rsid w:val="00B71A2C"/>
    <w:rsid w:val="00B71CEC"/>
    <w:rsid w:val="00B71E44"/>
    <w:rsid w:val="00B71F7E"/>
    <w:rsid w:val="00B71FE7"/>
    <w:rsid w:val="00B7206C"/>
    <w:rsid w:val="00B7256B"/>
    <w:rsid w:val="00B72722"/>
    <w:rsid w:val="00B73437"/>
    <w:rsid w:val="00B73846"/>
    <w:rsid w:val="00B73C77"/>
    <w:rsid w:val="00B73E3D"/>
    <w:rsid w:val="00B73EC4"/>
    <w:rsid w:val="00B742C2"/>
    <w:rsid w:val="00B74666"/>
    <w:rsid w:val="00B748B7"/>
    <w:rsid w:val="00B74D00"/>
    <w:rsid w:val="00B74F01"/>
    <w:rsid w:val="00B750C1"/>
    <w:rsid w:val="00B751C7"/>
    <w:rsid w:val="00B7545D"/>
    <w:rsid w:val="00B755D7"/>
    <w:rsid w:val="00B7634F"/>
    <w:rsid w:val="00B767BE"/>
    <w:rsid w:val="00B768AD"/>
    <w:rsid w:val="00B76959"/>
    <w:rsid w:val="00B7748A"/>
    <w:rsid w:val="00B77669"/>
    <w:rsid w:val="00B77931"/>
    <w:rsid w:val="00B7795C"/>
    <w:rsid w:val="00B77C85"/>
    <w:rsid w:val="00B77EC6"/>
    <w:rsid w:val="00B77F79"/>
    <w:rsid w:val="00B80256"/>
    <w:rsid w:val="00B8025C"/>
    <w:rsid w:val="00B80425"/>
    <w:rsid w:val="00B806B0"/>
    <w:rsid w:val="00B8088A"/>
    <w:rsid w:val="00B808CC"/>
    <w:rsid w:val="00B80B70"/>
    <w:rsid w:val="00B80C6A"/>
    <w:rsid w:val="00B810C6"/>
    <w:rsid w:val="00B8151E"/>
    <w:rsid w:val="00B818C2"/>
    <w:rsid w:val="00B82306"/>
    <w:rsid w:val="00B824AB"/>
    <w:rsid w:val="00B8261B"/>
    <w:rsid w:val="00B82A37"/>
    <w:rsid w:val="00B82F4E"/>
    <w:rsid w:val="00B8355D"/>
    <w:rsid w:val="00B83957"/>
    <w:rsid w:val="00B83B0F"/>
    <w:rsid w:val="00B83E15"/>
    <w:rsid w:val="00B844D0"/>
    <w:rsid w:val="00B84671"/>
    <w:rsid w:val="00B84788"/>
    <w:rsid w:val="00B84A60"/>
    <w:rsid w:val="00B84CA0"/>
    <w:rsid w:val="00B84EB6"/>
    <w:rsid w:val="00B852A0"/>
    <w:rsid w:val="00B8534F"/>
    <w:rsid w:val="00B85490"/>
    <w:rsid w:val="00B857D5"/>
    <w:rsid w:val="00B85ACF"/>
    <w:rsid w:val="00B85C75"/>
    <w:rsid w:val="00B85C88"/>
    <w:rsid w:val="00B85E53"/>
    <w:rsid w:val="00B8623F"/>
    <w:rsid w:val="00B86553"/>
    <w:rsid w:val="00B86606"/>
    <w:rsid w:val="00B86B12"/>
    <w:rsid w:val="00B86EB6"/>
    <w:rsid w:val="00B86F66"/>
    <w:rsid w:val="00B874BC"/>
    <w:rsid w:val="00B8759E"/>
    <w:rsid w:val="00B876F1"/>
    <w:rsid w:val="00B876F7"/>
    <w:rsid w:val="00B878C3"/>
    <w:rsid w:val="00B87B2B"/>
    <w:rsid w:val="00B901AB"/>
    <w:rsid w:val="00B90483"/>
    <w:rsid w:val="00B908D8"/>
    <w:rsid w:val="00B9102E"/>
    <w:rsid w:val="00B913FF"/>
    <w:rsid w:val="00B91507"/>
    <w:rsid w:val="00B91704"/>
    <w:rsid w:val="00B917FE"/>
    <w:rsid w:val="00B918CB"/>
    <w:rsid w:val="00B91939"/>
    <w:rsid w:val="00B91C2F"/>
    <w:rsid w:val="00B91E15"/>
    <w:rsid w:val="00B91FB1"/>
    <w:rsid w:val="00B92038"/>
    <w:rsid w:val="00B921FB"/>
    <w:rsid w:val="00B9227C"/>
    <w:rsid w:val="00B92548"/>
    <w:rsid w:val="00B92791"/>
    <w:rsid w:val="00B92935"/>
    <w:rsid w:val="00B92DBF"/>
    <w:rsid w:val="00B92EE6"/>
    <w:rsid w:val="00B9311C"/>
    <w:rsid w:val="00B93168"/>
    <w:rsid w:val="00B93674"/>
    <w:rsid w:val="00B93854"/>
    <w:rsid w:val="00B939F0"/>
    <w:rsid w:val="00B93B4D"/>
    <w:rsid w:val="00B9475E"/>
    <w:rsid w:val="00B947B6"/>
    <w:rsid w:val="00B94A53"/>
    <w:rsid w:val="00B94BCD"/>
    <w:rsid w:val="00B94BE3"/>
    <w:rsid w:val="00B94CBB"/>
    <w:rsid w:val="00B9506E"/>
    <w:rsid w:val="00B952CB"/>
    <w:rsid w:val="00B95602"/>
    <w:rsid w:val="00B960BB"/>
    <w:rsid w:val="00B96C9E"/>
    <w:rsid w:val="00B96DB8"/>
    <w:rsid w:val="00B970BA"/>
    <w:rsid w:val="00B974D5"/>
    <w:rsid w:val="00B978FE"/>
    <w:rsid w:val="00B97B0C"/>
    <w:rsid w:val="00B97CC7"/>
    <w:rsid w:val="00B97F1C"/>
    <w:rsid w:val="00B97FCB"/>
    <w:rsid w:val="00BA01BE"/>
    <w:rsid w:val="00BA0A30"/>
    <w:rsid w:val="00BA0CBC"/>
    <w:rsid w:val="00BA0FA6"/>
    <w:rsid w:val="00BA10E1"/>
    <w:rsid w:val="00BA13FE"/>
    <w:rsid w:val="00BA14F6"/>
    <w:rsid w:val="00BA1AC7"/>
    <w:rsid w:val="00BA1F36"/>
    <w:rsid w:val="00BA22B8"/>
    <w:rsid w:val="00BA262F"/>
    <w:rsid w:val="00BA26B7"/>
    <w:rsid w:val="00BA2758"/>
    <w:rsid w:val="00BA2BF4"/>
    <w:rsid w:val="00BA3512"/>
    <w:rsid w:val="00BA3B0B"/>
    <w:rsid w:val="00BA3BD9"/>
    <w:rsid w:val="00BA3D9B"/>
    <w:rsid w:val="00BA4863"/>
    <w:rsid w:val="00BA4971"/>
    <w:rsid w:val="00BA514C"/>
    <w:rsid w:val="00BA529E"/>
    <w:rsid w:val="00BA563B"/>
    <w:rsid w:val="00BA5756"/>
    <w:rsid w:val="00BA5F92"/>
    <w:rsid w:val="00BA608C"/>
    <w:rsid w:val="00BA63E8"/>
    <w:rsid w:val="00BA6AD8"/>
    <w:rsid w:val="00BA6CE7"/>
    <w:rsid w:val="00BA6F93"/>
    <w:rsid w:val="00BA6FCC"/>
    <w:rsid w:val="00BA75C4"/>
    <w:rsid w:val="00BA762C"/>
    <w:rsid w:val="00BA7A81"/>
    <w:rsid w:val="00BA7D0A"/>
    <w:rsid w:val="00BA7D2F"/>
    <w:rsid w:val="00BB09F4"/>
    <w:rsid w:val="00BB0C8C"/>
    <w:rsid w:val="00BB0DE8"/>
    <w:rsid w:val="00BB0DED"/>
    <w:rsid w:val="00BB12E6"/>
    <w:rsid w:val="00BB1496"/>
    <w:rsid w:val="00BB1AFD"/>
    <w:rsid w:val="00BB1DDB"/>
    <w:rsid w:val="00BB1E16"/>
    <w:rsid w:val="00BB2063"/>
    <w:rsid w:val="00BB2112"/>
    <w:rsid w:val="00BB2128"/>
    <w:rsid w:val="00BB22FE"/>
    <w:rsid w:val="00BB29DD"/>
    <w:rsid w:val="00BB2BE2"/>
    <w:rsid w:val="00BB2F53"/>
    <w:rsid w:val="00BB2F7C"/>
    <w:rsid w:val="00BB33FF"/>
    <w:rsid w:val="00BB381C"/>
    <w:rsid w:val="00BB3A85"/>
    <w:rsid w:val="00BB3AAD"/>
    <w:rsid w:val="00BB45F0"/>
    <w:rsid w:val="00BB4630"/>
    <w:rsid w:val="00BB4859"/>
    <w:rsid w:val="00BB49DC"/>
    <w:rsid w:val="00BB4C0D"/>
    <w:rsid w:val="00BB4D88"/>
    <w:rsid w:val="00BB51C2"/>
    <w:rsid w:val="00BB52D9"/>
    <w:rsid w:val="00BB5372"/>
    <w:rsid w:val="00BB557E"/>
    <w:rsid w:val="00BB55E4"/>
    <w:rsid w:val="00BB5AFF"/>
    <w:rsid w:val="00BB5C67"/>
    <w:rsid w:val="00BB5F8C"/>
    <w:rsid w:val="00BB6BDA"/>
    <w:rsid w:val="00BB6E4C"/>
    <w:rsid w:val="00BB6EAC"/>
    <w:rsid w:val="00BB71D2"/>
    <w:rsid w:val="00BB7375"/>
    <w:rsid w:val="00BB75F4"/>
    <w:rsid w:val="00BB7A9C"/>
    <w:rsid w:val="00BB7CEB"/>
    <w:rsid w:val="00BB7D99"/>
    <w:rsid w:val="00BC09DF"/>
    <w:rsid w:val="00BC0AA1"/>
    <w:rsid w:val="00BC0C0D"/>
    <w:rsid w:val="00BC1528"/>
    <w:rsid w:val="00BC1534"/>
    <w:rsid w:val="00BC1714"/>
    <w:rsid w:val="00BC1CF9"/>
    <w:rsid w:val="00BC2032"/>
    <w:rsid w:val="00BC229D"/>
    <w:rsid w:val="00BC2708"/>
    <w:rsid w:val="00BC29CA"/>
    <w:rsid w:val="00BC2BE8"/>
    <w:rsid w:val="00BC2E95"/>
    <w:rsid w:val="00BC312C"/>
    <w:rsid w:val="00BC3166"/>
    <w:rsid w:val="00BC33AC"/>
    <w:rsid w:val="00BC3B55"/>
    <w:rsid w:val="00BC4418"/>
    <w:rsid w:val="00BC4515"/>
    <w:rsid w:val="00BC47ED"/>
    <w:rsid w:val="00BC48BD"/>
    <w:rsid w:val="00BC4AED"/>
    <w:rsid w:val="00BC4CB0"/>
    <w:rsid w:val="00BC51B0"/>
    <w:rsid w:val="00BC541D"/>
    <w:rsid w:val="00BC5514"/>
    <w:rsid w:val="00BC5802"/>
    <w:rsid w:val="00BC5A2C"/>
    <w:rsid w:val="00BC5F77"/>
    <w:rsid w:val="00BC5FAF"/>
    <w:rsid w:val="00BC60A8"/>
    <w:rsid w:val="00BC60FF"/>
    <w:rsid w:val="00BC61E6"/>
    <w:rsid w:val="00BC6E38"/>
    <w:rsid w:val="00BC6F33"/>
    <w:rsid w:val="00BC6F5B"/>
    <w:rsid w:val="00BC706A"/>
    <w:rsid w:val="00BC71A6"/>
    <w:rsid w:val="00BC743A"/>
    <w:rsid w:val="00BC77F1"/>
    <w:rsid w:val="00BC792C"/>
    <w:rsid w:val="00BD08A5"/>
    <w:rsid w:val="00BD1004"/>
    <w:rsid w:val="00BD1037"/>
    <w:rsid w:val="00BD144C"/>
    <w:rsid w:val="00BD1751"/>
    <w:rsid w:val="00BD1F6C"/>
    <w:rsid w:val="00BD203A"/>
    <w:rsid w:val="00BD2618"/>
    <w:rsid w:val="00BD2A14"/>
    <w:rsid w:val="00BD3F22"/>
    <w:rsid w:val="00BD4717"/>
    <w:rsid w:val="00BD486D"/>
    <w:rsid w:val="00BD489C"/>
    <w:rsid w:val="00BD49CE"/>
    <w:rsid w:val="00BD4DFC"/>
    <w:rsid w:val="00BD4F73"/>
    <w:rsid w:val="00BD52CD"/>
    <w:rsid w:val="00BD5568"/>
    <w:rsid w:val="00BD5BAD"/>
    <w:rsid w:val="00BD5BC6"/>
    <w:rsid w:val="00BD5E48"/>
    <w:rsid w:val="00BD6340"/>
    <w:rsid w:val="00BD63B2"/>
    <w:rsid w:val="00BD66B6"/>
    <w:rsid w:val="00BD676F"/>
    <w:rsid w:val="00BD6910"/>
    <w:rsid w:val="00BD6DEF"/>
    <w:rsid w:val="00BD6F74"/>
    <w:rsid w:val="00BD71B5"/>
    <w:rsid w:val="00BD71F7"/>
    <w:rsid w:val="00BD7D42"/>
    <w:rsid w:val="00BD7D56"/>
    <w:rsid w:val="00BE043D"/>
    <w:rsid w:val="00BE1323"/>
    <w:rsid w:val="00BE1416"/>
    <w:rsid w:val="00BE2128"/>
    <w:rsid w:val="00BE31B3"/>
    <w:rsid w:val="00BE416C"/>
    <w:rsid w:val="00BE4554"/>
    <w:rsid w:val="00BE4784"/>
    <w:rsid w:val="00BE47B3"/>
    <w:rsid w:val="00BE4AB5"/>
    <w:rsid w:val="00BE4D5C"/>
    <w:rsid w:val="00BE4DA7"/>
    <w:rsid w:val="00BE4ECD"/>
    <w:rsid w:val="00BE4FC7"/>
    <w:rsid w:val="00BE5227"/>
    <w:rsid w:val="00BE5377"/>
    <w:rsid w:val="00BE5417"/>
    <w:rsid w:val="00BE54CE"/>
    <w:rsid w:val="00BE54F2"/>
    <w:rsid w:val="00BE5999"/>
    <w:rsid w:val="00BE6008"/>
    <w:rsid w:val="00BE64BB"/>
    <w:rsid w:val="00BE6854"/>
    <w:rsid w:val="00BE6AA9"/>
    <w:rsid w:val="00BE6ECF"/>
    <w:rsid w:val="00BE6F31"/>
    <w:rsid w:val="00BE723B"/>
    <w:rsid w:val="00BE74F1"/>
    <w:rsid w:val="00BE7541"/>
    <w:rsid w:val="00BE763C"/>
    <w:rsid w:val="00BE76EE"/>
    <w:rsid w:val="00BE77AD"/>
    <w:rsid w:val="00BE7889"/>
    <w:rsid w:val="00BE7977"/>
    <w:rsid w:val="00BE7B32"/>
    <w:rsid w:val="00BE7CAA"/>
    <w:rsid w:val="00BE7E6B"/>
    <w:rsid w:val="00BF02AF"/>
    <w:rsid w:val="00BF05D1"/>
    <w:rsid w:val="00BF0967"/>
    <w:rsid w:val="00BF09E2"/>
    <w:rsid w:val="00BF1142"/>
    <w:rsid w:val="00BF1371"/>
    <w:rsid w:val="00BF1670"/>
    <w:rsid w:val="00BF260E"/>
    <w:rsid w:val="00BF26A8"/>
    <w:rsid w:val="00BF2C67"/>
    <w:rsid w:val="00BF319E"/>
    <w:rsid w:val="00BF3FCA"/>
    <w:rsid w:val="00BF3FD6"/>
    <w:rsid w:val="00BF40F9"/>
    <w:rsid w:val="00BF41C7"/>
    <w:rsid w:val="00BF4583"/>
    <w:rsid w:val="00BF4B3F"/>
    <w:rsid w:val="00BF4BF9"/>
    <w:rsid w:val="00BF4D79"/>
    <w:rsid w:val="00BF5208"/>
    <w:rsid w:val="00BF5238"/>
    <w:rsid w:val="00BF53B4"/>
    <w:rsid w:val="00BF53D5"/>
    <w:rsid w:val="00BF56AA"/>
    <w:rsid w:val="00BF56F0"/>
    <w:rsid w:val="00BF59F8"/>
    <w:rsid w:val="00BF5A18"/>
    <w:rsid w:val="00BF5C8B"/>
    <w:rsid w:val="00BF5E04"/>
    <w:rsid w:val="00BF6506"/>
    <w:rsid w:val="00BF697F"/>
    <w:rsid w:val="00BF69CD"/>
    <w:rsid w:val="00BF6AB2"/>
    <w:rsid w:val="00BF6EFC"/>
    <w:rsid w:val="00BF7090"/>
    <w:rsid w:val="00BF7199"/>
    <w:rsid w:val="00BF798A"/>
    <w:rsid w:val="00BF79B2"/>
    <w:rsid w:val="00C0014C"/>
    <w:rsid w:val="00C00B25"/>
    <w:rsid w:val="00C00B3C"/>
    <w:rsid w:val="00C00BF7"/>
    <w:rsid w:val="00C00DC4"/>
    <w:rsid w:val="00C011D6"/>
    <w:rsid w:val="00C01278"/>
    <w:rsid w:val="00C01474"/>
    <w:rsid w:val="00C017CD"/>
    <w:rsid w:val="00C01AEB"/>
    <w:rsid w:val="00C01C8D"/>
    <w:rsid w:val="00C01DFC"/>
    <w:rsid w:val="00C02355"/>
    <w:rsid w:val="00C02538"/>
    <w:rsid w:val="00C02A69"/>
    <w:rsid w:val="00C02A74"/>
    <w:rsid w:val="00C02C59"/>
    <w:rsid w:val="00C02E57"/>
    <w:rsid w:val="00C02F05"/>
    <w:rsid w:val="00C02FCA"/>
    <w:rsid w:val="00C030AD"/>
    <w:rsid w:val="00C03245"/>
    <w:rsid w:val="00C03997"/>
    <w:rsid w:val="00C03A7A"/>
    <w:rsid w:val="00C03D57"/>
    <w:rsid w:val="00C04138"/>
    <w:rsid w:val="00C043AC"/>
    <w:rsid w:val="00C0491B"/>
    <w:rsid w:val="00C04D39"/>
    <w:rsid w:val="00C04E7A"/>
    <w:rsid w:val="00C04EB0"/>
    <w:rsid w:val="00C05345"/>
    <w:rsid w:val="00C05349"/>
    <w:rsid w:val="00C06106"/>
    <w:rsid w:val="00C0689C"/>
    <w:rsid w:val="00C07220"/>
    <w:rsid w:val="00C0727B"/>
    <w:rsid w:val="00C072EE"/>
    <w:rsid w:val="00C10393"/>
    <w:rsid w:val="00C1088D"/>
    <w:rsid w:val="00C108BE"/>
    <w:rsid w:val="00C10EE6"/>
    <w:rsid w:val="00C10F15"/>
    <w:rsid w:val="00C112A2"/>
    <w:rsid w:val="00C11BA3"/>
    <w:rsid w:val="00C11C44"/>
    <w:rsid w:val="00C11CD3"/>
    <w:rsid w:val="00C121E1"/>
    <w:rsid w:val="00C122D8"/>
    <w:rsid w:val="00C12535"/>
    <w:rsid w:val="00C1287F"/>
    <w:rsid w:val="00C12C44"/>
    <w:rsid w:val="00C12CF0"/>
    <w:rsid w:val="00C12D03"/>
    <w:rsid w:val="00C12DE0"/>
    <w:rsid w:val="00C12FC0"/>
    <w:rsid w:val="00C131AC"/>
    <w:rsid w:val="00C13553"/>
    <w:rsid w:val="00C13726"/>
    <w:rsid w:val="00C13FCF"/>
    <w:rsid w:val="00C14119"/>
    <w:rsid w:val="00C141DB"/>
    <w:rsid w:val="00C14672"/>
    <w:rsid w:val="00C147CF"/>
    <w:rsid w:val="00C14873"/>
    <w:rsid w:val="00C1505A"/>
    <w:rsid w:val="00C154DF"/>
    <w:rsid w:val="00C155B0"/>
    <w:rsid w:val="00C15A88"/>
    <w:rsid w:val="00C15B40"/>
    <w:rsid w:val="00C162B0"/>
    <w:rsid w:val="00C162F1"/>
    <w:rsid w:val="00C16307"/>
    <w:rsid w:val="00C164B6"/>
    <w:rsid w:val="00C16890"/>
    <w:rsid w:val="00C16F27"/>
    <w:rsid w:val="00C1719A"/>
    <w:rsid w:val="00C17252"/>
    <w:rsid w:val="00C17970"/>
    <w:rsid w:val="00C17A56"/>
    <w:rsid w:val="00C17C0B"/>
    <w:rsid w:val="00C20208"/>
    <w:rsid w:val="00C207C3"/>
    <w:rsid w:val="00C20BCA"/>
    <w:rsid w:val="00C20CA0"/>
    <w:rsid w:val="00C20FF8"/>
    <w:rsid w:val="00C21DC2"/>
    <w:rsid w:val="00C21EA4"/>
    <w:rsid w:val="00C225CC"/>
    <w:rsid w:val="00C22814"/>
    <w:rsid w:val="00C22863"/>
    <w:rsid w:val="00C23795"/>
    <w:rsid w:val="00C23A26"/>
    <w:rsid w:val="00C23C98"/>
    <w:rsid w:val="00C23EBC"/>
    <w:rsid w:val="00C23F0D"/>
    <w:rsid w:val="00C240A5"/>
    <w:rsid w:val="00C2414A"/>
    <w:rsid w:val="00C241F6"/>
    <w:rsid w:val="00C24981"/>
    <w:rsid w:val="00C24D62"/>
    <w:rsid w:val="00C25542"/>
    <w:rsid w:val="00C255FA"/>
    <w:rsid w:val="00C25B5B"/>
    <w:rsid w:val="00C25D27"/>
    <w:rsid w:val="00C26773"/>
    <w:rsid w:val="00C26817"/>
    <w:rsid w:val="00C26E7C"/>
    <w:rsid w:val="00C26F7A"/>
    <w:rsid w:val="00C2752A"/>
    <w:rsid w:val="00C2799F"/>
    <w:rsid w:val="00C279A4"/>
    <w:rsid w:val="00C27ECE"/>
    <w:rsid w:val="00C3016E"/>
    <w:rsid w:val="00C30594"/>
    <w:rsid w:val="00C307B7"/>
    <w:rsid w:val="00C30950"/>
    <w:rsid w:val="00C30D51"/>
    <w:rsid w:val="00C3169B"/>
    <w:rsid w:val="00C31751"/>
    <w:rsid w:val="00C3193F"/>
    <w:rsid w:val="00C31A0E"/>
    <w:rsid w:val="00C31CCB"/>
    <w:rsid w:val="00C3233C"/>
    <w:rsid w:val="00C32394"/>
    <w:rsid w:val="00C32461"/>
    <w:rsid w:val="00C324CD"/>
    <w:rsid w:val="00C32B18"/>
    <w:rsid w:val="00C32D99"/>
    <w:rsid w:val="00C32DFB"/>
    <w:rsid w:val="00C330F2"/>
    <w:rsid w:val="00C33268"/>
    <w:rsid w:val="00C3360E"/>
    <w:rsid w:val="00C338B8"/>
    <w:rsid w:val="00C33C19"/>
    <w:rsid w:val="00C33F2C"/>
    <w:rsid w:val="00C34015"/>
    <w:rsid w:val="00C343FA"/>
    <w:rsid w:val="00C34493"/>
    <w:rsid w:val="00C34740"/>
    <w:rsid w:val="00C34962"/>
    <w:rsid w:val="00C34B0A"/>
    <w:rsid w:val="00C34B5B"/>
    <w:rsid w:val="00C357A2"/>
    <w:rsid w:val="00C35809"/>
    <w:rsid w:val="00C35CA1"/>
    <w:rsid w:val="00C35DF9"/>
    <w:rsid w:val="00C35E6F"/>
    <w:rsid w:val="00C367E4"/>
    <w:rsid w:val="00C36C13"/>
    <w:rsid w:val="00C36D63"/>
    <w:rsid w:val="00C36EC0"/>
    <w:rsid w:val="00C37DB3"/>
    <w:rsid w:val="00C37F28"/>
    <w:rsid w:val="00C403E1"/>
    <w:rsid w:val="00C40577"/>
    <w:rsid w:val="00C40B33"/>
    <w:rsid w:val="00C40D42"/>
    <w:rsid w:val="00C4105D"/>
    <w:rsid w:val="00C4113F"/>
    <w:rsid w:val="00C41334"/>
    <w:rsid w:val="00C414E3"/>
    <w:rsid w:val="00C41575"/>
    <w:rsid w:val="00C41717"/>
    <w:rsid w:val="00C41965"/>
    <w:rsid w:val="00C41B5B"/>
    <w:rsid w:val="00C42217"/>
    <w:rsid w:val="00C424D7"/>
    <w:rsid w:val="00C4257E"/>
    <w:rsid w:val="00C43B99"/>
    <w:rsid w:val="00C43BFF"/>
    <w:rsid w:val="00C43CA5"/>
    <w:rsid w:val="00C43E78"/>
    <w:rsid w:val="00C43F67"/>
    <w:rsid w:val="00C440C8"/>
    <w:rsid w:val="00C44193"/>
    <w:rsid w:val="00C449C5"/>
    <w:rsid w:val="00C44C65"/>
    <w:rsid w:val="00C44D2C"/>
    <w:rsid w:val="00C4528E"/>
    <w:rsid w:val="00C45455"/>
    <w:rsid w:val="00C45675"/>
    <w:rsid w:val="00C4595A"/>
    <w:rsid w:val="00C45F8C"/>
    <w:rsid w:val="00C4624A"/>
    <w:rsid w:val="00C4665C"/>
    <w:rsid w:val="00C47764"/>
    <w:rsid w:val="00C479BB"/>
    <w:rsid w:val="00C479EE"/>
    <w:rsid w:val="00C47A37"/>
    <w:rsid w:val="00C47B7F"/>
    <w:rsid w:val="00C5031F"/>
    <w:rsid w:val="00C503B7"/>
    <w:rsid w:val="00C5081C"/>
    <w:rsid w:val="00C50AA3"/>
    <w:rsid w:val="00C50AC9"/>
    <w:rsid w:val="00C50ECF"/>
    <w:rsid w:val="00C50F39"/>
    <w:rsid w:val="00C50FB1"/>
    <w:rsid w:val="00C51121"/>
    <w:rsid w:val="00C513B8"/>
    <w:rsid w:val="00C516B5"/>
    <w:rsid w:val="00C51E07"/>
    <w:rsid w:val="00C521A0"/>
    <w:rsid w:val="00C52278"/>
    <w:rsid w:val="00C52393"/>
    <w:rsid w:val="00C523B4"/>
    <w:rsid w:val="00C52ACC"/>
    <w:rsid w:val="00C53513"/>
    <w:rsid w:val="00C535E4"/>
    <w:rsid w:val="00C53875"/>
    <w:rsid w:val="00C53B4B"/>
    <w:rsid w:val="00C53B7D"/>
    <w:rsid w:val="00C53E14"/>
    <w:rsid w:val="00C53F20"/>
    <w:rsid w:val="00C540C0"/>
    <w:rsid w:val="00C54716"/>
    <w:rsid w:val="00C547D2"/>
    <w:rsid w:val="00C54848"/>
    <w:rsid w:val="00C54CCE"/>
    <w:rsid w:val="00C54CE2"/>
    <w:rsid w:val="00C54FED"/>
    <w:rsid w:val="00C550C1"/>
    <w:rsid w:val="00C55367"/>
    <w:rsid w:val="00C5547A"/>
    <w:rsid w:val="00C55EDB"/>
    <w:rsid w:val="00C55EEC"/>
    <w:rsid w:val="00C56114"/>
    <w:rsid w:val="00C561A9"/>
    <w:rsid w:val="00C56B33"/>
    <w:rsid w:val="00C56C35"/>
    <w:rsid w:val="00C56D1E"/>
    <w:rsid w:val="00C56E13"/>
    <w:rsid w:val="00C57130"/>
    <w:rsid w:val="00C57B37"/>
    <w:rsid w:val="00C57D50"/>
    <w:rsid w:val="00C603E1"/>
    <w:rsid w:val="00C60657"/>
    <w:rsid w:val="00C60CCA"/>
    <w:rsid w:val="00C60E02"/>
    <w:rsid w:val="00C60F17"/>
    <w:rsid w:val="00C60FE1"/>
    <w:rsid w:val="00C6108C"/>
    <w:rsid w:val="00C617B8"/>
    <w:rsid w:val="00C618E4"/>
    <w:rsid w:val="00C61A11"/>
    <w:rsid w:val="00C61B79"/>
    <w:rsid w:val="00C61D11"/>
    <w:rsid w:val="00C61FD6"/>
    <w:rsid w:val="00C62352"/>
    <w:rsid w:val="00C62376"/>
    <w:rsid w:val="00C62A96"/>
    <w:rsid w:val="00C62EA5"/>
    <w:rsid w:val="00C62F05"/>
    <w:rsid w:val="00C63172"/>
    <w:rsid w:val="00C63284"/>
    <w:rsid w:val="00C6358E"/>
    <w:rsid w:val="00C63A55"/>
    <w:rsid w:val="00C63ECB"/>
    <w:rsid w:val="00C641CB"/>
    <w:rsid w:val="00C64BE2"/>
    <w:rsid w:val="00C64CB4"/>
    <w:rsid w:val="00C64D21"/>
    <w:rsid w:val="00C65090"/>
    <w:rsid w:val="00C658AD"/>
    <w:rsid w:val="00C66122"/>
    <w:rsid w:val="00C6613D"/>
    <w:rsid w:val="00C6675B"/>
    <w:rsid w:val="00C669E3"/>
    <w:rsid w:val="00C669E4"/>
    <w:rsid w:val="00C676D3"/>
    <w:rsid w:val="00C678B2"/>
    <w:rsid w:val="00C67AD4"/>
    <w:rsid w:val="00C67C08"/>
    <w:rsid w:val="00C67D30"/>
    <w:rsid w:val="00C67F97"/>
    <w:rsid w:val="00C70031"/>
    <w:rsid w:val="00C7006C"/>
    <w:rsid w:val="00C700CE"/>
    <w:rsid w:val="00C70167"/>
    <w:rsid w:val="00C702B6"/>
    <w:rsid w:val="00C70531"/>
    <w:rsid w:val="00C70756"/>
    <w:rsid w:val="00C707E1"/>
    <w:rsid w:val="00C70AD6"/>
    <w:rsid w:val="00C70C3C"/>
    <w:rsid w:val="00C70DA2"/>
    <w:rsid w:val="00C70E65"/>
    <w:rsid w:val="00C71381"/>
    <w:rsid w:val="00C7139A"/>
    <w:rsid w:val="00C7167E"/>
    <w:rsid w:val="00C71919"/>
    <w:rsid w:val="00C71A00"/>
    <w:rsid w:val="00C71A8B"/>
    <w:rsid w:val="00C71B07"/>
    <w:rsid w:val="00C7214E"/>
    <w:rsid w:val="00C7237C"/>
    <w:rsid w:val="00C727AE"/>
    <w:rsid w:val="00C72DA3"/>
    <w:rsid w:val="00C730C5"/>
    <w:rsid w:val="00C7390D"/>
    <w:rsid w:val="00C73C4D"/>
    <w:rsid w:val="00C73DAB"/>
    <w:rsid w:val="00C74304"/>
    <w:rsid w:val="00C7465C"/>
    <w:rsid w:val="00C747BA"/>
    <w:rsid w:val="00C74965"/>
    <w:rsid w:val="00C74B64"/>
    <w:rsid w:val="00C74C8C"/>
    <w:rsid w:val="00C74FFE"/>
    <w:rsid w:val="00C75183"/>
    <w:rsid w:val="00C7547B"/>
    <w:rsid w:val="00C75543"/>
    <w:rsid w:val="00C75600"/>
    <w:rsid w:val="00C75A28"/>
    <w:rsid w:val="00C76018"/>
    <w:rsid w:val="00C762CD"/>
    <w:rsid w:val="00C765D0"/>
    <w:rsid w:val="00C7664B"/>
    <w:rsid w:val="00C766C6"/>
    <w:rsid w:val="00C769A5"/>
    <w:rsid w:val="00C76FB0"/>
    <w:rsid w:val="00C770B9"/>
    <w:rsid w:val="00C771BF"/>
    <w:rsid w:val="00C77417"/>
    <w:rsid w:val="00C77665"/>
    <w:rsid w:val="00C77805"/>
    <w:rsid w:val="00C77A7B"/>
    <w:rsid w:val="00C77C50"/>
    <w:rsid w:val="00C77D20"/>
    <w:rsid w:val="00C77E82"/>
    <w:rsid w:val="00C80C08"/>
    <w:rsid w:val="00C80C5B"/>
    <w:rsid w:val="00C80FE2"/>
    <w:rsid w:val="00C812CF"/>
    <w:rsid w:val="00C8152E"/>
    <w:rsid w:val="00C8172F"/>
    <w:rsid w:val="00C81758"/>
    <w:rsid w:val="00C8185E"/>
    <w:rsid w:val="00C819A5"/>
    <w:rsid w:val="00C81CE0"/>
    <w:rsid w:val="00C825C0"/>
    <w:rsid w:val="00C82DDD"/>
    <w:rsid w:val="00C83309"/>
    <w:rsid w:val="00C836B7"/>
    <w:rsid w:val="00C837A4"/>
    <w:rsid w:val="00C83B80"/>
    <w:rsid w:val="00C83D20"/>
    <w:rsid w:val="00C83E05"/>
    <w:rsid w:val="00C84382"/>
    <w:rsid w:val="00C843FF"/>
    <w:rsid w:val="00C84690"/>
    <w:rsid w:val="00C846CE"/>
    <w:rsid w:val="00C8492C"/>
    <w:rsid w:val="00C84A74"/>
    <w:rsid w:val="00C84B4D"/>
    <w:rsid w:val="00C84DEE"/>
    <w:rsid w:val="00C84E5F"/>
    <w:rsid w:val="00C84EEE"/>
    <w:rsid w:val="00C85227"/>
    <w:rsid w:val="00C85685"/>
    <w:rsid w:val="00C85A27"/>
    <w:rsid w:val="00C85F58"/>
    <w:rsid w:val="00C8673C"/>
    <w:rsid w:val="00C86D05"/>
    <w:rsid w:val="00C86DE5"/>
    <w:rsid w:val="00C874BE"/>
    <w:rsid w:val="00C875D1"/>
    <w:rsid w:val="00C876A2"/>
    <w:rsid w:val="00C87A11"/>
    <w:rsid w:val="00C87A18"/>
    <w:rsid w:val="00C87F22"/>
    <w:rsid w:val="00C9014F"/>
    <w:rsid w:val="00C901EC"/>
    <w:rsid w:val="00C90309"/>
    <w:rsid w:val="00C90F6D"/>
    <w:rsid w:val="00C91086"/>
    <w:rsid w:val="00C911CE"/>
    <w:rsid w:val="00C9136B"/>
    <w:rsid w:val="00C91439"/>
    <w:rsid w:val="00C914F9"/>
    <w:rsid w:val="00C918E8"/>
    <w:rsid w:val="00C91D4D"/>
    <w:rsid w:val="00C91EA6"/>
    <w:rsid w:val="00C92015"/>
    <w:rsid w:val="00C9230F"/>
    <w:rsid w:val="00C925C4"/>
    <w:rsid w:val="00C92708"/>
    <w:rsid w:val="00C927E9"/>
    <w:rsid w:val="00C9298D"/>
    <w:rsid w:val="00C92DD2"/>
    <w:rsid w:val="00C93003"/>
    <w:rsid w:val="00C9322F"/>
    <w:rsid w:val="00C9330D"/>
    <w:rsid w:val="00C936BB"/>
    <w:rsid w:val="00C93748"/>
    <w:rsid w:val="00C93FED"/>
    <w:rsid w:val="00C9408D"/>
    <w:rsid w:val="00C9415D"/>
    <w:rsid w:val="00C9484A"/>
    <w:rsid w:val="00C949E4"/>
    <w:rsid w:val="00C94EAE"/>
    <w:rsid w:val="00C955AA"/>
    <w:rsid w:val="00C95904"/>
    <w:rsid w:val="00C95DE0"/>
    <w:rsid w:val="00C96933"/>
    <w:rsid w:val="00C9697B"/>
    <w:rsid w:val="00C96D1D"/>
    <w:rsid w:val="00C96FE9"/>
    <w:rsid w:val="00C970A5"/>
    <w:rsid w:val="00C97169"/>
    <w:rsid w:val="00C972F2"/>
    <w:rsid w:val="00C97316"/>
    <w:rsid w:val="00C9746E"/>
    <w:rsid w:val="00C97C6A"/>
    <w:rsid w:val="00CA01A4"/>
    <w:rsid w:val="00CA085D"/>
    <w:rsid w:val="00CA0936"/>
    <w:rsid w:val="00CA0E78"/>
    <w:rsid w:val="00CA169F"/>
    <w:rsid w:val="00CA1B5A"/>
    <w:rsid w:val="00CA1C94"/>
    <w:rsid w:val="00CA2115"/>
    <w:rsid w:val="00CA22CA"/>
    <w:rsid w:val="00CA24B6"/>
    <w:rsid w:val="00CA29A4"/>
    <w:rsid w:val="00CA2B4C"/>
    <w:rsid w:val="00CA2C56"/>
    <w:rsid w:val="00CA3A79"/>
    <w:rsid w:val="00CA3C6B"/>
    <w:rsid w:val="00CA3E22"/>
    <w:rsid w:val="00CA3E51"/>
    <w:rsid w:val="00CA4332"/>
    <w:rsid w:val="00CA48B7"/>
    <w:rsid w:val="00CA49EE"/>
    <w:rsid w:val="00CA4C10"/>
    <w:rsid w:val="00CA4C60"/>
    <w:rsid w:val="00CA4DCD"/>
    <w:rsid w:val="00CA572C"/>
    <w:rsid w:val="00CA57E3"/>
    <w:rsid w:val="00CA62C5"/>
    <w:rsid w:val="00CA6312"/>
    <w:rsid w:val="00CA6DA9"/>
    <w:rsid w:val="00CA72AC"/>
    <w:rsid w:val="00CA7376"/>
    <w:rsid w:val="00CA7424"/>
    <w:rsid w:val="00CB04F6"/>
    <w:rsid w:val="00CB0BAE"/>
    <w:rsid w:val="00CB0C32"/>
    <w:rsid w:val="00CB0E94"/>
    <w:rsid w:val="00CB0EBB"/>
    <w:rsid w:val="00CB16DF"/>
    <w:rsid w:val="00CB17AD"/>
    <w:rsid w:val="00CB17F2"/>
    <w:rsid w:val="00CB19B7"/>
    <w:rsid w:val="00CB19EE"/>
    <w:rsid w:val="00CB20DE"/>
    <w:rsid w:val="00CB2500"/>
    <w:rsid w:val="00CB26AF"/>
    <w:rsid w:val="00CB2923"/>
    <w:rsid w:val="00CB2A0D"/>
    <w:rsid w:val="00CB2DDF"/>
    <w:rsid w:val="00CB2EE9"/>
    <w:rsid w:val="00CB3081"/>
    <w:rsid w:val="00CB390A"/>
    <w:rsid w:val="00CB3ADF"/>
    <w:rsid w:val="00CB3D62"/>
    <w:rsid w:val="00CB3E59"/>
    <w:rsid w:val="00CB405D"/>
    <w:rsid w:val="00CB40CC"/>
    <w:rsid w:val="00CB432A"/>
    <w:rsid w:val="00CB436B"/>
    <w:rsid w:val="00CB4727"/>
    <w:rsid w:val="00CB4740"/>
    <w:rsid w:val="00CB4B60"/>
    <w:rsid w:val="00CB4BB6"/>
    <w:rsid w:val="00CB4C49"/>
    <w:rsid w:val="00CB4DF5"/>
    <w:rsid w:val="00CB4FCC"/>
    <w:rsid w:val="00CB5384"/>
    <w:rsid w:val="00CB5674"/>
    <w:rsid w:val="00CB5677"/>
    <w:rsid w:val="00CB58EB"/>
    <w:rsid w:val="00CB59AE"/>
    <w:rsid w:val="00CB5AFF"/>
    <w:rsid w:val="00CB5EC7"/>
    <w:rsid w:val="00CB5EEC"/>
    <w:rsid w:val="00CB613F"/>
    <w:rsid w:val="00CB6461"/>
    <w:rsid w:val="00CB6766"/>
    <w:rsid w:val="00CB6B51"/>
    <w:rsid w:val="00CB6B53"/>
    <w:rsid w:val="00CC0011"/>
    <w:rsid w:val="00CC0223"/>
    <w:rsid w:val="00CC06E2"/>
    <w:rsid w:val="00CC0A59"/>
    <w:rsid w:val="00CC0DB5"/>
    <w:rsid w:val="00CC1884"/>
    <w:rsid w:val="00CC197E"/>
    <w:rsid w:val="00CC1D82"/>
    <w:rsid w:val="00CC1EF7"/>
    <w:rsid w:val="00CC2B1D"/>
    <w:rsid w:val="00CC33F0"/>
    <w:rsid w:val="00CC3482"/>
    <w:rsid w:val="00CC362A"/>
    <w:rsid w:val="00CC3D31"/>
    <w:rsid w:val="00CC3F33"/>
    <w:rsid w:val="00CC4009"/>
    <w:rsid w:val="00CC43B8"/>
    <w:rsid w:val="00CC4A80"/>
    <w:rsid w:val="00CC4C0B"/>
    <w:rsid w:val="00CC4DBD"/>
    <w:rsid w:val="00CC4E63"/>
    <w:rsid w:val="00CC558C"/>
    <w:rsid w:val="00CC57C1"/>
    <w:rsid w:val="00CC6D44"/>
    <w:rsid w:val="00CC7101"/>
    <w:rsid w:val="00CC745C"/>
    <w:rsid w:val="00CC75A4"/>
    <w:rsid w:val="00CD041A"/>
    <w:rsid w:val="00CD0563"/>
    <w:rsid w:val="00CD0680"/>
    <w:rsid w:val="00CD0CA5"/>
    <w:rsid w:val="00CD1486"/>
    <w:rsid w:val="00CD1742"/>
    <w:rsid w:val="00CD1833"/>
    <w:rsid w:val="00CD18CD"/>
    <w:rsid w:val="00CD1A35"/>
    <w:rsid w:val="00CD204F"/>
    <w:rsid w:val="00CD2119"/>
    <w:rsid w:val="00CD24D9"/>
    <w:rsid w:val="00CD25D9"/>
    <w:rsid w:val="00CD2BF3"/>
    <w:rsid w:val="00CD30A1"/>
    <w:rsid w:val="00CD3375"/>
    <w:rsid w:val="00CD3880"/>
    <w:rsid w:val="00CD399B"/>
    <w:rsid w:val="00CD3D34"/>
    <w:rsid w:val="00CD3E7A"/>
    <w:rsid w:val="00CD4344"/>
    <w:rsid w:val="00CD44DC"/>
    <w:rsid w:val="00CD4803"/>
    <w:rsid w:val="00CD4AAC"/>
    <w:rsid w:val="00CD4BE7"/>
    <w:rsid w:val="00CD4C36"/>
    <w:rsid w:val="00CD4E94"/>
    <w:rsid w:val="00CD5378"/>
    <w:rsid w:val="00CD56A0"/>
    <w:rsid w:val="00CD603F"/>
    <w:rsid w:val="00CD619A"/>
    <w:rsid w:val="00CD64D9"/>
    <w:rsid w:val="00CD64EB"/>
    <w:rsid w:val="00CD6546"/>
    <w:rsid w:val="00CD7170"/>
    <w:rsid w:val="00CD7556"/>
    <w:rsid w:val="00CD75F9"/>
    <w:rsid w:val="00CD77B3"/>
    <w:rsid w:val="00CD781A"/>
    <w:rsid w:val="00CD7AA7"/>
    <w:rsid w:val="00CD7CD5"/>
    <w:rsid w:val="00CE00E7"/>
    <w:rsid w:val="00CE042C"/>
    <w:rsid w:val="00CE052F"/>
    <w:rsid w:val="00CE09D9"/>
    <w:rsid w:val="00CE11C7"/>
    <w:rsid w:val="00CE1422"/>
    <w:rsid w:val="00CE154D"/>
    <w:rsid w:val="00CE1E9A"/>
    <w:rsid w:val="00CE215E"/>
    <w:rsid w:val="00CE23FE"/>
    <w:rsid w:val="00CE2A67"/>
    <w:rsid w:val="00CE2B46"/>
    <w:rsid w:val="00CE2D72"/>
    <w:rsid w:val="00CE3948"/>
    <w:rsid w:val="00CE413D"/>
    <w:rsid w:val="00CE41CF"/>
    <w:rsid w:val="00CE45AE"/>
    <w:rsid w:val="00CE4734"/>
    <w:rsid w:val="00CE500F"/>
    <w:rsid w:val="00CE5096"/>
    <w:rsid w:val="00CE566B"/>
    <w:rsid w:val="00CE5917"/>
    <w:rsid w:val="00CE5D9B"/>
    <w:rsid w:val="00CE68A4"/>
    <w:rsid w:val="00CE6D81"/>
    <w:rsid w:val="00CE760C"/>
    <w:rsid w:val="00CE784A"/>
    <w:rsid w:val="00CF03F3"/>
    <w:rsid w:val="00CF0B81"/>
    <w:rsid w:val="00CF100A"/>
    <w:rsid w:val="00CF1353"/>
    <w:rsid w:val="00CF1957"/>
    <w:rsid w:val="00CF199F"/>
    <w:rsid w:val="00CF201D"/>
    <w:rsid w:val="00CF272A"/>
    <w:rsid w:val="00CF27E7"/>
    <w:rsid w:val="00CF2BFA"/>
    <w:rsid w:val="00CF2C2C"/>
    <w:rsid w:val="00CF2F20"/>
    <w:rsid w:val="00CF3002"/>
    <w:rsid w:val="00CF340F"/>
    <w:rsid w:val="00CF3478"/>
    <w:rsid w:val="00CF3C54"/>
    <w:rsid w:val="00CF3C94"/>
    <w:rsid w:val="00CF3D84"/>
    <w:rsid w:val="00CF423E"/>
    <w:rsid w:val="00CF505A"/>
    <w:rsid w:val="00CF50E9"/>
    <w:rsid w:val="00CF531A"/>
    <w:rsid w:val="00CF540F"/>
    <w:rsid w:val="00CF6128"/>
    <w:rsid w:val="00CF643E"/>
    <w:rsid w:val="00CF6502"/>
    <w:rsid w:val="00CF654C"/>
    <w:rsid w:val="00CF68DC"/>
    <w:rsid w:val="00CF70CD"/>
    <w:rsid w:val="00CF73E2"/>
    <w:rsid w:val="00CF7FD6"/>
    <w:rsid w:val="00D003DE"/>
    <w:rsid w:val="00D00653"/>
    <w:rsid w:val="00D007BD"/>
    <w:rsid w:val="00D008BD"/>
    <w:rsid w:val="00D00970"/>
    <w:rsid w:val="00D00FCC"/>
    <w:rsid w:val="00D013F2"/>
    <w:rsid w:val="00D015C3"/>
    <w:rsid w:val="00D01886"/>
    <w:rsid w:val="00D0198E"/>
    <w:rsid w:val="00D019F6"/>
    <w:rsid w:val="00D01CDA"/>
    <w:rsid w:val="00D02214"/>
    <w:rsid w:val="00D02240"/>
    <w:rsid w:val="00D022C1"/>
    <w:rsid w:val="00D02313"/>
    <w:rsid w:val="00D0240B"/>
    <w:rsid w:val="00D02A5A"/>
    <w:rsid w:val="00D02DE3"/>
    <w:rsid w:val="00D030A4"/>
    <w:rsid w:val="00D03196"/>
    <w:rsid w:val="00D035F8"/>
    <w:rsid w:val="00D03613"/>
    <w:rsid w:val="00D03E5D"/>
    <w:rsid w:val="00D045CF"/>
    <w:rsid w:val="00D047ED"/>
    <w:rsid w:val="00D04871"/>
    <w:rsid w:val="00D049DE"/>
    <w:rsid w:val="00D04E34"/>
    <w:rsid w:val="00D04F6F"/>
    <w:rsid w:val="00D0501A"/>
    <w:rsid w:val="00D05746"/>
    <w:rsid w:val="00D05847"/>
    <w:rsid w:val="00D05D18"/>
    <w:rsid w:val="00D05E9A"/>
    <w:rsid w:val="00D061FF"/>
    <w:rsid w:val="00D068C8"/>
    <w:rsid w:val="00D06D1D"/>
    <w:rsid w:val="00D075BD"/>
    <w:rsid w:val="00D0791C"/>
    <w:rsid w:val="00D07C1E"/>
    <w:rsid w:val="00D07CDB"/>
    <w:rsid w:val="00D10237"/>
    <w:rsid w:val="00D103F0"/>
    <w:rsid w:val="00D1056F"/>
    <w:rsid w:val="00D10623"/>
    <w:rsid w:val="00D109DE"/>
    <w:rsid w:val="00D10A1E"/>
    <w:rsid w:val="00D10C2C"/>
    <w:rsid w:val="00D10DEA"/>
    <w:rsid w:val="00D11053"/>
    <w:rsid w:val="00D1131D"/>
    <w:rsid w:val="00D11735"/>
    <w:rsid w:val="00D1183B"/>
    <w:rsid w:val="00D119DC"/>
    <w:rsid w:val="00D11BE3"/>
    <w:rsid w:val="00D11C49"/>
    <w:rsid w:val="00D12427"/>
    <w:rsid w:val="00D124EA"/>
    <w:rsid w:val="00D125D2"/>
    <w:rsid w:val="00D12BE1"/>
    <w:rsid w:val="00D12CEB"/>
    <w:rsid w:val="00D1350D"/>
    <w:rsid w:val="00D1354A"/>
    <w:rsid w:val="00D13778"/>
    <w:rsid w:val="00D13A0F"/>
    <w:rsid w:val="00D13AE8"/>
    <w:rsid w:val="00D140EC"/>
    <w:rsid w:val="00D14210"/>
    <w:rsid w:val="00D14A9C"/>
    <w:rsid w:val="00D14D3E"/>
    <w:rsid w:val="00D14DD7"/>
    <w:rsid w:val="00D14F91"/>
    <w:rsid w:val="00D14FFF"/>
    <w:rsid w:val="00D157BD"/>
    <w:rsid w:val="00D1586E"/>
    <w:rsid w:val="00D15B49"/>
    <w:rsid w:val="00D15D85"/>
    <w:rsid w:val="00D15E65"/>
    <w:rsid w:val="00D15EC7"/>
    <w:rsid w:val="00D160E0"/>
    <w:rsid w:val="00D162CC"/>
    <w:rsid w:val="00D166DB"/>
    <w:rsid w:val="00D166F5"/>
    <w:rsid w:val="00D16A29"/>
    <w:rsid w:val="00D170BC"/>
    <w:rsid w:val="00D175C4"/>
    <w:rsid w:val="00D17757"/>
    <w:rsid w:val="00D179E6"/>
    <w:rsid w:val="00D179EC"/>
    <w:rsid w:val="00D17C34"/>
    <w:rsid w:val="00D17E6E"/>
    <w:rsid w:val="00D20377"/>
    <w:rsid w:val="00D2053F"/>
    <w:rsid w:val="00D20C4B"/>
    <w:rsid w:val="00D20ECD"/>
    <w:rsid w:val="00D2121D"/>
    <w:rsid w:val="00D21532"/>
    <w:rsid w:val="00D21671"/>
    <w:rsid w:val="00D218E1"/>
    <w:rsid w:val="00D21A82"/>
    <w:rsid w:val="00D21DCE"/>
    <w:rsid w:val="00D220F5"/>
    <w:rsid w:val="00D22209"/>
    <w:rsid w:val="00D222A1"/>
    <w:rsid w:val="00D22468"/>
    <w:rsid w:val="00D2264F"/>
    <w:rsid w:val="00D227C2"/>
    <w:rsid w:val="00D229C7"/>
    <w:rsid w:val="00D23343"/>
    <w:rsid w:val="00D23480"/>
    <w:rsid w:val="00D235C5"/>
    <w:rsid w:val="00D235CB"/>
    <w:rsid w:val="00D235D2"/>
    <w:rsid w:val="00D236A5"/>
    <w:rsid w:val="00D23746"/>
    <w:rsid w:val="00D24407"/>
    <w:rsid w:val="00D24576"/>
    <w:rsid w:val="00D24844"/>
    <w:rsid w:val="00D248A1"/>
    <w:rsid w:val="00D2490F"/>
    <w:rsid w:val="00D24B67"/>
    <w:rsid w:val="00D24C77"/>
    <w:rsid w:val="00D250DB"/>
    <w:rsid w:val="00D260DC"/>
    <w:rsid w:val="00D26108"/>
    <w:rsid w:val="00D26468"/>
    <w:rsid w:val="00D26B78"/>
    <w:rsid w:val="00D2727A"/>
    <w:rsid w:val="00D2748F"/>
    <w:rsid w:val="00D275B6"/>
    <w:rsid w:val="00D2798A"/>
    <w:rsid w:val="00D27AD7"/>
    <w:rsid w:val="00D27C0B"/>
    <w:rsid w:val="00D301DD"/>
    <w:rsid w:val="00D30234"/>
    <w:rsid w:val="00D30684"/>
    <w:rsid w:val="00D30D24"/>
    <w:rsid w:val="00D311A0"/>
    <w:rsid w:val="00D31433"/>
    <w:rsid w:val="00D314A9"/>
    <w:rsid w:val="00D3185A"/>
    <w:rsid w:val="00D31865"/>
    <w:rsid w:val="00D31CED"/>
    <w:rsid w:val="00D31ED8"/>
    <w:rsid w:val="00D3237D"/>
    <w:rsid w:val="00D32517"/>
    <w:rsid w:val="00D32BE8"/>
    <w:rsid w:val="00D32C69"/>
    <w:rsid w:val="00D32C75"/>
    <w:rsid w:val="00D3332B"/>
    <w:rsid w:val="00D33429"/>
    <w:rsid w:val="00D334BA"/>
    <w:rsid w:val="00D33FEA"/>
    <w:rsid w:val="00D3402F"/>
    <w:rsid w:val="00D3443C"/>
    <w:rsid w:val="00D34BAF"/>
    <w:rsid w:val="00D34D38"/>
    <w:rsid w:val="00D34F98"/>
    <w:rsid w:val="00D34FDA"/>
    <w:rsid w:val="00D35010"/>
    <w:rsid w:val="00D3526F"/>
    <w:rsid w:val="00D35270"/>
    <w:rsid w:val="00D3545E"/>
    <w:rsid w:val="00D35624"/>
    <w:rsid w:val="00D35EE5"/>
    <w:rsid w:val="00D36238"/>
    <w:rsid w:val="00D3642A"/>
    <w:rsid w:val="00D364B7"/>
    <w:rsid w:val="00D364DE"/>
    <w:rsid w:val="00D36D56"/>
    <w:rsid w:val="00D36E58"/>
    <w:rsid w:val="00D3753A"/>
    <w:rsid w:val="00D376C8"/>
    <w:rsid w:val="00D37739"/>
    <w:rsid w:val="00D37744"/>
    <w:rsid w:val="00D3778F"/>
    <w:rsid w:val="00D37807"/>
    <w:rsid w:val="00D37F5F"/>
    <w:rsid w:val="00D402F0"/>
    <w:rsid w:val="00D405D4"/>
    <w:rsid w:val="00D40D1A"/>
    <w:rsid w:val="00D40E70"/>
    <w:rsid w:val="00D412C5"/>
    <w:rsid w:val="00D4176E"/>
    <w:rsid w:val="00D41F71"/>
    <w:rsid w:val="00D42333"/>
    <w:rsid w:val="00D428C9"/>
    <w:rsid w:val="00D42914"/>
    <w:rsid w:val="00D42A66"/>
    <w:rsid w:val="00D42DAD"/>
    <w:rsid w:val="00D43089"/>
    <w:rsid w:val="00D43340"/>
    <w:rsid w:val="00D4374C"/>
    <w:rsid w:val="00D438EE"/>
    <w:rsid w:val="00D43DE6"/>
    <w:rsid w:val="00D43E79"/>
    <w:rsid w:val="00D441D7"/>
    <w:rsid w:val="00D448F8"/>
    <w:rsid w:val="00D44A0F"/>
    <w:rsid w:val="00D452E0"/>
    <w:rsid w:val="00D454A7"/>
    <w:rsid w:val="00D4554F"/>
    <w:rsid w:val="00D45565"/>
    <w:rsid w:val="00D455AF"/>
    <w:rsid w:val="00D456C2"/>
    <w:rsid w:val="00D45AA1"/>
    <w:rsid w:val="00D45BCF"/>
    <w:rsid w:val="00D45FBB"/>
    <w:rsid w:val="00D461C4"/>
    <w:rsid w:val="00D4640F"/>
    <w:rsid w:val="00D46784"/>
    <w:rsid w:val="00D46DCA"/>
    <w:rsid w:val="00D4714F"/>
    <w:rsid w:val="00D4777C"/>
    <w:rsid w:val="00D477ED"/>
    <w:rsid w:val="00D47CA5"/>
    <w:rsid w:val="00D47F9A"/>
    <w:rsid w:val="00D50123"/>
    <w:rsid w:val="00D505D6"/>
    <w:rsid w:val="00D50D06"/>
    <w:rsid w:val="00D50D7E"/>
    <w:rsid w:val="00D50F8F"/>
    <w:rsid w:val="00D51194"/>
    <w:rsid w:val="00D511F4"/>
    <w:rsid w:val="00D5123D"/>
    <w:rsid w:val="00D512CE"/>
    <w:rsid w:val="00D5149E"/>
    <w:rsid w:val="00D5158E"/>
    <w:rsid w:val="00D51A9F"/>
    <w:rsid w:val="00D51AFF"/>
    <w:rsid w:val="00D51C3D"/>
    <w:rsid w:val="00D522CD"/>
    <w:rsid w:val="00D52A25"/>
    <w:rsid w:val="00D52CD6"/>
    <w:rsid w:val="00D52D49"/>
    <w:rsid w:val="00D52DB7"/>
    <w:rsid w:val="00D52E74"/>
    <w:rsid w:val="00D54081"/>
    <w:rsid w:val="00D5429F"/>
    <w:rsid w:val="00D542E6"/>
    <w:rsid w:val="00D544ED"/>
    <w:rsid w:val="00D547EE"/>
    <w:rsid w:val="00D5489B"/>
    <w:rsid w:val="00D54D46"/>
    <w:rsid w:val="00D54E7D"/>
    <w:rsid w:val="00D54EEF"/>
    <w:rsid w:val="00D55273"/>
    <w:rsid w:val="00D55367"/>
    <w:rsid w:val="00D55444"/>
    <w:rsid w:val="00D5571D"/>
    <w:rsid w:val="00D55E49"/>
    <w:rsid w:val="00D55F1F"/>
    <w:rsid w:val="00D5638A"/>
    <w:rsid w:val="00D5680E"/>
    <w:rsid w:val="00D56939"/>
    <w:rsid w:val="00D56B1E"/>
    <w:rsid w:val="00D56C4B"/>
    <w:rsid w:val="00D56DCA"/>
    <w:rsid w:val="00D56FB7"/>
    <w:rsid w:val="00D570EB"/>
    <w:rsid w:val="00D5748A"/>
    <w:rsid w:val="00D5775A"/>
    <w:rsid w:val="00D577A0"/>
    <w:rsid w:val="00D5798C"/>
    <w:rsid w:val="00D57D1D"/>
    <w:rsid w:val="00D57E2D"/>
    <w:rsid w:val="00D605F9"/>
    <w:rsid w:val="00D606CB"/>
    <w:rsid w:val="00D607F0"/>
    <w:rsid w:val="00D60FB7"/>
    <w:rsid w:val="00D612BA"/>
    <w:rsid w:val="00D61777"/>
    <w:rsid w:val="00D61A8B"/>
    <w:rsid w:val="00D61F13"/>
    <w:rsid w:val="00D620B7"/>
    <w:rsid w:val="00D6214F"/>
    <w:rsid w:val="00D62760"/>
    <w:rsid w:val="00D62ADF"/>
    <w:rsid w:val="00D63525"/>
    <w:rsid w:val="00D639C1"/>
    <w:rsid w:val="00D63E10"/>
    <w:rsid w:val="00D63E2B"/>
    <w:rsid w:val="00D6415E"/>
    <w:rsid w:val="00D65005"/>
    <w:rsid w:val="00D65134"/>
    <w:rsid w:val="00D656EE"/>
    <w:rsid w:val="00D65B9B"/>
    <w:rsid w:val="00D6617E"/>
    <w:rsid w:val="00D66831"/>
    <w:rsid w:val="00D66ABB"/>
    <w:rsid w:val="00D66E0F"/>
    <w:rsid w:val="00D66F53"/>
    <w:rsid w:val="00D66FDE"/>
    <w:rsid w:val="00D67436"/>
    <w:rsid w:val="00D679BB"/>
    <w:rsid w:val="00D67B69"/>
    <w:rsid w:val="00D67B86"/>
    <w:rsid w:val="00D67BAC"/>
    <w:rsid w:val="00D67D60"/>
    <w:rsid w:val="00D67E17"/>
    <w:rsid w:val="00D67F1E"/>
    <w:rsid w:val="00D70292"/>
    <w:rsid w:val="00D70297"/>
    <w:rsid w:val="00D702B3"/>
    <w:rsid w:val="00D704AC"/>
    <w:rsid w:val="00D70CE0"/>
    <w:rsid w:val="00D70CF5"/>
    <w:rsid w:val="00D712E4"/>
    <w:rsid w:val="00D71948"/>
    <w:rsid w:val="00D719B6"/>
    <w:rsid w:val="00D719F3"/>
    <w:rsid w:val="00D71E2E"/>
    <w:rsid w:val="00D71F97"/>
    <w:rsid w:val="00D7250C"/>
    <w:rsid w:val="00D727AD"/>
    <w:rsid w:val="00D72BFE"/>
    <w:rsid w:val="00D736EE"/>
    <w:rsid w:val="00D73E04"/>
    <w:rsid w:val="00D74033"/>
    <w:rsid w:val="00D7423F"/>
    <w:rsid w:val="00D74298"/>
    <w:rsid w:val="00D748E0"/>
    <w:rsid w:val="00D74963"/>
    <w:rsid w:val="00D74A09"/>
    <w:rsid w:val="00D74A70"/>
    <w:rsid w:val="00D74B04"/>
    <w:rsid w:val="00D74BCD"/>
    <w:rsid w:val="00D74E9F"/>
    <w:rsid w:val="00D757F4"/>
    <w:rsid w:val="00D75E28"/>
    <w:rsid w:val="00D760BB"/>
    <w:rsid w:val="00D7617B"/>
    <w:rsid w:val="00D763D3"/>
    <w:rsid w:val="00D7672B"/>
    <w:rsid w:val="00D771A4"/>
    <w:rsid w:val="00D772CC"/>
    <w:rsid w:val="00D77378"/>
    <w:rsid w:val="00D7742C"/>
    <w:rsid w:val="00D77934"/>
    <w:rsid w:val="00D77B05"/>
    <w:rsid w:val="00D77E15"/>
    <w:rsid w:val="00D80048"/>
    <w:rsid w:val="00D802EB"/>
    <w:rsid w:val="00D80477"/>
    <w:rsid w:val="00D806E0"/>
    <w:rsid w:val="00D80903"/>
    <w:rsid w:val="00D81179"/>
    <w:rsid w:val="00D816C3"/>
    <w:rsid w:val="00D8196C"/>
    <w:rsid w:val="00D8263D"/>
    <w:rsid w:val="00D82ACD"/>
    <w:rsid w:val="00D82C40"/>
    <w:rsid w:val="00D82CB1"/>
    <w:rsid w:val="00D82E64"/>
    <w:rsid w:val="00D8323D"/>
    <w:rsid w:val="00D835E5"/>
    <w:rsid w:val="00D83A6F"/>
    <w:rsid w:val="00D83D5E"/>
    <w:rsid w:val="00D84FE0"/>
    <w:rsid w:val="00D850A5"/>
    <w:rsid w:val="00D8544F"/>
    <w:rsid w:val="00D85608"/>
    <w:rsid w:val="00D857D0"/>
    <w:rsid w:val="00D861E6"/>
    <w:rsid w:val="00D867C4"/>
    <w:rsid w:val="00D86EAB"/>
    <w:rsid w:val="00D86FF8"/>
    <w:rsid w:val="00D87266"/>
    <w:rsid w:val="00D87429"/>
    <w:rsid w:val="00D87D4F"/>
    <w:rsid w:val="00D9006A"/>
    <w:rsid w:val="00D902D5"/>
    <w:rsid w:val="00D90371"/>
    <w:rsid w:val="00D90598"/>
    <w:rsid w:val="00D9076C"/>
    <w:rsid w:val="00D90A26"/>
    <w:rsid w:val="00D90BC4"/>
    <w:rsid w:val="00D91084"/>
    <w:rsid w:val="00D912E7"/>
    <w:rsid w:val="00D918EC"/>
    <w:rsid w:val="00D91C66"/>
    <w:rsid w:val="00D91C97"/>
    <w:rsid w:val="00D920EB"/>
    <w:rsid w:val="00D922A8"/>
    <w:rsid w:val="00D92854"/>
    <w:rsid w:val="00D92C37"/>
    <w:rsid w:val="00D92F80"/>
    <w:rsid w:val="00D931A7"/>
    <w:rsid w:val="00D934B1"/>
    <w:rsid w:val="00D93657"/>
    <w:rsid w:val="00D936D9"/>
    <w:rsid w:val="00D93943"/>
    <w:rsid w:val="00D93961"/>
    <w:rsid w:val="00D940DB"/>
    <w:rsid w:val="00D94462"/>
    <w:rsid w:val="00D944EA"/>
    <w:rsid w:val="00D9461C"/>
    <w:rsid w:val="00D94764"/>
    <w:rsid w:val="00D94AF6"/>
    <w:rsid w:val="00D94C74"/>
    <w:rsid w:val="00D94FCE"/>
    <w:rsid w:val="00D952F7"/>
    <w:rsid w:val="00D95477"/>
    <w:rsid w:val="00D957AB"/>
    <w:rsid w:val="00D959C4"/>
    <w:rsid w:val="00D95AD0"/>
    <w:rsid w:val="00D95C9C"/>
    <w:rsid w:val="00D962C6"/>
    <w:rsid w:val="00D9688E"/>
    <w:rsid w:val="00D96E5D"/>
    <w:rsid w:val="00D96FD9"/>
    <w:rsid w:val="00D970A3"/>
    <w:rsid w:val="00D970D3"/>
    <w:rsid w:val="00D9711F"/>
    <w:rsid w:val="00D97440"/>
    <w:rsid w:val="00D97638"/>
    <w:rsid w:val="00D978C6"/>
    <w:rsid w:val="00D97DEF"/>
    <w:rsid w:val="00D97F71"/>
    <w:rsid w:val="00DA04E7"/>
    <w:rsid w:val="00DA087F"/>
    <w:rsid w:val="00DA1220"/>
    <w:rsid w:val="00DA1A21"/>
    <w:rsid w:val="00DA1CBC"/>
    <w:rsid w:val="00DA23D9"/>
    <w:rsid w:val="00DA24FF"/>
    <w:rsid w:val="00DA271F"/>
    <w:rsid w:val="00DA2AFE"/>
    <w:rsid w:val="00DA2BF5"/>
    <w:rsid w:val="00DA2EA3"/>
    <w:rsid w:val="00DA2ECA"/>
    <w:rsid w:val="00DA35E4"/>
    <w:rsid w:val="00DA37E8"/>
    <w:rsid w:val="00DA3820"/>
    <w:rsid w:val="00DA3A0C"/>
    <w:rsid w:val="00DA3E4E"/>
    <w:rsid w:val="00DA3FAD"/>
    <w:rsid w:val="00DA44C5"/>
    <w:rsid w:val="00DA45BB"/>
    <w:rsid w:val="00DA46F5"/>
    <w:rsid w:val="00DA4B3B"/>
    <w:rsid w:val="00DA4B60"/>
    <w:rsid w:val="00DA4E31"/>
    <w:rsid w:val="00DA50C7"/>
    <w:rsid w:val="00DA514D"/>
    <w:rsid w:val="00DA591D"/>
    <w:rsid w:val="00DA5998"/>
    <w:rsid w:val="00DA5B50"/>
    <w:rsid w:val="00DA5D57"/>
    <w:rsid w:val="00DA5DBF"/>
    <w:rsid w:val="00DA6167"/>
    <w:rsid w:val="00DA6726"/>
    <w:rsid w:val="00DA68CF"/>
    <w:rsid w:val="00DA6C72"/>
    <w:rsid w:val="00DA71D1"/>
    <w:rsid w:val="00DA7575"/>
    <w:rsid w:val="00DA7860"/>
    <w:rsid w:val="00DA78A9"/>
    <w:rsid w:val="00DA7D25"/>
    <w:rsid w:val="00DA7E74"/>
    <w:rsid w:val="00DB012E"/>
    <w:rsid w:val="00DB068F"/>
    <w:rsid w:val="00DB0AD3"/>
    <w:rsid w:val="00DB12CB"/>
    <w:rsid w:val="00DB14CE"/>
    <w:rsid w:val="00DB1DDF"/>
    <w:rsid w:val="00DB202E"/>
    <w:rsid w:val="00DB2035"/>
    <w:rsid w:val="00DB223B"/>
    <w:rsid w:val="00DB23DD"/>
    <w:rsid w:val="00DB298D"/>
    <w:rsid w:val="00DB2B2C"/>
    <w:rsid w:val="00DB2B3C"/>
    <w:rsid w:val="00DB2B55"/>
    <w:rsid w:val="00DB3295"/>
    <w:rsid w:val="00DB3348"/>
    <w:rsid w:val="00DB33F5"/>
    <w:rsid w:val="00DB3878"/>
    <w:rsid w:val="00DB3B5C"/>
    <w:rsid w:val="00DB40CE"/>
    <w:rsid w:val="00DB43E7"/>
    <w:rsid w:val="00DB45A6"/>
    <w:rsid w:val="00DB47ED"/>
    <w:rsid w:val="00DB494E"/>
    <w:rsid w:val="00DB4B4C"/>
    <w:rsid w:val="00DB4BBD"/>
    <w:rsid w:val="00DB4D7C"/>
    <w:rsid w:val="00DB5608"/>
    <w:rsid w:val="00DB5C71"/>
    <w:rsid w:val="00DB5DD4"/>
    <w:rsid w:val="00DB612E"/>
    <w:rsid w:val="00DB6399"/>
    <w:rsid w:val="00DB6A0B"/>
    <w:rsid w:val="00DB6D5F"/>
    <w:rsid w:val="00DB7299"/>
    <w:rsid w:val="00DB7664"/>
    <w:rsid w:val="00DB7718"/>
    <w:rsid w:val="00DB7A24"/>
    <w:rsid w:val="00DB7A64"/>
    <w:rsid w:val="00DB7F18"/>
    <w:rsid w:val="00DB7FE7"/>
    <w:rsid w:val="00DC016D"/>
    <w:rsid w:val="00DC0696"/>
    <w:rsid w:val="00DC1495"/>
    <w:rsid w:val="00DC17AC"/>
    <w:rsid w:val="00DC1807"/>
    <w:rsid w:val="00DC1A99"/>
    <w:rsid w:val="00DC234F"/>
    <w:rsid w:val="00DC2463"/>
    <w:rsid w:val="00DC2543"/>
    <w:rsid w:val="00DC25D6"/>
    <w:rsid w:val="00DC290B"/>
    <w:rsid w:val="00DC2C6A"/>
    <w:rsid w:val="00DC2D56"/>
    <w:rsid w:val="00DC2E60"/>
    <w:rsid w:val="00DC2F52"/>
    <w:rsid w:val="00DC3FB3"/>
    <w:rsid w:val="00DC466F"/>
    <w:rsid w:val="00DC4760"/>
    <w:rsid w:val="00DC49F4"/>
    <w:rsid w:val="00DC4BA2"/>
    <w:rsid w:val="00DC4C7F"/>
    <w:rsid w:val="00DC4E15"/>
    <w:rsid w:val="00DC5244"/>
    <w:rsid w:val="00DC60BB"/>
    <w:rsid w:val="00DC67CE"/>
    <w:rsid w:val="00DC6BC1"/>
    <w:rsid w:val="00DC6CE3"/>
    <w:rsid w:val="00DC6E8E"/>
    <w:rsid w:val="00DC740F"/>
    <w:rsid w:val="00DC7539"/>
    <w:rsid w:val="00DC7907"/>
    <w:rsid w:val="00DC790E"/>
    <w:rsid w:val="00DC7996"/>
    <w:rsid w:val="00DC7BDD"/>
    <w:rsid w:val="00DD1168"/>
    <w:rsid w:val="00DD1921"/>
    <w:rsid w:val="00DD1949"/>
    <w:rsid w:val="00DD1C92"/>
    <w:rsid w:val="00DD1E37"/>
    <w:rsid w:val="00DD207E"/>
    <w:rsid w:val="00DD221D"/>
    <w:rsid w:val="00DD2242"/>
    <w:rsid w:val="00DD2397"/>
    <w:rsid w:val="00DD282D"/>
    <w:rsid w:val="00DD2991"/>
    <w:rsid w:val="00DD30E9"/>
    <w:rsid w:val="00DD3182"/>
    <w:rsid w:val="00DD3274"/>
    <w:rsid w:val="00DD36AE"/>
    <w:rsid w:val="00DD3980"/>
    <w:rsid w:val="00DD3BB3"/>
    <w:rsid w:val="00DD41A3"/>
    <w:rsid w:val="00DD42A1"/>
    <w:rsid w:val="00DD42A3"/>
    <w:rsid w:val="00DD447D"/>
    <w:rsid w:val="00DD4682"/>
    <w:rsid w:val="00DD4749"/>
    <w:rsid w:val="00DD4D68"/>
    <w:rsid w:val="00DD52EC"/>
    <w:rsid w:val="00DD5934"/>
    <w:rsid w:val="00DD5B1C"/>
    <w:rsid w:val="00DD5E4C"/>
    <w:rsid w:val="00DD5F51"/>
    <w:rsid w:val="00DD6798"/>
    <w:rsid w:val="00DD6FC9"/>
    <w:rsid w:val="00DD70AA"/>
    <w:rsid w:val="00DD73BE"/>
    <w:rsid w:val="00DD77E7"/>
    <w:rsid w:val="00DD7924"/>
    <w:rsid w:val="00DE0726"/>
    <w:rsid w:val="00DE0872"/>
    <w:rsid w:val="00DE10A3"/>
    <w:rsid w:val="00DE1243"/>
    <w:rsid w:val="00DE1345"/>
    <w:rsid w:val="00DE1599"/>
    <w:rsid w:val="00DE17AD"/>
    <w:rsid w:val="00DE1A64"/>
    <w:rsid w:val="00DE1B7F"/>
    <w:rsid w:val="00DE1E9F"/>
    <w:rsid w:val="00DE2799"/>
    <w:rsid w:val="00DE2BE5"/>
    <w:rsid w:val="00DE34E8"/>
    <w:rsid w:val="00DE36B8"/>
    <w:rsid w:val="00DE3758"/>
    <w:rsid w:val="00DE37BC"/>
    <w:rsid w:val="00DE39FE"/>
    <w:rsid w:val="00DE3C1B"/>
    <w:rsid w:val="00DE44E9"/>
    <w:rsid w:val="00DE47C5"/>
    <w:rsid w:val="00DE480B"/>
    <w:rsid w:val="00DE483B"/>
    <w:rsid w:val="00DE499D"/>
    <w:rsid w:val="00DE49F2"/>
    <w:rsid w:val="00DE4C86"/>
    <w:rsid w:val="00DE5324"/>
    <w:rsid w:val="00DE5332"/>
    <w:rsid w:val="00DE5474"/>
    <w:rsid w:val="00DE56DF"/>
    <w:rsid w:val="00DE56FB"/>
    <w:rsid w:val="00DE598E"/>
    <w:rsid w:val="00DE59D4"/>
    <w:rsid w:val="00DE5C87"/>
    <w:rsid w:val="00DE5EE5"/>
    <w:rsid w:val="00DE5F8A"/>
    <w:rsid w:val="00DE648E"/>
    <w:rsid w:val="00DE6575"/>
    <w:rsid w:val="00DE65BA"/>
    <w:rsid w:val="00DE6A9E"/>
    <w:rsid w:val="00DE6F7F"/>
    <w:rsid w:val="00DE7395"/>
    <w:rsid w:val="00DE75C6"/>
    <w:rsid w:val="00DE788C"/>
    <w:rsid w:val="00DE7B4D"/>
    <w:rsid w:val="00DE7F6C"/>
    <w:rsid w:val="00DE7FAD"/>
    <w:rsid w:val="00DF0028"/>
    <w:rsid w:val="00DF049C"/>
    <w:rsid w:val="00DF06D4"/>
    <w:rsid w:val="00DF100F"/>
    <w:rsid w:val="00DF11EF"/>
    <w:rsid w:val="00DF17F3"/>
    <w:rsid w:val="00DF23EF"/>
    <w:rsid w:val="00DF249D"/>
    <w:rsid w:val="00DF2AEA"/>
    <w:rsid w:val="00DF2F9D"/>
    <w:rsid w:val="00DF343F"/>
    <w:rsid w:val="00DF4030"/>
    <w:rsid w:val="00DF410F"/>
    <w:rsid w:val="00DF4120"/>
    <w:rsid w:val="00DF41B2"/>
    <w:rsid w:val="00DF42C6"/>
    <w:rsid w:val="00DF43B1"/>
    <w:rsid w:val="00DF4541"/>
    <w:rsid w:val="00DF48A3"/>
    <w:rsid w:val="00DF4A36"/>
    <w:rsid w:val="00DF4D9B"/>
    <w:rsid w:val="00DF53E5"/>
    <w:rsid w:val="00DF56C0"/>
    <w:rsid w:val="00DF57B8"/>
    <w:rsid w:val="00DF5D15"/>
    <w:rsid w:val="00DF6D5A"/>
    <w:rsid w:val="00DF70B3"/>
    <w:rsid w:val="00DF70CC"/>
    <w:rsid w:val="00DF75AA"/>
    <w:rsid w:val="00DF76A0"/>
    <w:rsid w:val="00DF7ADB"/>
    <w:rsid w:val="00E003C2"/>
    <w:rsid w:val="00E00764"/>
    <w:rsid w:val="00E00D25"/>
    <w:rsid w:val="00E014A7"/>
    <w:rsid w:val="00E01B03"/>
    <w:rsid w:val="00E01B86"/>
    <w:rsid w:val="00E01C7F"/>
    <w:rsid w:val="00E023E3"/>
    <w:rsid w:val="00E02941"/>
    <w:rsid w:val="00E02A82"/>
    <w:rsid w:val="00E02AF6"/>
    <w:rsid w:val="00E02DCB"/>
    <w:rsid w:val="00E02E50"/>
    <w:rsid w:val="00E032DC"/>
    <w:rsid w:val="00E03346"/>
    <w:rsid w:val="00E038B0"/>
    <w:rsid w:val="00E03AB8"/>
    <w:rsid w:val="00E03C65"/>
    <w:rsid w:val="00E03C9F"/>
    <w:rsid w:val="00E03E42"/>
    <w:rsid w:val="00E04007"/>
    <w:rsid w:val="00E043AB"/>
    <w:rsid w:val="00E043BC"/>
    <w:rsid w:val="00E049A1"/>
    <w:rsid w:val="00E04EF5"/>
    <w:rsid w:val="00E0508C"/>
    <w:rsid w:val="00E050CF"/>
    <w:rsid w:val="00E05186"/>
    <w:rsid w:val="00E051C5"/>
    <w:rsid w:val="00E053C1"/>
    <w:rsid w:val="00E05BBB"/>
    <w:rsid w:val="00E06073"/>
    <w:rsid w:val="00E061DF"/>
    <w:rsid w:val="00E06631"/>
    <w:rsid w:val="00E06B56"/>
    <w:rsid w:val="00E07242"/>
    <w:rsid w:val="00E0734F"/>
    <w:rsid w:val="00E0760E"/>
    <w:rsid w:val="00E07B3B"/>
    <w:rsid w:val="00E07FC0"/>
    <w:rsid w:val="00E104CF"/>
    <w:rsid w:val="00E1069B"/>
    <w:rsid w:val="00E1087D"/>
    <w:rsid w:val="00E10B76"/>
    <w:rsid w:val="00E10C75"/>
    <w:rsid w:val="00E10E53"/>
    <w:rsid w:val="00E10F1B"/>
    <w:rsid w:val="00E116AA"/>
    <w:rsid w:val="00E1180E"/>
    <w:rsid w:val="00E11F8E"/>
    <w:rsid w:val="00E12362"/>
    <w:rsid w:val="00E13052"/>
    <w:rsid w:val="00E13244"/>
    <w:rsid w:val="00E135A4"/>
    <w:rsid w:val="00E13CE1"/>
    <w:rsid w:val="00E1416F"/>
    <w:rsid w:val="00E141DC"/>
    <w:rsid w:val="00E14483"/>
    <w:rsid w:val="00E146C5"/>
    <w:rsid w:val="00E14808"/>
    <w:rsid w:val="00E14A03"/>
    <w:rsid w:val="00E14E63"/>
    <w:rsid w:val="00E1553A"/>
    <w:rsid w:val="00E1558E"/>
    <w:rsid w:val="00E157B1"/>
    <w:rsid w:val="00E157BA"/>
    <w:rsid w:val="00E15917"/>
    <w:rsid w:val="00E168BA"/>
    <w:rsid w:val="00E168E6"/>
    <w:rsid w:val="00E16BE4"/>
    <w:rsid w:val="00E16D46"/>
    <w:rsid w:val="00E16FF9"/>
    <w:rsid w:val="00E171AC"/>
    <w:rsid w:val="00E17447"/>
    <w:rsid w:val="00E1762F"/>
    <w:rsid w:val="00E1776A"/>
    <w:rsid w:val="00E177A2"/>
    <w:rsid w:val="00E17911"/>
    <w:rsid w:val="00E179F9"/>
    <w:rsid w:val="00E17ADF"/>
    <w:rsid w:val="00E17B72"/>
    <w:rsid w:val="00E17EF8"/>
    <w:rsid w:val="00E17F5D"/>
    <w:rsid w:val="00E20114"/>
    <w:rsid w:val="00E2017B"/>
    <w:rsid w:val="00E204BF"/>
    <w:rsid w:val="00E20717"/>
    <w:rsid w:val="00E20B4E"/>
    <w:rsid w:val="00E20BDF"/>
    <w:rsid w:val="00E20DA9"/>
    <w:rsid w:val="00E213B3"/>
    <w:rsid w:val="00E219CB"/>
    <w:rsid w:val="00E2216A"/>
    <w:rsid w:val="00E221BD"/>
    <w:rsid w:val="00E22758"/>
    <w:rsid w:val="00E22799"/>
    <w:rsid w:val="00E22C08"/>
    <w:rsid w:val="00E2318D"/>
    <w:rsid w:val="00E235BF"/>
    <w:rsid w:val="00E2374D"/>
    <w:rsid w:val="00E23CEC"/>
    <w:rsid w:val="00E23E4D"/>
    <w:rsid w:val="00E23E9F"/>
    <w:rsid w:val="00E23F2F"/>
    <w:rsid w:val="00E240AB"/>
    <w:rsid w:val="00E2433D"/>
    <w:rsid w:val="00E243E1"/>
    <w:rsid w:val="00E252C1"/>
    <w:rsid w:val="00E25964"/>
    <w:rsid w:val="00E26735"/>
    <w:rsid w:val="00E2693C"/>
    <w:rsid w:val="00E26E99"/>
    <w:rsid w:val="00E26F63"/>
    <w:rsid w:val="00E2719F"/>
    <w:rsid w:val="00E27FCD"/>
    <w:rsid w:val="00E307D6"/>
    <w:rsid w:val="00E308A8"/>
    <w:rsid w:val="00E30F50"/>
    <w:rsid w:val="00E310FA"/>
    <w:rsid w:val="00E315CE"/>
    <w:rsid w:val="00E31D97"/>
    <w:rsid w:val="00E3243C"/>
    <w:rsid w:val="00E328FB"/>
    <w:rsid w:val="00E3290F"/>
    <w:rsid w:val="00E3331A"/>
    <w:rsid w:val="00E333F1"/>
    <w:rsid w:val="00E335E2"/>
    <w:rsid w:val="00E337C2"/>
    <w:rsid w:val="00E33901"/>
    <w:rsid w:val="00E33AA4"/>
    <w:rsid w:val="00E33F87"/>
    <w:rsid w:val="00E34412"/>
    <w:rsid w:val="00E345C1"/>
    <w:rsid w:val="00E35154"/>
    <w:rsid w:val="00E35312"/>
    <w:rsid w:val="00E353BE"/>
    <w:rsid w:val="00E354DE"/>
    <w:rsid w:val="00E3565E"/>
    <w:rsid w:val="00E35FBE"/>
    <w:rsid w:val="00E360B1"/>
    <w:rsid w:val="00E360F9"/>
    <w:rsid w:val="00E36391"/>
    <w:rsid w:val="00E36A4D"/>
    <w:rsid w:val="00E36F7F"/>
    <w:rsid w:val="00E37A8B"/>
    <w:rsid w:val="00E4024F"/>
    <w:rsid w:val="00E40420"/>
    <w:rsid w:val="00E404DF"/>
    <w:rsid w:val="00E40529"/>
    <w:rsid w:val="00E407EC"/>
    <w:rsid w:val="00E40E41"/>
    <w:rsid w:val="00E40EEB"/>
    <w:rsid w:val="00E4152F"/>
    <w:rsid w:val="00E42104"/>
    <w:rsid w:val="00E4214B"/>
    <w:rsid w:val="00E425F2"/>
    <w:rsid w:val="00E4309E"/>
    <w:rsid w:val="00E43185"/>
    <w:rsid w:val="00E4406C"/>
    <w:rsid w:val="00E4447D"/>
    <w:rsid w:val="00E444B1"/>
    <w:rsid w:val="00E4473F"/>
    <w:rsid w:val="00E448C4"/>
    <w:rsid w:val="00E449C8"/>
    <w:rsid w:val="00E44BC7"/>
    <w:rsid w:val="00E44C34"/>
    <w:rsid w:val="00E44F80"/>
    <w:rsid w:val="00E45008"/>
    <w:rsid w:val="00E458F6"/>
    <w:rsid w:val="00E45FEE"/>
    <w:rsid w:val="00E463F4"/>
    <w:rsid w:val="00E46729"/>
    <w:rsid w:val="00E4673B"/>
    <w:rsid w:val="00E467F1"/>
    <w:rsid w:val="00E46C34"/>
    <w:rsid w:val="00E47279"/>
    <w:rsid w:val="00E472C7"/>
    <w:rsid w:val="00E4791F"/>
    <w:rsid w:val="00E47968"/>
    <w:rsid w:val="00E47993"/>
    <w:rsid w:val="00E47E28"/>
    <w:rsid w:val="00E47F7C"/>
    <w:rsid w:val="00E507CF"/>
    <w:rsid w:val="00E50987"/>
    <w:rsid w:val="00E50D7A"/>
    <w:rsid w:val="00E50D8A"/>
    <w:rsid w:val="00E511FF"/>
    <w:rsid w:val="00E51200"/>
    <w:rsid w:val="00E51B5D"/>
    <w:rsid w:val="00E51D27"/>
    <w:rsid w:val="00E51EDE"/>
    <w:rsid w:val="00E5236D"/>
    <w:rsid w:val="00E5258A"/>
    <w:rsid w:val="00E52638"/>
    <w:rsid w:val="00E527B8"/>
    <w:rsid w:val="00E52A5B"/>
    <w:rsid w:val="00E52B8B"/>
    <w:rsid w:val="00E52FEE"/>
    <w:rsid w:val="00E53291"/>
    <w:rsid w:val="00E5330A"/>
    <w:rsid w:val="00E53627"/>
    <w:rsid w:val="00E53A0C"/>
    <w:rsid w:val="00E53B49"/>
    <w:rsid w:val="00E53E38"/>
    <w:rsid w:val="00E5452C"/>
    <w:rsid w:val="00E5496E"/>
    <w:rsid w:val="00E54DC9"/>
    <w:rsid w:val="00E54DCF"/>
    <w:rsid w:val="00E54EDD"/>
    <w:rsid w:val="00E54F10"/>
    <w:rsid w:val="00E55985"/>
    <w:rsid w:val="00E55A65"/>
    <w:rsid w:val="00E55AE6"/>
    <w:rsid w:val="00E55EF4"/>
    <w:rsid w:val="00E56019"/>
    <w:rsid w:val="00E56353"/>
    <w:rsid w:val="00E5669D"/>
    <w:rsid w:val="00E567E0"/>
    <w:rsid w:val="00E56B21"/>
    <w:rsid w:val="00E56EAC"/>
    <w:rsid w:val="00E572EC"/>
    <w:rsid w:val="00E5760F"/>
    <w:rsid w:val="00E57B3A"/>
    <w:rsid w:val="00E57C80"/>
    <w:rsid w:val="00E601CB"/>
    <w:rsid w:val="00E603A6"/>
    <w:rsid w:val="00E60A5B"/>
    <w:rsid w:val="00E60E3A"/>
    <w:rsid w:val="00E61237"/>
    <w:rsid w:val="00E61297"/>
    <w:rsid w:val="00E61E6B"/>
    <w:rsid w:val="00E621D4"/>
    <w:rsid w:val="00E62462"/>
    <w:rsid w:val="00E62A6B"/>
    <w:rsid w:val="00E62E0F"/>
    <w:rsid w:val="00E630F4"/>
    <w:rsid w:val="00E63637"/>
    <w:rsid w:val="00E638B2"/>
    <w:rsid w:val="00E639C0"/>
    <w:rsid w:val="00E6470C"/>
    <w:rsid w:val="00E6476B"/>
    <w:rsid w:val="00E653F4"/>
    <w:rsid w:val="00E654C2"/>
    <w:rsid w:val="00E65510"/>
    <w:rsid w:val="00E65ADE"/>
    <w:rsid w:val="00E65B32"/>
    <w:rsid w:val="00E65E29"/>
    <w:rsid w:val="00E6601D"/>
    <w:rsid w:val="00E6614B"/>
    <w:rsid w:val="00E6617E"/>
    <w:rsid w:val="00E6653D"/>
    <w:rsid w:val="00E668CF"/>
    <w:rsid w:val="00E668E7"/>
    <w:rsid w:val="00E6744B"/>
    <w:rsid w:val="00E674E4"/>
    <w:rsid w:val="00E675AA"/>
    <w:rsid w:val="00E679A1"/>
    <w:rsid w:val="00E67A70"/>
    <w:rsid w:val="00E67A8B"/>
    <w:rsid w:val="00E67E4C"/>
    <w:rsid w:val="00E67F8D"/>
    <w:rsid w:val="00E7067D"/>
    <w:rsid w:val="00E70768"/>
    <w:rsid w:val="00E70B71"/>
    <w:rsid w:val="00E70D87"/>
    <w:rsid w:val="00E70D89"/>
    <w:rsid w:val="00E718BA"/>
    <w:rsid w:val="00E71EEF"/>
    <w:rsid w:val="00E72104"/>
    <w:rsid w:val="00E722F4"/>
    <w:rsid w:val="00E7231F"/>
    <w:rsid w:val="00E72609"/>
    <w:rsid w:val="00E727BD"/>
    <w:rsid w:val="00E72887"/>
    <w:rsid w:val="00E72A06"/>
    <w:rsid w:val="00E72B70"/>
    <w:rsid w:val="00E72C38"/>
    <w:rsid w:val="00E731DD"/>
    <w:rsid w:val="00E7354B"/>
    <w:rsid w:val="00E736C9"/>
    <w:rsid w:val="00E73700"/>
    <w:rsid w:val="00E737A6"/>
    <w:rsid w:val="00E73C56"/>
    <w:rsid w:val="00E73D09"/>
    <w:rsid w:val="00E73F2A"/>
    <w:rsid w:val="00E7407A"/>
    <w:rsid w:val="00E7408B"/>
    <w:rsid w:val="00E74B90"/>
    <w:rsid w:val="00E74BA0"/>
    <w:rsid w:val="00E74CE6"/>
    <w:rsid w:val="00E74D4C"/>
    <w:rsid w:val="00E75442"/>
    <w:rsid w:val="00E75529"/>
    <w:rsid w:val="00E758B0"/>
    <w:rsid w:val="00E7661B"/>
    <w:rsid w:val="00E76C75"/>
    <w:rsid w:val="00E76CA2"/>
    <w:rsid w:val="00E770D6"/>
    <w:rsid w:val="00E7716B"/>
    <w:rsid w:val="00E771B5"/>
    <w:rsid w:val="00E77CE8"/>
    <w:rsid w:val="00E80287"/>
    <w:rsid w:val="00E806AE"/>
    <w:rsid w:val="00E80717"/>
    <w:rsid w:val="00E8093B"/>
    <w:rsid w:val="00E80AC5"/>
    <w:rsid w:val="00E810A5"/>
    <w:rsid w:val="00E8120D"/>
    <w:rsid w:val="00E813BE"/>
    <w:rsid w:val="00E8144E"/>
    <w:rsid w:val="00E81A4D"/>
    <w:rsid w:val="00E81D6C"/>
    <w:rsid w:val="00E820F6"/>
    <w:rsid w:val="00E82277"/>
    <w:rsid w:val="00E8239E"/>
    <w:rsid w:val="00E826FD"/>
    <w:rsid w:val="00E82849"/>
    <w:rsid w:val="00E82992"/>
    <w:rsid w:val="00E82A8F"/>
    <w:rsid w:val="00E82BE9"/>
    <w:rsid w:val="00E82D70"/>
    <w:rsid w:val="00E832A4"/>
    <w:rsid w:val="00E834B8"/>
    <w:rsid w:val="00E83748"/>
    <w:rsid w:val="00E83A05"/>
    <w:rsid w:val="00E83D4D"/>
    <w:rsid w:val="00E84025"/>
    <w:rsid w:val="00E842CC"/>
    <w:rsid w:val="00E8442C"/>
    <w:rsid w:val="00E84C03"/>
    <w:rsid w:val="00E84CC6"/>
    <w:rsid w:val="00E84D7D"/>
    <w:rsid w:val="00E85532"/>
    <w:rsid w:val="00E8577D"/>
    <w:rsid w:val="00E85F5C"/>
    <w:rsid w:val="00E8601B"/>
    <w:rsid w:val="00E8622F"/>
    <w:rsid w:val="00E86246"/>
    <w:rsid w:val="00E8648E"/>
    <w:rsid w:val="00E86540"/>
    <w:rsid w:val="00E8755C"/>
    <w:rsid w:val="00E8763E"/>
    <w:rsid w:val="00E87673"/>
    <w:rsid w:val="00E87914"/>
    <w:rsid w:val="00E87E9E"/>
    <w:rsid w:val="00E90246"/>
    <w:rsid w:val="00E9077F"/>
    <w:rsid w:val="00E909EE"/>
    <w:rsid w:val="00E90B8B"/>
    <w:rsid w:val="00E90F9E"/>
    <w:rsid w:val="00E91BE1"/>
    <w:rsid w:val="00E91C06"/>
    <w:rsid w:val="00E91EF7"/>
    <w:rsid w:val="00E925A1"/>
    <w:rsid w:val="00E927C2"/>
    <w:rsid w:val="00E92E68"/>
    <w:rsid w:val="00E92F36"/>
    <w:rsid w:val="00E93620"/>
    <w:rsid w:val="00E936E1"/>
    <w:rsid w:val="00E93850"/>
    <w:rsid w:val="00E938AC"/>
    <w:rsid w:val="00E938F3"/>
    <w:rsid w:val="00E94B10"/>
    <w:rsid w:val="00E94BDB"/>
    <w:rsid w:val="00E94DF9"/>
    <w:rsid w:val="00E95869"/>
    <w:rsid w:val="00E95BD5"/>
    <w:rsid w:val="00E95E3B"/>
    <w:rsid w:val="00E95F8F"/>
    <w:rsid w:val="00E96028"/>
    <w:rsid w:val="00E96261"/>
    <w:rsid w:val="00E9645D"/>
    <w:rsid w:val="00E9665C"/>
    <w:rsid w:val="00E967DD"/>
    <w:rsid w:val="00E96C6C"/>
    <w:rsid w:val="00E97000"/>
    <w:rsid w:val="00E97116"/>
    <w:rsid w:val="00E973D0"/>
    <w:rsid w:val="00E97493"/>
    <w:rsid w:val="00E97585"/>
    <w:rsid w:val="00E97600"/>
    <w:rsid w:val="00E9772E"/>
    <w:rsid w:val="00E97BD8"/>
    <w:rsid w:val="00EA015D"/>
    <w:rsid w:val="00EA03D8"/>
    <w:rsid w:val="00EA0696"/>
    <w:rsid w:val="00EA09BB"/>
    <w:rsid w:val="00EA09F9"/>
    <w:rsid w:val="00EA0A3C"/>
    <w:rsid w:val="00EA0AB0"/>
    <w:rsid w:val="00EA0B03"/>
    <w:rsid w:val="00EA0E77"/>
    <w:rsid w:val="00EA10C7"/>
    <w:rsid w:val="00EA1201"/>
    <w:rsid w:val="00EA140B"/>
    <w:rsid w:val="00EA17C8"/>
    <w:rsid w:val="00EA194D"/>
    <w:rsid w:val="00EA1ACD"/>
    <w:rsid w:val="00EA1AED"/>
    <w:rsid w:val="00EA1D66"/>
    <w:rsid w:val="00EA26DB"/>
    <w:rsid w:val="00EA291C"/>
    <w:rsid w:val="00EA30ED"/>
    <w:rsid w:val="00EA32D3"/>
    <w:rsid w:val="00EA39D2"/>
    <w:rsid w:val="00EA3CD5"/>
    <w:rsid w:val="00EA4089"/>
    <w:rsid w:val="00EA409E"/>
    <w:rsid w:val="00EA42EA"/>
    <w:rsid w:val="00EA43D6"/>
    <w:rsid w:val="00EA46FA"/>
    <w:rsid w:val="00EA4AE9"/>
    <w:rsid w:val="00EA51C1"/>
    <w:rsid w:val="00EA59C9"/>
    <w:rsid w:val="00EA5C4E"/>
    <w:rsid w:val="00EA6AD8"/>
    <w:rsid w:val="00EA6CC1"/>
    <w:rsid w:val="00EA6DDC"/>
    <w:rsid w:val="00EA6E0E"/>
    <w:rsid w:val="00EA6ED6"/>
    <w:rsid w:val="00EA6F61"/>
    <w:rsid w:val="00EA6FDE"/>
    <w:rsid w:val="00EB0406"/>
    <w:rsid w:val="00EB08C2"/>
    <w:rsid w:val="00EB0984"/>
    <w:rsid w:val="00EB09A7"/>
    <w:rsid w:val="00EB0CA8"/>
    <w:rsid w:val="00EB0D24"/>
    <w:rsid w:val="00EB0DF7"/>
    <w:rsid w:val="00EB0EB0"/>
    <w:rsid w:val="00EB0ED8"/>
    <w:rsid w:val="00EB0F07"/>
    <w:rsid w:val="00EB11D6"/>
    <w:rsid w:val="00EB1270"/>
    <w:rsid w:val="00EB150D"/>
    <w:rsid w:val="00EB17F7"/>
    <w:rsid w:val="00EB1878"/>
    <w:rsid w:val="00EB1930"/>
    <w:rsid w:val="00EB1E09"/>
    <w:rsid w:val="00EB214F"/>
    <w:rsid w:val="00EB2708"/>
    <w:rsid w:val="00EB2830"/>
    <w:rsid w:val="00EB3013"/>
    <w:rsid w:val="00EB3196"/>
    <w:rsid w:val="00EB3694"/>
    <w:rsid w:val="00EB3700"/>
    <w:rsid w:val="00EB37D1"/>
    <w:rsid w:val="00EB3974"/>
    <w:rsid w:val="00EB3BA4"/>
    <w:rsid w:val="00EB3C1C"/>
    <w:rsid w:val="00EB3DCF"/>
    <w:rsid w:val="00EB3EED"/>
    <w:rsid w:val="00EB3EF7"/>
    <w:rsid w:val="00EB449E"/>
    <w:rsid w:val="00EB4DCD"/>
    <w:rsid w:val="00EB4F33"/>
    <w:rsid w:val="00EB5156"/>
    <w:rsid w:val="00EB58F3"/>
    <w:rsid w:val="00EB5A85"/>
    <w:rsid w:val="00EB5B99"/>
    <w:rsid w:val="00EB5C39"/>
    <w:rsid w:val="00EB610D"/>
    <w:rsid w:val="00EB6381"/>
    <w:rsid w:val="00EB64B1"/>
    <w:rsid w:val="00EB653C"/>
    <w:rsid w:val="00EB69CF"/>
    <w:rsid w:val="00EB6B35"/>
    <w:rsid w:val="00EB6E24"/>
    <w:rsid w:val="00EB78CD"/>
    <w:rsid w:val="00EB7B26"/>
    <w:rsid w:val="00EB7B92"/>
    <w:rsid w:val="00EB7C54"/>
    <w:rsid w:val="00EB7DA2"/>
    <w:rsid w:val="00EC0178"/>
    <w:rsid w:val="00EC0374"/>
    <w:rsid w:val="00EC0DC6"/>
    <w:rsid w:val="00EC0F74"/>
    <w:rsid w:val="00EC10B6"/>
    <w:rsid w:val="00EC16EB"/>
    <w:rsid w:val="00EC173F"/>
    <w:rsid w:val="00EC1865"/>
    <w:rsid w:val="00EC1CC4"/>
    <w:rsid w:val="00EC1CCD"/>
    <w:rsid w:val="00EC1D8E"/>
    <w:rsid w:val="00EC1E0C"/>
    <w:rsid w:val="00EC23FC"/>
    <w:rsid w:val="00EC297B"/>
    <w:rsid w:val="00EC29D0"/>
    <w:rsid w:val="00EC29F6"/>
    <w:rsid w:val="00EC31C9"/>
    <w:rsid w:val="00EC36B7"/>
    <w:rsid w:val="00EC3925"/>
    <w:rsid w:val="00EC3E54"/>
    <w:rsid w:val="00EC406F"/>
    <w:rsid w:val="00EC41D1"/>
    <w:rsid w:val="00EC4500"/>
    <w:rsid w:val="00EC4A59"/>
    <w:rsid w:val="00EC4AAF"/>
    <w:rsid w:val="00EC58E9"/>
    <w:rsid w:val="00EC5B1E"/>
    <w:rsid w:val="00EC5DA0"/>
    <w:rsid w:val="00EC668D"/>
    <w:rsid w:val="00EC6711"/>
    <w:rsid w:val="00EC67D6"/>
    <w:rsid w:val="00EC719B"/>
    <w:rsid w:val="00EC7676"/>
    <w:rsid w:val="00EC79F8"/>
    <w:rsid w:val="00ED010A"/>
    <w:rsid w:val="00ED05CD"/>
    <w:rsid w:val="00ED078F"/>
    <w:rsid w:val="00ED1367"/>
    <w:rsid w:val="00ED1476"/>
    <w:rsid w:val="00ED1823"/>
    <w:rsid w:val="00ED1C69"/>
    <w:rsid w:val="00ED2162"/>
    <w:rsid w:val="00ED25F4"/>
    <w:rsid w:val="00ED271F"/>
    <w:rsid w:val="00ED3174"/>
    <w:rsid w:val="00ED3246"/>
    <w:rsid w:val="00ED35B9"/>
    <w:rsid w:val="00ED3857"/>
    <w:rsid w:val="00ED3919"/>
    <w:rsid w:val="00ED3929"/>
    <w:rsid w:val="00ED3B5C"/>
    <w:rsid w:val="00ED3DF9"/>
    <w:rsid w:val="00ED4215"/>
    <w:rsid w:val="00ED4A04"/>
    <w:rsid w:val="00ED52A9"/>
    <w:rsid w:val="00ED56BC"/>
    <w:rsid w:val="00ED589E"/>
    <w:rsid w:val="00ED5FD4"/>
    <w:rsid w:val="00ED61AA"/>
    <w:rsid w:val="00ED6D18"/>
    <w:rsid w:val="00ED6D28"/>
    <w:rsid w:val="00ED7364"/>
    <w:rsid w:val="00ED73EA"/>
    <w:rsid w:val="00ED775A"/>
    <w:rsid w:val="00ED77ED"/>
    <w:rsid w:val="00ED7957"/>
    <w:rsid w:val="00ED7B96"/>
    <w:rsid w:val="00ED7BC4"/>
    <w:rsid w:val="00ED7BC9"/>
    <w:rsid w:val="00ED7C74"/>
    <w:rsid w:val="00ED7E6C"/>
    <w:rsid w:val="00EE04F4"/>
    <w:rsid w:val="00EE089B"/>
    <w:rsid w:val="00EE0923"/>
    <w:rsid w:val="00EE0C84"/>
    <w:rsid w:val="00EE1098"/>
    <w:rsid w:val="00EE1AFD"/>
    <w:rsid w:val="00EE2262"/>
    <w:rsid w:val="00EE2429"/>
    <w:rsid w:val="00EE248B"/>
    <w:rsid w:val="00EE28EB"/>
    <w:rsid w:val="00EE2995"/>
    <w:rsid w:val="00EE3099"/>
    <w:rsid w:val="00EE35E4"/>
    <w:rsid w:val="00EE3AC1"/>
    <w:rsid w:val="00EE3AF9"/>
    <w:rsid w:val="00EE3B91"/>
    <w:rsid w:val="00EE3B97"/>
    <w:rsid w:val="00EE3C91"/>
    <w:rsid w:val="00EE3CB0"/>
    <w:rsid w:val="00EE3DC5"/>
    <w:rsid w:val="00EE4298"/>
    <w:rsid w:val="00EE43DF"/>
    <w:rsid w:val="00EE480F"/>
    <w:rsid w:val="00EE48A1"/>
    <w:rsid w:val="00EE48D9"/>
    <w:rsid w:val="00EE4ADF"/>
    <w:rsid w:val="00EE4C48"/>
    <w:rsid w:val="00EE5156"/>
    <w:rsid w:val="00EE51F7"/>
    <w:rsid w:val="00EE5535"/>
    <w:rsid w:val="00EE58CA"/>
    <w:rsid w:val="00EE5A7D"/>
    <w:rsid w:val="00EE5CF9"/>
    <w:rsid w:val="00EE63A5"/>
    <w:rsid w:val="00EE6428"/>
    <w:rsid w:val="00EE6850"/>
    <w:rsid w:val="00EE6D88"/>
    <w:rsid w:val="00EE71BC"/>
    <w:rsid w:val="00EE730D"/>
    <w:rsid w:val="00EE7410"/>
    <w:rsid w:val="00EE7EF5"/>
    <w:rsid w:val="00EF09ED"/>
    <w:rsid w:val="00EF1014"/>
    <w:rsid w:val="00EF107D"/>
    <w:rsid w:val="00EF1122"/>
    <w:rsid w:val="00EF1151"/>
    <w:rsid w:val="00EF12CE"/>
    <w:rsid w:val="00EF1617"/>
    <w:rsid w:val="00EF16C0"/>
    <w:rsid w:val="00EF1C91"/>
    <w:rsid w:val="00EF2373"/>
    <w:rsid w:val="00EF23A9"/>
    <w:rsid w:val="00EF28B7"/>
    <w:rsid w:val="00EF2EA2"/>
    <w:rsid w:val="00EF3A65"/>
    <w:rsid w:val="00EF3A86"/>
    <w:rsid w:val="00EF411B"/>
    <w:rsid w:val="00EF429D"/>
    <w:rsid w:val="00EF433F"/>
    <w:rsid w:val="00EF446C"/>
    <w:rsid w:val="00EF4978"/>
    <w:rsid w:val="00EF4ED7"/>
    <w:rsid w:val="00EF5027"/>
    <w:rsid w:val="00EF5363"/>
    <w:rsid w:val="00EF5642"/>
    <w:rsid w:val="00EF5798"/>
    <w:rsid w:val="00EF5C8B"/>
    <w:rsid w:val="00EF5CA4"/>
    <w:rsid w:val="00EF5D37"/>
    <w:rsid w:val="00EF6064"/>
    <w:rsid w:val="00EF626C"/>
    <w:rsid w:val="00EF6390"/>
    <w:rsid w:val="00EF6559"/>
    <w:rsid w:val="00EF68E2"/>
    <w:rsid w:val="00EF6DBD"/>
    <w:rsid w:val="00EF740F"/>
    <w:rsid w:val="00EF774C"/>
    <w:rsid w:val="00EF789A"/>
    <w:rsid w:val="00EF78D6"/>
    <w:rsid w:val="00EF7BF8"/>
    <w:rsid w:val="00EF7D52"/>
    <w:rsid w:val="00F00496"/>
    <w:rsid w:val="00F00CE1"/>
    <w:rsid w:val="00F00CFE"/>
    <w:rsid w:val="00F00D42"/>
    <w:rsid w:val="00F00DA1"/>
    <w:rsid w:val="00F00DC9"/>
    <w:rsid w:val="00F013B5"/>
    <w:rsid w:val="00F017D2"/>
    <w:rsid w:val="00F01B1A"/>
    <w:rsid w:val="00F01BC7"/>
    <w:rsid w:val="00F01E2D"/>
    <w:rsid w:val="00F02B78"/>
    <w:rsid w:val="00F02F7A"/>
    <w:rsid w:val="00F03024"/>
    <w:rsid w:val="00F03564"/>
    <w:rsid w:val="00F035BD"/>
    <w:rsid w:val="00F0388F"/>
    <w:rsid w:val="00F03C5F"/>
    <w:rsid w:val="00F03E41"/>
    <w:rsid w:val="00F0411F"/>
    <w:rsid w:val="00F043AC"/>
    <w:rsid w:val="00F0443B"/>
    <w:rsid w:val="00F0444D"/>
    <w:rsid w:val="00F044F5"/>
    <w:rsid w:val="00F04917"/>
    <w:rsid w:val="00F04982"/>
    <w:rsid w:val="00F04C8F"/>
    <w:rsid w:val="00F05361"/>
    <w:rsid w:val="00F057BE"/>
    <w:rsid w:val="00F058F7"/>
    <w:rsid w:val="00F05AD8"/>
    <w:rsid w:val="00F06217"/>
    <w:rsid w:val="00F06A70"/>
    <w:rsid w:val="00F06DA2"/>
    <w:rsid w:val="00F06F74"/>
    <w:rsid w:val="00F0719B"/>
    <w:rsid w:val="00F07770"/>
    <w:rsid w:val="00F100A4"/>
    <w:rsid w:val="00F105D5"/>
    <w:rsid w:val="00F10BDD"/>
    <w:rsid w:val="00F10E66"/>
    <w:rsid w:val="00F1110F"/>
    <w:rsid w:val="00F11128"/>
    <w:rsid w:val="00F11377"/>
    <w:rsid w:val="00F1151D"/>
    <w:rsid w:val="00F117F2"/>
    <w:rsid w:val="00F119A2"/>
    <w:rsid w:val="00F11F5B"/>
    <w:rsid w:val="00F12022"/>
    <w:rsid w:val="00F120DB"/>
    <w:rsid w:val="00F124F5"/>
    <w:rsid w:val="00F12623"/>
    <w:rsid w:val="00F129D3"/>
    <w:rsid w:val="00F12A41"/>
    <w:rsid w:val="00F12B1D"/>
    <w:rsid w:val="00F12C52"/>
    <w:rsid w:val="00F12F61"/>
    <w:rsid w:val="00F1398B"/>
    <w:rsid w:val="00F13AA9"/>
    <w:rsid w:val="00F13CDD"/>
    <w:rsid w:val="00F13D4E"/>
    <w:rsid w:val="00F13DA3"/>
    <w:rsid w:val="00F13E59"/>
    <w:rsid w:val="00F13E81"/>
    <w:rsid w:val="00F13FB6"/>
    <w:rsid w:val="00F14371"/>
    <w:rsid w:val="00F14439"/>
    <w:rsid w:val="00F144B7"/>
    <w:rsid w:val="00F146AD"/>
    <w:rsid w:val="00F146C3"/>
    <w:rsid w:val="00F14A25"/>
    <w:rsid w:val="00F150A4"/>
    <w:rsid w:val="00F16491"/>
    <w:rsid w:val="00F16628"/>
    <w:rsid w:val="00F17169"/>
    <w:rsid w:val="00F176C6"/>
    <w:rsid w:val="00F178FD"/>
    <w:rsid w:val="00F179D6"/>
    <w:rsid w:val="00F17B97"/>
    <w:rsid w:val="00F17D33"/>
    <w:rsid w:val="00F2016A"/>
    <w:rsid w:val="00F2079B"/>
    <w:rsid w:val="00F208FF"/>
    <w:rsid w:val="00F20945"/>
    <w:rsid w:val="00F21090"/>
    <w:rsid w:val="00F216B8"/>
    <w:rsid w:val="00F2191A"/>
    <w:rsid w:val="00F21980"/>
    <w:rsid w:val="00F21B4C"/>
    <w:rsid w:val="00F21E4B"/>
    <w:rsid w:val="00F22558"/>
    <w:rsid w:val="00F22C3F"/>
    <w:rsid w:val="00F230E4"/>
    <w:rsid w:val="00F231F6"/>
    <w:rsid w:val="00F232DC"/>
    <w:rsid w:val="00F233E8"/>
    <w:rsid w:val="00F2359A"/>
    <w:rsid w:val="00F23916"/>
    <w:rsid w:val="00F239B4"/>
    <w:rsid w:val="00F23EEC"/>
    <w:rsid w:val="00F24021"/>
    <w:rsid w:val="00F242E2"/>
    <w:rsid w:val="00F2440E"/>
    <w:rsid w:val="00F244A7"/>
    <w:rsid w:val="00F2481D"/>
    <w:rsid w:val="00F24E42"/>
    <w:rsid w:val="00F25284"/>
    <w:rsid w:val="00F254B5"/>
    <w:rsid w:val="00F257FD"/>
    <w:rsid w:val="00F2587E"/>
    <w:rsid w:val="00F259E4"/>
    <w:rsid w:val="00F25B95"/>
    <w:rsid w:val="00F25D87"/>
    <w:rsid w:val="00F25DCB"/>
    <w:rsid w:val="00F26751"/>
    <w:rsid w:val="00F26F7F"/>
    <w:rsid w:val="00F27656"/>
    <w:rsid w:val="00F27CD2"/>
    <w:rsid w:val="00F3008B"/>
    <w:rsid w:val="00F3070A"/>
    <w:rsid w:val="00F30AB8"/>
    <w:rsid w:val="00F30E3E"/>
    <w:rsid w:val="00F30FB8"/>
    <w:rsid w:val="00F3176A"/>
    <w:rsid w:val="00F3177C"/>
    <w:rsid w:val="00F31E02"/>
    <w:rsid w:val="00F31E11"/>
    <w:rsid w:val="00F31E7A"/>
    <w:rsid w:val="00F321A8"/>
    <w:rsid w:val="00F321D0"/>
    <w:rsid w:val="00F326FA"/>
    <w:rsid w:val="00F32735"/>
    <w:rsid w:val="00F327E0"/>
    <w:rsid w:val="00F32A47"/>
    <w:rsid w:val="00F33576"/>
    <w:rsid w:val="00F33871"/>
    <w:rsid w:val="00F34564"/>
    <w:rsid w:val="00F34BF4"/>
    <w:rsid w:val="00F34D31"/>
    <w:rsid w:val="00F34D3A"/>
    <w:rsid w:val="00F34FDE"/>
    <w:rsid w:val="00F352CC"/>
    <w:rsid w:val="00F354B5"/>
    <w:rsid w:val="00F35F25"/>
    <w:rsid w:val="00F360FF"/>
    <w:rsid w:val="00F36711"/>
    <w:rsid w:val="00F36823"/>
    <w:rsid w:val="00F37008"/>
    <w:rsid w:val="00F371B4"/>
    <w:rsid w:val="00F3783A"/>
    <w:rsid w:val="00F378DF"/>
    <w:rsid w:val="00F37B48"/>
    <w:rsid w:val="00F37BA6"/>
    <w:rsid w:val="00F37BBF"/>
    <w:rsid w:val="00F40B50"/>
    <w:rsid w:val="00F40F6B"/>
    <w:rsid w:val="00F41420"/>
    <w:rsid w:val="00F4142B"/>
    <w:rsid w:val="00F4194E"/>
    <w:rsid w:val="00F41969"/>
    <w:rsid w:val="00F4219F"/>
    <w:rsid w:val="00F423B7"/>
    <w:rsid w:val="00F42B05"/>
    <w:rsid w:val="00F4370C"/>
    <w:rsid w:val="00F43C8E"/>
    <w:rsid w:val="00F43D56"/>
    <w:rsid w:val="00F43F3E"/>
    <w:rsid w:val="00F4400C"/>
    <w:rsid w:val="00F444BD"/>
    <w:rsid w:val="00F44618"/>
    <w:rsid w:val="00F44787"/>
    <w:rsid w:val="00F44A2B"/>
    <w:rsid w:val="00F451FD"/>
    <w:rsid w:val="00F45576"/>
    <w:rsid w:val="00F45665"/>
    <w:rsid w:val="00F45870"/>
    <w:rsid w:val="00F458EB"/>
    <w:rsid w:val="00F45BA6"/>
    <w:rsid w:val="00F45DCF"/>
    <w:rsid w:val="00F45E5B"/>
    <w:rsid w:val="00F45E73"/>
    <w:rsid w:val="00F4618F"/>
    <w:rsid w:val="00F46455"/>
    <w:rsid w:val="00F469AB"/>
    <w:rsid w:val="00F46B2F"/>
    <w:rsid w:val="00F46B37"/>
    <w:rsid w:val="00F46B62"/>
    <w:rsid w:val="00F46F40"/>
    <w:rsid w:val="00F47618"/>
    <w:rsid w:val="00F47BC3"/>
    <w:rsid w:val="00F47EC4"/>
    <w:rsid w:val="00F47F7C"/>
    <w:rsid w:val="00F50252"/>
    <w:rsid w:val="00F5036C"/>
    <w:rsid w:val="00F5051D"/>
    <w:rsid w:val="00F50754"/>
    <w:rsid w:val="00F50772"/>
    <w:rsid w:val="00F508D5"/>
    <w:rsid w:val="00F50F40"/>
    <w:rsid w:val="00F5127A"/>
    <w:rsid w:val="00F516AD"/>
    <w:rsid w:val="00F519A7"/>
    <w:rsid w:val="00F51A09"/>
    <w:rsid w:val="00F51D13"/>
    <w:rsid w:val="00F5215A"/>
    <w:rsid w:val="00F521B2"/>
    <w:rsid w:val="00F524F8"/>
    <w:rsid w:val="00F5251C"/>
    <w:rsid w:val="00F5266A"/>
    <w:rsid w:val="00F53059"/>
    <w:rsid w:val="00F5307C"/>
    <w:rsid w:val="00F53507"/>
    <w:rsid w:val="00F537C0"/>
    <w:rsid w:val="00F53814"/>
    <w:rsid w:val="00F538AA"/>
    <w:rsid w:val="00F53C12"/>
    <w:rsid w:val="00F548B4"/>
    <w:rsid w:val="00F5496D"/>
    <w:rsid w:val="00F54B91"/>
    <w:rsid w:val="00F54EAA"/>
    <w:rsid w:val="00F5514E"/>
    <w:rsid w:val="00F5532C"/>
    <w:rsid w:val="00F55C4F"/>
    <w:rsid w:val="00F55FBA"/>
    <w:rsid w:val="00F56412"/>
    <w:rsid w:val="00F56818"/>
    <w:rsid w:val="00F568FA"/>
    <w:rsid w:val="00F56DEC"/>
    <w:rsid w:val="00F56F8B"/>
    <w:rsid w:val="00F57046"/>
    <w:rsid w:val="00F5707E"/>
    <w:rsid w:val="00F5727F"/>
    <w:rsid w:val="00F57935"/>
    <w:rsid w:val="00F57B81"/>
    <w:rsid w:val="00F57ED0"/>
    <w:rsid w:val="00F57F65"/>
    <w:rsid w:val="00F602BB"/>
    <w:rsid w:val="00F60422"/>
    <w:rsid w:val="00F60606"/>
    <w:rsid w:val="00F60A4C"/>
    <w:rsid w:val="00F60AE6"/>
    <w:rsid w:val="00F6123A"/>
    <w:rsid w:val="00F6127E"/>
    <w:rsid w:val="00F61345"/>
    <w:rsid w:val="00F615C3"/>
    <w:rsid w:val="00F618C9"/>
    <w:rsid w:val="00F61CCA"/>
    <w:rsid w:val="00F623A1"/>
    <w:rsid w:val="00F62943"/>
    <w:rsid w:val="00F62F0F"/>
    <w:rsid w:val="00F62FCE"/>
    <w:rsid w:val="00F62FF2"/>
    <w:rsid w:val="00F63012"/>
    <w:rsid w:val="00F6320C"/>
    <w:rsid w:val="00F63382"/>
    <w:rsid w:val="00F63528"/>
    <w:rsid w:val="00F63BA6"/>
    <w:rsid w:val="00F64AD0"/>
    <w:rsid w:val="00F64BF1"/>
    <w:rsid w:val="00F64D30"/>
    <w:rsid w:val="00F64DF3"/>
    <w:rsid w:val="00F65255"/>
    <w:rsid w:val="00F65440"/>
    <w:rsid w:val="00F655FE"/>
    <w:rsid w:val="00F65A27"/>
    <w:rsid w:val="00F665FB"/>
    <w:rsid w:val="00F66BB2"/>
    <w:rsid w:val="00F66D0A"/>
    <w:rsid w:val="00F66DC0"/>
    <w:rsid w:val="00F66F50"/>
    <w:rsid w:val="00F671F3"/>
    <w:rsid w:val="00F67670"/>
    <w:rsid w:val="00F6774F"/>
    <w:rsid w:val="00F67CF0"/>
    <w:rsid w:val="00F67E61"/>
    <w:rsid w:val="00F705A3"/>
    <w:rsid w:val="00F70871"/>
    <w:rsid w:val="00F70CAC"/>
    <w:rsid w:val="00F70D62"/>
    <w:rsid w:val="00F7131B"/>
    <w:rsid w:val="00F713EA"/>
    <w:rsid w:val="00F715E7"/>
    <w:rsid w:val="00F717F3"/>
    <w:rsid w:val="00F72086"/>
    <w:rsid w:val="00F723F4"/>
    <w:rsid w:val="00F73151"/>
    <w:rsid w:val="00F732C2"/>
    <w:rsid w:val="00F73388"/>
    <w:rsid w:val="00F733E1"/>
    <w:rsid w:val="00F73500"/>
    <w:rsid w:val="00F73A7A"/>
    <w:rsid w:val="00F73AF2"/>
    <w:rsid w:val="00F73D59"/>
    <w:rsid w:val="00F747FA"/>
    <w:rsid w:val="00F7482B"/>
    <w:rsid w:val="00F74F94"/>
    <w:rsid w:val="00F754A6"/>
    <w:rsid w:val="00F75564"/>
    <w:rsid w:val="00F756B1"/>
    <w:rsid w:val="00F76011"/>
    <w:rsid w:val="00F760F6"/>
    <w:rsid w:val="00F7647C"/>
    <w:rsid w:val="00F76AB9"/>
    <w:rsid w:val="00F77142"/>
    <w:rsid w:val="00F77AE7"/>
    <w:rsid w:val="00F77C39"/>
    <w:rsid w:val="00F77CF3"/>
    <w:rsid w:val="00F77F34"/>
    <w:rsid w:val="00F80069"/>
    <w:rsid w:val="00F8013D"/>
    <w:rsid w:val="00F80224"/>
    <w:rsid w:val="00F803CD"/>
    <w:rsid w:val="00F80793"/>
    <w:rsid w:val="00F80CB7"/>
    <w:rsid w:val="00F80CDA"/>
    <w:rsid w:val="00F81145"/>
    <w:rsid w:val="00F81651"/>
    <w:rsid w:val="00F81666"/>
    <w:rsid w:val="00F818AF"/>
    <w:rsid w:val="00F81E60"/>
    <w:rsid w:val="00F82323"/>
    <w:rsid w:val="00F826F8"/>
    <w:rsid w:val="00F82D29"/>
    <w:rsid w:val="00F8310A"/>
    <w:rsid w:val="00F834D4"/>
    <w:rsid w:val="00F83750"/>
    <w:rsid w:val="00F8434B"/>
    <w:rsid w:val="00F8453D"/>
    <w:rsid w:val="00F84750"/>
    <w:rsid w:val="00F84949"/>
    <w:rsid w:val="00F84F49"/>
    <w:rsid w:val="00F8511C"/>
    <w:rsid w:val="00F853A5"/>
    <w:rsid w:val="00F8557F"/>
    <w:rsid w:val="00F870F9"/>
    <w:rsid w:val="00F87214"/>
    <w:rsid w:val="00F8777F"/>
    <w:rsid w:val="00F90ADD"/>
    <w:rsid w:val="00F91907"/>
    <w:rsid w:val="00F91A13"/>
    <w:rsid w:val="00F91BC5"/>
    <w:rsid w:val="00F91CCF"/>
    <w:rsid w:val="00F92C78"/>
    <w:rsid w:val="00F9306B"/>
    <w:rsid w:val="00F93195"/>
    <w:rsid w:val="00F9319A"/>
    <w:rsid w:val="00F9337F"/>
    <w:rsid w:val="00F9372D"/>
    <w:rsid w:val="00F93901"/>
    <w:rsid w:val="00F93DCC"/>
    <w:rsid w:val="00F93FCB"/>
    <w:rsid w:val="00F94C71"/>
    <w:rsid w:val="00F94CA0"/>
    <w:rsid w:val="00F94EC9"/>
    <w:rsid w:val="00F95295"/>
    <w:rsid w:val="00F958B8"/>
    <w:rsid w:val="00F95C1D"/>
    <w:rsid w:val="00F95F6A"/>
    <w:rsid w:val="00F964DA"/>
    <w:rsid w:val="00F9653D"/>
    <w:rsid w:val="00F965E7"/>
    <w:rsid w:val="00F96F1E"/>
    <w:rsid w:val="00F96FD5"/>
    <w:rsid w:val="00F970C8"/>
    <w:rsid w:val="00F97858"/>
    <w:rsid w:val="00F97E1F"/>
    <w:rsid w:val="00FA04F1"/>
    <w:rsid w:val="00FA04F3"/>
    <w:rsid w:val="00FA08E2"/>
    <w:rsid w:val="00FA0A19"/>
    <w:rsid w:val="00FA0EF2"/>
    <w:rsid w:val="00FA15D7"/>
    <w:rsid w:val="00FA15FB"/>
    <w:rsid w:val="00FA200D"/>
    <w:rsid w:val="00FA20E2"/>
    <w:rsid w:val="00FA21E6"/>
    <w:rsid w:val="00FA25C6"/>
    <w:rsid w:val="00FA31FC"/>
    <w:rsid w:val="00FA3633"/>
    <w:rsid w:val="00FA3B5A"/>
    <w:rsid w:val="00FA3BDB"/>
    <w:rsid w:val="00FA3C68"/>
    <w:rsid w:val="00FA40CA"/>
    <w:rsid w:val="00FA41D7"/>
    <w:rsid w:val="00FA438D"/>
    <w:rsid w:val="00FA4944"/>
    <w:rsid w:val="00FA49D7"/>
    <w:rsid w:val="00FA4F83"/>
    <w:rsid w:val="00FA5133"/>
    <w:rsid w:val="00FA53B3"/>
    <w:rsid w:val="00FA5BE0"/>
    <w:rsid w:val="00FA637C"/>
    <w:rsid w:val="00FA659B"/>
    <w:rsid w:val="00FA685E"/>
    <w:rsid w:val="00FA6A55"/>
    <w:rsid w:val="00FA6B7B"/>
    <w:rsid w:val="00FA7087"/>
    <w:rsid w:val="00FA728E"/>
    <w:rsid w:val="00FA75EA"/>
    <w:rsid w:val="00FA767D"/>
    <w:rsid w:val="00FA77CF"/>
    <w:rsid w:val="00FB018A"/>
    <w:rsid w:val="00FB0D35"/>
    <w:rsid w:val="00FB0D98"/>
    <w:rsid w:val="00FB0D99"/>
    <w:rsid w:val="00FB112C"/>
    <w:rsid w:val="00FB1544"/>
    <w:rsid w:val="00FB15F4"/>
    <w:rsid w:val="00FB165B"/>
    <w:rsid w:val="00FB1E3E"/>
    <w:rsid w:val="00FB2105"/>
    <w:rsid w:val="00FB2267"/>
    <w:rsid w:val="00FB2297"/>
    <w:rsid w:val="00FB23C1"/>
    <w:rsid w:val="00FB248D"/>
    <w:rsid w:val="00FB2691"/>
    <w:rsid w:val="00FB293F"/>
    <w:rsid w:val="00FB2A72"/>
    <w:rsid w:val="00FB2CFB"/>
    <w:rsid w:val="00FB322E"/>
    <w:rsid w:val="00FB3DD3"/>
    <w:rsid w:val="00FB3F07"/>
    <w:rsid w:val="00FB3F6F"/>
    <w:rsid w:val="00FB42FA"/>
    <w:rsid w:val="00FB43E8"/>
    <w:rsid w:val="00FB4876"/>
    <w:rsid w:val="00FB49A1"/>
    <w:rsid w:val="00FB4D4E"/>
    <w:rsid w:val="00FB4E87"/>
    <w:rsid w:val="00FB531B"/>
    <w:rsid w:val="00FB564D"/>
    <w:rsid w:val="00FB5809"/>
    <w:rsid w:val="00FB5AEC"/>
    <w:rsid w:val="00FB5C87"/>
    <w:rsid w:val="00FB5F5C"/>
    <w:rsid w:val="00FB640B"/>
    <w:rsid w:val="00FB66D4"/>
    <w:rsid w:val="00FB6A55"/>
    <w:rsid w:val="00FB6A8A"/>
    <w:rsid w:val="00FB705A"/>
    <w:rsid w:val="00FB71F6"/>
    <w:rsid w:val="00FB7229"/>
    <w:rsid w:val="00FB7CEE"/>
    <w:rsid w:val="00FB7D43"/>
    <w:rsid w:val="00FB7FEF"/>
    <w:rsid w:val="00FC0341"/>
    <w:rsid w:val="00FC0454"/>
    <w:rsid w:val="00FC1212"/>
    <w:rsid w:val="00FC16FF"/>
    <w:rsid w:val="00FC1978"/>
    <w:rsid w:val="00FC1DC1"/>
    <w:rsid w:val="00FC22FF"/>
    <w:rsid w:val="00FC2893"/>
    <w:rsid w:val="00FC293D"/>
    <w:rsid w:val="00FC29AA"/>
    <w:rsid w:val="00FC2A8F"/>
    <w:rsid w:val="00FC2AD2"/>
    <w:rsid w:val="00FC2F39"/>
    <w:rsid w:val="00FC319D"/>
    <w:rsid w:val="00FC32D8"/>
    <w:rsid w:val="00FC33FF"/>
    <w:rsid w:val="00FC3E5E"/>
    <w:rsid w:val="00FC41C6"/>
    <w:rsid w:val="00FC432A"/>
    <w:rsid w:val="00FC44D7"/>
    <w:rsid w:val="00FC4512"/>
    <w:rsid w:val="00FC459D"/>
    <w:rsid w:val="00FC479D"/>
    <w:rsid w:val="00FC4B72"/>
    <w:rsid w:val="00FC4D34"/>
    <w:rsid w:val="00FC4D8A"/>
    <w:rsid w:val="00FC4DBA"/>
    <w:rsid w:val="00FC502D"/>
    <w:rsid w:val="00FC5158"/>
    <w:rsid w:val="00FC5203"/>
    <w:rsid w:val="00FC5269"/>
    <w:rsid w:val="00FC56A8"/>
    <w:rsid w:val="00FC578D"/>
    <w:rsid w:val="00FC581A"/>
    <w:rsid w:val="00FC5A57"/>
    <w:rsid w:val="00FC618F"/>
    <w:rsid w:val="00FC641A"/>
    <w:rsid w:val="00FC738B"/>
    <w:rsid w:val="00FC75C5"/>
    <w:rsid w:val="00FC79BA"/>
    <w:rsid w:val="00FC7A2C"/>
    <w:rsid w:val="00FC7B26"/>
    <w:rsid w:val="00FD042B"/>
    <w:rsid w:val="00FD056E"/>
    <w:rsid w:val="00FD0925"/>
    <w:rsid w:val="00FD0D7D"/>
    <w:rsid w:val="00FD0F5B"/>
    <w:rsid w:val="00FD107C"/>
    <w:rsid w:val="00FD15CB"/>
    <w:rsid w:val="00FD160D"/>
    <w:rsid w:val="00FD197C"/>
    <w:rsid w:val="00FD1B56"/>
    <w:rsid w:val="00FD20CF"/>
    <w:rsid w:val="00FD2363"/>
    <w:rsid w:val="00FD27A5"/>
    <w:rsid w:val="00FD28A9"/>
    <w:rsid w:val="00FD2A77"/>
    <w:rsid w:val="00FD2BBD"/>
    <w:rsid w:val="00FD2D33"/>
    <w:rsid w:val="00FD3123"/>
    <w:rsid w:val="00FD31FC"/>
    <w:rsid w:val="00FD3401"/>
    <w:rsid w:val="00FD3907"/>
    <w:rsid w:val="00FD3A86"/>
    <w:rsid w:val="00FD3F34"/>
    <w:rsid w:val="00FD47C8"/>
    <w:rsid w:val="00FD4825"/>
    <w:rsid w:val="00FD4EF5"/>
    <w:rsid w:val="00FD5638"/>
    <w:rsid w:val="00FD5B45"/>
    <w:rsid w:val="00FD5FE0"/>
    <w:rsid w:val="00FD6488"/>
    <w:rsid w:val="00FD66E4"/>
    <w:rsid w:val="00FD6727"/>
    <w:rsid w:val="00FD69DB"/>
    <w:rsid w:val="00FD6B5A"/>
    <w:rsid w:val="00FD6E79"/>
    <w:rsid w:val="00FD6EEF"/>
    <w:rsid w:val="00FD755E"/>
    <w:rsid w:val="00FD7634"/>
    <w:rsid w:val="00FD7861"/>
    <w:rsid w:val="00FD786F"/>
    <w:rsid w:val="00FE0349"/>
    <w:rsid w:val="00FE039A"/>
    <w:rsid w:val="00FE0A25"/>
    <w:rsid w:val="00FE0B87"/>
    <w:rsid w:val="00FE0BB6"/>
    <w:rsid w:val="00FE0E95"/>
    <w:rsid w:val="00FE0F43"/>
    <w:rsid w:val="00FE11D4"/>
    <w:rsid w:val="00FE120E"/>
    <w:rsid w:val="00FE1263"/>
    <w:rsid w:val="00FE12AA"/>
    <w:rsid w:val="00FE1304"/>
    <w:rsid w:val="00FE1648"/>
    <w:rsid w:val="00FE1AF1"/>
    <w:rsid w:val="00FE1B42"/>
    <w:rsid w:val="00FE1B85"/>
    <w:rsid w:val="00FE1BD2"/>
    <w:rsid w:val="00FE1C2A"/>
    <w:rsid w:val="00FE2851"/>
    <w:rsid w:val="00FE2BF7"/>
    <w:rsid w:val="00FE30E8"/>
    <w:rsid w:val="00FE339A"/>
    <w:rsid w:val="00FE3704"/>
    <w:rsid w:val="00FE3730"/>
    <w:rsid w:val="00FE39F6"/>
    <w:rsid w:val="00FE3ADC"/>
    <w:rsid w:val="00FE3F1C"/>
    <w:rsid w:val="00FE4079"/>
    <w:rsid w:val="00FE42FE"/>
    <w:rsid w:val="00FE46B4"/>
    <w:rsid w:val="00FE484C"/>
    <w:rsid w:val="00FE4C45"/>
    <w:rsid w:val="00FE4CF1"/>
    <w:rsid w:val="00FE4CFE"/>
    <w:rsid w:val="00FE50B8"/>
    <w:rsid w:val="00FE535B"/>
    <w:rsid w:val="00FE56EF"/>
    <w:rsid w:val="00FE5A59"/>
    <w:rsid w:val="00FE5DE6"/>
    <w:rsid w:val="00FE5EA2"/>
    <w:rsid w:val="00FE5FDC"/>
    <w:rsid w:val="00FE64E6"/>
    <w:rsid w:val="00FE72A0"/>
    <w:rsid w:val="00FE7843"/>
    <w:rsid w:val="00FE7B2F"/>
    <w:rsid w:val="00FF0254"/>
    <w:rsid w:val="00FF0282"/>
    <w:rsid w:val="00FF0651"/>
    <w:rsid w:val="00FF0775"/>
    <w:rsid w:val="00FF07B7"/>
    <w:rsid w:val="00FF0C96"/>
    <w:rsid w:val="00FF1154"/>
    <w:rsid w:val="00FF130D"/>
    <w:rsid w:val="00FF1422"/>
    <w:rsid w:val="00FF172C"/>
    <w:rsid w:val="00FF1E26"/>
    <w:rsid w:val="00FF21B2"/>
    <w:rsid w:val="00FF2723"/>
    <w:rsid w:val="00FF27B1"/>
    <w:rsid w:val="00FF282C"/>
    <w:rsid w:val="00FF2C8C"/>
    <w:rsid w:val="00FF2DAD"/>
    <w:rsid w:val="00FF30F8"/>
    <w:rsid w:val="00FF31B5"/>
    <w:rsid w:val="00FF4105"/>
    <w:rsid w:val="00FF451D"/>
    <w:rsid w:val="00FF4E66"/>
    <w:rsid w:val="00FF4F3C"/>
    <w:rsid w:val="00FF5252"/>
    <w:rsid w:val="00FF531A"/>
    <w:rsid w:val="00FF5543"/>
    <w:rsid w:val="00FF5714"/>
    <w:rsid w:val="00FF5765"/>
    <w:rsid w:val="00FF6019"/>
    <w:rsid w:val="00FF6683"/>
    <w:rsid w:val="00FF66BF"/>
    <w:rsid w:val="00FF6740"/>
    <w:rsid w:val="00FF682A"/>
    <w:rsid w:val="00FF6966"/>
    <w:rsid w:val="00FF6981"/>
    <w:rsid w:val="00FF6C89"/>
    <w:rsid w:val="00FF75B1"/>
    <w:rsid w:val="00FF7857"/>
    <w:rsid w:val="00FF78EB"/>
    <w:rsid w:val="00FF7D1F"/>
    <w:rsid w:val="00FF7E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1" w:qFormat="1"/>
    <w:lsdException w:name="heading 4" w:uiPriority="1"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uiPriority="99"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515"/>
    <w:pPr>
      <w:spacing w:after="240" w:line="312" w:lineRule="auto"/>
    </w:pPr>
    <w:rPr>
      <w:rFonts w:ascii="Calibri" w:hAnsi="Calibri" w:cs="Tahoma"/>
      <w:sz w:val="22"/>
      <w:szCs w:val="22"/>
    </w:rPr>
  </w:style>
  <w:style w:type="paragraph" w:styleId="Heading1">
    <w:name w:val="heading 1"/>
    <w:basedOn w:val="Normal"/>
    <w:next w:val="Normal"/>
    <w:link w:val="Heading1Char"/>
    <w:qFormat/>
    <w:rsid w:val="00A65D65"/>
    <w:pPr>
      <w:keepNext/>
      <w:pageBreakBefore/>
      <w:pBdr>
        <w:bottom w:val="single" w:sz="4" w:space="1" w:color="auto"/>
      </w:pBdr>
      <w:spacing w:after="360"/>
      <w:ind w:left="3402" w:hanging="3402"/>
      <w:outlineLvl w:val="0"/>
    </w:pPr>
    <w:rPr>
      <w:b/>
      <w:smallCaps/>
      <w:sz w:val="44"/>
    </w:rPr>
  </w:style>
  <w:style w:type="paragraph" w:styleId="Heading2">
    <w:name w:val="heading 2"/>
    <w:basedOn w:val="Normal"/>
    <w:next w:val="Normal"/>
    <w:link w:val="Heading2Char"/>
    <w:qFormat/>
    <w:rsid w:val="003E4E1F"/>
    <w:pPr>
      <w:keepNext/>
      <w:spacing w:before="240"/>
      <w:outlineLvl w:val="1"/>
    </w:pPr>
    <w:rPr>
      <w:b/>
      <w:smallCaps/>
      <w:sz w:val="28"/>
    </w:rPr>
  </w:style>
  <w:style w:type="paragraph" w:styleId="Heading3">
    <w:name w:val="heading 3"/>
    <w:basedOn w:val="Normal"/>
    <w:next w:val="Normal"/>
    <w:link w:val="Heading3Char"/>
    <w:uiPriority w:val="1"/>
    <w:qFormat/>
    <w:rsid w:val="00F5251C"/>
    <w:pPr>
      <w:keepNext/>
      <w:spacing w:before="240" w:after="120"/>
      <w:outlineLvl w:val="2"/>
    </w:pPr>
    <w:rPr>
      <w:b/>
      <w:smallCaps/>
      <w:sz w:val="24"/>
      <w:szCs w:val="24"/>
    </w:rPr>
  </w:style>
  <w:style w:type="paragraph" w:styleId="Heading4">
    <w:name w:val="heading 4"/>
    <w:basedOn w:val="ESSectionHeading-numbered0"/>
    <w:next w:val="Normal"/>
    <w:link w:val="Heading4Char"/>
    <w:uiPriority w:val="1"/>
    <w:qFormat/>
    <w:rsid w:val="00F5251C"/>
    <w:pPr>
      <w:numPr>
        <w:numId w:val="0"/>
      </w:numPr>
      <w:outlineLvl w:val="3"/>
    </w:pPr>
    <w:rPr>
      <w:smallCaps w:val="0"/>
      <w:sz w:val="22"/>
    </w:rPr>
  </w:style>
  <w:style w:type="paragraph" w:styleId="Heading5">
    <w:name w:val="heading 5"/>
    <w:basedOn w:val="Normal"/>
    <w:next w:val="Normal"/>
    <w:link w:val="Heading5Char"/>
    <w:qFormat/>
    <w:rsid w:val="005C44A6"/>
    <w:pPr>
      <w:keepNext/>
      <w:spacing w:after="60"/>
      <w:outlineLvl w:val="4"/>
    </w:pPr>
    <w:rPr>
      <w:b/>
      <w:i/>
    </w:rPr>
  </w:style>
  <w:style w:type="paragraph" w:styleId="Heading6">
    <w:name w:val="heading 6"/>
    <w:basedOn w:val="Normal"/>
    <w:next w:val="Normal"/>
    <w:qFormat/>
    <w:rsid w:val="00106D47"/>
    <w:pPr>
      <w:keepNext/>
      <w:outlineLvl w:val="5"/>
    </w:pPr>
    <w:rPr>
      <w:u w:val="single"/>
    </w:rPr>
  </w:style>
  <w:style w:type="paragraph" w:styleId="Heading7">
    <w:name w:val="heading 7"/>
    <w:basedOn w:val="Normal"/>
    <w:next w:val="Normal"/>
    <w:qFormat/>
    <w:rsid w:val="00574BF8"/>
    <w:pPr>
      <w:keepNext/>
      <w:outlineLvl w:val="6"/>
    </w:pPr>
    <w:rPr>
      <w:i/>
    </w:rPr>
  </w:style>
  <w:style w:type="paragraph" w:styleId="Heading8">
    <w:name w:val="heading 8"/>
    <w:basedOn w:val="Normal"/>
    <w:next w:val="Normal"/>
    <w:qFormat/>
    <w:rsid w:val="00574BF8"/>
    <w:pPr>
      <w:keepNext/>
      <w:outlineLvl w:val="7"/>
    </w:pPr>
    <w:rPr>
      <w:u w:val="single"/>
    </w:rPr>
  </w:style>
  <w:style w:type="paragraph" w:styleId="Heading9">
    <w:name w:val="heading 9"/>
    <w:basedOn w:val="Normal"/>
    <w:next w:val="Normal"/>
    <w:qFormat/>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3E4E1F"/>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uiPriority w:val="99"/>
    <w:semiHidden/>
    <w:rsid w:val="00574BF8"/>
    <w:rPr>
      <w:vertAlign w:val="superscript"/>
    </w:rPr>
  </w:style>
  <w:style w:type="paragraph" w:styleId="FootnoteText">
    <w:name w:val="footnote text"/>
    <w:basedOn w:val="Normal"/>
    <w:link w:val="FootnoteTextChar"/>
    <w:uiPriority w:val="99"/>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130F53"/>
    <w:pPr>
      <w:spacing w:line="240" w:lineRule="auto"/>
    </w:pPr>
    <w:rPr>
      <w:b/>
      <w:sz w:val="20"/>
      <w:szCs w:val="20"/>
    </w:rPr>
  </w:style>
  <w:style w:type="character" w:customStyle="1" w:styleId="TableHeadingChar">
    <w:name w:val="TableHeading Char"/>
    <w:link w:val="TableHeading"/>
    <w:rsid w:val="00130F53"/>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qFormat/>
    <w:rsid w:val="00CD64D9"/>
    <w:pPr>
      <w:tabs>
        <w:tab w:val="left" w:pos="1276"/>
        <w:tab w:val="right" w:leader="dot" w:pos="9017"/>
      </w:tabs>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986AF7"/>
    <w:pPr>
      <w:ind w:left="1760"/>
      <w:jc w:val="both"/>
    </w:pPr>
    <w:rPr>
      <w:sz w:val="144"/>
      <w:szCs w:val="144"/>
    </w:rPr>
  </w:style>
  <w:style w:type="paragraph" w:customStyle="1" w:styleId="Dash">
    <w:name w:val="Dash"/>
    <w:basedOn w:val="Normal"/>
    <w:rsid w:val="00574BF8"/>
    <w:pPr>
      <w:numPr>
        <w:numId w:val="2"/>
      </w:numPr>
    </w:pPr>
  </w:style>
  <w:style w:type="paragraph" w:customStyle="1" w:styleId="ColorfulGrid-Accent11">
    <w:name w:val="Colorful Grid - Accent 11"/>
    <w:basedOn w:val="Normal"/>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uiPriority w:val="99"/>
    <w:qFormat/>
    <w:rsid w:val="00B30C0B"/>
    <w:pPr>
      <w:keepNext/>
      <w:spacing w:after="120" w:line="240" w:lineRule="auto"/>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aliases w:val="Summary box,Table Gridbeth"/>
    <w:basedOn w:val="TableNormal"/>
    <w:uiPriority w:val="5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DF343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customStyle="1" w:styleId="ColorfulList-Accent11">
    <w:name w:val="Colorful List - Accent 11"/>
    <w:basedOn w:val="Normal"/>
    <w:link w:val="ColorfulList-Accent1Char"/>
    <w:uiPriority w:val="34"/>
    <w:qFormat/>
    <w:rsid w:val="005F2648"/>
    <w:pPr>
      <w:contextualSpacing/>
    </w:pPr>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A65D65"/>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qFormat/>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uiPriority w:val="9"/>
    <w:rsid w:val="00F5251C"/>
    <w:rPr>
      <w:rFonts w:ascii="Calibri" w:hAnsi="Calibri" w:cs="Tahoma"/>
      <w:b/>
      <w:smallCaps/>
      <w:sz w:val="24"/>
      <w:szCs w:val="24"/>
    </w:rPr>
  </w:style>
  <w:style w:type="character" w:customStyle="1" w:styleId="CommentTextChar">
    <w:name w:val="Comment Text Char"/>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customStyle="1" w:styleId="ColorfulShading-Accent11">
    <w:name w:val="Colorful Shading - Accent 11"/>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link w:val="FootnoteText"/>
    <w:uiPriority w:val="99"/>
    <w:semiHidden/>
    <w:rsid w:val="004D6547"/>
    <w:rPr>
      <w:rFonts w:ascii="Tahoma" w:hAnsi="Tahoma" w:cs="Tahoma"/>
      <w:szCs w:val="22"/>
    </w:rPr>
  </w:style>
  <w:style w:type="character" w:customStyle="1" w:styleId="BalloonTextChar">
    <w:name w:val="Balloon Text Char"/>
    <w:link w:val="BalloonText"/>
    <w:uiPriority w:val="99"/>
    <w:semiHidden/>
    <w:rsid w:val="0001307B"/>
    <w:rPr>
      <w:rFonts w:ascii="Tahoma" w:hAnsi="Tahoma" w:cs="Tahoma"/>
      <w:sz w:val="16"/>
      <w:szCs w:val="16"/>
    </w:rPr>
  </w:style>
  <w:style w:type="character" w:customStyle="1" w:styleId="CommentSubjectChar">
    <w:name w:val="Comment Subject Char"/>
    <w:link w:val="CommentSubject"/>
    <w:uiPriority w:val="99"/>
    <w:semiHidden/>
    <w:rsid w:val="00962174"/>
    <w:rPr>
      <w:rFonts w:ascii="Tahoma" w:hAnsi="Tahoma" w:cs="Tahoma"/>
      <w:b/>
      <w:bCs/>
      <w:szCs w:val="22"/>
    </w:rPr>
  </w:style>
  <w:style w:type="character" w:styleId="Emphasis">
    <w:name w:val="Emphasis"/>
    <w:uiPriority w:val="20"/>
    <w:qFormat/>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elv" w:hAnsi="Helv"/>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elv" w:hAnsi="Helv"/>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customStyle="1" w:styleId="GridTable31">
    <w:name w:val="Grid Table 31"/>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Cambria" w:eastAsia="MS Gothic" w:hAnsi="Cambria" w:cs="Times New Roman"/>
      <w:bCs/>
      <w:color w:val="365F91"/>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link w:val="Heading4"/>
    <w:uiPriority w:val="1"/>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6"/>
      </w:numPr>
    </w:pPr>
  </w:style>
  <w:style w:type="paragraph" w:customStyle="1" w:styleId="MainBodySectionHeading-numbered">
    <w:name w:val="Main Body Section Heading - numbered"/>
    <w:basedOn w:val="Heading2"/>
    <w:link w:val="MainBodySectionHeading-numberedChar"/>
    <w:rsid w:val="00B313E2"/>
    <w:pPr>
      <w:numPr>
        <w:numId w:val="4"/>
      </w:numPr>
      <w:ind w:left="567" w:hanging="567"/>
    </w:pPr>
  </w:style>
  <w:style w:type="character" w:customStyle="1" w:styleId="ESSectionHeading-numberedChar">
    <w:name w:val="ES. Section Heading - numbered Char"/>
    <w:link w:val="ESSectionHeading-numbered0"/>
    <w:rsid w:val="00AE1CBE"/>
    <w:rPr>
      <w:rFonts w:ascii="Calibri" w:hAnsi="Calibri" w:cs="Tahoma"/>
      <w:b/>
      <w:smallCaps/>
      <w:sz w:val="24"/>
      <w:szCs w:val="24"/>
    </w:rPr>
  </w:style>
  <w:style w:type="character" w:customStyle="1" w:styleId="MainBodySectionHeading-numberedChar">
    <w:name w:val="Main Body Section Heading - numbered 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5"/>
      </w:numPr>
    </w:pPr>
  </w:style>
  <w:style w:type="paragraph" w:customStyle="1" w:styleId="ESNumberedSectionHeading">
    <w:name w:val="ES Numbered Section Heading"/>
    <w:basedOn w:val="ESSectionHeading-numbered0"/>
    <w:link w:val="ESNumberedSectionHeadingChar"/>
    <w:qFormat/>
    <w:rsid w:val="00F5251C"/>
    <w:pPr>
      <w:numPr>
        <w:ilvl w:val="2"/>
        <w:numId w:val="7"/>
      </w:numPr>
      <w:ind w:left="1134" w:hanging="1134"/>
    </w:pPr>
  </w:style>
  <w:style w:type="character" w:customStyle="1" w:styleId="ESNumberedSectionHeadingChar">
    <w:name w:val="ES Numbered Section Heading Char"/>
    <w:link w:val="ESNumberedSectionHeading"/>
    <w:rsid w:val="00F5251C"/>
    <w:rPr>
      <w:rFonts w:ascii="Calibri" w:hAnsi="Calibri" w:cs="Tahoma"/>
      <w:b/>
      <w:smallCaps/>
      <w:sz w:val="24"/>
      <w:szCs w:val="24"/>
    </w:rPr>
  </w:style>
  <w:style w:type="paragraph" w:customStyle="1" w:styleId="Tablenotes0">
    <w:name w:val="Tablenotes"/>
    <w:basedOn w:val="Tablenote"/>
    <w:link w:val="TablenotesChar0"/>
    <w:qFormat/>
    <w:rsid w:val="0037150F"/>
  </w:style>
  <w:style w:type="character" w:customStyle="1" w:styleId="TablenotesChar0">
    <w:name w:val="Tablenotes Char"/>
    <w:link w:val="Tablenotes0"/>
    <w:rsid w:val="0037150F"/>
    <w:rPr>
      <w:rFonts w:ascii="Arial Narrow" w:eastAsia="Calibri" w:hAnsi="Arial Narrow"/>
      <w:sz w:val="18"/>
      <w:szCs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paragraph" w:customStyle="1" w:styleId="Comment">
    <w:name w:val="Comment"/>
    <w:basedOn w:val="Normal"/>
    <w:link w:val="CommentChar"/>
    <w:rsid w:val="00DE1599"/>
    <w:pPr>
      <w:tabs>
        <w:tab w:val="num" w:pos="720"/>
      </w:tabs>
      <w:jc w:val="both"/>
    </w:pPr>
    <w:rPr>
      <w:i/>
    </w:rPr>
  </w:style>
  <w:style w:type="character" w:customStyle="1" w:styleId="CommentChar">
    <w:name w:val="Comment Char"/>
    <w:link w:val="Comment"/>
    <w:rsid w:val="00DE1599"/>
    <w:rPr>
      <w:rFonts w:ascii="Calibri" w:hAnsi="Calibri" w:cs="Tahoma"/>
      <w:i/>
      <w:sz w:val="22"/>
      <w:szCs w:val="22"/>
    </w:rPr>
  </w:style>
  <w:style w:type="paragraph" w:customStyle="1" w:styleId="hidden">
    <w:name w:val="hidden"/>
    <w:basedOn w:val="Normal"/>
    <w:qFormat/>
    <w:rsid w:val="001E7F65"/>
  </w:style>
  <w:style w:type="paragraph" w:customStyle="1" w:styleId="Guidelines">
    <w:name w:val="Guidelines"/>
    <w:basedOn w:val="Normal"/>
    <w:link w:val="GuidelinesChar"/>
    <w:qFormat/>
    <w:rsid w:val="00E463F4"/>
    <w:pPr>
      <w:jc w:val="both"/>
    </w:pPr>
    <w:rPr>
      <w:vanish/>
      <w:color w:val="C00000"/>
    </w:rPr>
  </w:style>
  <w:style w:type="character" w:customStyle="1" w:styleId="GuidelinesChar">
    <w:name w:val="Guidelines Char"/>
    <w:link w:val="Guidelines"/>
    <w:rsid w:val="00E463F4"/>
    <w:rPr>
      <w:rFonts w:ascii="Calibri" w:hAnsi="Calibri" w:cs="Tahoma"/>
      <w:vanish/>
      <w:color w:val="C00000"/>
      <w:sz w:val="22"/>
      <w:szCs w:val="22"/>
    </w:rPr>
  </w:style>
  <w:style w:type="character" w:customStyle="1" w:styleId="Heading5Char">
    <w:name w:val="Heading 5 Char"/>
    <w:link w:val="Heading5"/>
    <w:rsid w:val="0085259E"/>
    <w:rPr>
      <w:rFonts w:ascii="Calibri" w:hAnsi="Calibri" w:cs="Tahoma"/>
      <w:b/>
      <w:i/>
      <w:sz w:val="22"/>
      <w:szCs w:val="22"/>
    </w:rPr>
  </w:style>
  <w:style w:type="paragraph" w:customStyle="1" w:styleId="Tablenotes1">
    <w:name w:val="Table notes"/>
    <w:basedOn w:val="Normal"/>
    <w:link w:val="TablenotesChar1"/>
    <w:qFormat/>
    <w:rsid w:val="0037150F"/>
    <w:pPr>
      <w:spacing w:after="200" w:line="240" w:lineRule="auto"/>
      <w:ind w:left="57" w:right="57"/>
      <w:contextualSpacing/>
    </w:pPr>
    <w:rPr>
      <w:rFonts w:ascii="Arial Narrow" w:eastAsia="Calibri" w:hAnsi="Arial Narrow" w:cs="Times New Roman"/>
      <w:sz w:val="18"/>
      <w:szCs w:val="18"/>
      <w:lang w:eastAsia="en-US"/>
    </w:rPr>
  </w:style>
  <w:style w:type="character" w:customStyle="1" w:styleId="TablenotesChar1">
    <w:name w:val="Table notes Char"/>
    <w:link w:val="Tablenotes1"/>
    <w:rsid w:val="0037150F"/>
    <w:rPr>
      <w:rFonts w:ascii="Arial Narrow" w:eastAsia="Calibri" w:hAnsi="Arial Narrow"/>
      <w:sz w:val="18"/>
      <w:szCs w:val="18"/>
      <w:lang w:eastAsia="en-US"/>
    </w:rPr>
  </w:style>
  <w:style w:type="character" w:customStyle="1" w:styleId="UnresolvedMention1">
    <w:name w:val="Unresolved Mention1"/>
    <w:uiPriority w:val="99"/>
    <w:semiHidden/>
    <w:unhideWhenUsed/>
    <w:rsid w:val="002D645F"/>
    <w:rPr>
      <w:color w:val="605E5C"/>
      <w:shd w:val="clear" w:color="auto" w:fill="E1DFDD"/>
    </w:rPr>
  </w:style>
  <w:style w:type="table" w:customStyle="1" w:styleId="PlainTable21">
    <w:name w:val="Plain Table 21"/>
    <w:basedOn w:val="TableNormal"/>
    <w:uiPriority w:val="42"/>
    <w:rsid w:val="00775A1B"/>
    <w:rPr>
      <w:rFonts w:eastAsia="Calibri"/>
      <w:sz w:val="24"/>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
    <w:name w:val="Table Grid4"/>
    <w:basedOn w:val="TableNormal"/>
    <w:next w:val="TableGrid"/>
    <w:uiPriority w:val="39"/>
    <w:rsid w:val="008475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8475E5"/>
    <w:pPr>
      <w:spacing w:after="0"/>
      <w:jc w:val="center"/>
    </w:pPr>
    <w:rPr>
      <w:rFonts w:ascii="Tahoma" w:hAnsi="Tahoma"/>
      <w:noProof/>
    </w:rPr>
  </w:style>
  <w:style w:type="character" w:customStyle="1" w:styleId="EndNoteBibliographyTitleChar">
    <w:name w:val="EndNote Bibliography Title Char"/>
    <w:link w:val="EndNoteBibliographyTitle"/>
    <w:rsid w:val="008475E5"/>
    <w:rPr>
      <w:rFonts w:ascii="Tahoma" w:hAnsi="Tahoma" w:cs="Tahoma"/>
      <w:noProof/>
      <w:sz w:val="22"/>
      <w:szCs w:val="22"/>
    </w:rPr>
  </w:style>
  <w:style w:type="paragraph" w:customStyle="1" w:styleId="EndNoteBibliography">
    <w:name w:val="EndNote Bibliography"/>
    <w:basedOn w:val="Normal"/>
    <w:link w:val="EndNoteBibliographyChar"/>
    <w:rsid w:val="008475E5"/>
    <w:pPr>
      <w:spacing w:line="240" w:lineRule="auto"/>
      <w:jc w:val="both"/>
    </w:pPr>
    <w:rPr>
      <w:rFonts w:ascii="Tahoma" w:hAnsi="Tahoma"/>
      <w:noProof/>
    </w:rPr>
  </w:style>
  <w:style w:type="character" w:customStyle="1" w:styleId="EndNoteBibliographyChar">
    <w:name w:val="EndNote Bibliography Char"/>
    <w:link w:val="EndNoteBibliography"/>
    <w:rsid w:val="008475E5"/>
    <w:rPr>
      <w:rFonts w:ascii="Tahoma" w:hAnsi="Tahoma" w:cs="Tahoma"/>
      <w:noProof/>
      <w:sz w:val="22"/>
      <w:szCs w:val="22"/>
    </w:rPr>
  </w:style>
  <w:style w:type="table" w:customStyle="1" w:styleId="TableGrid3">
    <w:name w:val="Table Grid3"/>
    <w:basedOn w:val="TableNormal"/>
    <w:next w:val="TableGrid"/>
    <w:uiPriority w:val="39"/>
    <w:rsid w:val="008475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475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link w:val="Caption"/>
    <w:uiPriority w:val="99"/>
    <w:rsid w:val="00B30C0B"/>
    <w:rPr>
      <w:rFonts w:ascii="Arial Narrow" w:hAnsi="Arial Narrow" w:cs="Tahoma"/>
      <w:b/>
      <w:bCs/>
      <w:szCs w:val="22"/>
    </w:rPr>
  </w:style>
  <w:style w:type="paragraph" w:customStyle="1" w:styleId="BodyTextSTD">
    <w:name w:val="Body Text STD"/>
    <w:basedOn w:val="Normal"/>
    <w:link w:val="BodyTextSTDChar"/>
    <w:qFormat/>
    <w:rsid w:val="00BB6E4C"/>
  </w:style>
  <w:style w:type="character" w:customStyle="1" w:styleId="BodyTextSTDChar">
    <w:name w:val="Body Text STD Char"/>
    <w:link w:val="BodyTextSTD"/>
    <w:rsid w:val="00BB6E4C"/>
    <w:rPr>
      <w:rFonts w:ascii="Calibri" w:hAnsi="Calibri" w:cs="Tahoma"/>
      <w:sz w:val="22"/>
      <w:szCs w:val="22"/>
    </w:rPr>
  </w:style>
  <w:style w:type="paragraph" w:customStyle="1" w:styleId="Tablecontents">
    <w:name w:val="Table contents"/>
    <w:basedOn w:val="Normal"/>
    <w:link w:val="TablecontentsChar"/>
    <w:qFormat/>
    <w:rsid w:val="003816D7"/>
    <w:pPr>
      <w:spacing w:before="60" w:line="240" w:lineRule="auto"/>
      <w:ind w:left="57" w:right="57"/>
      <w:contextualSpacing/>
      <w:jc w:val="both"/>
    </w:pPr>
    <w:rPr>
      <w:rFonts w:ascii="Arial Narrow" w:eastAsia="Calibri" w:hAnsi="Arial Narrow" w:cs="Times New Roman"/>
      <w:sz w:val="20"/>
      <w:szCs w:val="20"/>
      <w:lang w:eastAsia="en-US"/>
    </w:rPr>
  </w:style>
  <w:style w:type="character" w:customStyle="1" w:styleId="TablecontentsChar">
    <w:name w:val="Table contents Char"/>
    <w:link w:val="Tablecontents"/>
    <w:rsid w:val="003816D7"/>
    <w:rPr>
      <w:rFonts w:ascii="Arial Narrow" w:eastAsia="Calibri" w:hAnsi="Arial Narrow"/>
      <w:lang w:eastAsia="en-US"/>
    </w:rPr>
  </w:style>
  <w:style w:type="paragraph" w:customStyle="1" w:styleId="TableFigNotes0">
    <w:name w:val="TableFigNotes+0"/>
    <w:basedOn w:val="Normal"/>
    <w:uiPriority w:val="4"/>
    <w:qFormat/>
    <w:rsid w:val="001F5B33"/>
    <w:pPr>
      <w:keepNext/>
      <w:keepLines/>
      <w:spacing w:after="0" w:line="240" w:lineRule="auto"/>
      <w:jc w:val="both"/>
    </w:pPr>
    <w:rPr>
      <w:color w:val="000000"/>
      <w:sz w:val="16"/>
      <w:szCs w:val="18"/>
      <w:lang w:val="en-US"/>
    </w:rPr>
  </w:style>
  <w:style w:type="table" w:customStyle="1" w:styleId="OPTUMTableNormal1">
    <w:name w:val="OPTUM Table Normal1"/>
    <w:basedOn w:val="TableNormal"/>
    <w:rsid w:val="001F5B33"/>
    <w:pPr>
      <w:spacing w:before="40" w:after="20"/>
      <w:jc w:val="both"/>
    </w:pPr>
    <w:rPr>
      <w:rFonts w:ascii="Calibri" w:hAnsi="Calibri"/>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Symbol" w:hAnsi="Symbol"/>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OPTUMTableNormal">
    <w:name w:val="OPTUM Table Normal"/>
    <w:basedOn w:val="TableNormal"/>
    <w:rsid w:val="001F5B33"/>
    <w:pPr>
      <w:spacing w:before="40" w:after="20"/>
      <w:jc w:val="both"/>
    </w:pPr>
    <w:rPr>
      <w:rFonts w:ascii="Calibri" w:hAnsi="Calibri"/>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Symbol" w:hAnsi="Symbol"/>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customStyle="1" w:styleId="Heading5underline">
    <w:name w:val="Heading 5 underline"/>
    <w:basedOn w:val="BodyTextSTD"/>
    <w:link w:val="Heading5underlineChar"/>
    <w:qFormat/>
    <w:rsid w:val="00C84382"/>
    <w:pPr>
      <w:keepNext/>
    </w:pPr>
    <w:rPr>
      <w:u w:val="single"/>
    </w:rPr>
  </w:style>
  <w:style w:type="character" w:customStyle="1" w:styleId="Heading5underlineChar">
    <w:name w:val="Heading 5 underline Char"/>
    <w:link w:val="Heading5underline"/>
    <w:rsid w:val="00C84382"/>
    <w:rPr>
      <w:rFonts w:ascii="Calibri" w:hAnsi="Calibri" w:cs="Tahoma"/>
      <w:sz w:val="22"/>
      <w:szCs w:val="22"/>
      <w:u w:val="single"/>
    </w:rPr>
  </w:style>
  <w:style w:type="paragraph" w:customStyle="1" w:styleId="Tableheader">
    <w:name w:val="Table header"/>
    <w:basedOn w:val="BodyText"/>
    <w:next w:val="BodyText"/>
    <w:uiPriority w:val="99"/>
    <w:qFormat/>
    <w:rsid w:val="001F5B33"/>
    <w:pPr>
      <w:tabs>
        <w:tab w:val="left" w:pos="1134"/>
      </w:tabs>
      <w:spacing w:before="120" w:after="60" w:line="276" w:lineRule="auto"/>
      <w:jc w:val="both"/>
    </w:pPr>
    <w:rPr>
      <w:rFonts w:ascii="Calibri" w:eastAsia="Calibri" w:hAnsi="Calibri" w:cs="Calibri"/>
      <w:bCs/>
      <w:i w:val="0"/>
      <w:snapToGrid/>
      <w:color w:val="auto"/>
      <w:sz w:val="20"/>
      <w:szCs w:val="20"/>
      <w:lang w:val="en-US"/>
    </w:rPr>
  </w:style>
  <w:style w:type="paragraph" w:customStyle="1" w:styleId="TableNotes2">
    <w:name w:val="Table Notes"/>
    <w:basedOn w:val="Tablenotes1"/>
    <w:next w:val="BodyText"/>
    <w:qFormat/>
    <w:rsid w:val="0037150F"/>
  </w:style>
  <w:style w:type="paragraph" w:customStyle="1" w:styleId="Tablenote">
    <w:name w:val="Table note"/>
    <w:basedOn w:val="TableNotes2"/>
    <w:link w:val="TablenoteChar"/>
    <w:qFormat/>
    <w:rsid w:val="0037150F"/>
  </w:style>
  <w:style w:type="character" w:customStyle="1" w:styleId="TablenoteChar">
    <w:name w:val="Table note Char"/>
    <w:link w:val="Tablenote"/>
    <w:rsid w:val="0037150F"/>
    <w:rPr>
      <w:rFonts w:ascii="Arial Narrow" w:eastAsia="Calibri" w:hAnsi="Arial Narrow"/>
      <w:sz w:val="18"/>
      <w:szCs w:val="18"/>
      <w:lang w:eastAsia="en-US"/>
    </w:rPr>
  </w:style>
  <w:style w:type="paragraph" w:customStyle="1" w:styleId="TableH1">
    <w:name w:val="Table H1"/>
    <w:basedOn w:val="BodyText"/>
    <w:uiPriority w:val="4"/>
    <w:qFormat/>
    <w:rsid w:val="001F5B33"/>
    <w:pPr>
      <w:keepNext/>
      <w:tabs>
        <w:tab w:val="left" w:pos="416"/>
        <w:tab w:val="left" w:pos="582"/>
        <w:tab w:val="left" w:pos="1134"/>
      </w:tabs>
      <w:spacing w:after="240" w:line="240" w:lineRule="auto"/>
      <w:jc w:val="both"/>
    </w:pPr>
    <w:rPr>
      <w:rFonts w:ascii="Calibri" w:hAnsi="Calibri" w:cs="Times New Roman"/>
      <w:bCs/>
      <w:i w:val="0"/>
      <w:snapToGrid/>
      <w:color w:val="auto"/>
      <w:sz w:val="20"/>
      <w:szCs w:val="20"/>
      <w:lang w:val="en-US"/>
    </w:rPr>
  </w:style>
  <w:style w:type="paragraph" w:customStyle="1" w:styleId="Tablename0">
    <w:name w:val="Table name"/>
    <w:basedOn w:val="Normal"/>
    <w:uiPriority w:val="4"/>
    <w:qFormat/>
    <w:rsid w:val="001F5B33"/>
    <w:pPr>
      <w:keepNext/>
      <w:tabs>
        <w:tab w:val="left" w:pos="1418"/>
      </w:tabs>
      <w:spacing w:before="120" w:after="120" w:line="240" w:lineRule="auto"/>
      <w:ind w:left="1418" w:hanging="1418"/>
      <w:jc w:val="both"/>
    </w:pPr>
    <w:rPr>
      <w:rFonts w:cs="Times New Roman"/>
      <w:b/>
      <w:bCs/>
      <w:szCs w:val="20"/>
      <w:lang w:eastAsia="en-US"/>
    </w:rPr>
  </w:style>
  <w:style w:type="paragraph" w:customStyle="1" w:styleId="TFfootnote">
    <w:name w:val="T&amp;F footnote"/>
    <w:basedOn w:val="Tabletext1"/>
    <w:next w:val="BodyText"/>
    <w:uiPriority w:val="4"/>
    <w:rsid w:val="001F5B33"/>
    <w:pPr>
      <w:tabs>
        <w:tab w:val="left" w:pos="416"/>
        <w:tab w:val="left" w:pos="582"/>
      </w:tabs>
      <w:spacing w:before="0" w:after="0"/>
      <w:jc w:val="both"/>
    </w:pPr>
    <w:rPr>
      <w:rFonts w:ascii="Calibri" w:hAnsi="Calibri" w:cs="Times New Roman"/>
      <w:bCs/>
      <w:sz w:val="16"/>
      <w:szCs w:val="22"/>
      <w:lang w:val="en-GB" w:eastAsia="en-GB"/>
    </w:rPr>
  </w:style>
  <w:style w:type="table" w:customStyle="1" w:styleId="TableGridLight1">
    <w:name w:val="Table Grid Light1"/>
    <w:basedOn w:val="TableNormal"/>
    <w:uiPriority w:val="40"/>
    <w:rsid w:val="001F5B33"/>
    <w:pPr>
      <w:jc w:val="both"/>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1F5B33"/>
    <w:pPr>
      <w:jc w:val="both"/>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1">
    <w:name w:val="Grid Table 1 Light1"/>
    <w:basedOn w:val="TableClassic1"/>
    <w:uiPriority w:val="46"/>
    <w:rsid w:val="001F5B33"/>
    <w:pPr>
      <w:jc w:val="both"/>
    </w:pPr>
    <w:rPr>
      <w:rFonts w:ascii="Arial Narrow" w:hAnsi="Arial Narrow"/>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shd w:val="clear" w:color="auto" w:fill="auto"/>
    </w:tcPr>
    <w:tblStylePr w:type="firstRow">
      <w:rPr>
        <w:b/>
        <w:bCs/>
        <w:i/>
        <w:iCs/>
      </w:rPr>
      <w:tblPr/>
      <w:tcPr>
        <w:tcBorders>
          <w:bottom w:val="single" w:sz="12" w:space="0" w:color="666666"/>
          <w:tl2br w:val="none" w:sz="0" w:space="0" w:color="auto"/>
          <w:tr2bl w:val="none" w:sz="0" w:space="0" w:color="auto"/>
        </w:tcBorders>
      </w:tcPr>
    </w:tblStylePr>
    <w:tblStylePr w:type="lastRow">
      <w:rPr>
        <w:b/>
        <w:bCs/>
        <w:color w:val="auto"/>
      </w:rPr>
      <w:tblPr/>
      <w:tcPr>
        <w:tcBorders>
          <w:top w:val="double" w:sz="2" w:space="0" w:color="66666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ainTable31">
    <w:name w:val="Plain Table 31"/>
    <w:basedOn w:val="TableNormal"/>
    <w:uiPriority w:val="43"/>
    <w:rsid w:val="001F5B33"/>
    <w:pPr>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1F5B33"/>
    <w:pPr>
      <w:jc w:val="both"/>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
    <w:name w:val="Grid Table 1 Light - Accent 11"/>
    <w:basedOn w:val="TableNormal"/>
    <w:uiPriority w:val="46"/>
    <w:rsid w:val="001F5B33"/>
    <w:pPr>
      <w:jc w:val="both"/>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Table6Colorful1">
    <w:name w:val="List Table 6 Colorful1"/>
    <w:basedOn w:val="TableNormal"/>
    <w:uiPriority w:val="51"/>
    <w:rsid w:val="001F5B33"/>
    <w:pPr>
      <w:jc w:val="both"/>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
    <w:name w:val="List Table 1 Light1"/>
    <w:basedOn w:val="TableNormal"/>
    <w:uiPriority w:val="46"/>
    <w:rsid w:val="001F5B33"/>
    <w:pPr>
      <w:jc w:val="both"/>
    </w:p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7Colorful1">
    <w:name w:val="List Table 7 Colorful1"/>
    <w:basedOn w:val="TableNormal"/>
    <w:uiPriority w:val="52"/>
    <w:rsid w:val="001F5B33"/>
    <w:pPr>
      <w:jc w:val="both"/>
    </w:pPr>
    <w:rPr>
      <w:color w:val="000000"/>
    </w:rPr>
    <w:tblPr>
      <w:tblStyleRowBandSize w:val="1"/>
      <w:tblStyleColBandSize w:val="1"/>
    </w:tblPr>
    <w:tblStylePr w:type="firstRow">
      <w:rPr>
        <w:rFonts w:ascii="Helvetica" w:eastAsia="Angsana New" w:hAnsi="Helvetica" w:cs="Times New Roman"/>
        <w:i/>
        <w:iCs/>
        <w:sz w:val="26"/>
      </w:rPr>
      <w:tblPr/>
      <w:tcPr>
        <w:tcBorders>
          <w:bottom w:val="single" w:sz="4" w:space="0" w:color="000000"/>
        </w:tcBorders>
        <w:shd w:val="clear" w:color="auto" w:fill="FFFFFF"/>
      </w:tcPr>
    </w:tblStylePr>
    <w:tblStylePr w:type="lastRow">
      <w:rPr>
        <w:rFonts w:ascii="Helvetica" w:eastAsia="Angsana New" w:hAnsi="Helvetica" w:cs="Times New Roman"/>
        <w:i/>
        <w:iCs/>
        <w:sz w:val="26"/>
      </w:rPr>
      <w:tblPr/>
      <w:tcPr>
        <w:tcBorders>
          <w:top w:val="single" w:sz="4" w:space="0" w:color="000000"/>
        </w:tcBorders>
        <w:shd w:val="clear" w:color="auto" w:fill="FFFFFF"/>
      </w:tcPr>
    </w:tblStylePr>
    <w:tblStylePr w:type="firstCol">
      <w:pPr>
        <w:jc w:val="right"/>
      </w:pPr>
      <w:rPr>
        <w:rFonts w:ascii="Helvetica" w:eastAsia="Angsana New" w:hAnsi="Helvetica" w:cs="Times New Roman"/>
        <w:i/>
        <w:iCs/>
        <w:sz w:val="26"/>
      </w:rPr>
      <w:tblPr/>
      <w:tcPr>
        <w:tcBorders>
          <w:right w:val="single" w:sz="4" w:space="0" w:color="000000"/>
        </w:tcBorders>
        <w:shd w:val="clear" w:color="auto" w:fill="FFFFFF"/>
      </w:tcPr>
    </w:tblStylePr>
    <w:tblStylePr w:type="lastCol">
      <w:rPr>
        <w:rFonts w:ascii="Helvetica" w:eastAsia="Angsana New" w:hAnsi="Helvetic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21">
    <w:name w:val="List Table 21"/>
    <w:basedOn w:val="TableNormal"/>
    <w:uiPriority w:val="47"/>
    <w:rsid w:val="001F5B33"/>
    <w:pPr>
      <w:jc w:val="both"/>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
    <w:name w:val="List Table 31"/>
    <w:basedOn w:val="TableNormal"/>
    <w:uiPriority w:val="48"/>
    <w:rsid w:val="001F5B33"/>
    <w:pPr>
      <w:jc w:val="both"/>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1">
    <w:name w:val="List Table 41"/>
    <w:basedOn w:val="TableNormal"/>
    <w:uiPriority w:val="49"/>
    <w:rsid w:val="001F5B33"/>
    <w:pPr>
      <w:jc w:val="both"/>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1">
    <w:name w:val="Grid Table 6 Colorful1"/>
    <w:basedOn w:val="TableNormal"/>
    <w:uiPriority w:val="51"/>
    <w:rsid w:val="001F5B33"/>
    <w:pPr>
      <w:jc w:val="both"/>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ableParagraph">
    <w:name w:val="Table Paragraph"/>
    <w:basedOn w:val="Normal"/>
    <w:uiPriority w:val="1"/>
    <w:qFormat/>
    <w:rsid w:val="001F5B33"/>
    <w:pPr>
      <w:widowControl w:val="0"/>
      <w:spacing w:after="0" w:line="240" w:lineRule="auto"/>
      <w:jc w:val="both"/>
    </w:pPr>
    <w:rPr>
      <w:rFonts w:eastAsia="Calibri" w:cs="Times New Roman"/>
      <w:lang w:val="en-US" w:eastAsia="en-US"/>
    </w:rPr>
  </w:style>
  <w:style w:type="table" w:customStyle="1" w:styleId="Summarybox1">
    <w:name w:val="Summary box1"/>
    <w:basedOn w:val="TableNormal"/>
    <w:next w:val="TableGrid"/>
    <w:rsid w:val="001F5B33"/>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link w:val="ColorfulList-Accent11"/>
    <w:uiPriority w:val="1"/>
    <w:rsid w:val="001F5B33"/>
    <w:rPr>
      <w:rFonts w:ascii="Calibri" w:hAnsi="Calibri" w:cs="Tahoma"/>
      <w:sz w:val="22"/>
      <w:szCs w:val="22"/>
    </w:rPr>
  </w:style>
  <w:style w:type="character" w:customStyle="1" w:styleId="TablefootnoteChar">
    <w:name w:val="Table footnote Char"/>
    <w:link w:val="Tablefootnote"/>
    <w:locked/>
    <w:rsid w:val="001F5B33"/>
    <w:rPr>
      <w:rFonts w:ascii="Arial Narrow" w:hAnsi="Arial Narrow" w:cs="Arial Narrow"/>
      <w:noProof/>
      <w:sz w:val="16"/>
      <w:szCs w:val="16"/>
      <w:lang w:val="en-GB"/>
    </w:rPr>
  </w:style>
  <w:style w:type="paragraph" w:customStyle="1" w:styleId="Tablefootnote">
    <w:name w:val="Table footnote"/>
    <w:basedOn w:val="Normal"/>
    <w:link w:val="TablefootnoteChar"/>
    <w:qFormat/>
    <w:rsid w:val="001F5B33"/>
    <w:pPr>
      <w:keepNext/>
      <w:keepLines/>
      <w:spacing w:after="360" w:line="240" w:lineRule="auto"/>
      <w:contextualSpacing/>
      <w:jc w:val="both"/>
    </w:pPr>
    <w:rPr>
      <w:rFonts w:ascii="Arial Narrow" w:hAnsi="Arial Narrow" w:cs="Arial Narrow"/>
      <w:noProof/>
      <w:sz w:val="16"/>
      <w:szCs w:val="16"/>
      <w:lang w:val="en-GB"/>
    </w:rPr>
  </w:style>
  <w:style w:type="paragraph" w:customStyle="1" w:styleId="Synopsis">
    <w:name w:val="Synopsis"/>
    <w:basedOn w:val="Normal"/>
    <w:rsid w:val="001F5B33"/>
    <w:pPr>
      <w:spacing w:before="120" w:line="240" w:lineRule="auto"/>
      <w:jc w:val="both"/>
    </w:pPr>
    <w:rPr>
      <w:rFonts w:ascii="Arial" w:hAnsi="Arial" w:cs="Times New Roman"/>
      <w:sz w:val="20"/>
      <w:szCs w:val="20"/>
      <w:lang w:val="en-US" w:eastAsia="en-US"/>
    </w:rPr>
  </w:style>
  <w:style w:type="paragraph" w:customStyle="1" w:styleId="MediumGrid21">
    <w:name w:val="Medium Grid 21"/>
    <w:uiPriority w:val="1"/>
    <w:qFormat/>
    <w:rsid w:val="001F5B33"/>
    <w:pPr>
      <w:jc w:val="both"/>
    </w:pPr>
    <w:rPr>
      <w:rFonts w:ascii="Calibri" w:eastAsia="Calibri" w:hAnsi="Calibri"/>
      <w:sz w:val="22"/>
      <w:szCs w:val="22"/>
      <w:lang w:val="en-US" w:eastAsia="en-US"/>
    </w:rPr>
  </w:style>
  <w:style w:type="table" w:styleId="PlainTable1">
    <w:name w:val="Plain Table 1"/>
    <w:basedOn w:val="TableNormal"/>
    <w:uiPriority w:val="41"/>
    <w:rsid w:val="001F5B3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heading1">
    <w:name w:val="Table heading"/>
    <w:basedOn w:val="Normal"/>
    <w:link w:val="TableheadingChar0"/>
    <w:qFormat/>
    <w:rsid w:val="00DE59D4"/>
    <w:pPr>
      <w:spacing w:after="0" w:line="240" w:lineRule="auto"/>
      <w:ind w:left="57" w:right="57"/>
    </w:pPr>
    <w:rPr>
      <w:rFonts w:ascii="Arial Narrow" w:eastAsia="Calibri" w:hAnsi="Arial Narrow" w:cs="Times New Roman"/>
      <w:b/>
      <w:sz w:val="20"/>
      <w:szCs w:val="20"/>
      <w:lang w:eastAsia="en-US"/>
    </w:rPr>
  </w:style>
  <w:style w:type="character" w:customStyle="1" w:styleId="TableheadingChar0">
    <w:name w:val="Table heading Char"/>
    <w:link w:val="Tableheading1"/>
    <w:rsid w:val="00DE59D4"/>
    <w:rPr>
      <w:rFonts w:ascii="Arial Narrow" w:eastAsia="Calibri" w:hAnsi="Arial Narrow"/>
      <w:b/>
      <w:lang w:eastAsia="en-US"/>
    </w:rPr>
  </w:style>
  <w:style w:type="character" w:customStyle="1" w:styleId="UnresolvedMention2">
    <w:name w:val="Unresolved Mention2"/>
    <w:uiPriority w:val="99"/>
    <w:semiHidden/>
    <w:unhideWhenUsed/>
    <w:rsid w:val="003120C6"/>
    <w:rPr>
      <w:color w:val="605E5C"/>
      <w:shd w:val="clear" w:color="auto" w:fill="E1DFDD"/>
    </w:rPr>
  </w:style>
  <w:style w:type="paragraph" w:styleId="ListParagraph">
    <w:name w:val="List Paragraph"/>
    <w:basedOn w:val="Normal"/>
    <w:uiPriority w:val="72"/>
    <w:qFormat/>
    <w:rsid w:val="00155820"/>
    <w:pPr>
      <w:ind w:left="720"/>
      <w:contextualSpacing/>
    </w:pPr>
  </w:style>
  <w:style w:type="character" w:customStyle="1" w:styleId="cell-value">
    <w:name w:val="cell-value"/>
    <w:basedOn w:val="DefaultParagraphFont"/>
    <w:rsid w:val="0048316C"/>
  </w:style>
  <w:style w:type="paragraph" w:styleId="Revision">
    <w:name w:val="Revision"/>
    <w:hidden/>
    <w:uiPriority w:val="71"/>
    <w:rsid w:val="00986AF7"/>
    <w:rPr>
      <w:rFonts w:ascii="Calibri" w:hAnsi="Calibri" w:cs="Tahoma"/>
      <w:sz w:val="22"/>
      <w:szCs w:val="22"/>
    </w:rPr>
  </w:style>
  <w:style w:type="character" w:customStyle="1" w:styleId="UnresolvedMention3">
    <w:name w:val="Unresolved Mention3"/>
    <w:basedOn w:val="DefaultParagraphFont"/>
    <w:uiPriority w:val="99"/>
    <w:semiHidden/>
    <w:unhideWhenUsed/>
    <w:rsid w:val="00497E19"/>
    <w:rPr>
      <w:color w:val="605E5C"/>
      <w:shd w:val="clear" w:color="auto" w:fill="E1DFDD"/>
    </w:rPr>
  </w:style>
  <w:style w:type="character" w:customStyle="1" w:styleId="UnresolvedMention">
    <w:name w:val="Unresolved Mention"/>
    <w:basedOn w:val="DefaultParagraphFont"/>
    <w:uiPriority w:val="99"/>
    <w:semiHidden/>
    <w:unhideWhenUsed/>
    <w:rsid w:val="006F35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90400322">
      <w:bodyDiv w:val="1"/>
      <w:marLeft w:val="0"/>
      <w:marRight w:val="0"/>
      <w:marTop w:val="0"/>
      <w:marBottom w:val="0"/>
      <w:divBdr>
        <w:top w:val="none" w:sz="0" w:space="0" w:color="auto"/>
        <w:left w:val="none" w:sz="0" w:space="0" w:color="auto"/>
        <w:bottom w:val="none" w:sz="0" w:space="0" w:color="auto"/>
        <w:right w:val="none" w:sz="0" w:space="0" w:color="auto"/>
      </w:divBdr>
    </w:div>
    <w:div w:id="125124339">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5728252">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37636431">
      <w:bodyDiv w:val="1"/>
      <w:marLeft w:val="0"/>
      <w:marRight w:val="0"/>
      <w:marTop w:val="0"/>
      <w:marBottom w:val="0"/>
      <w:divBdr>
        <w:top w:val="none" w:sz="0" w:space="0" w:color="auto"/>
        <w:left w:val="none" w:sz="0" w:space="0" w:color="auto"/>
        <w:bottom w:val="none" w:sz="0" w:space="0" w:color="auto"/>
        <w:right w:val="none" w:sz="0" w:space="0" w:color="auto"/>
      </w:divBdr>
    </w:div>
    <w:div w:id="263850539">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1396881">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398022709">
      <w:bodyDiv w:val="1"/>
      <w:marLeft w:val="0"/>
      <w:marRight w:val="0"/>
      <w:marTop w:val="0"/>
      <w:marBottom w:val="0"/>
      <w:divBdr>
        <w:top w:val="none" w:sz="0" w:space="0" w:color="auto"/>
        <w:left w:val="none" w:sz="0" w:space="0" w:color="auto"/>
        <w:bottom w:val="none" w:sz="0" w:space="0" w:color="auto"/>
        <w:right w:val="none" w:sz="0" w:space="0" w:color="auto"/>
      </w:divBdr>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5813258">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55804499">
      <w:bodyDiv w:val="1"/>
      <w:marLeft w:val="0"/>
      <w:marRight w:val="0"/>
      <w:marTop w:val="0"/>
      <w:marBottom w:val="0"/>
      <w:divBdr>
        <w:top w:val="none" w:sz="0" w:space="0" w:color="auto"/>
        <w:left w:val="none" w:sz="0" w:space="0" w:color="auto"/>
        <w:bottom w:val="none" w:sz="0" w:space="0" w:color="auto"/>
        <w:right w:val="none" w:sz="0" w:space="0" w:color="auto"/>
      </w:divBdr>
      <w:divsChild>
        <w:div w:id="683093469">
          <w:marLeft w:val="0"/>
          <w:marRight w:val="0"/>
          <w:marTop w:val="0"/>
          <w:marBottom w:val="0"/>
          <w:divBdr>
            <w:top w:val="none" w:sz="0" w:space="0" w:color="auto"/>
            <w:left w:val="none" w:sz="0" w:space="0" w:color="auto"/>
            <w:bottom w:val="none" w:sz="0" w:space="0" w:color="auto"/>
            <w:right w:val="none" w:sz="0" w:space="0" w:color="auto"/>
          </w:divBdr>
          <w:divsChild>
            <w:div w:id="1492791787">
              <w:marLeft w:val="0"/>
              <w:marRight w:val="0"/>
              <w:marTop w:val="0"/>
              <w:marBottom w:val="0"/>
              <w:divBdr>
                <w:top w:val="none" w:sz="0" w:space="0" w:color="auto"/>
                <w:left w:val="none" w:sz="0" w:space="0" w:color="auto"/>
                <w:bottom w:val="none" w:sz="0" w:space="0" w:color="auto"/>
                <w:right w:val="none" w:sz="0" w:space="0" w:color="auto"/>
              </w:divBdr>
              <w:divsChild>
                <w:div w:id="2005889574">
                  <w:marLeft w:val="0"/>
                  <w:marRight w:val="0"/>
                  <w:marTop w:val="0"/>
                  <w:marBottom w:val="0"/>
                  <w:divBdr>
                    <w:top w:val="none" w:sz="0" w:space="0" w:color="auto"/>
                    <w:left w:val="none" w:sz="0" w:space="0" w:color="auto"/>
                    <w:bottom w:val="none" w:sz="0" w:space="0" w:color="auto"/>
                    <w:right w:val="none" w:sz="0" w:space="0" w:color="auto"/>
                  </w:divBdr>
                  <w:divsChild>
                    <w:div w:id="11160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74679">
      <w:bodyDiv w:val="1"/>
      <w:marLeft w:val="0"/>
      <w:marRight w:val="0"/>
      <w:marTop w:val="0"/>
      <w:marBottom w:val="0"/>
      <w:divBdr>
        <w:top w:val="none" w:sz="0" w:space="0" w:color="auto"/>
        <w:left w:val="none" w:sz="0" w:space="0" w:color="auto"/>
        <w:bottom w:val="none" w:sz="0" w:space="0" w:color="auto"/>
        <w:right w:val="none" w:sz="0" w:space="0" w:color="auto"/>
      </w:divBdr>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17353225">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46990531">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2319168">
      <w:bodyDiv w:val="1"/>
      <w:marLeft w:val="0"/>
      <w:marRight w:val="0"/>
      <w:marTop w:val="0"/>
      <w:marBottom w:val="0"/>
      <w:divBdr>
        <w:top w:val="none" w:sz="0" w:space="0" w:color="auto"/>
        <w:left w:val="none" w:sz="0" w:space="0" w:color="auto"/>
        <w:bottom w:val="none" w:sz="0" w:space="0" w:color="auto"/>
        <w:right w:val="none" w:sz="0" w:space="0" w:color="auto"/>
      </w:divBdr>
    </w:div>
    <w:div w:id="595940592">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624192910">
      <w:bodyDiv w:val="1"/>
      <w:marLeft w:val="0"/>
      <w:marRight w:val="0"/>
      <w:marTop w:val="0"/>
      <w:marBottom w:val="0"/>
      <w:divBdr>
        <w:top w:val="none" w:sz="0" w:space="0" w:color="auto"/>
        <w:left w:val="none" w:sz="0" w:space="0" w:color="auto"/>
        <w:bottom w:val="none" w:sz="0" w:space="0" w:color="auto"/>
        <w:right w:val="none" w:sz="0" w:space="0" w:color="auto"/>
      </w:divBdr>
    </w:div>
    <w:div w:id="642124262">
      <w:bodyDiv w:val="1"/>
      <w:marLeft w:val="0"/>
      <w:marRight w:val="0"/>
      <w:marTop w:val="0"/>
      <w:marBottom w:val="0"/>
      <w:divBdr>
        <w:top w:val="none" w:sz="0" w:space="0" w:color="auto"/>
        <w:left w:val="none" w:sz="0" w:space="0" w:color="auto"/>
        <w:bottom w:val="none" w:sz="0" w:space="0" w:color="auto"/>
        <w:right w:val="none" w:sz="0" w:space="0" w:color="auto"/>
      </w:divBdr>
    </w:div>
    <w:div w:id="659693507">
      <w:bodyDiv w:val="1"/>
      <w:marLeft w:val="0"/>
      <w:marRight w:val="0"/>
      <w:marTop w:val="0"/>
      <w:marBottom w:val="0"/>
      <w:divBdr>
        <w:top w:val="none" w:sz="0" w:space="0" w:color="auto"/>
        <w:left w:val="none" w:sz="0" w:space="0" w:color="auto"/>
        <w:bottom w:val="none" w:sz="0" w:space="0" w:color="auto"/>
        <w:right w:val="none" w:sz="0" w:space="0" w:color="auto"/>
      </w:divBdr>
    </w:div>
    <w:div w:id="713315926">
      <w:bodyDiv w:val="1"/>
      <w:marLeft w:val="0"/>
      <w:marRight w:val="0"/>
      <w:marTop w:val="0"/>
      <w:marBottom w:val="0"/>
      <w:divBdr>
        <w:top w:val="none" w:sz="0" w:space="0" w:color="auto"/>
        <w:left w:val="none" w:sz="0" w:space="0" w:color="auto"/>
        <w:bottom w:val="none" w:sz="0" w:space="0" w:color="auto"/>
        <w:right w:val="none" w:sz="0" w:space="0" w:color="auto"/>
      </w:divBdr>
    </w:div>
    <w:div w:id="799108780">
      <w:bodyDiv w:val="1"/>
      <w:marLeft w:val="0"/>
      <w:marRight w:val="0"/>
      <w:marTop w:val="0"/>
      <w:marBottom w:val="0"/>
      <w:divBdr>
        <w:top w:val="none" w:sz="0" w:space="0" w:color="auto"/>
        <w:left w:val="none" w:sz="0" w:space="0" w:color="auto"/>
        <w:bottom w:val="none" w:sz="0" w:space="0" w:color="auto"/>
        <w:right w:val="none" w:sz="0" w:space="0" w:color="auto"/>
      </w:divBdr>
    </w:div>
    <w:div w:id="808012292">
      <w:bodyDiv w:val="1"/>
      <w:marLeft w:val="0"/>
      <w:marRight w:val="0"/>
      <w:marTop w:val="0"/>
      <w:marBottom w:val="0"/>
      <w:divBdr>
        <w:top w:val="none" w:sz="0" w:space="0" w:color="auto"/>
        <w:left w:val="none" w:sz="0" w:space="0" w:color="auto"/>
        <w:bottom w:val="none" w:sz="0" w:space="0" w:color="auto"/>
        <w:right w:val="none" w:sz="0" w:space="0" w:color="auto"/>
      </w:divBdr>
    </w:div>
    <w:div w:id="814613497">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68879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58991143">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983773672">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25978957">
      <w:bodyDiv w:val="1"/>
      <w:marLeft w:val="0"/>
      <w:marRight w:val="0"/>
      <w:marTop w:val="0"/>
      <w:marBottom w:val="0"/>
      <w:divBdr>
        <w:top w:val="none" w:sz="0" w:space="0" w:color="auto"/>
        <w:left w:val="none" w:sz="0" w:space="0" w:color="auto"/>
        <w:bottom w:val="none" w:sz="0" w:space="0" w:color="auto"/>
        <w:right w:val="none" w:sz="0" w:space="0" w:color="auto"/>
      </w:divBdr>
    </w:div>
    <w:div w:id="1049185938">
      <w:bodyDiv w:val="1"/>
      <w:marLeft w:val="0"/>
      <w:marRight w:val="0"/>
      <w:marTop w:val="0"/>
      <w:marBottom w:val="0"/>
      <w:divBdr>
        <w:top w:val="none" w:sz="0" w:space="0" w:color="auto"/>
        <w:left w:val="none" w:sz="0" w:space="0" w:color="auto"/>
        <w:bottom w:val="none" w:sz="0" w:space="0" w:color="auto"/>
        <w:right w:val="none" w:sz="0" w:space="0" w:color="auto"/>
      </w:divBdr>
    </w:div>
    <w:div w:id="1060904318">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23811732">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68902637">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52079447">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19716360">
      <w:bodyDiv w:val="1"/>
      <w:marLeft w:val="0"/>
      <w:marRight w:val="0"/>
      <w:marTop w:val="0"/>
      <w:marBottom w:val="0"/>
      <w:divBdr>
        <w:top w:val="none" w:sz="0" w:space="0" w:color="auto"/>
        <w:left w:val="none" w:sz="0" w:space="0" w:color="auto"/>
        <w:bottom w:val="none" w:sz="0" w:space="0" w:color="auto"/>
        <w:right w:val="none" w:sz="0" w:space="0" w:color="auto"/>
      </w:divBdr>
    </w:div>
    <w:div w:id="1431969939">
      <w:bodyDiv w:val="1"/>
      <w:marLeft w:val="0"/>
      <w:marRight w:val="0"/>
      <w:marTop w:val="0"/>
      <w:marBottom w:val="0"/>
      <w:divBdr>
        <w:top w:val="none" w:sz="0" w:space="0" w:color="auto"/>
        <w:left w:val="none" w:sz="0" w:space="0" w:color="auto"/>
        <w:bottom w:val="none" w:sz="0" w:space="0" w:color="auto"/>
        <w:right w:val="none" w:sz="0" w:space="0" w:color="auto"/>
      </w:divBdr>
    </w:div>
    <w:div w:id="1449735378">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31015879">
      <w:bodyDiv w:val="1"/>
      <w:marLeft w:val="0"/>
      <w:marRight w:val="0"/>
      <w:marTop w:val="0"/>
      <w:marBottom w:val="0"/>
      <w:divBdr>
        <w:top w:val="none" w:sz="0" w:space="0" w:color="auto"/>
        <w:left w:val="none" w:sz="0" w:space="0" w:color="auto"/>
        <w:bottom w:val="none" w:sz="0" w:space="0" w:color="auto"/>
        <w:right w:val="none" w:sz="0" w:space="0" w:color="auto"/>
      </w:divBdr>
    </w:div>
    <w:div w:id="1633828308">
      <w:bodyDiv w:val="1"/>
      <w:marLeft w:val="0"/>
      <w:marRight w:val="0"/>
      <w:marTop w:val="0"/>
      <w:marBottom w:val="0"/>
      <w:divBdr>
        <w:top w:val="none" w:sz="0" w:space="0" w:color="auto"/>
        <w:left w:val="none" w:sz="0" w:space="0" w:color="auto"/>
        <w:bottom w:val="none" w:sz="0" w:space="0" w:color="auto"/>
        <w:right w:val="none" w:sz="0" w:space="0" w:color="auto"/>
      </w:divBdr>
    </w:div>
    <w:div w:id="1665163031">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687051428">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44252327">
      <w:bodyDiv w:val="1"/>
      <w:marLeft w:val="0"/>
      <w:marRight w:val="0"/>
      <w:marTop w:val="0"/>
      <w:marBottom w:val="0"/>
      <w:divBdr>
        <w:top w:val="none" w:sz="0" w:space="0" w:color="auto"/>
        <w:left w:val="none" w:sz="0" w:space="0" w:color="auto"/>
        <w:bottom w:val="none" w:sz="0" w:space="0" w:color="auto"/>
        <w:right w:val="none" w:sz="0" w:space="0" w:color="auto"/>
      </w:divBdr>
    </w:div>
    <w:div w:id="1773086627">
      <w:bodyDiv w:val="1"/>
      <w:marLeft w:val="0"/>
      <w:marRight w:val="0"/>
      <w:marTop w:val="0"/>
      <w:marBottom w:val="0"/>
      <w:divBdr>
        <w:top w:val="none" w:sz="0" w:space="0" w:color="auto"/>
        <w:left w:val="none" w:sz="0" w:space="0" w:color="auto"/>
        <w:bottom w:val="none" w:sz="0" w:space="0" w:color="auto"/>
        <w:right w:val="none" w:sz="0" w:space="0" w:color="auto"/>
      </w:divBdr>
    </w:div>
    <w:div w:id="1793209350">
      <w:bodyDiv w:val="1"/>
      <w:marLeft w:val="0"/>
      <w:marRight w:val="0"/>
      <w:marTop w:val="0"/>
      <w:marBottom w:val="0"/>
      <w:divBdr>
        <w:top w:val="none" w:sz="0" w:space="0" w:color="auto"/>
        <w:left w:val="none" w:sz="0" w:space="0" w:color="auto"/>
        <w:bottom w:val="none" w:sz="0" w:space="0" w:color="auto"/>
        <w:right w:val="none" w:sz="0" w:space="0" w:color="auto"/>
      </w:divBdr>
    </w:div>
    <w:div w:id="1828593113">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908150141">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55017032">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2002539645">
      <w:bodyDiv w:val="1"/>
      <w:marLeft w:val="0"/>
      <w:marRight w:val="0"/>
      <w:marTop w:val="0"/>
      <w:marBottom w:val="0"/>
      <w:divBdr>
        <w:top w:val="none" w:sz="0" w:space="0" w:color="auto"/>
        <w:left w:val="none" w:sz="0" w:space="0" w:color="auto"/>
        <w:bottom w:val="none" w:sz="0" w:space="0" w:color="auto"/>
        <w:right w:val="none" w:sz="0" w:space="0" w:color="auto"/>
      </w:divBdr>
    </w:div>
    <w:div w:id="2005083955">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63752621">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 w:id="2143963819">
      <w:bodyDiv w:val="1"/>
      <w:marLeft w:val="0"/>
      <w:marRight w:val="0"/>
      <w:marTop w:val="0"/>
      <w:marBottom w:val="0"/>
      <w:divBdr>
        <w:top w:val="none" w:sz="0" w:space="0" w:color="auto"/>
        <w:left w:val="none" w:sz="0" w:space="0" w:color="auto"/>
        <w:bottom w:val="none" w:sz="0" w:space="0" w:color="auto"/>
        <w:right w:val="none" w:sz="0" w:space="0" w:color="auto"/>
      </w:divBdr>
    </w:div>
    <w:div w:id="214488556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1.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8.xml"/><Relationship Id="rId25" Type="http://schemas.openxmlformats.org/officeDocument/2006/relationships/footer" Target="footer3.xml"/><Relationship Id="rId33"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3.emf"/><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eader" Target="header11.xml"/><Relationship Id="rId32" Type="http://schemas.openxmlformats.org/officeDocument/2006/relationships/header" Target="header1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0.xml"/><Relationship Id="rId28" Type="http://schemas.openxmlformats.org/officeDocument/2006/relationships/chart" Target="charts/chart1.xml"/><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2.emf"/><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5.png"/><Relationship Id="rId30" Type="http://schemas.openxmlformats.org/officeDocument/2006/relationships/chart" Target="charts/chart3.xml"/><Relationship Id="rId35" Type="http://schemas.openxmlformats.org/officeDocument/2006/relationships/header" Target="header14.xml"/></Relationships>
</file>

<file path=word/charts/_rels/chart1.xml.rels><?xml version="1.0" encoding="UTF-8" standalone="yes"?>
<Relationships xmlns="http://schemas.openxmlformats.org/package/2006/relationships"><Relationship Id="rId3" Type="http://schemas.openxmlformats.org/officeDocument/2006/relationships/oleObject" Target="file:///C:\College%20Surgeons\CIPD\Report\CIDP_Economic_2019102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College%20Surgeons\CIPD\Report\CIDP_Economic_2019102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College%20Surgeons\CIPD\Report\CIDP_Economic_2019102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College%20Surgeons\CIPD\Report\CIDP_Economic_20191028.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33137705612886"/>
          <c:y val="9.63392890736985E-2"/>
          <c:w val="0.73235845519310083"/>
          <c:h val="0.52011989159023242"/>
        </c:manualLayout>
      </c:layout>
      <c:lineChart>
        <c:grouping val="standard"/>
        <c:varyColors val="0"/>
        <c:ser>
          <c:idx val="0"/>
          <c:order val="0"/>
          <c:tx>
            <c:strRef>
              <c:f>Ig!$C$534</c:f>
              <c:strCache>
                <c:ptCount val="1"/>
                <c:pt idx="0">
                  <c:v>Ig</c:v>
                </c:pt>
              </c:strCache>
            </c:strRef>
          </c:tx>
          <c:spPr>
            <a:ln w="28575" cap="rnd">
              <a:solidFill>
                <a:schemeClr val="accent1"/>
              </a:solidFill>
              <a:round/>
            </a:ln>
            <a:effectLst/>
          </c:spPr>
          <c:marker>
            <c:symbol val="none"/>
          </c:marker>
          <c:cat>
            <c:numRef>
              <c:f>Ig!$B$535:$B$561</c:f>
              <c:numCache>
                <c:formatCode>#,##0</c:formatCode>
                <c:ptCount val="2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numCache>
            </c:numRef>
          </c:cat>
          <c:val>
            <c:numRef>
              <c:f>Ig!$C$535:$C$561</c:f>
              <c:numCache>
                <c:formatCode>#,##0</c:formatCode>
                <c:ptCount val="27"/>
                <c:pt idx="0">
                  <c:v>1000</c:v>
                </c:pt>
                <c:pt idx="1">
                  <c:v>999.9309184473401</c:v>
                </c:pt>
                <c:pt idx="2">
                  <c:v>999.86184166694113</c:v>
                </c:pt>
                <c:pt idx="3">
                  <c:v>999.79276965847339</c:v>
                </c:pt>
                <c:pt idx="4">
                  <c:v>999.72370242160719</c:v>
                </c:pt>
                <c:pt idx="5">
                  <c:v>999.65463995601294</c:v>
                </c:pt>
                <c:pt idx="6">
                  <c:v>999.58558226136108</c:v>
                </c:pt>
                <c:pt idx="7">
                  <c:v>999.51652933732203</c:v>
                </c:pt>
                <c:pt idx="8">
                  <c:v>999.44748118356608</c:v>
                </c:pt>
                <c:pt idx="9">
                  <c:v>999.3784377997639</c:v>
                </c:pt>
                <c:pt idx="10">
                  <c:v>999.30939918558579</c:v>
                </c:pt>
                <c:pt idx="11">
                  <c:v>999.2403653407024</c:v>
                </c:pt>
                <c:pt idx="12">
                  <c:v>999.17133626478414</c:v>
                </c:pt>
                <c:pt idx="13">
                  <c:v>999.10231195750168</c:v>
                </c:pt>
                <c:pt idx="14">
                  <c:v>999.03329241852555</c:v>
                </c:pt>
                <c:pt idx="15">
                  <c:v>998.96427764752627</c:v>
                </c:pt>
                <c:pt idx="16">
                  <c:v>998.89526764417451</c:v>
                </c:pt>
                <c:pt idx="17">
                  <c:v>998.82626240814102</c:v>
                </c:pt>
                <c:pt idx="18">
                  <c:v>998.75726193909634</c:v>
                </c:pt>
                <c:pt idx="19">
                  <c:v>998.68826623671123</c:v>
                </c:pt>
                <c:pt idx="20">
                  <c:v>609.15775793340038</c:v>
                </c:pt>
                <c:pt idx="21">
                  <c:v>605.72238576674954</c:v>
                </c:pt>
                <c:pt idx="22">
                  <c:v>602.30638753364826</c:v>
                </c:pt>
                <c:pt idx="23">
                  <c:v>598.90965397393984</c:v>
                </c:pt>
                <c:pt idx="24">
                  <c:v>595.53207644364511</c:v>
                </c:pt>
                <c:pt idx="25">
                  <c:v>592.17354691148728</c:v>
                </c:pt>
                <c:pt idx="26">
                  <c:v>588.83395795543709</c:v>
                </c:pt>
              </c:numCache>
            </c:numRef>
          </c:val>
          <c:smooth val="0"/>
          <c:extLst>
            <c:ext xmlns:c16="http://schemas.microsoft.com/office/drawing/2014/chart" uri="{C3380CC4-5D6E-409C-BE32-E72D297353CC}">
              <c16:uniqueId val="{00000000-FEB9-403F-93C7-37C7FD214B5A}"/>
            </c:ext>
          </c:extLst>
        </c:ser>
        <c:ser>
          <c:idx val="2"/>
          <c:order val="1"/>
          <c:tx>
            <c:strRef>
              <c:f>Ig!$E$534</c:f>
              <c:strCache>
                <c:ptCount val="1"/>
                <c:pt idx="0">
                  <c:v>Steroids no AE</c:v>
                </c:pt>
              </c:strCache>
            </c:strRef>
          </c:tx>
          <c:spPr>
            <a:ln w="28575" cap="rnd">
              <a:solidFill>
                <a:schemeClr val="accent3"/>
              </a:solidFill>
              <a:round/>
            </a:ln>
            <a:effectLst/>
          </c:spPr>
          <c:marker>
            <c:symbol val="none"/>
          </c:marker>
          <c:cat>
            <c:numRef>
              <c:f>Ig!$B$535:$B$561</c:f>
              <c:numCache>
                <c:formatCode>#,##0</c:formatCode>
                <c:ptCount val="2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numCache>
            </c:numRef>
          </c:cat>
          <c:val>
            <c:numRef>
              <c:f>Ig!$E$535:$E$561</c:f>
              <c:numCache>
                <c:formatCode>#,##0</c:formatCode>
                <c:ptCount val="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389.46151736725596</c:v>
                </c:pt>
                <c:pt idx="21">
                  <c:v>391.4892660037134</c:v>
                </c:pt>
                <c:pt idx="22">
                  <c:v>393.49076827274666</c:v>
                </c:pt>
                <c:pt idx="23">
                  <c:v>395.46622412195279</c:v>
                </c:pt>
                <c:pt idx="24">
                  <c:v>397.41583218923677</c:v>
                </c:pt>
                <c:pt idx="25">
                  <c:v>399.33978981083607</c:v>
                </c:pt>
                <c:pt idx="26">
                  <c:v>401.23829302929744</c:v>
                </c:pt>
              </c:numCache>
            </c:numRef>
          </c:val>
          <c:smooth val="0"/>
          <c:extLst>
            <c:ext xmlns:c16="http://schemas.microsoft.com/office/drawing/2014/chart" uri="{C3380CC4-5D6E-409C-BE32-E72D297353CC}">
              <c16:uniqueId val="{00000001-FEB9-403F-93C7-37C7FD214B5A}"/>
            </c:ext>
          </c:extLst>
        </c:ser>
        <c:ser>
          <c:idx val="3"/>
          <c:order val="2"/>
          <c:tx>
            <c:strRef>
              <c:f>Ig!$F$534</c:f>
              <c:strCache>
                <c:ptCount val="1"/>
                <c:pt idx="0">
                  <c:v>Fracture</c:v>
                </c:pt>
              </c:strCache>
            </c:strRef>
          </c:tx>
          <c:spPr>
            <a:ln w="28575" cap="rnd">
              <a:solidFill>
                <a:schemeClr val="accent4"/>
              </a:solidFill>
              <a:round/>
            </a:ln>
            <a:effectLst/>
          </c:spPr>
          <c:marker>
            <c:symbol val="none"/>
          </c:marker>
          <c:cat>
            <c:numRef>
              <c:f>Ig!$B$535:$B$561</c:f>
              <c:numCache>
                <c:formatCode>#,##0</c:formatCode>
                <c:ptCount val="2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numCache>
            </c:numRef>
          </c:cat>
          <c:val>
            <c:numRef>
              <c:f>Ig!$F$535:$F$561</c:f>
              <c:numCache>
                <c:formatCode>#,##0</c:formatCode>
                <c:ptCount val="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8.8897231892177894E-2</c:v>
                </c:pt>
                <c:pt idx="22">
                  <c:v>0.17588129231779392</c:v>
                </c:pt>
                <c:pt idx="23">
                  <c:v>0.26099732504491308</c:v>
                </c:pt>
                <c:pt idx="24">
                  <c:v>0.34428931289175496</c:v>
                </c:pt>
                <c:pt idx="25">
                  <c:v>0.42580010845727062</c:v>
                </c:pt>
                <c:pt idx="26">
                  <c:v>0.50557146403219377</c:v>
                </c:pt>
              </c:numCache>
            </c:numRef>
          </c:val>
          <c:smooth val="0"/>
          <c:extLst>
            <c:ext xmlns:c16="http://schemas.microsoft.com/office/drawing/2014/chart" uri="{C3380CC4-5D6E-409C-BE32-E72D297353CC}">
              <c16:uniqueId val="{00000002-FEB9-403F-93C7-37C7FD214B5A}"/>
            </c:ext>
          </c:extLst>
        </c:ser>
        <c:ser>
          <c:idx val="4"/>
          <c:order val="3"/>
          <c:tx>
            <c:strRef>
              <c:f>Ig!$H$534</c:f>
              <c:strCache>
                <c:ptCount val="1"/>
                <c:pt idx="0">
                  <c:v>Diabetes</c:v>
                </c:pt>
              </c:strCache>
            </c:strRef>
          </c:tx>
          <c:spPr>
            <a:ln w="28575" cap="rnd">
              <a:solidFill>
                <a:schemeClr val="accent5"/>
              </a:solidFill>
              <a:round/>
            </a:ln>
            <a:effectLst/>
          </c:spPr>
          <c:marker>
            <c:symbol val="none"/>
          </c:marker>
          <c:cat>
            <c:numRef>
              <c:f>Ig!$B$535:$B$561</c:f>
              <c:numCache>
                <c:formatCode>#,##0</c:formatCode>
                <c:ptCount val="2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numCache>
            </c:numRef>
          </c:cat>
          <c:val>
            <c:numRef>
              <c:f>Ig!$H$535:$H$561</c:f>
              <c:numCache>
                <c:formatCode>#,##0</c:formatCode>
                <c:ptCount val="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0.17426170618473294</c:v>
                </c:pt>
                <c:pt idx="22">
                  <c:v>0.34477325154220917</c:v>
                </c:pt>
                <c:pt idx="23">
                  <c:v>0.51162312221935047</c:v>
                </c:pt>
                <c:pt idx="24">
                  <c:v>0.67489752887440801</c:v>
                </c:pt>
                <c:pt idx="25">
                  <c:v>0.83468046690753817</c:v>
                </c:pt>
                <c:pt idx="26">
                  <c:v>0.99105377508519599</c:v>
                </c:pt>
              </c:numCache>
            </c:numRef>
          </c:val>
          <c:smooth val="0"/>
          <c:extLst>
            <c:ext xmlns:c16="http://schemas.microsoft.com/office/drawing/2014/chart" uri="{C3380CC4-5D6E-409C-BE32-E72D297353CC}">
              <c16:uniqueId val="{00000003-FEB9-403F-93C7-37C7FD214B5A}"/>
            </c:ext>
          </c:extLst>
        </c:ser>
        <c:ser>
          <c:idx val="5"/>
          <c:order val="4"/>
          <c:tx>
            <c:strRef>
              <c:f>Ig!$I$534</c:f>
              <c:strCache>
                <c:ptCount val="1"/>
                <c:pt idx="0">
                  <c:v>Cataract</c:v>
                </c:pt>
              </c:strCache>
            </c:strRef>
          </c:tx>
          <c:spPr>
            <a:ln w="28575" cap="rnd">
              <a:solidFill>
                <a:schemeClr val="accent6"/>
              </a:solidFill>
              <a:round/>
            </a:ln>
            <a:effectLst/>
          </c:spPr>
          <c:marker>
            <c:symbol val="none"/>
          </c:marker>
          <c:cat>
            <c:numRef>
              <c:f>Ig!$B$535:$B$561</c:f>
              <c:numCache>
                <c:formatCode>#,##0</c:formatCode>
                <c:ptCount val="2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numCache>
            </c:numRef>
          </c:cat>
          <c:val>
            <c:numRef>
              <c:f>Ig!$I$535:$I$561</c:f>
              <c:numCache>
                <c:formatCode>#,##0</c:formatCode>
                <c:ptCount val="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8.5866423607801765E-2</c:v>
                </c:pt>
                <c:pt idx="22">
                  <c:v>0.16988498438862853</c:v>
                </c:pt>
                <c:pt idx="23">
                  <c:v>0.25209928304358975</c:v>
                </c:pt>
                <c:pt idx="24">
                  <c:v>0.3325517990522881</c:v>
                </c:pt>
                <c:pt idx="25">
                  <c:v>0.41128392035066891</c:v>
                </c:pt>
                <c:pt idx="26">
                  <c:v>0.48833597221744618</c:v>
                </c:pt>
              </c:numCache>
            </c:numRef>
          </c:val>
          <c:smooth val="0"/>
          <c:extLst>
            <c:ext xmlns:c16="http://schemas.microsoft.com/office/drawing/2014/chart" uri="{C3380CC4-5D6E-409C-BE32-E72D297353CC}">
              <c16:uniqueId val="{00000004-FEB9-403F-93C7-37C7FD214B5A}"/>
            </c:ext>
          </c:extLst>
        </c:ser>
        <c:ser>
          <c:idx val="6"/>
          <c:order val="5"/>
          <c:tx>
            <c:strRef>
              <c:f>Ig!$J$534</c:f>
              <c:strCache>
                <c:ptCount val="1"/>
                <c:pt idx="0">
                  <c:v>Glaucoma</c:v>
                </c:pt>
              </c:strCache>
            </c:strRef>
          </c:tx>
          <c:spPr>
            <a:ln w="28575" cap="rnd">
              <a:solidFill>
                <a:schemeClr val="accent1">
                  <a:lumMod val="60000"/>
                </a:schemeClr>
              </a:solidFill>
              <a:round/>
            </a:ln>
            <a:effectLst/>
          </c:spPr>
          <c:marker>
            <c:symbol val="none"/>
          </c:marker>
          <c:cat>
            <c:numRef>
              <c:f>Ig!$B$535:$B$561</c:f>
              <c:numCache>
                <c:formatCode>#,##0</c:formatCode>
                <c:ptCount val="2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numCache>
            </c:numRef>
          </c:cat>
          <c:val>
            <c:numRef>
              <c:f>Ig!$J$535:$J$561</c:f>
              <c:numCache>
                <c:formatCode>#,##0</c:formatCode>
                <c:ptCount val="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5.9936995343894475E-3</c:v>
                </c:pt>
                <c:pt idx="22">
                  <c:v>1.1858413440866366E-2</c:v>
                </c:pt>
                <c:pt idx="23">
                  <c:v>1.7597185161686277E-2</c:v>
                </c:pt>
                <c:pt idx="24">
                  <c:v>2.3212979874929488E-2</c:v>
                </c:pt>
                <c:pt idx="25">
                  <c:v>2.870868656609209E-2</c:v>
                </c:pt>
                <c:pt idx="26">
                  <c:v>3.4087120044433601E-2</c:v>
                </c:pt>
              </c:numCache>
            </c:numRef>
          </c:val>
          <c:smooth val="0"/>
          <c:extLst>
            <c:ext xmlns:c16="http://schemas.microsoft.com/office/drawing/2014/chart" uri="{C3380CC4-5D6E-409C-BE32-E72D297353CC}">
              <c16:uniqueId val="{00000005-FEB9-403F-93C7-37C7FD214B5A}"/>
            </c:ext>
          </c:extLst>
        </c:ser>
        <c:ser>
          <c:idx val="7"/>
          <c:order val="6"/>
          <c:tx>
            <c:strRef>
              <c:f>Ig!$K$534</c:f>
              <c:strCache>
                <c:ptCount val="1"/>
                <c:pt idx="0">
                  <c:v>Infection</c:v>
                </c:pt>
              </c:strCache>
            </c:strRef>
          </c:tx>
          <c:spPr>
            <a:ln w="28575" cap="rnd">
              <a:solidFill>
                <a:schemeClr val="accent2">
                  <a:lumMod val="60000"/>
                </a:schemeClr>
              </a:solidFill>
              <a:round/>
            </a:ln>
            <a:effectLst/>
          </c:spPr>
          <c:marker>
            <c:symbol val="none"/>
          </c:marker>
          <c:cat>
            <c:numRef>
              <c:f>Ig!$B$535:$B$561</c:f>
              <c:numCache>
                <c:formatCode>#,##0</c:formatCode>
                <c:ptCount val="2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numCache>
            </c:numRef>
          </c:cat>
          <c:val>
            <c:numRef>
              <c:f>Ig!$K$535:$K$561</c:f>
              <c:numCache>
                <c:formatCode>#,##0</c:formatCode>
                <c:ptCount val="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2.6257923307442248E-2</c:v>
                </c:pt>
                <c:pt idx="22">
                  <c:v>5.1950738949673253E-2</c:v>
                </c:pt>
                <c:pt idx="23">
                  <c:v>7.7091781542451207E-2</c:v>
                </c:pt>
                <c:pt idx="24">
                  <c:v>0.10169404277515356</c:v>
                </c:pt>
                <c:pt idx="25">
                  <c:v>0.12577018048819849</c:v>
                </c:pt>
                <c:pt idx="26">
                  <c:v>0.14933252750838644</c:v>
                </c:pt>
              </c:numCache>
            </c:numRef>
          </c:val>
          <c:smooth val="0"/>
          <c:extLst>
            <c:ext xmlns:c16="http://schemas.microsoft.com/office/drawing/2014/chart" uri="{C3380CC4-5D6E-409C-BE32-E72D297353CC}">
              <c16:uniqueId val="{00000006-FEB9-403F-93C7-37C7FD214B5A}"/>
            </c:ext>
          </c:extLst>
        </c:ser>
        <c:ser>
          <c:idx val="8"/>
          <c:order val="7"/>
          <c:tx>
            <c:strRef>
              <c:f>Ig!$L$534</c:f>
              <c:strCache>
                <c:ptCount val="1"/>
                <c:pt idx="0">
                  <c:v>Death</c:v>
                </c:pt>
              </c:strCache>
            </c:strRef>
          </c:tx>
          <c:spPr>
            <a:ln w="28575" cap="rnd">
              <a:solidFill>
                <a:schemeClr val="accent3">
                  <a:lumMod val="60000"/>
                </a:schemeClr>
              </a:solidFill>
              <a:round/>
            </a:ln>
            <a:effectLst/>
          </c:spPr>
          <c:marker>
            <c:symbol val="none"/>
          </c:marker>
          <c:cat>
            <c:numRef>
              <c:f>Ig!$B$535:$B$561</c:f>
              <c:numCache>
                <c:formatCode>#,##0</c:formatCode>
                <c:ptCount val="2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numCache>
            </c:numRef>
          </c:cat>
          <c:val>
            <c:numRef>
              <c:f>Ig!$L$535:$L$561</c:f>
              <c:numCache>
                <c:formatCode>#,##0</c:formatCode>
                <c:ptCount val="27"/>
                <c:pt idx="0">
                  <c:v>0</c:v>
                </c:pt>
                <c:pt idx="1">
                  <c:v>6.9081552659944201E-2</c:v>
                </c:pt>
                <c:pt idx="2">
                  <c:v>0.13815833305897052</c:v>
                </c:pt>
                <c:pt idx="3">
                  <c:v>0.2072303415267541</c:v>
                </c:pt>
                <c:pt idx="4">
                  <c:v>0.27629757839294738</c:v>
                </c:pt>
                <c:pt idx="5">
                  <c:v>0.34536004398718001</c:v>
                </c:pt>
                <c:pt idx="6">
                  <c:v>0.4144177386390589</c:v>
                </c:pt>
                <c:pt idx="7">
                  <c:v>0.48347066267816807</c:v>
                </c:pt>
                <c:pt idx="8">
                  <c:v>0.55251881643406897</c:v>
                </c:pt>
                <c:pt idx="9">
                  <c:v>0.62156220023630004</c:v>
                </c:pt>
                <c:pt idx="10">
                  <c:v>0.69060081441437715</c:v>
                </c:pt>
                <c:pt idx="11">
                  <c:v>0.75963465929779339</c:v>
                </c:pt>
                <c:pt idx="12">
                  <c:v>0.82866373521601899</c:v>
                </c:pt>
                <c:pt idx="13">
                  <c:v>0.89768804249850154</c:v>
                </c:pt>
                <c:pt idx="14">
                  <c:v>0.96670758147466573</c:v>
                </c:pt>
                <c:pt idx="15">
                  <c:v>1.0357223524739136</c:v>
                </c:pt>
                <c:pt idx="16">
                  <c:v>1.1047323558256243</c:v>
                </c:pt>
                <c:pt idx="17">
                  <c:v>1.1737375918591544</c:v>
                </c:pt>
                <c:pt idx="18">
                  <c:v>1.2427380609038376</c:v>
                </c:pt>
                <c:pt idx="19">
                  <c:v>1.3117337632889849</c:v>
                </c:pt>
                <c:pt idx="20">
                  <c:v>1.3807246993438846</c:v>
                </c:pt>
                <c:pt idx="21">
                  <c:v>1.4497108693978022</c:v>
                </c:pt>
                <c:pt idx="22">
                  <c:v>1.518692407838993</c:v>
                </c:pt>
                <c:pt idx="23">
                  <c:v>1.5876693121023142</c:v>
                </c:pt>
                <c:pt idx="24">
                  <c:v>1.6566415796908787</c:v>
                </c:pt>
                <c:pt idx="25">
                  <c:v>1.725609208174298</c:v>
                </c:pt>
                <c:pt idx="26">
                  <c:v>1.7945721951869742</c:v>
                </c:pt>
              </c:numCache>
            </c:numRef>
          </c:val>
          <c:smooth val="0"/>
          <c:extLst>
            <c:ext xmlns:c16="http://schemas.microsoft.com/office/drawing/2014/chart" uri="{C3380CC4-5D6E-409C-BE32-E72D297353CC}">
              <c16:uniqueId val="{00000007-FEB9-403F-93C7-37C7FD214B5A}"/>
            </c:ext>
          </c:extLst>
        </c:ser>
        <c:ser>
          <c:idx val="9"/>
          <c:order val="8"/>
          <c:tx>
            <c:strRef>
              <c:f>Ig!$G$534</c:f>
              <c:strCache>
                <c:ptCount val="1"/>
                <c:pt idx="0">
                  <c:v>Steroids non respond + azathioprine</c:v>
                </c:pt>
              </c:strCache>
            </c:strRef>
          </c:tx>
          <c:spPr>
            <a:ln w="28575" cap="rnd">
              <a:solidFill>
                <a:schemeClr val="accent4">
                  <a:lumMod val="60000"/>
                </a:schemeClr>
              </a:solidFill>
              <a:round/>
            </a:ln>
            <a:effectLst/>
          </c:spPr>
          <c:marker>
            <c:symbol val="none"/>
          </c:marker>
          <c:val>
            <c:numRef>
              <c:f>Ig!$G$535:$G$561</c:f>
              <c:numCache>
                <c:formatCode>#,##0</c:formatCode>
                <c:ptCount val="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0.95736037561301457</c:v>
                </c:pt>
                <c:pt idx="22">
                  <c:v>1.2837826710482192</c:v>
                </c:pt>
                <c:pt idx="23">
                  <c:v>1.3983003453465266</c:v>
                </c:pt>
                <c:pt idx="24">
                  <c:v>1.4416061291069953</c:v>
                </c:pt>
                <c:pt idx="25">
                  <c:v>1.4609386842380645</c:v>
                </c:pt>
                <c:pt idx="26">
                  <c:v>1.4721590744308282</c:v>
                </c:pt>
              </c:numCache>
            </c:numRef>
          </c:val>
          <c:smooth val="0"/>
          <c:extLst>
            <c:ext xmlns:c16="http://schemas.microsoft.com/office/drawing/2014/chart" uri="{C3380CC4-5D6E-409C-BE32-E72D297353CC}">
              <c16:uniqueId val="{00000008-FEB9-403F-93C7-37C7FD214B5A}"/>
            </c:ext>
          </c:extLst>
        </c:ser>
        <c:ser>
          <c:idx val="1"/>
          <c:order val="9"/>
          <c:tx>
            <c:strRef>
              <c:f>Ig!$D$534</c:f>
              <c:strCache>
                <c:ptCount val="1"/>
                <c:pt idx="0">
                  <c:v>Azathioprine non respond</c:v>
                </c:pt>
              </c:strCache>
            </c:strRef>
          </c:tx>
          <c:spPr>
            <a:ln w="28575" cap="rnd">
              <a:solidFill>
                <a:schemeClr val="accent2"/>
              </a:solidFill>
              <a:round/>
            </a:ln>
            <a:effectLst/>
          </c:spPr>
          <c:marker>
            <c:symbol val="none"/>
          </c:marker>
          <c:val>
            <c:numRef>
              <c:f>Ig!$D$535:$D$561</c:f>
              <c:numCache>
                <c:formatCode>#,##0</c:formatCode>
                <c:ptCount val="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0.64602043407904919</c:v>
                </c:pt>
                <c:pt idx="23">
                  <c:v>1.5131606168395983</c:v>
                </c:pt>
                <c:pt idx="24">
                  <c:v>2.4585386569510592</c:v>
                </c:pt>
                <c:pt idx="25">
                  <c:v>3.4339671903783939</c:v>
                </c:pt>
                <c:pt idx="26">
                  <c:v>4.4230583381504998</c:v>
                </c:pt>
              </c:numCache>
            </c:numRef>
          </c:val>
          <c:smooth val="0"/>
          <c:extLst>
            <c:ext xmlns:c16="http://schemas.microsoft.com/office/drawing/2014/chart" uri="{C3380CC4-5D6E-409C-BE32-E72D297353CC}">
              <c16:uniqueId val="{00000009-FEB9-403F-93C7-37C7FD214B5A}"/>
            </c:ext>
          </c:extLst>
        </c:ser>
        <c:dLbls>
          <c:showLegendKey val="0"/>
          <c:showVal val="0"/>
          <c:showCatName val="0"/>
          <c:showSerName val="0"/>
          <c:showPercent val="0"/>
          <c:showBubbleSize val="0"/>
        </c:dLbls>
        <c:smooth val="0"/>
        <c:axId val="270772616"/>
        <c:axId val="270773272"/>
      </c:lineChart>
      <c:catAx>
        <c:axId val="270772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Weeks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773272"/>
        <c:crosses val="autoZero"/>
        <c:auto val="1"/>
        <c:lblAlgn val="ctr"/>
        <c:lblOffset val="100"/>
        <c:noMultiLvlLbl val="0"/>
      </c:catAx>
      <c:valAx>
        <c:axId val="270773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Ig Arm (1,000 cohort)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772616"/>
        <c:crosses val="autoZero"/>
        <c:crossBetween val="between"/>
      </c:valAx>
      <c:spPr>
        <a:noFill/>
        <a:ln>
          <a:noFill/>
        </a:ln>
        <a:effectLst/>
      </c:spPr>
    </c:plotArea>
    <c:legend>
      <c:legendPos val="b"/>
      <c:layout>
        <c:manualLayout>
          <c:xMode val="edge"/>
          <c:yMode val="edge"/>
          <c:x val="0.19183750261305832"/>
          <c:y val="0.7243246840253762"/>
          <c:w val="0.76381762014261489"/>
          <c:h val="0.255473301128529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50887908347487"/>
          <c:y val="8.1149056949276696E-2"/>
          <c:w val="0.82574505598355097"/>
          <c:h val="0.51546855904430688"/>
        </c:manualLayout>
      </c:layout>
      <c:lineChart>
        <c:grouping val="standard"/>
        <c:varyColors val="0"/>
        <c:ser>
          <c:idx val="0"/>
          <c:order val="0"/>
          <c:tx>
            <c:strRef>
              <c:f>Ig!$C$534</c:f>
              <c:strCache>
                <c:ptCount val="1"/>
                <c:pt idx="0">
                  <c:v>Ig</c:v>
                </c:pt>
              </c:strCache>
            </c:strRef>
          </c:tx>
          <c:spPr>
            <a:ln w="28575" cap="rnd">
              <a:solidFill>
                <a:schemeClr val="accent1"/>
              </a:solidFill>
              <a:round/>
            </a:ln>
            <a:effectLst/>
          </c:spPr>
          <c:marker>
            <c:symbol val="none"/>
          </c:marker>
          <c:cat>
            <c:numRef>
              <c:f>Ig!$B$535:$B$1054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Ig!$C$535:$C$1054</c:f>
              <c:numCache>
                <c:formatCode>#,##0</c:formatCode>
                <c:ptCount val="520"/>
                <c:pt idx="0">
                  <c:v>1000</c:v>
                </c:pt>
                <c:pt idx="1">
                  <c:v>999.9309184473401</c:v>
                </c:pt>
                <c:pt idx="2">
                  <c:v>999.86184166694113</c:v>
                </c:pt>
                <c:pt idx="3">
                  <c:v>999.79276965847339</c:v>
                </c:pt>
                <c:pt idx="4">
                  <c:v>999.72370242160719</c:v>
                </c:pt>
                <c:pt idx="5">
                  <c:v>999.65463995601294</c:v>
                </c:pt>
                <c:pt idx="6">
                  <c:v>999.58558226136108</c:v>
                </c:pt>
                <c:pt idx="7">
                  <c:v>999.51652933732203</c:v>
                </c:pt>
                <c:pt idx="8">
                  <c:v>999.44748118356608</c:v>
                </c:pt>
                <c:pt idx="9">
                  <c:v>999.3784377997639</c:v>
                </c:pt>
                <c:pt idx="10">
                  <c:v>999.30939918558579</c:v>
                </c:pt>
                <c:pt idx="11">
                  <c:v>999.2403653407024</c:v>
                </c:pt>
                <c:pt idx="12">
                  <c:v>999.17133626478414</c:v>
                </c:pt>
                <c:pt idx="13">
                  <c:v>999.10231195750168</c:v>
                </c:pt>
                <c:pt idx="14">
                  <c:v>999.03329241852555</c:v>
                </c:pt>
                <c:pt idx="15">
                  <c:v>998.96427764752627</c:v>
                </c:pt>
                <c:pt idx="16">
                  <c:v>998.89526764417451</c:v>
                </c:pt>
                <c:pt idx="17">
                  <c:v>998.82626240814102</c:v>
                </c:pt>
                <c:pt idx="18">
                  <c:v>998.75726193909634</c:v>
                </c:pt>
                <c:pt idx="19">
                  <c:v>998.68826623671123</c:v>
                </c:pt>
                <c:pt idx="20">
                  <c:v>609.15775793340038</c:v>
                </c:pt>
                <c:pt idx="21">
                  <c:v>605.72238576674954</c:v>
                </c:pt>
                <c:pt idx="22">
                  <c:v>602.30638753364826</c:v>
                </c:pt>
                <c:pt idx="23">
                  <c:v>598.90965397393984</c:v>
                </c:pt>
                <c:pt idx="24">
                  <c:v>595.53207644364511</c:v>
                </c:pt>
                <c:pt idx="25">
                  <c:v>592.17354691148728</c:v>
                </c:pt>
                <c:pt idx="26">
                  <c:v>588.83395795543709</c:v>
                </c:pt>
                <c:pt idx="27">
                  <c:v>585.51320275927628</c:v>
                </c:pt>
                <c:pt idx="28">
                  <c:v>582.21117510918157</c:v>
                </c:pt>
                <c:pt idx="29">
                  <c:v>578.92776939032694</c:v>
                </c:pt>
                <c:pt idx="30">
                  <c:v>575.66288058350619</c:v>
                </c:pt>
                <c:pt idx="31">
                  <c:v>572.41640426177332</c:v>
                </c:pt>
                <c:pt idx="32">
                  <c:v>569.18823658710289</c:v>
                </c:pt>
                <c:pt idx="33">
                  <c:v>565.97827430706866</c:v>
                </c:pt>
                <c:pt idx="34">
                  <c:v>562.78641475154086</c:v>
                </c:pt>
                <c:pt idx="35">
                  <c:v>559.6125558294026</c:v>
                </c:pt>
                <c:pt idx="36">
                  <c:v>556.45659602528417</c:v>
                </c:pt>
                <c:pt idx="37">
                  <c:v>553.31843439631655</c:v>
                </c:pt>
                <c:pt idx="38">
                  <c:v>550.19797056890229</c:v>
                </c:pt>
                <c:pt idx="39">
                  <c:v>547.0951047355054</c:v>
                </c:pt>
                <c:pt idx="40">
                  <c:v>544.00973765145886</c:v>
                </c:pt>
                <c:pt idx="41">
                  <c:v>540.94177063179029</c:v>
                </c:pt>
                <c:pt idx="42">
                  <c:v>537.89110554806587</c:v>
                </c:pt>
                <c:pt idx="43">
                  <c:v>534.85764482525099</c:v>
                </c:pt>
                <c:pt idx="44">
                  <c:v>531.84129143859025</c:v>
                </c:pt>
                <c:pt idx="45">
                  <c:v>528.84194891050322</c:v>
                </c:pt>
                <c:pt idx="46">
                  <c:v>525.85952130749922</c:v>
                </c:pt>
                <c:pt idx="47">
                  <c:v>522.8939132371089</c:v>
                </c:pt>
                <c:pt idx="48">
                  <c:v>519.94502984483279</c:v>
                </c:pt>
                <c:pt idx="49">
                  <c:v>517.01277681110764</c:v>
                </c:pt>
                <c:pt idx="50">
                  <c:v>514.09706034828957</c:v>
                </c:pt>
                <c:pt idx="51">
                  <c:v>511.19778719765412</c:v>
                </c:pt>
                <c:pt idx="52">
                  <c:v>508.31486462641379</c:v>
                </c:pt>
                <c:pt idx="53">
                  <c:v>508.27691833191284</c:v>
                </c:pt>
                <c:pt idx="54">
                  <c:v>508.23897487014676</c:v>
                </c:pt>
                <c:pt idx="55">
                  <c:v>508.20103424090416</c:v>
                </c:pt>
                <c:pt idx="56">
                  <c:v>508.16309644397353</c:v>
                </c:pt>
                <c:pt idx="57">
                  <c:v>508.12516147914351</c:v>
                </c:pt>
                <c:pt idx="58">
                  <c:v>508.08722934620261</c:v>
                </c:pt>
                <c:pt idx="59">
                  <c:v>508.04930004493946</c:v>
                </c:pt>
                <c:pt idx="60">
                  <c:v>508.01137357514267</c:v>
                </c:pt>
                <c:pt idx="61">
                  <c:v>507.97344993660084</c:v>
                </c:pt>
                <c:pt idx="62">
                  <c:v>507.93552912910263</c:v>
                </c:pt>
                <c:pt idx="63">
                  <c:v>507.8976111524367</c:v>
                </c:pt>
                <c:pt idx="64">
                  <c:v>507.85969600639174</c:v>
                </c:pt>
                <c:pt idx="65">
                  <c:v>507.82178369075643</c:v>
                </c:pt>
                <c:pt idx="66">
                  <c:v>507.78387420531948</c:v>
                </c:pt>
                <c:pt idx="67">
                  <c:v>507.74596754986959</c:v>
                </c:pt>
                <c:pt idx="68">
                  <c:v>507.70806372419554</c:v>
                </c:pt>
                <c:pt idx="69">
                  <c:v>507.67016272808604</c:v>
                </c:pt>
                <c:pt idx="70">
                  <c:v>507.63226456132992</c:v>
                </c:pt>
                <c:pt idx="71">
                  <c:v>507.59436922371589</c:v>
                </c:pt>
                <c:pt idx="72">
                  <c:v>507.55647671503277</c:v>
                </c:pt>
                <c:pt idx="73">
                  <c:v>507.5185870350694</c:v>
                </c:pt>
                <c:pt idx="74">
                  <c:v>507.48070018361466</c:v>
                </c:pt>
                <c:pt idx="75">
                  <c:v>507.44281616045731</c:v>
                </c:pt>
                <c:pt idx="76">
                  <c:v>507.40493496538625</c:v>
                </c:pt>
                <c:pt idx="77">
                  <c:v>507.36705659819035</c:v>
                </c:pt>
                <c:pt idx="78">
                  <c:v>507.32918105865855</c:v>
                </c:pt>
                <c:pt idx="79">
                  <c:v>507.29130834657968</c:v>
                </c:pt>
                <c:pt idx="80">
                  <c:v>507.25343846174275</c:v>
                </c:pt>
                <c:pt idx="81">
                  <c:v>507.21557140393668</c:v>
                </c:pt>
                <c:pt idx="82">
                  <c:v>507.17770717295042</c:v>
                </c:pt>
                <c:pt idx="83">
                  <c:v>507.13984576857291</c:v>
                </c:pt>
                <c:pt idx="84">
                  <c:v>507.10198719059321</c:v>
                </c:pt>
                <c:pt idx="85">
                  <c:v>507.06413143880025</c:v>
                </c:pt>
                <c:pt idx="86">
                  <c:v>507.02627851298308</c:v>
                </c:pt>
                <c:pt idx="87">
                  <c:v>506.98842841293077</c:v>
                </c:pt>
                <c:pt idx="88">
                  <c:v>506.95058113843237</c:v>
                </c:pt>
                <c:pt idx="89">
                  <c:v>506.91273668927693</c:v>
                </c:pt>
                <c:pt idx="90">
                  <c:v>506.8748950652535</c:v>
                </c:pt>
                <c:pt idx="91">
                  <c:v>506.83705626615125</c:v>
                </c:pt>
                <c:pt idx="92">
                  <c:v>506.79922029175924</c:v>
                </c:pt>
                <c:pt idx="93">
                  <c:v>506.76138714186663</c:v>
                </c:pt>
                <c:pt idx="94">
                  <c:v>506.72355681626254</c:v>
                </c:pt>
                <c:pt idx="95">
                  <c:v>506.68572931473619</c:v>
                </c:pt>
                <c:pt idx="96">
                  <c:v>506.64790463707669</c:v>
                </c:pt>
                <c:pt idx="97">
                  <c:v>506.61008278307327</c:v>
                </c:pt>
                <c:pt idx="98">
                  <c:v>506.57226375251514</c:v>
                </c:pt>
                <c:pt idx="99">
                  <c:v>506.53444754519154</c:v>
                </c:pt>
                <c:pt idx="100">
                  <c:v>506.49663416089169</c:v>
                </c:pt>
                <c:pt idx="101">
                  <c:v>506.45882359940487</c:v>
                </c:pt>
                <c:pt idx="102">
                  <c:v>506.42101586052036</c:v>
                </c:pt>
                <c:pt idx="103">
                  <c:v>506.38321094402738</c:v>
                </c:pt>
                <c:pt idx="104">
                  <c:v>506.34540884971534</c:v>
                </c:pt>
                <c:pt idx="105">
                  <c:v>506.30449530635468</c:v>
                </c:pt>
                <c:pt idx="106">
                  <c:v>506.26358506887573</c:v>
                </c:pt>
                <c:pt idx="107">
                  <c:v>506.22267813701137</c:v>
                </c:pt>
                <c:pt idx="108">
                  <c:v>506.18177451049451</c:v>
                </c:pt>
                <c:pt idx="109">
                  <c:v>506.14087418905808</c:v>
                </c:pt>
                <c:pt idx="110">
                  <c:v>506.09997717243499</c:v>
                </c:pt>
                <c:pt idx="111">
                  <c:v>506.05908346035824</c:v>
                </c:pt>
                <c:pt idx="112">
                  <c:v>506.01819305256083</c:v>
                </c:pt>
                <c:pt idx="113">
                  <c:v>505.97730594877572</c:v>
                </c:pt>
                <c:pt idx="114">
                  <c:v>505.93642214873597</c:v>
                </c:pt>
                <c:pt idx="115">
                  <c:v>505.89554165217464</c:v>
                </c:pt>
                <c:pt idx="116">
                  <c:v>505.8546644588248</c:v>
                </c:pt>
                <c:pt idx="117">
                  <c:v>505.81379056841956</c:v>
                </c:pt>
                <c:pt idx="118">
                  <c:v>505.772919980692</c:v>
                </c:pt>
                <c:pt idx="119">
                  <c:v>505.73205269537527</c:v>
                </c:pt>
                <c:pt idx="120">
                  <c:v>505.69118871220252</c:v>
                </c:pt>
                <c:pt idx="121">
                  <c:v>505.65032803090696</c:v>
                </c:pt>
                <c:pt idx="122">
                  <c:v>505.60947065122178</c:v>
                </c:pt>
                <c:pt idx="123">
                  <c:v>505.56861657288022</c:v>
                </c:pt>
                <c:pt idx="124">
                  <c:v>505.52776579561549</c:v>
                </c:pt>
                <c:pt idx="125">
                  <c:v>505.48691831916085</c:v>
                </c:pt>
                <c:pt idx="126">
                  <c:v>505.44607414324963</c:v>
                </c:pt>
                <c:pt idx="127">
                  <c:v>505.40523326761513</c:v>
                </c:pt>
                <c:pt idx="128">
                  <c:v>505.36439569199064</c:v>
                </c:pt>
                <c:pt idx="129">
                  <c:v>505.32356141610956</c:v>
                </c:pt>
                <c:pt idx="130">
                  <c:v>505.28273043970529</c:v>
                </c:pt>
                <c:pt idx="131">
                  <c:v>505.24190276251119</c:v>
                </c:pt>
                <c:pt idx="132">
                  <c:v>505.20107838426065</c:v>
                </c:pt>
                <c:pt idx="133">
                  <c:v>505.16025730468715</c:v>
                </c:pt>
                <c:pt idx="134">
                  <c:v>505.11943952352414</c:v>
                </c:pt>
                <c:pt idx="135">
                  <c:v>505.07862504050513</c:v>
                </c:pt>
                <c:pt idx="136">
                  <c:v>505.03781385536359</c:v>
                </c:pt>
                <c:pt idx="137">
                  <c:v>504.99700596783305</c:v>
                </c:pt>
                <c:pt idx="138">
                  <c:v>504.95620137764706</c:v>
                </c:pt>
                <c:pt idx="139">
                  <c:v>504.91540008453921</c:v>
                </c:pt>
                <c:pt idx="140">
                  <c:v>504.87460208824308</c:v>
                </c:pt>
                <c:pt idx="141">
                  <c:v>504.83380738849223</c:v>
                </c:pt>
                <c:pt idx="142">
                  <c:v>504.79301598502036</c:v>
                </c:pt>
                <c:pt idx="143">
                  <c:v>504.7522278775611</c:v>
                </c:pt>
                <c:pt idx="144">
                  <c:v>504.71144306584813</c:v>
                </c:pt>
                <c:pt idx="145">
                  <c:v>504.67066154961515</c:v>
                </c:pt>
                <c:pt idx="146">
                  <c:v>504.62988332859589</c:v>
                </c:pt>
                <c:pt idx="147">
                  <c:v>504.58910840252406</c:v>
                </c:pt>
                <c:pt idx="148">
                  <c:v>504.54833677113345</c:v>
                </c:pt>
                <c:pt idx="149">
                  <c:v>504.50756843415786</c:v>
                </c:pt>
                <c:pt idx="150">
                  <c:v>504.46680339133104</c:v>
                </c:pt>
                <c:pt idx="151">
                  <c:v>504.42604164238685</c:v>
                </c:pt>
                <c:pt idx="152">
                  <c:v>504.38528318705914</c:v>
                </c:pt>
                <c:pt idx="153">
                  <c:v>504.34452802508179</c:v>
                </c:pt>
                <c:pt idx="154">
                  <c:v>504.30377615618869</c:v>
                </c:pt>
                <c:pt idx="155">
                  <c:v>504.26302758011371</c:v>
                </c:pt>
                <c:pt idx="156">
                  <c:v>504.22228229659083</c:v>
                </c:pt>
                <c:pt idx="157">
                  <c:v>504.17805008294579</c:v>
                </c:pt>
                <c:pt idx="158">
                  <c:v>504.13382174951147</c:v>
                </c:pt>
                <c:pt idx="159">
                  <c:v>504.08959729594756</c:v>
                </c:pt>
                <c:pt idx="160">
                  <c:v>504.04537672191361</c:v>
                </c:pt>
                <c:pt idx="161">
                  <c:v>504.00116002706937</c:v>
                </c:pt>
                <c:pt idx="162">
                  <c:v>503.95694721107452</c:v>
                </c:pt>
                <c:pt idx="163">
                  <c:v>503.91273827358879</c:v>
                </c:pt>
                <c:pt idx="164">
                  <c:v>503.86853321427196</c:v>
                </c:pt>
                <c:pt idx="165">
                  <c:v>503.82433203278384</c:v>
                </c:pt>
                <c:pt idx="166">
                  <c:v>503.78013472878422</c:v>
                </c:pt>
                <c:pt idx="167">
                  <c:v>503.73594130193294</c:v>
                </c:pt>
                <c:pt idx="168">
                  <c:v>503.69175175188991</c:v>
                </c:pt>
                <c:pt idx="169">
                  <c:v>503.64756607831504</c:v>
                </c:pt>
                <c:pt idx="170">
                  <c:v>503.60338428086823</c:v>
                </c:pt>
                <c:pt idx="171">
                  <c:v>503.5592063592095</c:v>
                </c:pt>
                <c:pt idx="172">
                  <c:v>503.51503231299881</c:v>
                </c:pt>
                <c:pt idx="173">
                  <c:v>503.47086214189625</c:v>
                </c:pt>
                <c:pt idx="174">
                  <c:v>503.42669584556182</c:v>
                </c:pt>
                <c:pt idx="175">
                  <c:v>503.38253342365567</c:v>
                </c:pt>
                <c:pt idx="176">
                  <c:v>503.33837487583787</c:v>
                </c:pt>
                <c:pt idx="177">
                  <c:v>503.29422020176861</c:v>
                </c:pt>
                <c:pt idx="178">
                  <c:v>503.25006940110802</c:v>
                </c:pt>
                <c:pt idx="179">
                  <c:v>503.20592247351635</c:v>
                </c:pt>
                <c:pt idx="180">
                  <c:v>503.16177941865385</c:v>
                </c:pt>
                <c:pt idx="181">
                  <c:v>503.11764023618076</c:v>
                </c:pt>
                <c:pt idx="182">
                  <c:v>503.07350492575739</c:v>
                </c:pt>
                <c:pt idx="183">
                  <c:v>503.0293734870441</c:v>
                </c:pt>
                <c:pt idx="184">
                  <c:v>502.98524591970124</c:v>
                </c:pt>
                <c:pt idx="185">
                  <c:v>502.94112222338919</c:v>
                </c:pt>
                <c:pt idx="186">
                  <c:v>502.89700239776835</c:v>
                </c:pt>
                <c:pt idx="187">
                  <c:v>502.85288644249914</c:v>
                </c:pt>
                <c:pt idx="188">
                  <c:v>502.8087743572421</c:v>
                </c:pt>
                <c:pt idx="189">
                  <c:v>502.76466614165776</c:v>
                </c:pt>
                <c:pt idx="190">
                  <c:v>502.72056179540658</c:v>
                </c:pt>
                <c:pt idx="191">
                  <c:v>502.67646131814917</c:v>
                </c:pt>
                <c:pt idx="192">
                  <c:v>502.6323647095461</c:v>
                </c:pt>
                <c:pt idx="193">
                  <c:v>502.58827196925802</c:v>
                </c:pt>
                <c:pt idx="194">
                  <c:v>502.54418309694563</c:v>
                </c:pt>
                <c:pt idx="195">
                  <c:v>502.50009809226952</c:v>
                </c:pt>
                <c:pt idx="196">
                  <c:v>502.45601695489052</c:v>
                </c:pt>
                <c:pt idx="197">
                  <c:v>502.4119396844693</c:v>
                </c:pt>
                <c:pt idx="198">
                  <c:v>502.36786628066665</c:v>
                </c:pt>
                <c:pt idx="199">
                  <c:v>502.32379674314336</c:v>
                </c:pt>
                <c:pt idx="200">
                  <c:v>502.27973107156032</c:v>
                </c:pt>
                <c:pt idx="201">
                  <c:v>502.23566926557834</c:v>
                </c:pt>
                <c:pt idx="202">
                  <c:v>502.19161132485834</c:v>
                </c:pt>
                <c:pt idx="203">
                  <c:v>502.14755724906126</c:v>
                </c:pt>
                <c:pt idx="204">
                  <c:v>502.10350703784803</c:v>
                </c:pt>
                <c:pt idx="205">
                  <c:v>502.05946069087963</c:v>
                </c:pt>
                <c:pt idx="206">
                  <c:v>502.01541820781711</c:v>
                </c:pt>
                <c:pt idx="207">
                  <c:v>501.97137958832144</c:v>
                </c:pt>
                <c:pt idx="208">
                  <c:v>501.92734483205379</c:v>
                </c:pt>
                <c:pt idx="209">
                  <c:v>501.87964594159854</c:v>
                </c:pt>
                <c:pt idx="210">
                  <c:v>501.83195158403868</c:v>
                </c:pt>
                <c:pt idx="211">
                  <c:v>501.78426175894344</c:v>
                </c:pt>
                <c:pt idx="212">
                  <c:v>501.73657646588214</c:v>
                </c:pt>
                <c:pt idx="213">
                  <c:v>501.688895704424</c:v>
                </c:pt>
                <c:pt idx="214">
                  <c:v>501.64121947413844</c:v>
                </c:pt>
                <c:pt idx="215">
                  <c:v>501.59354777459487</c:v>
                </c:pt>
                <c:pt idx="216">
                  <c:v>501.5458806053627</c:v>
                </c:pt>
                <c:pt idx="217">
                  <c:v>501.4982179660114</c:v>
                </c:pt>
                <c:pt idx="218">
                  <c:v>501.45055985611049</c:v>
                </c:pt>
                <c:pt idx="219">
                  <c:v>501.40290627522955</c:v>
                </c:pt>
                <c:pt idx="220">
                  <c:v>501.35525722293818</c:v>
                </c:pt>
                <c:pt idx="221">
                  <c:v>501.307612698806</c:v>
                </c:pt>
                <c:pt idx="222">
                  <c:v>501.25997270240271</c:v>
                </c:pt>
                <c:pt idx="223">
                  <c:v>501.21233723329806</c:v>
                </c:pt>
                <c:pt idx="224">
                  <c:v>501.16470629106175</c:v>
                </c:pt>
                <c:pt idx="225">
                  <c:v>501.11707987526364</c:v>
                </c:pt>
                <c:pt idx="226">
                  <c:v>501.06945798547355</c:v>
                </c:pt>
                <c:pt idx="227">
                  <c:v>501.02184062126133</c:v>
                </c:pt>
                <c:pt idx="228">
                  <c:v>500.97422778219698</c:v>
                </c:pt>
                <c:pt idx="229">
                  <c:v>500.92661946785046</c:v>
                </c:pt>
                <c:pt idx="230">
                  <c:v>500.87901567779176</c:v>
                </c:pt>
                <c:pt idx="231">
                  <c:v>500.83141641159091</c:v>
                </c:pt>
                <c:pt idx="232">
                  <c:v>500.78382166881801</c:v>
                </c:pt>
                <c:pt idx="233">
                  <c:v>500.7362314490432</c:v>
                </c:pt>
                <c:pt idx="234">
                  <c:v>500.68864575183665</c:v>
                </c:pt>
                <c:pt idx="235">
                  <c:v>500.64106457676854</c:v>
                </c:pt>
                <c:pt idx="236">
                  <c:v>500.59348792340921</c:v>
                </c:pt>
                <c:pt idx="237">
                  <c:v>500.54591579132892</c:v>
                </c:pt>
                <c:pt idx="238">
                  <c:v>500.49834818009799</c:v>
                </c:pt>
                <c:pt idx="239">
                  <c:v>500.4507850892868</c:v>
                </c:pt>
                <c:pt idx="240">
                  <c:v>500.40322651846571</c:v>
                </c:pt>
                <c:pt idx="241">
                  <c:v>500.3556724672053</c:v>
                </c:pt>
                <c:pt idx="242">
                  <c:v>500.30812293507597</c:v>
                </c:pt>
                <c:pt idx="243">
                  <c:v>500.26057792164829</c:v>
                </c:pt>
                <c:pt idx="244">
                  <c:v>500.21303742649286</c:v>
                </c:pt>
                <c:pt idx="245">
                  <c:v>500.16550144918028</c:v>
                </c:pt>
                <c:pt idx="246">
                  <c:v>500.11796998928122</c:v>
                </c:pt>
                <c:pt idx="247">
                  <c:v>500.07044304636639</c:v>
                </c:pt>
                <c:pt idx="248">
                  <c:v>500.02292062000652</c:v>
                </c:pt>
                <c:pt idx="249">
                  <c:v>499.97540270977242</c:v>
                </c:pt>
                <c:pt idx="250">
                  <c:v>499.92788931523489</c:v>
                </c:pt>
                <c:pt idx="251">
                  <c:v>499.88038043596481</c:v>
                </c:pt>
                <c:pt idx="252">
                  <c:v>499.83287607153306</c:v>
                </c:pt>
                <c:pt idx="253">
                  <c:v>499.78537622151066</c:v>
                </c:pt>
                <c:pt idx="254">
                  <c:v>499.73788088546854</c:v>
                </c:pt>
                <c:pt idx="255">
                  <c:v>499.69039006297771</c:v>
                </c:pt>
                <c:pt idx="256">
                  <c:v>499.64290375360929</c:v>
                </c:pt>
                <c:pt idx="257">
                  <c:v>499.59542195693439</c:v>
                </c:pt>
                <c:pt idx="258">
                  <c:v>499.54794467252412</c:v>
                </c:pt>
                <c:pt idx="259">
                  <c:v>499.50047189994973</c:v>
                </c:pt>
                <c:pt idx="260">
                  <c:v>499.45300363878243</c:v>
                </c:pt>
                <c:pt idx="261">
                  <c:v>499.40160204412678</c:v>
                </c:pt>
                <c:pt idx="262">
                  <c:v>499.35020573950624</c:v>
                </c:pt>
                <c:pt idx="263">
                  <c:v>499.29881472437643</c:v>
                </c:pt>
                <c:pt idx="264">
                  <c:v>499.2474289981929</c:v>
                </c:pt>
                <c:pt idx="265">
                  <c:v>499.19604856041144</c:v>
                </c:pt>
                <c:pt idx="266">
                  <c:v>499.14467341048771</c:v>
                </c:pt>
                <c:pt idx="267">
                  <c:v>499.0933035478775</c:v>
                </c:pt>
                <c:pt idx="268">
                  <c:v>499.04193897203669</c:v>
                </c:pt>
                <c:pt idx="269">
                  <c:v>498.99057968242118</c:v>
                </c:pt>
                <c:pt idx="270">
                  <c:v>498.93922567848699</c:v>
                </c:pt>
                <c:pt idx="271">
                  <c:v>498.88787695969006</c:v>
                </c:pt>
                <c:pt idx="272">
                  <c:v>498.83653352548652</c:v>
                </c:pt>
                <c:pt idx="273">
                  <c:v>498.78519537533248</c:v>
                </c:pt>
                <c:pt idx="274">
                  <c:v>498.73386250868413</c:v>
                </c:pt>
                <c:pt idx="275">
                  <c:v>498.6825349249977</c:v>
                </c:pt>
                <c:pt idx="276">
                  <c:v>498.63121262372948</c:v>
                </c:pt>
                <c:pt idx="277">
                  <c:v>498.57989560433583</c:v>
                </c:pt>
                <c:pt idx="278">
                  <c:v>498.52858386627321</c:v>
                </c:pt>
                <c:pt idx="279">
                  <c:v>498.47727740899802</c:v>
                </c:pt>
                <c:pt idx="280">
                  <c:v>498.42597623196684</c:v>
                </c:pt>
                <c:pt idx="281">
                  <c:v>498.37468033463625</c:v>
                </c:pt>
                <c:pt idx="282">
                  <c:v>498.32338971646283</c:v>
                </c:pt>
                <c:pt idx="283">
                  <c:v>498.27210437690331</c:v>
                </c:pt>
                <c:pt idx="284">
                  <c:v>498.22082431541446</c:v>
                </c:pt>
                <c:pt idx="285">
                  <c:v>498.16954953145301</c:v>
                </c:pt>
                <c:pt idx="286">
                  <c:v>498.11828002447589</c:v>
                </c:pt>
                <c:pt idx="287">
                  <c:v>498.06701579394002</c:v>
                </c:pt>
                <c:pt idx="288">
                  <c:v>498.0157568393023</c:v>
                </c:pt>
                <c:pt idx="289">
                  <c:v>497.96450316001983</c:v>
                </c:pt>
                <c:pt idx="290">
                  <c:v>497.91325475554964</c:v>
                </c:pt>
                <c:pt idx="291">
                  <c:v>497.86201162534888</c:v>
                </c:pt>
                <c:pt idx="292">
                  <c:v>497.81077376887475</c:v>
                </c:pt>
                <c:pt idx="293">
                  <c:v>497.75954118558451</c:v>
                </c:pt>
                <c:pt idx="294">
                  <c:v>497.70831387493547</c:v>
                </c:pt>
                <c:pt idx="295">
                  <c:v>497.65709183638495</c:v>
                </c:pt>
                <c:pt idx="296">
                  <c:v>497.60587506939044</c:v>
                </c:pt>
                <c:pt idx="297">
                  <c:v>497.55466357340936</c:v>
                </c:pt>
                <c:pt idx="298">
                  <c:v>497.50345734789926</c:v>
                </c:pt>
                <c:pt idx="299">
                  <c:v>497.45225639231774</c:v>
                </c:pt>
                <c:pt idx="300">
                  <c:v>497.40106070612239</c:v>
                </c:pt>
                <c:pt idx="301">
                  <c:v>497.34987028877094</c:v>
                </c:pt>
                <c:pt idx="302">
                  <c:v>497.29868513972116</c:v>
                </c:pt>
                <c:pt idx="303">
                  <c:v>497.24750525843081</c:v>
                </c:pt>
                <c:pt idx="304">
                  <c:v>497.19633064435777</c:v>
                </c:pt>
                <c:pt idx="305">
                  <c:v>497.14516129696</c:v>
                </c:pt>
                <c:pt idx="306">
                  <c:v>497.09399721569542</c:v>
                </c:pt>
                <c:pt idx="307">
                  <c:v>497.04283840002211</c:v>
                </c:pt>
                <c:pt idx="308">
                  <c:v>496.99168484939815</c:v>
                </c:pt>
                <c:pt idx="309">
                  <c:v>496.94053656328168</c:v>
                </c:pt>
                <c:pt idx="310">
                  <c:v>496.88939354113086</c:v>
                </c:pt>
                <c:pt idx="311">
                  <c:v>496.83825578240396</c:v>
                </c:pt>
                <c:pt idx="312">
                  <c:v>496.78712328655934</c:v>
                </c:pt>
                <c:pt idx="313">
                  <c:v>496.73193430291877</c:v>
                </c:pt>
                <c:pt idx="314">
                  <c:v>496.67675145032263</c:v>
                </c:pt>
                <c:pt idx="315">
                  <c:v>496.62157472808974</c:v>
                </c:pt>
                <c:pt idx="316">
                  <c:v>496.56640413553913</c:v>
                </c:pt>
                <c:pt idx="317">
                  <c:v>496.51123967198987</c:v>
                </c:pt>
                <c:pt idx="318">
                  <c:v>496.45608133676103</c:v>
                </c:pt>
                <c:pt idx="319">
                  <c:v>496.4009291291718</c:v>
                </c:pt>
                <c:pt idx="320">
                  <c:v>496.34578304854148</c:v>
                </c:pt>
                <c:pt idx="321">
                  <c:v>496.29064309418936</c:v>
                </c:pt>
                <c:pt idx="322">
                  <c:v>496.23550926543493</c:v>
                </c:pt>
                <c:pt idx="323">
                  <c:v>496.18038156159764</c:v>
                </c:pt>
                <c:pt idx="324">
                  <c:v>496.12525998199709</c:v>
                </c:pt>
                <c:pt idx="325">
                  <c:v>496.07014452595291</c:v>
                </c:pt>
                <c:pt idx="326">
                  <c:v>496.01503519278481</c:v>
                </c:pt>
                <c:pt idx="327">
                  <c:v>495.95993198181259</c:v>
                </c:pt>
                <c:pt idx="328">
                  <c:v>495.90483489235618</c:v>
                </c:pt>
                <c:pt idx="329">
                  <c:v>495.84974392373545</c:v>
                </c:pt>
                <c:pt idx="330">
                  <c:v>495.79465907527049</c:v>
                </c:pt>
                <c:pt idx="331">
                  <c:v>495.73958034628134</c:v>
                </c:pt>
                <c:pt idx="332">
                  <c:v>495.68450773608822</c:v>
                </c:pt>
                <c:pt idx="333">
                  <c:v>495.62944124401139</c:v>
                </c:pt>
                <c:pt idx="334">
                  <c:v>495.57438086937117</c:v>
                </c:pt>
                <c:pt idx="335">
                  <c:v>495.51932661148794</c:v>
                </c:pt>
                <c:pt idx="336">
                  <c:v>495.4642784696822</c:v>
                </c:pt>
                <c:pt idx="337">
                  <c:v>495.40923644327449</c:v>
                </c:pt>
                <c:pt idx="338">
                  <c:v>495.35420053158543</c:v>
                </c:pt>
                <c:pt idx="339">
                  <c:v>495.29917073393574</c:v>
                </c:pt>
                <c:pt idx="340">
                  <c:v>495.24414704964619</c:v>
                </c:pt>
                <c:pt idx="341">
                  <c:v>495.18912947803767</c:v>
                </c:pt>
                <c:pt idx="342">
                  <c:v>495.13411801843108</c:v>
                </c:pt>
                <c:pt idx="343">
                  <c:v>495.07911267014742</c:v>
                </c:pt>
                <c:pt idx="344">
                  <c:v>495.02411343250782</c:v>
                </c:pt>
                <c:pt idx="345">
                  <c:v>494.96912030483338</c:v>
                </c:pt>
                <c:pt idx="346">
                  <c:v>494.91413328644535</c:v>
                </c:pt>
                <c:pt idx="347">
                  <c:v>494.85915237666507</c:v>
                </c:pt>
                <c:pt idx="348">
                  <c:v>494.80417757481388</c:v>
                </c:pt>
                <c:pt idx="349">
                  <c:v>494.74920888021325</c:v>
                </c:pt>
                <c:pt idx="350">
                  <c:v>494.69424629218469</c:v>
                </c:pt>
                <c:pt idx="351">
                  <c:v>494.63928981004989</c:v>
                </c:pt>
                <c:pt idx="352">
                  <c:v>494.58433943313048</c:v>
                </c:pt>
                <c:pt idx="353">
                  <c:v>494.52939516074821</c:v>
                </c:pt>
                <c:pt idx="354">
                  <c:v>494.47445699222493</c:v>
                </c:pt>
                <c:pt idx="355">
                  <c:v>494.41952492688256</c:v>
                </c:pt>
                <c:pt idx="356">
                  <c:v>494.36459896404307</c:v>
                </c:pt>
                <c:pt idx="357">
                  <c:v>494.30967910302854</c:v>
                </c:pt>
                <c:pt idx="358">
                  <c:v>494.25476534316113</c:v>
                </c:pt>
                <c:pt idx="359">
                  <c:v>494.19985768376296</c:v>
                </c:pt>
                <c:pt idx="360">
                  <c:v>494.14495612415641</c:v>
                </c:pt>
                <c:pt idx="361">
                  <c:v>494.09006066366379</c:v>
                </c:pt>
                <c:pt idx="362">
                  <c:v>494.03517130160759</c:v>
                </c:pt>
                <c:pt idx="363">
                  <c:v>493.98028803731029</c:v>
                </c:pt>
                <c:pt idx="364">
                  <c:v>493.92541087009448</c:v>
                </c:pt>
                <c:pt idx="365">
                  <c:v>493.8661660422751</c:v>
                </c:pt>
                <c:pt idx="366">
                  <c:v>493.80692832068985</c:v>
                </c:pt>
                <c:pt idx="367">
                  <c:v>493.74769770448637</c:v>
                </c:pt>
                <c:pt idx="368">
                  <c:v>493.68847419281241</c:v>
                </c:pt>
                <c:pt idx="369">
                  <c:v>493.62925778481582</c:v>
                </c:pt>
                <c:pt idx="370">
                  <c:v>493.57004847964447</c:v>
                </c:pt>
                <c:pt idx="371">
                  <c:v>493.51084627644644</c:v>
                </c:pt>
                <c:pt idx="372">
                  <c:v>493.45165117436989</c:v>
                </c:pt>
                <c:pt idx="373">
                  <c:v>493.39246317256305</c:v>
                </c:pt>
                <c:pt idx="374">
                  <c:v>493.33328227017427</c:v>
                </c:pt>
                <c:pt idx="375">
                  <c:v>493.27410846635195</c:v>
                </c:pt>
                <c:pt idx="376">
                  <c:v>493.2149417602447</c:v>
                </c:pt>
                <c:pt idx="377">
                  <c:v>493.15578215100112</c:v>
                </c:pt>
                <c:pt idx="378">
                  <c:v>493.09662963776998</c:v>
                </c:pt>
                <c:pt idx="379">
                  <c:v>493.03748421970016</c:v>
                </c:pt>
                <c:pt idx="380">
                  <c:v>492.97834589594061</c:v>
                </c:pt>
                <c:pt idx="381">
                  <c:v>492.91921466564037</c:v>
                </c:pt>
                <c:pt idx="382">
                  <c:v>492.86009052794861</c:v>
                </c:pt>
                <c:pt idx="383">
                  <c:v>492.80097348201463</c:v>
                </c:pt>
                <c:pt idx="384">
                  <c:v>492.74186352698774</c:v>
                </c:pt>
                <c:pt idx="385">
                  <c:v>492.68276066201742</c:v>
                </c:pt>
                <c:pt idx="386">
                  <c:v>492.62366488625321</c:v>
                </c:pt>
                <c:pt idx="387">
                  <c:v>492.56457619884486</c:v>
                </c:pt>
                <c:pt idx="388">
                  <c:v>492.50549459894211</c:v>
                </c:pt>
                <c:pt idx="389">
                  <c:v>492.4464200856948</c:v>
                </c:pt>
                <c:pt idx="390">
                  <c:v>492.38735265825295</c:v>
                </c:pt>
                <c:pt idx="391">
                  <c:v>492.32829231576665</c:v>
                </c:pt>
                <c:pt idx="392">
                  <c:v>492.26923905738602</c:v>
                </c:pt>
                <c:pt idx="393">
                  <c:v>492.21019288226137</c:v>
                </c:pt>
                <c:pt idx="394">
                  <c:v>492.15115378954312</c:v>
                </c:pt>
                <c:pt idx="395">
                  <c:v>492.09212177838174</c:v>
                </c:pt>
                <c:pt idx="396">
                  <c:v>492.03309684792777</c:v>
                </c:pt>
                <c:pt idx="397">
                  <c:v>491.97407899733196</c:v>
                </c:pt>
                <c:pt idx="398">
                  <c:v>491.91506822574507</c:v>
                </c:pt>
                <c:pt idx="399">
                  <c:v>491.85606453231804</c:v>
                </c:pt>
                <c:pt idx="400">
                  <c:v>491.79706791620185</c:v>
                </c:pt>
                <c:pt idx="401">
                  <c:v>491.73807837654755</c:v>
                </c:pt>
                <c:pt idx="402">
                  <c:v>491.6790959125064</c:v>
                </c:pt>
                <c:pt idx="403">
                  <c:v>491.62012052322967</c:v>
                </c:pt>
                <c:pt idx="404">
                  <c:v>491.56115220786876</c:v>
                </c:pt>
                <c:pt idx="405">
                  <c:v>491.50219096557521</c:v>
                </c:pt>
                <c:pt idx="406">
                  <c:v>491.44323679550058</c:v>
                </c:pt>
                <c:pt idx="407">
                  <c:v>491.3842896967966</c:v>
                </c:pt>
                <c:pt idx="408">
                  <c:v>491.3253496686151</c:v>
                </c:pt>
                <c:pt idx="409">
                  <c:v>491.26641671010799</c:v>
                </c:pt>
                <c:pt idx="410">
                  <c:v>491.20749082042727</c:v>
                </c:pt>
                <c:pt idx="411">
                  <c:v>491.14857199872506</c:v>
                </c:pt>
                <c:pt idx="412">
                  <c:v>491.08966024415355</c:v>
                </c:pt>
                <c:pt idx="413">
                  <c:v>491.03075555586508</c:v>
                </c:pt>
                <c:pt idx="414">
                  <c:v>490.97185793301207</c:v>
                </c:pt>
                <c:pt idx="415">
                  <c:v>490.91296737474704</c:v>
                </c:pt>
                <c:pt idx="416">
                  <c:v>490.85408388022262</c:v>
                </c:pt>
                <c:pt idx="417">
                  <c:v>490.79038382673781</c:v>
                </c:pt>
                <c:pt idx="418">
                  <c:v>490.72669203985794</c:v>
                </c:pt>
                <c:pt idx="419">
                  <c:v>490.66300851851025</c:v>
                </c:pt>
                <c:pt idx="420">
                  <c:v>490.59933326162212</c:v>
                </c:pt>
                <c:pt idx="421">
                  <c:v>490.53566626812102</c:v>
                </c:pt>
                <c:pt idx="422">
                  <c:v>490.4720075369346</c:v>
                </c:pt>
                <c:pt idx="423">
                  <c:v>490.40835706699056</c:v>
                </c:pt>
                <c:pt idx="424">
                  <c:v>490.3447148572169</c:v>
                </c:pt>
                <c:pt idx="425">
                  <c:v>490.2810809065416</c:v>
                </c:pt>
                <c:pt idx="426">
                  <c:v>490.21745521389283</c:v>
                </c:pt>
                <c:pt idx="427">
                  <c:v>490.15383777819898</c:v>
                </c:pt>
                <c:pt idx="428">
                  <c:v>490.09022859838848</c:v>
                </c:pt>
                <c:pt idx="429">
                  <c:v>490.0266276733899</c:v>
                </c:pt>
                <c:pt idx="430">
                  <c:v>489.96303500213202</c:v>
                </c:pt>
                <c:pt idx="431">
                  <c:v>489.89945058354368</c:v>
                </c:pt>
                <c:pt idx="432">
                  <c:v>489.83587441655396</c:v>
                </c:pt>
                <c:pt idx="433">
                  <c:v>489.77230650009199</c:v>
                </c:pt>
                <c:pt idx="434">
                  <c:v>489.70874683308705</c:v>
                </c:pt>
                <c:pt idx="435">
                  <c:v>489.64519541446856</c:v>
                </c:pt>
                <c:pt idx="436">
                  <c:v>489.58165224316616</c:v>
                </c:pt>
                <c:pt idx="437">
                  <c:v>489.51811731810949</c:v>
                </c:pt>
                <c:pt idx="438">
                  <c:v>489.45459063822847</c:v>
                </c:pt>
                <c:pt idx="439">
                  <c:v>489.39107220245302</c:v>
                </c:pt>
                <c:pt idx="440">
                  <c:v>489.32756200971335</c:v>
                </c:pt>
                <c:pt idx="441">
                  <c:v>489.26406005893966</c:v>
                </c:pt>
                <c:pt idx="442">
                  <c:v>489.2005663490624</c:v>
                </c:pt>
                <c:pt idx="443">
                  <c:v>489.1370808790121</c:v>
                </c:pt>
                <c:pt idx="444">
                  <c:v>489.07360364771944</c:v>
                </c:pt>
                <c:pt idx="445">
                  <c:v>489.01013465411523</c:v>
                </c:pt>
                <c:pt idx="446">
                  <c:v>488.94667389713049</c:v>
                </c:pt>
                <c:pt idx="447">
                  <c:v>488.88322137569628</c:v>
                </c:pt>
                <c:pt idx="448">
                  <c:v>488.81977708874388</c:v>
                </c:pt>
                <c:pt idx="449">
                  <c:v>488.75634103520463</c:v>
                </c:pt>
                <c:pt idx="450">
                  <c:v>488.69291321401005</c:v>
                </c:pt>
                <c:pt idx="451">
                  <c:v>488.62949362409177</c:v>
                </c:pt>
                <c:pt idx="452">
                  <c:v>488.56608226438163</c:v>
                </c:pt>
                <c:pt idx="453">
                  <c:v>488.50267913381157</c:v>
                </c:pt>
                <c:pt idx="454">
                  <c:v>488.43928423131359</c:v>
                </c:pt>
                <c:pt idx="455">
                  <c:v>488.37589755581996</c:v>
                </c:pt>
                <c:pt idx="456">
                  <c:v>488.31251910626304</c:v>
                </c:pt>
                <c:pt idx="457">
                  <c:v>488.24914888157531</c:v>
                </c:pt>
                <c:pt idx="458">
                  <c:v>488.18578688068936</c:v>
                </c:pt>
                <c:pt idx="459">
                  <c:v>488.12243310253803</c:v>
                </c:pt>
                <c:pt idx="460">
                  <c:v>488.05908754605417</c:v>
                </c:pt>
                <c:pt idx="461">
                  <c:v>487.9957502101708</c:v>
                </c:pt>
                <c:pt idx="462">
                  <c:v>487.93242109382112</c:v>
                </c:pt>
                <c:pt idx="463">
                  <c:v>487.86910019593847</c:v>
                </c:pt>
                <c:pt idx="464">
                  <c:v>487.8057875154563</c:v>
                </c:pt>
                <c:pt idx="465">
                  <c:v>487.74248305130823</c:v>
                </c:pt>
                <c:pt idx="466">
                  <c:v>487.67918680242792</c:v>
                </c:pt>
                <c:pt idx="467">
                  <c:v>487.61589876774929</c:v>
                </c:pt>
                <c:pt idx="468">
                  <c:v>487.55261894620634</c:v>
                </c:pt>
                <c:pt idx="469">
                  <c:v>487.48389272199262</c:v>
                </c:pt>
                <c:pt idx="470">
                  <c:v>487.41517618554121</c:v>
                </c:pt>
                <c:pt idx="471">
                  <c:v>487.34646933548652</c:v>
                </c:pt>
                <c:pt idx="472">
                  <c:v>487.27777217046315</c:v>
                </c:pt>
                <c:pt idx="473">
                  <c:v>487.20908468910585</c:v>
                </c:pt>
                <c:pt idx="474">
                  <c:v>487.14040689004963</c:v>
                </c:pt>
                <c:pt idx="475">
                  <c:v>487.07173877192969</c:v>
                </c:pt>
                <c:pt idx="476">
                  <c:v>487.00308033338132</c:v>
                </c:pt>
                <c:pt idx="477">
                  <c:v>486.93443157304011</c:v>
                </c:pt>
                <c:pt idx="478">
                  <c:v>486.86579248954178</c:v>
                </c:pt>
                <c:pt idx="479">
                  <c:v>486.79716308152229</c:v>
                </c:pt>
                <c:pt idx="480">
                  <c:v>486.72854334761774</c:v>
                </c:pt>
                <c:pt idx="481">
                  <c:v>486.65993328646448</c:v>
                </c:pt>
                <c:pt idx="482">
                  <c:v>486.59133289669899</c:v>
                </c:pt>
                <c:pt idx="483">
                  <c:v>486.52274217695799</c:v>
                </c:pt>
                <c:pt idx="484">
                  <c:v>486.45416112587839</c:v>
                </c:pt>
                <c:pt idx="485">
                  <c:v>486.3855897420973</c:v>
                </c:pt>
                <c:pt idx="486">
                  <c:v>486.31702802425195</c:v>
                </c:pt>
                <c:pt idx="487">
                  <c:v>486.24847597097983</c:v>
                </c:pt>
                <c:pt idx="488">
                  <c:v>486.1799335809186</c:v>
                </c:pt>
                <c:pt idx="489">
                  <c:v>486.11140085270614</c:v>
                </c:pt>
                <c:pt idx="490">
                  <c:v>486.04287778498053</c:v>
                </c:pt>
                <c:pt idx="491">
                  <c:v>485.97436437637998</c:v>
                </c:pt>
                <c:pt idx="492">
                  <c:v>485.90586062554291</c:v>
                </c:pt>
                <c:pt idx="493">
                  <c:v>485.83736653110793</c:v>
                </c:pt>
                <c:pt idx="494">
                  <c:v>485.76888209171386</c:v>
                </c:pt>
                <c:pt idx="495">
                  <c:v>485.70040730599976</c:v>
                </c:pt>
                <c:pt idx="496">
                  <c:v>485.63194217260479</c:v>
                </c:pt>
                <c:pt idx="497">
                  <c:v>485.56348669016836</c:v>
                </c:pt>
                <c:pt idx="498">
                  <c:v>485.49504085733003</c:v>
                </c:pt>
                <c:pt idx="499">
                  <c:v>485.42660467272958</c:v>
                </c:pt>
                <c:pt idx="500">
                  <c:v>485.35817813500705</c:v>
                </c:pt>
                <c:pt idx="501">
                  <c:v>485.28976124280251</c:v>
                </c:pt>
                <c:pt idx="502">
                  <c:v>485.22135399475638</c:v>
                </c:pt>
                <c:pt idx="503">
                  <c:v>485.15295638950914</c:v>
                </c:pt>
                <c:pt idx="504">
                  <c:v>485.08456842570155</c:v>
                </c:pt>
                <c:pt idx="505">
                  <c:v>485.01619010197453</c:v>
                </c:pt>
                <c:pt idx="506">
                  <c:v>484.94782141696925</c:v>
                </c:pt>
                <c:pt idx="507">
                  <c:v>484.87946236932697</c:v>
                </c:pt>
                <c:pt idx="508">
                  <c:v>484.8111129576892</c:v>
                </c:pt>
                <c:pt idx="509">
                  <c:v>484.74277318069761</c:v>
                </c:pt>
                <c:pt idx="510">
                  <c:v>484.67444303699415</c:v>
                </c:pt>
                <c:pt idx="511">
                  <c:v>484.60612252522083</c:v>
                </c:pt>
                <c:pt idx="512">
                  <c:v>484.53781164401994</c:v>
                </c:pt>
                <c:pt idx="513">
                  <c:v>484.46951039203395</c:v>
                </c:pt>
                <c:pt idx="514">
                  <c:v>484.4012187679055</c:v>
                </c:pt>
                <c:pt idx="515">
                  <c:v>484.3329367702774</c:v>
                </c:pt>
                <c:pt idx="516">
                  <c:v>484.26466439779273</c:v>
                </c:pt>
                <c:pt idx="517">
                  <c:v>484.1964016490947</c:v>
                </c:pt>
                <c:pt idx="518">
                  <c:v>484.12814852282673</c:v>
                </c:pt>
                <c:pt idx="519">
                  <c:v>484.05990501763239</c:v>
                </c:pt>
              </c:numCache>
            </c:numRef>
          </c:val>
          <c:smooth val="0"/>
          <c:extLst>
            <c:ext xmlns:c16="http://schemas.microsoft.com/office/drawing/2014/chart" uri="{C3380CC4-5D6E-409C-BE32-E72D297353CC}">
              <c16:uniqueId val="{00000000-050E-4C76-B86D-B3269E11B822}"/>
            </c:ext>
          </c:extLst>
        </c:ser>
        <c:ser>
          <c:idx val="2"/>
          <c:order val="1"/>
          <c:tx>
            <c:strRef>
              <c:f>Ig!$D$534</c:f>
              <c:strCache>
                <c:ptCount val="1"/>
                <c:pt idx="0">
                  <c:v>Azathioprine non respond</c:v>
                </c:pt>
              </c:strCache>
            </c:strRef>
          </c:tx>
          <c:spPr>
            <a:ln w="28575" cap="rnd">
              <a:solidFill>
                <a:schemeClr val="accent3"/>
              </a:solidFill>
              <a:round/>
            </a:ln>
            <a:effectLst/>
          </c:spPr>
          <c:marker>
            <c:symbol val="none"/>
          </c:marker>
          <c:cat>
            <c:numRef>
              <c:f>Ig!$B$535:$B$1054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Ig!$D$535:$D$1054</c:f>
              <c:numCache>
                <c:formatCode>#,##0</c:formatCode>
                <c:ptCount val="5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0.64602043407904919</c:v>
                </c:pt>
                <c:pt idx="23">
                  <c:v>1.5131606168395983</c:v>
                </c:pt>
                <c:pt idx="24">
                  <c:v>2.4585386569510592</c:v>
                </c:pt>
                <c:pt idx="25">
                  <c:v>3.4339671903783939</c:v>
                </c:pt>
                <c:pt idx="26">
                  <c:v>4.4230583381504998</c:v>
                </c:pt>
                <c:pt idx="27">
                  <c:v>5.4201063008985448</c:v>
                </c:pt>
                <c:pt idx="28">
                  <c:v>6.422996973274901</c:v>
                </c:pt>
                <c:pt idx="29">
                  <c:v>7.4308271923046449</c:v>
                </c:pt>
                <c:pt idx="30">
                  <c:v>8.4431052682244925</c:v>
                </c:pt>
                <c:pt idx="31">
                  <c:v>9.4594824406248801</c:v>
                </c:pt>
                <c:pt idx="32">
                  <c:v>10.479662597990355</c:v>
                </c:pt>
                <c:pt idx="33">
                  <c:v>11.503371852848115</c:v>
                </c:pt>
                <c:pt idx="34">
                  <c:v>12.530348216536806</c:v>
                </c:pt>
                <c:pt idx="35">
                  <c:v>13.560338025281869</c:v>
                </c:pt>
                <c:pt idx="36">
                  <c:v>14.593094635752783</c:v>
                </c:pt>
                <c:pt idx="37">
                  <c:v>15.62837788524044</c:v>
                </c:pt>
                <c:pt idx="38">
                  <c:v>16.665953811122389</c:v>
                </c:pt>
                <c:pt idx="39">
                  <c:v>17.705594459881841</c:v>
                </c:pt>
                <c:pt idx="40">
                  <c:v>18.747077728626454</c:v>
                </c:pt>
                <c:pt idx="41">
                  <c:v>19.790187219887564</c:v>
                </c:pt>
                <c:pt idx="42">
                  <c:v>20.834712103185293</c:v>
                </c:pt>
                <c:pt idx="43">
                  <c:v>21.880446981112264</c:v>
                </c:pt>
                <c:pt idx="44">
                  <c:v>22.927191759123037</c:v>
                </c:pt>
                <c:pt idx="45">
                  <c:v>23.974751518699495</c:v>
                </c:pt>
                <c:pt idx="46">
                  <c:v>25.022936393726141</c:v>
                </c:pt>
                <c:pt idx="47">
                  <c:v>26.071561449965667</c:v>
                </c:pt>
                <c:pt idx="48">
                  <c:v>27.12044656754556</c:v>
                </c:pt>
                <c:pt idx="49">
                  <c:v>28.169416326374741</c:v>
                </c:pt>
                <c:pt idx="50">
                  <c:v>29.218299894413274</c:v>
                </c:pt>
                <c:pt idx="51">
                  <c:v>30.266930918720981</c:v>
                </c:pt>
                <c:pt idx="52">
                  <c:v>31.315147419212881</c:v>
                </c:pt>
                <c:pt idx="53">
                  <c:v>32.362611417776506</c:v>
                </c:pt>
                <c:pt idx="54">
                  <c:v>33.409337970763872</c:v>
                </c:pt>
                <c:pt idx="55">
                  <c:v>34.45048085827618</c:v>
                </c:pt>
                <c:pt idx="56">
                  <c:v>35.484354488774692</c:v>
                </c:pt>
                <c:pt idx="57">
                  <c:v>36.510338075684757</c:v>
                </c:pt>
                <c:pt idx="58">
                  <c:v>37.528171844189764</c:v>
                </c:pt>
                <c:pt idx="59">
                  <c:v>38.53772061864921</c:v>
                </c:pt>
                <c:pt idx="60">
                  <c:v>39.538894337316634</c:v>
                </c:pt>
                <c:pt idx="61">
                  <c:v>40.531621258847935</c:v>
                </c:pt>
                <c:pt idx="62">
                  <c:v>41.515838863201843</c:v>
                </c:pt>
                <c:pt idx="63">
                  <c:v>42.491490696393534</c:v>
                </c:pt>
                <c:pt idx="64">
                  <c:v>43.458525213750981</c:v>
                </c:pt>
                <c:pt idx="65">
                  <c:v>44.416895296936225</c:v>
                </c:pt>
                <c:pt idx="66">
                  <c:v>45.366557999872562</c:v>
                </c:pt>
                <c:pt idx="67">
                  <c:v>46.307474374141798</c:v>
                </c:pt>
                <c:pt idx="68">
                  <c:v>47.239609323607041</c:v>
                </c:pt>
                <c:pt idx="69">
                  <c:v>48.162931471321826</c:v>
                </c:pt>
                <c:pt idx="70">
                  <c:v>49.077413032970739</c:v>
                </c:pt>
                <c:pt idx="71">
                  <c:v>49.983029694843708</c:v>
                </c:pt>
                <c:pt idx="72">
                  <c:v>50.879760495609233</c:v>
                </c:pt>
                <c:pt idx="73">
                  <c:v>51.767587711577633</c:v>
                </c:pt>
                <c:pt idx="74">
                  <c:v>52.6464967452902</c:v>
                </c:pt>
                <c:pt idx="75">
                  <c:v>53.516476017320166</c:v>
                </c:pt>
                <c:pt idx="76">
                  <c:v>54.377516861189903</c:v>
                </c:pt>
                <c:pt idx="77">
                  <c:v>55.229613421316536</c:v>
                </c:pt>
                <c:pt idx="78">
                  <c:v>56.072762553902173</c:v>
                </c:pt>
                <c:pt idx="79">
                  <c:v>56.906963730687913</c:v>
                </c:pt>
                <c:pt idx="80">
                  <c:v>57.732218945493024</c:v>
                </c:pt>
                <c:pt idx="81">
                  <c:v>58.54853262346294</c:v>
                </c:pt>
                <c:pt idx="82">
                  <c:v>59.355911532951843</c:v>
                </c:pt>
                <c:pt idx="83">
                  <c:v>60.154364699967523</c:v>
                </c:pt>
                <c:pt idx="84">
                  <c:v>60.943903325108245</c:v>
                </c:pt>
                <c:pt idx="85">
                  <c:v>61.724540702923093</c:v>
                </c:pt>
                <c:pt idx="86">
                  <c:v>62.496292143629411</c:v>
                </c:pt>
                <c:pt idx="87">
                  <c:v>63.2591748971223</c:v>
                </c:pt>
                <c:pt idx="88">
                  <c:v>64.013208079213399</c:v>
                </c:pt>
                <c:pt idx="89">
                  <c:v>64.758412600037431</c:v>
                </c:pt>
                <c:pt idx="90">
                  <c:v>65.494811094566913</c:v>
                </c:pt>
                <c:pt idx="91">
                  <c:v>66.222427855177003</c:v>
                </c:pt>
                <c:pt idx="92">
                  <c:v>66.941288766203868</c:v>
                </c:pt>
                <c:pt idx="93">
                  <c:v>67.651421240441636</c:v>
                </c:pt>
                <c:pt idx="94">
                  <c:v>68.35285415752459</c:v>
                </c:pt>
                <c:pt idx="95">
                  <c:v>69.045617804142339</c:v>
                </c:pt>
                <c:pt idx="96">
                  <c:v>69.729743816037455</c:v>
                </c:pt>
                <c:pt idx="97">
                  <c:v>70.405265121736278</c:v>
                </c:pt>
                <c:pt idx="98">
                  <c:v>71.072215887964873</c:v>
                </c:pt>
                <c:pt idx="99">
                  <c:v>71.730631466703699</c:v>
                </c:pt>
                <c:pt idx="100">
                  <c:v>72.380548343835386</c:v>
                </c:pt>
                <c:pt idx="101">
                  <c:v>73.022004089341493</c:v>
                </c:pt>
                <c:pt idx="102">
                  <c:v>73.655037309005451</c:v>
                </c:pt>
                <c:pt idx="103">
                  <c:v>74.279687597579738</c:v>
                </c:pt>
                <c:pt idx="104">
                  <c:v>74.895995493376589</c:v>
                </c:pt>
                <c:pt idx="105">
                  <c:v>75.503538002158848</c:v>
                </c:pt>
                <c:pt idx="106">
                  <c:v>76.102814464930702</c:v>
                </c:pt>
                <c:pt idx="107">
                  <c:v>76.693868143917754</c:v>
                </c:pt>
                <c:pt idx="108">
                  <c:v>77.276743075637768</c:v>
                </c:pt>
                <c:pt idx="109">
                  <c:v>77.851484032014554</c:v>
                </c:pt>
                <c:pt idx="110">
                  <c:v>78.418136482694848</c:v>
                </c:pt>
                <c:pt idx="111">
                  <c:v>78.976746558534629</c:v>
                </c:pt>
                <c:pt idx="112">
                  <c:v>79.527361016222258</c:v>
                </c:pt>
                <c:pt idx="113">
                  <c:v>80.070027204006479</c:v>
                </c:pt>
                <c:pt idx="114">
                  <c:v>80.604793028498577</c:v>
                </c:pt>
                <c:pt idx="115">
                  <c:v>81.131706922518248</c:v>
                </c:pt>
                <c:pt idx="116">
                  <c:v>81.650817813954234</c:v>
                </c:pt>
                <c:pt idx="117">
                  <c:v>82.162175095610962</c:v>
                </c:pt>
                <c:pt idx="118">
                  <c:v>82.665828596013611</c:v>
                </c:pt>
                <c:pt idx="119">
                  <c:v>83.161828551144623</c:v>
                </c:pt>
                <c:pt idx="120">
                  <c:v>83.650225577085337</c:v>
                </c:pt>
                <c:pt idx="121">
                  <c:v>84.131070643537356</c:v>
                </c:pt>
                <c:pt idx="122">
                  <c:v>84.604415048198646</c:v>
                </c:pt>
                <c:pt idx="123">
                  <c:v>85.070310391970395</c:v>
                </c:pt>
                <c:pt idx="124">
                  <c:v>85.52880855497105</c:v>
                </c:pt>
                <c:pt idx="125">
                  <c:v>85.979961673334614</c:v>
                </c:pt>
                <c:pt idx="126">
                  <c:v>86.423822116771106</c:v>
                </c:pt>
                <c:pt idx="127">
                  <c:v>86.860442466867397</c:v>
                </c:pt>
                <c:pt idx="128">
                  <c:v>87.289875496107541</c:v>
                </c:pt>
                <c:pt idx="129">
                  <c:v>87.71217414759208</c:v>
                </c:pt>
                <c:pt idx="130">
                  <c:v>88.127391515436273</c:v>
                </c:pt>
                <c:pt idx="131">
                  <c:v>88.535580825828163</c:v>
                </c:pt>
                <c:pt idx="132">
                  <c:v>88.936795418727314</c:v>
                </c:pt>
                <c:pt idx="133">
                  <c:v>89.331088730186266</c:v>
                </c:pt>
                <c:pt idx="134">
                  <c:v>89.718514275276519</c:v>
                </c:pt>
                <c:pt idx="135">
                  <c:v>90.09912563160195</c:v>
                </c:pt>
                <c:pt idx="136">
                  <c:v>90.472976423382775</c:v>
                </c:pt>
                <c:pt idx="137">
                  <c:v>90.840120306093553</c:v>
                </c:pt>
                <c:pt idx="138">
                  <c:v>91.200610951639334</c:v>
                </c:pt>
                <c:pt idx="139">
                  <c:v>91.554502034054494</c:v>
                </c:pt>
                <c:pt idx="140">
                  <c:v>91.901847215709083</c:v>
                </c:pt>
                <c:pt idx="141">
                  <c:v>92.242700134008004</c:v>
                </c:pt>
                <c:pt idx="142">
                  <c:v>92.577114388568873</c:v>
                </c:pt>
                <c:pt idx="143">
                  <c:v>92.905143528864471</c:v>
                </c:pt>
                <c:pt idx="144">
                  <c:v>93.226841042316508</c:v>
                </c:pt>
                <c:pt idx="145">
                  <c:v>93.542260342827348</c:v>
                </c:pt>
                <c:pt idx="146">
                  <c:v>93.85145475973718</c:v>
                </c:pt>
                <c:pt idx="147">
                  <c:v>94.15447752719389</c:v>
                </c:pt>
                <c:pt idx="148">
                  <c:v>94.451381773923885</c:v>
                </c:pt>
                <c:pt idx="149">
                  <c:v>94.742220513391828</c:v>
                </c:pt>
                <c:pt idx="150">
                  <c:v>95.027046634338134</c:v>
                </c:pt>
                <c:pt idx="151">
                  <c:v>95.305912891682894</c:v>
                </c:pt>
                <c:pt idx="152">
                  <c:v>95.578871897785476</c:v>
                </c:pt>
                <c:pt idx="153">
                  <c:v>95.845976114049449</c:v>
                </c:pt>
                <c:pt idx="154">
                  <c:v>96.107277842862374</c:v>
                </c:pt>
                <c:pt idx="155">
                  <c:v>96.362829219860714</c:v>
                </c:pt>
                <c:pt idx="156">
                  <c:v>96.612682206510073</c:v>
                </c:pt>
                <c:pt idx="157">
                  <c:v>96.85621807461483</c:v>
                </c:pt>
                <c:pt idx="158">
                  <c:v>97.094155614497424</c:v>
                </c:pt>
                <c:pt idx="159">
                  <c:v>97.326546339196852</c:v>
                </c:pt>
                <c:pt idx="160">
                  <c:v>97.553441559440685</c:v>
                </c:pt>
                <c:pt idx="161">
                  <c:v>97.774892377673979</c:v>
                </c:pt>
                <c:pt idx="162">
                  <c:v>97.990949682351228</c:v>
                </c:pt>
                <c:pt idx="163">
                  <c:v>98.201664142483281</c:v>
                </c:pt>
                <c:pt idx="164">
                  <c:v>98.407086202431742</c:v>
                </c:pt>
                <c:pt idx="165">
                  <c:v>98.607266076943034</c:v>
                </c:pt>
                <c:pt idx="166">
                  <c:v>98.802253746415062</c:v>
                </c:pt>
                <c:pt idx="167">
                  <c:v>98.992098952389256</c:v>
                </c:pt>
                <c:pt idx="168">
                  <c:v>99.176851193261115</c:v>
                </c:pt>
                <c:pt idx="169">
                  <c:v>99.356559720202569</c:v>
                </c:pt>
                <c:pt idx="170">
                  <c:v>99.531273533289564</c:v>
                </c:pt>
                <c:pt idx="171">
                  <c:v>99.701041377828616</c:v>
                </c:pt>
                <c:pt idx="172">
                  <c:v>99.865911740876044</c:v>
                </c:pt>
                <c:pt idx="173">
                  <c:v>100.02593284794402</c:v>
                </c:pt>
                <c:pt idx="174">
                  <c:v>100.18115265988763</c:v>
                </c:pt>
                <c:pt idx="175">
                  <c:v>100.33161886996703</c:v>
                </c:pt>
                <c:pt idx="176">
                  <c:v>100.47737890107949</c:v>
                </c:pt>
                <c:pt idx="177">
                  <c:v>100.61847990315584</c:v>
                </c:pt>
                <c:pt idx="178">
                  <c:v>100.75496875071615</c:v>
                </c:pt>
                <c:pt idx="179">
                  <c:v>100.8868920405795</c:v>
                </c:pt>
                <c:pt idx="180">
                  <c:v>101.0142960897231</c:v>
                </c:pt>
                <c:pt idx="181">
                  <c:v>101.13722693328586</c:v>
                </c:pt>
                <c:pt idx="182">
                  <c:v>101.25573032271168</c:v>
                </c:pt>
                <c:pt idx="183">
                  <c:v>101.36985172402835</c:v>
                </c:pt>
                <c:pt idx="184">
                  <c:v>101.47963631625709</c:v>
                </c:pt>
                <c:pt idx="185">
                  <c:v>101.585128989949</c:v>
                </c:pt>
                <c:pt idx="186">
                  <c:v>101.68637434584402</c:v>
                </c:pt>
                <c:pt idx="187">
                  <c:v>101.78341669364836</c:v>
                </c:pt>
                <c:pt idx="188">
                  <c:v>101.8763000509267</c:v>
                </c:pt>
                <c:pt idx="189">
                  <c:v>101.96506814210505</c:v>
                </c:pt>
                <c:pt idx="190">
                  <c:v>102.04976439758096</c:v>
                </c:pt>
                <c:pt idx="191">
                  <c:v>102.13043195293722</c:v>
                </c:pt>
                <c:pt idx="192">
                  <c:v>102.20711364825563</c:v>
                </c:pt>
                <c:pt idx="193">
                  <c:v>102.2798520275275</c:v>
                </c:pt>
                <c:pt idx="194">
                  <c:v>102.34868933815764</c:v>
                </c:pt>
                <c:pt idx="195">
                  <c:v>102.4136675305585</c:v>
                </c:pt>
                <c:pt idx="196">
                  <c:v>102.47482825783155</c:v>
                </c:pt>
                <c:pt idx="197">
                  <c:v>102.53221287553272</c:v>
                </c:pt>
                <c:pt idx="198">
                  <c:v>102.58586244151914</c:v>
                </c:pt>
                <c:pt idx="199">
                  <c:v>102.63581771587415</c:v>
                </c:pt>
                <c:pt idx="200">
                  <c:v>102.68211916090802</c:v>
                </c:pt>
                <c:pt idx="201">
                  <c:v>102.72480694123153</c:v>
                </c:pt>
                <c:pt idx="202">
                  <c:v>102.76392092390006</c:v>
                </c:pt>
                <c:pt idx="203">
                  <c:v>102.79950067862518</c:v>
                </c:pt>
                <c:pt idx="204">
                  <c:v>102.83158547805195</c:v>
                </c:pt>
                <c:pt idx="205">
                  <c:v>102.86021429809902</c:v>
                </c:pt>
                <c:pt idx="206">
                  <c:v>102.88542581835944</c:v>
                </c:pt>
                <c:pt idx="207">
                  <c:v>102.90725842255986</c:v>
                </c:pt>
                <c:pt idx="208">
                  <c:v>102.92575019907611</c:v>
                </c:pt>
                <c:pt idx="209">
                  <c:v>102.94018659060178</c:v>
                </c:pt>
                <c:pt idx="210">
                  <c:v>102.95135726853925</c:v>
                </c:pt>
                <c:pt idx="211">
                  <c:v>102.95929951001636</c:v>
                </c:pt>
                <c:pt idx="212">
                  <c:v>102.96405029830129</c:v>
                </c:pt>
                <c:pt idx="213">
                  <c:v>102.96564632357983</c:v>
                </c:pt>
                <c:pt idx="214">
                  <c:v>102.96412398377718</c:v>
                </c:pt>
                <c:pt idx="215">
                  <c:v>102.95951938542207</c:v>
                </c:pt>
                <c:pt idx="216">
                  <c:v>102.95186834455214</c:v>
                </c:pt>
                <c:pt idx="217">
                  <c:v>102.94120638765845</c:v>
                </c:pt>
                <c:pt idx="218">
                  <c:v>102.9275687526676</c:v>
                </c:pt>
                <c:pt idx="219">
                  <c:v>102.91099038995998</c:v>
                </c:pt>
                <c:pt idx="220">
                  <c:v>102.89150596342259</c:v>
                </c:pt>
                <c:pt idx="221">
                  <c:v>102.86914985153489</c:v>
                </c:pt>
                <c:pt idx="222">
                  <c:v>102.8439561484863</c:v>
                </c:pt>
                <c:pt idx="223">
                  <c:v>102.81595866532406</c:v>
                </c:pt>
                <c:pt idx="224">
                  <c:v>102.78519093112986</c:v>
                </c:pt>
                <c:pt idx="225">
                  <c:v>102.75168619422418</c:v>
                </c:pt>
                <c:pt idx="226">
                  <c:v>102.71547742339691</c:v>
                </c:pt>
                <c:pt idx="227">
                  <c:v>102.67659730916316</c:v>
                </c:pt>
                <c:pt idx="228">
                  <c:v>102.63507826504289</c:v>
                </c:pt>
                <c:pt idx="229">
                  <c:v>102.59095242886346</c:v>
                </c:pt>
                <c:pt idx="230">
                  <c:v>102.54425166408363</c:v>
                </c:pt>
                <c:pt idx="231">
                  <c:v>102.49500756113832</c:v>
                </c:pt>
                <c:pt idx="232">
                  <c:v>102.44325143880278</c:v>
                </c:pt>
                <c:pt idx="233">
                  <c:v>102.3890143455753</c:v>
                </c:pt>
                <c:pt idx="234">
                  <c:v>102.33232706107741</c:v>
                </c:pt>
                <c:pt idx="235">
                  <c:v>102.27322009747064</c:v>
                </c:pt>
                <c:pt idx="236">
                  <c:v>102.21172370088898</c:v>
                </c:pt>
                <c:pt idx="237">
                  <c:v>102.14786785288598</c:v>
                </c:pt>
                <c:pt idx="238">
                  <c:v>102.08168227189573</c:v>
                </c:pt>
                <c:pt idx="239">
                  <c:v>102.01319641470693</c:v>
                </c:pt>
                <c:pt idx="240">
                  <c:v>101.94243947794908</c:v>
                </c:pt>
                <c:pt idx="241">
                  <c:v>101.86944039959027</c:v>
                </c:pt>
                <c:pt idx="242">
                  <c:v>101.79422786044539</c:v>
                </c:pt>
                <c:pt idx="243">
                  <c:v>101.71683028569437</c:v>
                </c:pt>
                <c:pt idx="244">
                  <c:v>101.63727584640974</c:v>
                </c:pt>
                <c:pt idx="245">
                  <c:v>101.55559246109244</c:v>
                </c:pt>
                <c:pt idx="246">
                  <c:v>101.47180779721582</c:v>
                </c:pt>
                <c:pt idx="247">
                  <c:v>101.38594927277643</c:v>
                </c:pt>
                <c:pt idx="248">
                  <c:v>101.29804405785177</c:v>
                </c:pt>
                <c:pt idx="249">
                  <c:v>101.20811907616374</c:v>
                </c:pt>
                <c:pt idx="250">
                  <c:v>101.11620100664757</c:v>
                </c:pt>
                <c:pt idx="251">
                  <c:v>101.02231628502557</c:v>
                </c:pt>
                <c:pt idx="252">
                  <c:v>100.92649110538503</c:v>
                </c:pt>
                <c:pt idx="253">
                  <c:v>100.82875142176003</c:v>
                </c:pt>
                <c:pt idx="254">
                  <c:v>100.72912294971638</c:v>
                </c:pt>
                <c:pt idx="255">
                  <c:v>100.62763116793921</c:v>
                </c:pt>
                <c:pt idx="256">
                  <c:v>100.52430131982298</c:v>
                </c:pt>
                <c:pt idx="257">
                  <c:v>100.41915841506314</c:v>
                </c:pt>
                <c:pt idx="258">
                  <c:v>100.31222723124917</c:v>
                </c:pt>
                <c:pt idx="259">
                  <c:v>100.20353231545859</c:v>
                </c:pt>
                <c:pt idx="260">
                  <c:v>100.0930979858514</c:v>
                </c:pt>
                <c:pt idx="261">
                  <c:v>99.6322901819549</c:v>
                </c:pt>
                <c:pt idx="262">
                  <c:v>99.057285039756266</c:v>
                </c:pt>
                <c:pt idx="263">
                  <c:v>98.447094183169341</c:v>
                </c:pt>
                <c:pt idx="264">
                  <c:v>97.828227539382368</c:v>
                </c:pt>
                <c:pt idx="265">
                  <c:v>97.209567860388631</c:v>
                </c:pt>
                <c:pt idx="266">
                  <c:v>96.594079601398292</c:v>
                </c:pt>
                <c:pt idx="267">
                  <c:v>95.982740100461214</c:v>
                </c:pt>
                <c:pt idx="268">
                  <c:v>95.375859451254016</c:v>
                </c:pt>
                <c:pt idx="269">
                  <c:v>94.773523648083341</c:v>
                </c:pt>
                <c:pt idx="270">
                  <c:v>94.175743375588155</c:v>
                </c:pt>
                <c:pt idx="271">
                  <c:v>93.582503970532457</c:v>
                </c:pt>
                <c:pt idx="272">
                  <c:v>92.993782202613843</c:v>
                </c:pt>
                <c:pt idx="273">
                  <c:v>92.409551914778945</c:v>
                </c:pt>
                <c:pt idx="274">
                  <c:v>91.829785922988449</c:v>
                </c:pt>
                <c:pt idx="275">
                  <c:v>91.254456659915405</c:v>
                </c:pt>
                <c:pt idx="276">
                  <c:v>90.683536396730346</c:v>
                </c:pt>
                <c:pt idx="277">
                  <c:v>90.11699732303984</c:v>
                </c:pt>
                <c:pt idx="278">
                  <c:v>89.554811579014341</c:v>
                </c:pt>
                <c:pt idx="279">
                  <c:v>88.996951271282455</c:v>
                </c:pt>
                <c:pt idx="280">
                  <c:v>88.443388483198845</c:v>
                </c:pt>
                <c:pt idx="281">
                  <c:v>87.894095283051996</c:v>
                </c:pt>
                <c:pt idx="282">
                  <c:v>87.349043731413985</c:v>
                </c:pt>
                <c:pt idx="283">
                  <c:v>86.808205888040916</c:v>
                </c:pt>
                <c:pt idx="284">
                  <c:v>86.27155381846562</c:v>
                </c:pt>
                <c:pt idx="285">
                  <c:v>85.739059600334912</c:v>
                </c:pt>
                <c:pt idx="286">
                  <c:v>85.210695329513172</c:v>
                </c:pt>
                <c:pt idx="287">
                  <c:v>84.686433125963973</c:v>
                </c:pt>
                <c:pt idx="288">
                  <c:v>84.166245139417825</c:v>
                </c:pt>
                <c:pt idx="289">
                  <c:v>83.650103554832768</c:v>
                </c:pt>
                <c:pt idx="290">
                  <c:v>83.13798059765395</c:v>
                </c:pt>
                <c:pt idx="291">
                  <c:v>82.629848538878406</c:v>
                </c:pt>
                <c:pt idx="292">
                  <c:v>82.125679699930345</c:v>
                </c:pt>
                <c:pt idx="293">
                  <c:v>81.625446457352737</c:v>
                </c:pt>
                <c:pt idx="294">
                  <c:v>81.129121247320569</c:v>
                </c:pt>
                <c:pt idx="295">
                  <c:v>80.636676569980921</c:v>
                </c:pt>
                <c:pt idx="296">
                  <c:v>80.148084993625076</c:v>
                </c:pt>
                <c:pt idx="297">
                  <c:v>79.663319158697391</c:v>
                </c:pt>
                <c:pt idx="298">
                  <c:v>79.182351781646062</c:v>
                </c:pt>
                <c:pt idx="299">
                  <c:v>78.7051556586202</c:v>
                </c:pt>
                <c:pt idx="300">
                  <c:v>78.231703669017847</c:v>
                </c:pt>
                <c:pt idx="301">
                  <c:v>77.761968778889454</c:v>
                </c:pt>
                <c:pt idx="302">
                  <c:v>77.295924044200987</c:v>
                </c:pt>
                <c:pt idx="303">
                  <c:v>76.83354261396093</c:v>
                </c:pt>
                <c:pt idx="304">
                  <c:v>76.374797733215161</c:v>
                </c:pt>
                <c:pt idx="305">
                  <c:v>75.919662745913882</c:v>
                </c:pt>
                <c:pt idx="306">
                  <c:v>75.468111097654159</c:v>
                </c:pt>
                <c:pt idx="307">
                  <c:v>75.020116338302003</c:v>
                </c:pt>
                <c:pt idx="308">
                  <c:v>74.575652124497523</c:v>
                </c:pt>
                <c:pt idx="309">
                  <c:v>74.134692222046851</c:v>
                </c:pt>
                <c:pt idx="310">
                  <c:v>73.697210508204066</c:v>
                </c:pt>
                <c:pt idx="311">
                  <c:v>73.263180973846588</c:v>
                </c:pt>
                <c:pt idx="312">
                  <c:v>72.832577725547239</c:v>
                </c:pt>
                <c:pt idx="313">
                  <c:v>72.404782928795385</c:v>
                </c:pt>
                <c:pt idx="314">
                  <c:v>71.980369913681741</c:v>
                </c:pt>
                <c:pt idx="315">
                  <c:v>71.559313063383058</c:v>
                </c:pt>
                <c:pt idx="316">
                  <c:v>71.141586884911689</c:v>
                </c:pt>
                <c:pt idx="317">
                  <c:v>70.727166010711969</c:v>
                </c:pt>
                <c:pt idx="318">
                  <c:v>70.316025200170856</c:v>
                </c:pt>
                <c:pt idx="319">
                  <c:v>69.908139341045526</c:v>
                </c:pt>
                <c:pt idx="320">
                  <c:v>69.503483450810506</c:v>
                </c:pt>
                <c:pt idx="321">
                  <c:v>69.102032677926928</c:v>
                </c:pt>
                <c:pt idx="322">
                  <c:v>68.703762303036299</c:v>
                </c:pt>
                <c:pt idx="323">
                  <c:v>68.308647740081184</c:v>
                </c:pt>
                <c:pt idx="324">
                  <c:v>67.916664537355089</c:v>
                </c:pt>
                <c:pt idx="325">
                  <c:v>67.527788378483891</c:v>
                </c:pt>
                <c:pt idx="326">
                  <c:v>67.141995083340873</c:v>
                </c:pt>
                <c:pt idx="327">
                  <c:v>66.759260608897577</c:v>
                </c:pt>
                <c:pt idx="328">
                  <c:v>66.379561050012569</c:v>
                </c:pt>
                <c:pt idx="329">
                  <c:v>66.002872640159964</c:v>
                </c:pt>
                <c:pt idx="330">
                  <c:v>65.629171752099879</c:v>
                </c:pt>
                <c:pt idx="331">
                  <c:v>65.258434898492524</c:v>
                </c:pt>
                <c:pt idx="332">
                  <c:v>64.890638732457944</c:v>
                </c:pt>
                <c:pt idx="333">
                  <c:v>64.525760048082986</c:v>
                </c:pt>
                <c:pt idx="334">
                  <c:v>64.163775780877472</c:v>
                </c:pt>
                <c:pt idx="335">
                  <c:v>63.804663008181052</c:v>
                </c:pt>
                <c:pt idx="336">
                  <c:v>63.448398949522584</c:v>
                </c:pt>
                <c:pt idx="337">
                  <c:v>63.094960966933407</c:v>
                </c:pt>
                <c:pt idx="338">
                  <c:v>62.744326565216276</c:v>
                </c:pt>
                <c:pt idx="339">
                  <c:v>62.396473392171295</c:v>
                </c:pt>
                <c:pt idx="340">
                  <c:v>62.051379238780427</c:v>
                </c:pt>
                <c:pt idx="341">
                  <c:v>61.70902203935195</c:v>
                </c:pt>
                <c:pt idx="342">
                  <c:v>61.369379871626194</c:v>
                </c:pt>
                <c:pt idx="343">
                  <c:v>61.032430956844003</c:v>
                </c:pt>
                <c:pt idx="344">
                  <c:v>60.698153659779166</c:v>
                </c:pt>
                <c:pt idx="345">
                  <c:v>60.366526488736042</c:v>
                </c:pt>
                <c:pt idx="346">
                  <c:v>60.037528095513679</c:v>
                </c:pt>
                <c:pt idx="347">
                  <c:v>59.711137275337556</c:v>
                </c:pt>
                <c:pt idx="348">
                  <c:v>59.387332966760184</c:v>
                </c:pt>
                <c:pt idx="349">
                  <c:v>59.066094251531602</c:v>
                </c:pt>
                <c:pt idx="350">
                  <c:v>58.747400354440906</c:v>
                </c:pt>
                <c:pt idx="351">
                  <c:v>58.431230643129872</c:v>
                </c:pt>
                <c:pt idx="352">
                  <c:v>58.11756462787968</c:v>
                </c:pt>
                <c:pt idx="353">
                  <c:v>57.806381961371798</c:v>
                </c:pt>
                <c:pt idx="354">
                  <c:v>57.497662438423866</c:v>
                </c:pt>
                <c:pt idx="355">
                  <c:v>57.191385995701658</c:v>
                </c:pt>
                <c:pt idx="356">
                  <c:v>56.887532711407999</c:v>
                </c:pt>
                <c:pt idx="357">
                  <c:v>56.586082804949427</c:v>
                </c:pt>
                <c:pt idx="358">
                  <c:v>56.287016636581647</c:v>
                </c:pt>
                <c:pt idx="359">
                  <c:v>55.9903147070344</c:v>
                </c:pt>
                <c:pt idx="360">
                  <c:v>55.695957657116743</c:v>
                </c:pt>
                <c:pt idx="361">
                  <c:v>55.403926267303383</c:v>
                </c:pt>
                <c:pt idx="362">
                  <c:v>55.114201457302933</c:v>
                </c:pt>
                <c:pt idx="363">
                  <c:v>54.826764285608803</c:v>
                </c:pt>
                <c:pt idx="364">
                  <c:v>54.541595949033344</c:v>
                </c:pt>
                <c:pt idx="365">
                  <c:v>54.258197254232037</c:v>
                </c:pt>
                <c:pt idx="366">
                  <c:v>53.977035168507641</c:v>
                </c:pt>
                <c:pt idx="367">
                  <c:v>53.698091242125173</c:v>
                </c:pt>
                <c:pt idx="368">
                  <c:v>53.421347162290878</c:v>
                </c:pt>
                <c:pt idx="369">
                  <c:v>53.146784752607466</c:v>
                </c:pt>
                <c:pt idx="370">
                  <c:v>52.874385972516485</c:v>
                </c:pt>
                <c:pt idx="371">
                  <c:v>52.604132916728588</c:v>
                </c:pt>
                <c:pt idx="372">
                  <c:v>52.336007814642137</c:v>
                </c:pt>
                <c:pt idx="373">
                  <c:v>52.069993029750776</c:v>
                </c:pt>
                <c:pt idx="374">
                  <c:v>51.806071059040441</c:v>
                </c:pt>
                <c:pt idx="375">
                  <c:v>51.544224532376369</c:v>
                </c:pt>
                <c:pt idx="376">
                  <c:v>51.284436211880568</c:v>
                </c:pt>
                <c:pt idx="377">
                  <c:v>51.026688991300254</c:v>
                </c:pt>
                <c:pt idx="378">
                  <c:v>50.770965895367688</c:v>
                </c:pt>
                <c:pt idx="379">
                  <c:v>50.517250079151921</c:v>
                </c:pt>
                <c:pt idx="380">
                  <c:v>50.265524827402828</c:v>
                </c:pt>
                <c:pt idx="381">
                  <c:v>50.015773553887904</c:v>
                </c:pt>
                <c:pt idx="382">
                  <c:v>49.767979800722202</c:v>
                </c:pt>
                <c:pt idx="383">
                  <c:v>49.522127237691798</c:v>
                </c:pt>
                <c:pt idx="384">
                  <c:v>49.278199661571271</c:v>
                </c:pt>
                <c:pt idx="385">
                  <c:v>49.036180995435409</c:v>
                </c:pt>
                <c:pt idx="386">
                  <c:v>48.796055287965608</c:v>
                </c:pt>
                <c:pt idx="387">
                  <c:v>48.557806712751365</c:v>
                </c:pt>
                <c:pt idx="388">
                  <c:v>48.321419567587043</c:v>
                </c:pt>
                <c:pt idx="389">
                  <c:v>48.086878273764363</c:v>
                </c:pt>
                <c:pt idx="390">
                  <c:v>47.854167375360952</c:v>
                </c:pt>
                <c:pt idx="391">
                  <c:v>47.623271538525131</c:v>
                </c:pt>
                <c:pt idx="392">
                  <c:v>47.394175550757403</c:v>
                </c:pt>
                <c:pt idx="393">
                  <c:v>47.166864320188758</c:v>
                </c:pt>
                <c:pt idx="394">
                  <c:v>46.941322874856233</c:v>
                </c:pt>
                <c:pt idx="395">
                  <c:v>46.717536361975895</c:v>
                </c:pt>
                <c:pt idx="396">
                  <c:v>46.495490047213536</c:v>
                </c:pt>
                <c:pt idx="397">
                  <c:v>46.275169313953342</c:v>
                </c:pt>
                <c:pt idx="398">
                  <c:v>46.056559662564752</c:v>
                </c:pt>
                <c:pt idx="399">
                  <c:v>45.839646709667811</c:v>
                </c:pt>
                <c:pt idx="400">
                  <c:v>45.624416187397102</c:v>
                </c:pt>
                <c:pt idx="401">
                  <c:v>45.410853942664666</c:v>
                </c:pt>
                <c:pt idx="402">
                  <c:v>45.198945936421964</c:v>
                </c:pt>
                <c:pt idx="403">
                  <c:v>44.988678242921189</c:v>
                </c:pt>
                <c:pt idx="404">
                  <c:v>44.780037048976027</c:v>
                </c:pt>
                <c:pt idx="405">
                  <c:v>44.573008653222153</c:v>
                </c:pt>
                <c:pt idx="406">
                  <c:v>44.367579465377624</c:v>
                </c:pt>
                <c:pt idx="407">
                  <c:v>44.163736005503289</c:v>
                </c:pt>
                <c:pt idx="408">
                  <c:v>43.96146490326344</c:v>
                </c:pt>
                <c:pt idx="409">
                  <c:v>43.760752897186869</c:v>
                </c:pt>
                <c:pt idx="410">
                  <c:v>43.561586833928487</c:v>
                </c:pt>
                <c:pt idx="411">
                  <c:v>43.363953667531632</c:v>
                </c:pt>
                <c:pt idx="412">
                  <c:v>43.167840458691217</c:v>
                </c:pt>
                <c:pt idx="413">
                  <c:v>42.973234374017927</c:v>
                </c:pt>
                <c:pt idx="414">
                  <c:v>42.780122685303525</c:v>
                </c:pt>
                <c:pt idx="415">
                  <c:v>42.588492768787397</c:v>
                </c:pt>
                <c:pt idx="416">
                  <c:v>42.398332104424554</c:v>
                </c:pt>
                <c:pt idx="417">
                  <c:v>42.209213422298227</c:v>
                </c:pt>
                <c:pt idx="418">
                  <c:v>42.021542936506698</c:v>
                </c:pt>
                <c:pt idx="419">
                  <c:v>41.835308391817961</c:v>
                </c:pt>
                <c:pt idx="420">
                  <c:v>41.650497634271247</c:v>
                </c:pt>
                <c:pt idx="421">
                  <c:v>41.46709861044905</c:v>
                </c:pt>
                <c:pt idx="422">
                  <c:v>41.285099366751233</c:v>
                </c:pt>
                <c:pt idx="423">
                  <c:v>41.104488048671364</c:v>
                </c:pt>
                <c:pt idx="424">
                  <c:v>40.925252900075328</c:v>
                </c:pt>
                <c:pt idx="425">
                  <c:v>40.747382262482297</c:v>
                </c:pt>
                <c:pt idx="426">
                  <c:v>40.570864574348164</c:v>
                </c:pt>
                <c:pt idx="427">
                  <c:v>40.395688370351543</c:v>
                </c:pt>
                <c:pt idx="428">
                  <c:v>40.221842280682388</c:v>
                </c:pt>
                <c:pt idx="429">
                  <c:v>40.049315030333268</c:v>
                </c:pt>
                <c:pt idx="430">
                  <c:v>39.878095438393444</c:v>
                </c:pt>
                <c:pt idx="431">
                  <c:v>39.708172417345786</c:v>
                </c:pt>
                <c:pt idx="432">
                  <c:v>39.539534972366532</c:v>
                </c:pt>
                <c:pt idx="433">
                  <c:v>39.3721722006281</c:v>
                </c:pt>
                <c:pt idx="434">
                  <c:v>39.206073290604849</c:v>
                </c:pt>
                <c:pt idx="435">
                  <c:v>39.041227521381934</c:v>
                </c:pt>
                <c:pt idx="436">
                  <c:v>38.877624261967298</c:v>
                </c:pt>
                <c:pt idx="437">
                  <c:v>38.715252970606848</c:v>
                </c:pt>
                <c:pt idx="438">
                  <c:v>38.554103194102872</c:v>
                </c:pt>
                <c:pt idx="439">
                  <c:v>38.394164567135689</c:v>
                </c:pt>
                <c:pt idx="440">
                  <c:v>38.235426811588688</c:v>
                </c:pt>
                <c:pt idx="441">
                  <c:v>38.07787973587665</c:v>
                </c:pt>
                <c:pt idx="442">
                  <c:v>37.921513234277519</c:v>
                </c:pt>
                <c:pt idx="443">
                  <c:v>37.766317286267629</c:v>
                </c:pt>
                <c:pt idx="444">
                  <c:v>37.61228195586034</c:v>
                </c:pt>
                <c:pt idx="445">
                  <c:v>37.459397390948219</c:v>
                </c:pt>
                <c:pt idx="446">
                  <c:v>37.307653822648781</c:v>
                </c:pt>
                <c:pt idx="447">
                  <c:v>37.157041564653724</c:v>
                </c:pt>
                <c:pt idx="448">
                  <c:v>37.007551012581814</c:v>
                </c:pt>
                <c:pt idx="449">
                  <c:v>36.859172643335384</c:v>
                </c:pt>
                <c:pt idx="450">
                  <c:v>36.711897014460426</c:v>
                </c:pt>
                <c:pt idx="451">
                  <c:v>36.565714763510378</c:v>
                </c:pt>
                <c:pt idx="452">
                  <c:v>36.420616607413628</c:v>
                </c:pt>
                <c:pt idx="453">
                  <c:v>36.276593341844652</c:v>
                </c:pt>
                <c:pt idx="454">
                  <c:v>36.133635840598892</c:v>
                </c:pt>
                <c:pt idx="455">
                  <c:v>35.9917350549714</c:v>
                </c:pt>
                <c:pt idx="456">
                  <c:v>35.85088201313917</c:v>
                </c:pt>
                <c:pt idx="457">
                  <c:v>35.711067819547289</c:v>
                </c:pt>
                <c:pt idx="458">
                  <c:v>35.572283654298836</c:v>
                </c:pt>
                <c:pt idx="459">
                  <c:v>35.434520772548517</c:v>
                </c:pt>
                <c:pt idx="460">
                  <c:v>35.297770503900189</c:v>
                </c:pt>
                <c:pt idx="461">
                  <c:v>35.162024251808084</c:v>
                </c:pt>
                <c:pt idx="462">
                  <c:v>35.027273492981898</c:v>
                </c:pt>
                <c:pt idx="463">
                  <c:v>34.893509776795675</c:v>
                </c:pt>
                <c:pt idx="464">
                  <c:v>34.760724724700481</c:v>
                </c:pt>
                <c:pt idx="465">
                  <c:v>34.628910029640927</c:v>
                </c:pt>
                <c:pt idx="466">
                  <c:v>34.498057455475518</c:v>
                </c:pt>
                <c:pt idx="467">
                  <c:v>34.36815883640076</c:v>
                </c:pt>
                <c:pt idx="468">
                  <c:v>34.239206076379176</c:v>
                </c:pt>
                <c:pt idx="469">
                  <c:v>34.110809461840567</c:v>
                </c:pt>
                <c:pt idx="470">
                  <c:v>33.98334556002068</c:v>
                </c:pt>
                <c:pt idx="471">
                  <c:v>33.856806450141463</c:v>
                </c:pt>
                <c:pt idx="472">
                  <c:v>33.731184279281443</c:v>
                </c:pt>
                <c:pt idx="473">
                  <c:v>33.606471261819323</c:v>
                </c:pt>
                <c:pt idx="474">
                  <c:v>33.482659678881404</c:v>
                </c:pt>
                <c:pt idx="475">
                  <c:v>33.359741877792828</c:v>
                </c:pt>
                <c:pt idx="476">
                  <c:v>33.237710271532634</c:v>
                </c:pt>
                <c:pt idx="477">
                  <c:v>33.116557338192649</c:v>
                </c:pt>
                <c:pt idx="478">
                  <c:v>32.99627562044018</c:v>
                </c:pt>
                <c:pt idx="479">
                  <c:v>32.876857724984511</c:v>
                </c:pt>
                <c:pt idx="480">
                  <c:v>32.758296322047173</c:v>
                </c:pt>
                <c:pt idx="481">
                  <c:v>32.640584144836019</c:v>
                </c:pt>
                <c:pt idx="482">
                  <c:v>32.523713989023065</c:v>
                </c:pt>
                <c:pt idx="483">
                  <c:v>32.407678712226073</c:v>
                </c:pt>
                <c:pt idx="484">
                  <c:v>32.292471233493927</c:v>
                </c:pt>
                <c:pt idx="485">
                  <c:v>32.178084532795701</c:v>
                </c:pt>
                <c:pt idx="486">
                  <c:v>32.064511650513495</c:v>
                </c:pt>
                <c:pt idx="487">
                  <c:v>31.951745686938953</c:v>
                </c:pt>
                <c:pt idx="488">
                  <c:v>31.839779801773489</c:v>
                </c:pt>
                <c:pt idx="489">
                  <c:v>31.728607213632234</c:v>
                </c:pt>
                <c:pt idx="490">
                  <c:v>31.618221199551623</c:v>
                </c:pt>
                <c:pt idx="491">
                  <c:v>31.508615094500662</c:v>
                </c:pt>
                <c:pt idx="492">
                  <c:v>31.399782290895814</c:v>
                </c:pt>
                <c:pt idx="493">
                  <c:v>31.291716238119562</c:v>
                </c:pt>
                <c:pt idx="494">
                  <c:v>31.184410442042559</c:v>
                </c:pt>
                <c:pt idx="495">
                  <c:v>31.077858464549379</c:v>
                </c:pt>
                <c:pt idx="496">
                  <c:v>30.972053923067875</c:v>
                </c:pt>
                <c:pt idx="497">
                  <c:v>30.866990490102065</c:v>
                </c:pt>
                <c:pt idx="498">
                  <c:v>30.762661892768637</c:v>
                </c:pt>
                <c:pt idx="499">
                  <c:v>30.659061912336931</c:v>
                </c:pt>
                <c:pt idx="500">
                  <c:v>30.556184383772468</c:v>
                </c:pt>
                <c:pt idx="501">
                  <c:v>30.45402319528398</c:v>
                </c:pt>
                <c:pt idx="502">
                  <c:v>30.352572287873926</c:v>
                </c:pt>
                <c:pt idx="503">
                  <c:v>30.251825654892471</c:v>
                </c:pt>
                <c:pt idx="504">
                  <c:v>30.15177734159494</c:v>
                </c:pt>
                <c:pt idx="505">
                  <c:v>30.052421444702656</c:v>
                </c:pt>
                <c:pt idx="506">
                  <c:v>29.953752111967255</c:v>
                </c:pt>
                <c:pt idx="507">
                  <c:v>29.855763541738334</c:v>
                </c:pt>
                <c:pt idx="508">
                  <c:v>29.758449982534547</c:v>
                </c:pt>
                <c:pt idx="509">
                  <c:v>29.661805732617992</c:v>
                </c:pt>
                <c:pt idx="510">
                  <c:v>29.565825139571999</c:v>
                </c:pt>
                <c:pt idx="511">
                  <c:v>29.470502599882192</c:v>
                </c:pt>
                <c:pt idx="512">
                  <c:v>29.375832558520898</c:v>
                </c:pt>
                <c:pt idx="513">
                  <c:v>29.28180950853481</c:v>
                </c:pt>
                <c:pt idx="514">
                  <c:v>29.188427990635926</c:v>
                </c:pt>
                <c:pt idx="515">
                  <c:v>29.095682592795733</c:v>
                </c:pt>
                <c:pt idx="516">
                  <c:v>29.003567949842637</c:v>
                </c:pt>
                <c:pt idx="517">
                  <c:v>28.912078743062569</c:v>
                </c:pt>
                <c:pt idx="518">
                  <c:v>28.821209699802804</c:v>
                </c:pt>
                <c:pt idx="519">
                  <c:v>28.730955593078935</c:v>
                </c:pt>
              </c:numCache>
            </c:numRef>
          </c:val>
          <c:smooth val="0"/>
          <c:extLst>
            <c:ext xmlns:c16="http://schemas.microsoft.com/office/drawing/2014/chart" uri="{C3380CC4-5D6E-409C-BE32-E72D297353CC}">
              <c16:uniqueId val="{00000001-050E-4C76-B86D-B3269E11B822}"/>
            </c:ext>
          </c:extLst>
        </c:ser>
        <c:ser>
          <c:idx val="3"/>
          <c:order val="2"/>
          <c:tx>
            <c:strRef>
              <c:f>Ig!$E$534</c:f>
              <c:strCache>
                <c:ptCount val="1"/>
                <c:pt idx="0">
                  <c:v>Steroids no AE</c:v>
                </c:pt>
              </c:strCache>
            </c:strRef>
          </c:tx>
          <c:spPr>
            <a:ln w="28575" cap="rnd">
              <a:solidFill>
                <a:schemeClr val="accent4"/>
              </a:solidFill>
              <a:round/>
            </a:ln>
            <a:effectLst/>
          </c:spPr>
          <c:marker>
            <c:symbol val="none"/>
          </c:marker>
          <c:cat>
            <c:numRef>
              <c:f>Ig!$B$535:$B$1054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Ig!$E$535:$E$1054</c:f>
              <c:numCache>
                <c:formatCode>#,##0</c:formatCode>
                <c:ptCount val="5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389.46151736725596</c:v>
                </c:pt>
                <c:pt idx="21">
                  <c:v>391.4892660037134</c:v>
                </c:pt>
                <c:pt idx="22">
                  <c:v>393.49076827274666</c:v>
                </c:pt>
                <c:pt idx="23">
                  <c:v>395.46622412195279</c:v>
                </c:pt>
                <c:pt idx="24">
                  <c:v>397.41583218923677</c:v>
                </c:pt>
                <c:pt idx="25">
                  <c:v>399.33978981083607</c:v>
                </c:pt>
                <c:pt idx="26">
                  <c:v>401.23829302929744</c:v>
                </c:pt>
                <c:pt idx="27">
                  <c:v>403.1115366014069</c:v>
                </c:pt>
                <c:pt idx="28">
                  <c:v>404.95971400607243</c:v>
                </c:pt>
                <c:pt idx="29">
                  <c:v>406.78301745216015</c:v>
                </c:pt>
                <c:pt idx="30">
                  <c:v>408.58163788628406</c:v>
                </c:pt>
                <c:pt idx="31">
                  <c:v>410.35576500054964</c:v>
                </c:pt>
                <c:pt idx="32">
                  <c:v>412.10558724025185</c:v>
                </c:pt>
                <c:pt idx="33">
                  <c:v>413.83129181152691</c:v>
                </c:pt>
                <c:pt idx="34">
                  <c:v>415.53306468895937</c:v>
                </c:pt>
                <c:pt idx="35">
                  <c:v>417.21109062314383</c:v>
                </c:pt>
                <c:pt idx="36">
                  <c:v>418.86555314820203</c:v>
                </c:pt>
                <c:pt idx="37">
                  <c:v>420.49663458925494</c:v>
                </c:pt>
                <c:pt idx="38">
                  <c:v>422.10451606985117</c:v>
                </c:pt>
                <c:pt idx="39">
                  <c:v>423.68937751935096</c:v>
                </c:pt>
                <c:pt idx="40">
                  <c:v>425.25139768026662</c:v>
                </c:pt>
                <c:pt idx="41">
                  <c:v>426.79075411555914</c:v>
                </c:pt>
                <c:pt idx="42">
                  <c:v>428.30762321589174</c:v>
                </c:pt>
                <c:pt idx="43">
                  <c:v>429.80218020684055</c:v>
                </c:pt>
                <c:pt idx="44">
                  <c:v>431.27459915606238</c:v>
                </c:pt>
                <c:pt idx="45">
                  <c:v>432.72505298041989</c:v>
                </c:pt>
                <c:pt idx="46">
                  <c:v>434.15371345306448</c:v>
                </c:pt>
                <c:pt idx="47">
                  <c:v>435.56075121047718</c:v>
                </c:pt>
                <c:pt idx="48">
                  <c:v>436.94633575946807</c:v>
                </c:pt>
                <c:pt idx="49">
                  <c:v>438.3106354841338</c:v>
                </c:pt>
                <c:pt idx="50">
                  <c:v>439.65381765277374</c:v>
                </c:pt>
                <c:pt idx="51">
                  <c:v>440.97604842476562</c:v>
                </c:pt>
                <c:pt idx="52">
                  <c:v>442.27749285739981</c:v>
                </c:pt>
                <c:pt idx="53">
                  <c:v>440.72431104630112</c:v>
                </c:pt>
                <c:pt idx="54">
                  <c:v>439.17658366997995</c:v>
                </c:pt>
                <c:pt idx="55">
                  <c:v>437.63429157365442</c:v>
                </c:pt>
                <c:pt idx="56">
                  <c:v>436.09741566981</c:v>
                </c:pt>
                <c:pt idx="57">
                  <c:v>434.56593693796361</c:v>
                </c:pt>
                <c:pt idx="58">
                  <c:v>433.03983642442762</c:v>
                </c:pt>
                <c:pt idx="59">
                  <c:v>431.51909524207588</c:v>
                </c:pt>
                <c:pt idx="60">
                  <c:v>430.00369457010947</c:v>
                </c:pt>
                <c:pt idx="61">
                  <c:v>428.49361565382412</c:v>
                </c:pt>
                <c:pt idx="62">
                  <c:v>426.98883980437802</c:v>
                </c:pt>
                <c:pt idx="63">
                  <c:v>425.48934839856031</c:v>
                </c:pt>
                <c:pt idx="64">
                  <c:v>423.99512287856101</c:v>
                </c:pt>
                <c:pt idx="65">
                  <c:v>422.50614475174092</c:v>
                </c:pt>
                <c:pt idx="66">
                  <c:v>421.02239559040305</c:v>
                </c:pt>
                <c:pt idx="67">
                  <c:v>419.54385703156436</c:v>
                </c:pt>
                <c:pt idx="68">
                  <c:v>418.07051077672867</c:v>
                </c:pt>
                <c:pt idx="69">
                  <c:v>416.60233859165993</c:v>
                </c:pt>
                <c:pt idx="70">
                  <c:v>415.13932230615711</c:v>
                </c:pt>
                <c:pt idx="71">
                  <c:v>413.68144381382871</c:v>
                </c:pt>
                <c:pt idx="72">
                  <c:v>412.22868507186894</c:v>
                </c:pt>
                <c:pt idx="73">
                  <c:v>410.78102810083431</c:v>
                </c:pt>
                <c:pt idx="74">
                  <c:v>409.33845498442133</c:v>
                </c:pt>
                <c:pt idx="75">
                  <c:v>407.9009478692447</c:v>
                </c:pt>
                <c:pt idx="76">
                  <c:v>406.46848896461614</c:v>
                </c:pt>
                <c:pt idx="77">
                  <c:v>405.04106054232443</c:v>
                </c:pt>
                <c:pt idx="78">
                  <c:v>403.61864493641599</c:v>
                </c:pt>
                <c:pt idx="79">
                  <c:v>402.20122454297615</c:v>
                </c:pt>
                <c:pt idx="80">
                  <c:v>400.78878181991143</c:v>
                </c:pt>
                <c:pt idx="81">
                  <c:v>399.38129928673226</c:v>
                </c:pt>
                <c:pt idx="82">
                  <c:v>397.97875952433685</c:v>
                </c:pt>
                <c:pt idx="83">
                  <c:v>396.58114517479527</c:v>
                </c:pt>
                <c:pt idx="84">
                  <c:v>395.18843894113496</c:v>
                </c:pt>
                <c:pt idx="85">
                  <c:v>393.80062358712661</c:v>
                </c:pt>
                <c:pt idx="86">
                  <c:v>392.41768193707071</c:v>
                </c:pt>
                <c:pt idx="87">
                  <c:v>391.03959687558495</c:v>
                </c:pt>
                <c:pt idx="88">
                  <c:v>389.66635134739266</c:v>
                </c:pt>
                <c:pt idx="89">
                  <c:v>388.29792835711163</c:v>
                </c:pt>
                <c:pt idx="90">
                  <c:v>386.93431096904345</c:v>
                </c:pt>
                <c:pt idx="91">
                  <c:v>385.57548230696443</c:v>
                </c:pt>
                <c:pt idx="92">
                  <c:v>384.22142555391633</c:v>
                </c:pt>
                <c:pt idx="93">
                  <c:v>382.87212395199839</c:v>
                </c:pt>
                <c:pt idx="94">
                  <c:v>381.52756080216005</c:v>
                </c:pt>
                <c:pt idx="95">
                  <c:v>380.18771946399414</c:v>
                </c:pt>
                <c:pt idx="96">
                  <c:v>378.85258335553084</c:v>
                </c:pt>
                <c:pt idx="97">
                  <c:v>377.52213595303277</c:v>
                </c:pt>
                <c:pt idx="98">
                  <c:v>376.1963607907901</c:v>
                </c:pt>
                <c:pt idx="99">
                  <c:v>374.87524146091693</c:v>
                </c:pt>
                <c:pt idx="100">
                  <c:v>373.55876161314859</c:v>
                </c:pt>
                <c:pt idx="101">
                  <c:v>372.24690495463869</c:v>
                </c:pt>
                <c:pt idx="102">
                  <c:v>370.93965524975783</c:v>
                </c:pt>
                <c:pt idx="103">
                  <c:v>369.6369963198926</c:v>
                </c:pt>
                <c:pt idx="104">
                  <c:v>368.33891204324533</c:v>
                </c:pt>
                <c:pt idx="105">
                  <c:v>367.04312867810017</c:v>
                </c:pt>
                <c:pt idx="106">
                  <c:v>365.75190376299781</c:v>
                </c:pt>
                <c:pt idx="107">
                  <c:v>364.46522126171868</c:v>
                </c:pt>
                <c:pt idx="108">
                  <c:v>363.18306519445684</c:v>
                </c:pt>
                <c:pt idx="109">
                  <c:v>361.90541963762206</c:v>
                </c:pt>
                <c:pt idx="110">
                  <c:v>360.63226872364191</c:v>
                </c:pt>
                <c:pt idx="111">
                  <c:v>359.36359664076468</c:v>
                </c:pt>
                <c:pt idx="112">
                  <c:v>358.09938763286283</c:v>
                </c:pt>
                <c:pt idx="113">
                  <c:v>356.83962599923763</c:v>
                </c:pt>
                <c:pt idx="114">
                  <c:v>355.58429609442396</c:v>
                </c:pt>
                <c:pt idx="115">
                  <c:v>354.33338232799599</c:v>
                </c:pt>
                <c:pt idx="116">
                  <c:v>353.08686916437364</c:v>
                </c:pt>
                <c:pt idx="117">
                  <c:v>351.84474112262967</c:v>
                </c:pt>
                <c:pt idx="118">
                  <c:v>350.60698277629729</c:v>
                </c:pt>
                <c:pt idx="119">
                  <c:v>349.37357875317866</c:v>
                </c:pt>
                <c:pt idx="120">
                  <c:v>348.14451373515402</c:v>
                </c:pt>
                <c:pt idx="121">
                  <c:v>346.91977245799137</c:v>
                </c:pt>
                <c:pt idx="122">
                  <c:v>345.69933971115682</c:v>
                </c:pt>
                <c:pt idx="123">
                  <c:v>344.48320033762576</c:v>
                </c:pt>
                <c:pt idx="124">
                  <c:v>343.27133923369479</c:v>
                </c:pt>
                <c:pt idx="125">
                  <c:v>342.06374134879394</c:v>
                </c:pt>
                <c:pt idx="126">
                  <c:v>340.86039168529965</c:v>
                </c:pt>
                <c:pt idx="127">
                  <c:v>339.66127529834893</c:v>
                </c:pt>
                <c:pt idx="128">
                  <c:v>338.46637729565322</c:v>
                </c:pt>
                <c:pt idx="129">
                  <c:v>337.27568283731381</c:v>
                </c:pt>
                <c:pt idx="130">
                  <c:v>336.08917713563744</c:v>
                </c:pt>
                <c:pt idx="131">
                  <c:v>334.9068454549527</c:v>
                </c:pt>
                <c:pt idx="132">
                  <c:v>333.72867311142682</c:v>
                </c:pt>
                <c:pt idx="133">
                  <c:v>332.55464547288346</c:v>
                </c:pt>
                <c:pt idx="134">
                  <c:v>331.38474795862106</c:v>
                </c:pt>
                <c:pt idx="135">
                  <c:v>330.21896603923153</c:v>
                </c:pt>
                <c:pt idx="136">
                  <c:v>329.05728523642023</c:v>
                </c:pt>
                <c:pt idx="137">
                  <c:v>327.89969112282546</c:v>
                </c:pt>
                <c:pt idx="138">
                  <c:v>326.74616932183989</c:v>
                </c:pt>
                <c:pt idx="139">
                  <c:v>325.59670550743181</c:v>
                </c:pt>
                <c:pt idx="140">
                  <c:v>324.45128540396729</c:v>
                </c:pt>
                <c:pt idx="141">
                  <c:v>323.30989478603266</c:v>
                </c:pt>
                <c:pt idx="142">
                  <c:v>322.17251947825804</c:v>
                </c:pt>
                <c:pt idx="143">
                  <c:v>321.03914535514122</c:v>
                </c:pt>
                <c:pt idx="144">
                  <c:v>319.90975834087226</c:v>
                </c:pt>
                <c:pt idx="145">
                  <c:v>318.78434440915868</c:v>
                </c:pt>
                <c:pt idx="146">
                  <c:v>317.66288958305114</c:v>
                </c:pt>
                <c:pt idx="147">
                  <c:v>316.5453799347701</c:v>
                </c:pt>
                <c:pt idx="148">
                  <c:v>315.43180158553264</c:v>
                </c:pt>
                <c:pt idx="149">
                  <c:v>314.32214070538021</c:v>
                </c:pt>
                <c:pt idx="150">
                  <c:v>313.21638351300669</c:v>
                </c:pt>
                <c:pt idx="151">
                  <c:v>312.1145162755875</c:v>
                </c:pt>
                <c:pt idx="152">
                  <c:v>311.01652530860883</c:v>
                </c:pt>
                <c:pt idx="153">
                  <c:v>309.92239697569778</c:v>
                </c:pt>
                <c:pt idx="154">
                  <c:v>308.83211768845291</c:v>
                </c:pt>
                <c:pt idx="155">
                  <c:v>307.7456739062759</c:v>
                </c:pt>
                <c:pt idx="156">
                  <c:v>306.66305213620262</c:v>
                </c:pt>
                <c:pt idx="157">
                  <c:v>305.58212351026822</c:v>
                </c:pt>
                <c:pt idx="158">
                  <c:v>304.50500495107059</c:v>
                </c:pt>
                <c:pt idx="159">
                  <c:v>303.431683028853</c:v>
                </c:pt>
                <c:pt idx="160">
                  <c:v>302.36214436119593</c:v>
                </c:pt>
                <c:pt idx="161">
                  <c:v>301.29637561285057</c:v>
                </c:pt>
                <c:pt idx="162">
                  <c:v>300.23436349557215</c:v>
                </c:pt>
                <c:pt idx="163">
                  <c:v>299.17609476795428</c:v>
                </c:pt>
                <c:pt idx="164">
                  <c:v>298.12155623526417</c:v>
                </c:pt>
                <c:pt idx="165">
                  <c:v>297.07073474927796</c:v>
                </c:pt>
                <c:pt idx="166">
                  <c:v>296.02361720811666</c:v>
                </c:pt>
                <c:pt idx="167">
                  <c:v>294.9801905560829</c:v>
                </c:pt>
                <c:pt idx="168">
                  <c:v>293.94044178349816</c:v>
                </c:pt>
                <c:pt idx="169">
                  <c:v>292.90435792654063</c:v>
                </c:pt>
                <c:pt idx="170">
                  <c:v>291.87192606708351</c:v>
                </c:pt>
                <c:pt idx="171">
                  <c:v>290.8431333325338</c:v>
                </c:pt>
                <c:pt idx="172">
                  <c:v>289.81796689567204</c:v>
                </c:pt>
                <c:pt idx="173">
                  <c:v>288.79641397449222</c:v>
                </c:pt>
                <c:pt idx="174">
                  <c:v>287.77846183204235</c:v>
                </c:pt>
                <c:pt idx="175">
                  <c:v>286.76409777626588</c:v>
                </c:pt>
                <c:pt idx="176">
                  <c:v>285.75330915984341</c:v>
                </c:pt>
                <c:pt idx="177">
                  <c:v>284.74608338003475</c:v>
                </c:pt>
                <c:pt idx="178">
                  <c:v>283.74240787852204</c:v>
                </c:pt>
                <c:pt idx="179">
                  <c:v>282.74227014125313</c:v>
                </c:pt>
                <c:pt idx="180">
                  <c:v>281.74565769828541</c:v>
                </c:pt>
                <c:pt idx="181">
                  <c:v>280.75255812363054</c:v>
                </c:pt>
                <c:pt idx="182">
                  <c:v>279.76295903509936</c:v>
                </c:pt>
                <c:pt idx="183">
                  <c:v>278.77684809414751</c:v>
                </c:pt>
                <c:pt idx="184">
                  <c:v>277.79421300572176</c:v>
                </c:pt>
                <c:pt idx="185">
                  <c:v>276.81504151810645</c:v>
                </c:pt>
                <c:pt idx="186">
                  <c:v>275.83932142277109</c:v>
                </c:pt>
                <c:pt idx="187">
                  <c:v>274.86704055421774</c:v>
                </c:pt>
                <c:pt idx="188">
                  <c:v>273.89818678982942</c:v>
                </c:pt>
                <c:pt idx="189">
                  <c:v>272.93274804971935</c:v>
                </c:pt>
                <c:pt idx="190">
                  <c:v>271.97071229657985</c:v>
                </c:pt>
                <c:pt idx="191">
                  <c:v>271.01206753553242</c:v>
                </c:pt>
                <c:pt idx="192">
                  <c:v>270.05680181397838</c:v>
                </c:pt>
                <c:pt idx="193">
                  <c:v>269.10490322144949</c:v>
                </c:pt>
                <c:pt idx="194">
                  <c:v>268.15635988945979</c:v>
                </c:pt>
                <c:pt idx="195">
                  <c:v>267.21115999135742</c:v>
                </c:pt>
                <c:pt idx="196">
                  <c:v>266.26929174217702</c:v>
                </c:pt>
                <c:pt idx="197">
                  <c:v>265.33074339849327</c:v>
                </c:pt>
                <c:pt idx="198">
                  <c:v>264.39550325827395</c:v>
                </c:pt>
                <c:pt idx="199">
                  <c:v>263.46355966073446</c:v>
                </c:pt>
                <c:pt idx="200">
                  <c:v>262.5349009861921</c:v>
                </c:pt>
                <c:pt idx="201">
                  <c:v>261.60951565592143</c:v>
                </c:pt>
                <c:pt idx="202">
                  <c:v>260.68739213200968</c:v>
                </c:pt>
                <c:pt idx="203">
                  <c:v>259.76851891721321</c:v>
                </c:pt>
                <c:pt idx="204">
                  <c:v>258.85288455481367</c:v>
                </c:pt>
                <c:pt idx="205">
                  <c:v>257.94047762847572</c:v>
                </c:pt>
                <c:pt idx="206">
                  <c:v>257.03128676210429</c:v>
                </c:pt>
                <c:pt idx="207">
                  <c:v>256.12530061970278</c:v>
                </c:pt>
                <c:pt idx="208">
                  <c:v>255.22250790523205</c:v>
                </c:pt>
                <c:pt idx="209">
                  <c:v>254.32103865225082</c:v>
                </c:pt>
                <c:pt idx="210">
                  <c:v>253.42275347116328</c:v>
                </c:pt>
                <c:pt idx="211">
                  <c:v>252.52764111553623</c:v>
                </c:pt>
                <c:pt idx="212">
                  <c:v>251.63569037865975</c:v>
                </c:pt>
                <c:pt idx="213">
                  <c:v>250.7468900934071</c:v>
                </c:pt>
                <c:pt idx="214">
                  <c:v>249.86122913209485</c:v>
                </c:pt>
                <c:pt idx="215">
                  <c:v>248.97869640634352</c:v>
                </c:pt>
                <c:pt idx="216">
                  <c:v>248.09928086693895</c:v>
                </c:pt>
                <c:pt idx="217">
                  <c:v>247.22297150369369</c:v>
                </c:pt>
                <c:pt idx="218">
                  <c:v>246.34975734530923</c:v>
                </c:pt>
                <c:pt idx="219">
                  <c:v>245.4796274592388</c:v>
                </c:pt>
                <c:pt idx="220">
                  <c:v>244.61257095155034</c:v>
                </c:pt>
                <c:pt idx="221">
                  <c:v>243.74857696679021</c:v>
                </c:pt>
                <c:pt idx="222">
                  <c:v>242.8876346878472</c:v>
                </c:pt>
                <c:pt idx="223">
                  <c:v>242.02973333581699</c:v>
                </c:pt>
                <c:pt idx="224">
                  <c:v>241.17486216986757</c:v>
                </c:pt>
                <c:pt idx="225">
                  <c:v>240.32301048710434</c:v>
                </c:pt>
                <c:pt idx="226">
                  <c:v>239.47416762243637</c:v>
                </c:pt>
                <c:pt idx="227">
                  <c:v>238.62832294844287</c:v>
                </c:pt>
                <c:pt idx="228">
                  <c:v>237.78546587523999</c:v>
                </c:pt>
                <c:pt idx="229">
                  <c:v>236.94558585034835</c:v>
                </c:pt>
                <c:pt idx="230">
                  <c:v>236.10867235856091</c:v>
                </c:pt>
                <c:pt idx="231">
                  <c:v>235.27471492181127</c:v>
                </c:pt>
                <c:pt idx="232">
                  <c:v>234.44370309904247</c:v>
                </c:pt>
                <c:pt idx="233">
                  <c:v>233.61562648607648</c:v>
                </c:pt>
                <c:pt idx="234">
                  <c:v>232.79047471548367</c:v>
                </c:pt>
                <c:pt idx="235">
                  <c:v>231.9682374564531</c:v>
                </c:pt>
                <c:pt idx="236">
                  <c:v>231.14890441466321</c:v>
                </c:pt>
                <c:pt idx="237">
                  <c:v>230.33246533215296</c:v>
                </c:pt>
                <c:pt idx="238">
                  <c:v>229.51890998719335</c:v>
                </c:pt>
                <c:pt idx="239">
                  <c:v>228.70822819415943</c:v>
                </c:pt>
                <c:pt idx="240">
                  <c:v>227.90040980340288</c:v>
                </c:pt>
                <c:pt idx="241">
                  <c:v>227.09544470112488</c:v>
                </c:pt>
                <c:pt idx="242">
                  <c:v>226.2933228092493</c:v>
                </c:pt>
                <c:pt idx="243">
                  <c:v>225.4940340852969</c:v>
                </c:pt>
                <c:pt idx="244">
                  <c:v>224.69756852225933</c:v>
                </c:pt>
                <c:pt idx="245">
                  <c:v>223.90391614847388</c:v>
                </c:pt>
                <c:pt idx="246">
                  <c:v>223.11306702749863</c:v>
                </c:pt>
                <c:pt idx="247">
                  <c:v>222.32501125798825</c:v>
                </c:pt>
                <c:pt idx="248">
                  <c:v>221.53973897356963</c:v>
                </c:pt>
                <c:pt idx="249">
                  <c:v>220.75724034271877</c:v>
                </c:pt>
                <c:pt idx="250">
                  <c:v>219.97750556863747</c:v>
                </c:pt>
                <c:pt idx="251">
                  <c:v>219.20052488913069</c:v>
                </c:pt>
                <c:pt idx="252">
                  <c:v>218.42628857648432</c:v>
                </c:pt>
                <c:pt idx="253">
                  <c:v>217.65478693734357</c:v>
                </c:pt>
                <c:pt idx="254">
                  <c:v>216.88601031259131</c:v>
                </c:pt>
                <c:pt idx="255">
                  <c:v>216.11994907722735</c:v>
                </c:pt>
                <c:pt idx="256">
                  <c:v>215.35659364024789</c:v>
                </c:pt>
                <c:pt idx="257">
                  <c:v>214.59593444452543</c:v>
                </c:pt>
                <c:pt idx="258">
                  <c:v>213.83796196668916</c:v>
                </c:pt>
                <c:pt idx="259">
                  <c:v>213.08266671700559</c:v>
                </c:pt>
                <c:pt idx="260">
                  <c:v>212.85381783786585</c:v>
                </c:pt>
                <c:pt idx="261">
                  <c:v>212.62353817702572</c:v>
                </c:pt>
                <c:pt idx="262">
                  <c:v>212.39350764830235</c:v>
                </c:pt>
                <c:pt idx="263">
                  <c:v>212.1637259821677</c:v>
                </c:pt>
                <c:pt idx="264">
                  <c:v>211.9341929093855</c:v>
                </c:pt>
                <c:pt idx="265">
                  <c:v>211.70490816101051</c:v>
                </c:pt>
                <c:pt idx="266">
                  <c:v>211.47587146838868</c:v>
                </c:pt>
                <c:pt idx="267">
                  <c:v>211.24708256315648</c:v>
                </c:pt>
                <c:pt idx="268">
                  <c:v>211.01854117724073</c:v>
                </c:pt>
                <c:pt idx="269">
                  <c:v>210.79024704285834</c:v>
                </c:pt>
                <c:pt idx="270">
                  <c:v>210.56219989251585</c:v>
                </c:pt>
                <c:pt idx="271">
                  <c:v>210.33439945900926</c:v>
                </c:pt>
                <c:pt idx="272">
                  <c:v>210.10684547542354</c:v>
                </c:pt>
                <c:pt idx="273">
                  <c:v>209.8795376751325</c:v>
                </c:pt>
                <c:pt idx="274">
                  <c:v>209.65247579179839</c:v>
                </c:pt>
                <c:pt idx="275">
                  <c:v>209.42565955937167</c:v>
                </c:pt>
                <c:pt idx="276">
                  <c:v>209.19908871209049</c:v>
                </c:pt>
                <c:pt idx="277">
                  <c:v>208.97276298448062</c:v>
                </c:pt>
                <c:pt idx="278">
                  <c:v>208.74668211135506</c:v>
                </c:pt>
                <c:pt idx="279">
                  <c:v>208.52084582781359</c:v>
                </c:pt>
                <c:pt idx="280">
                  <c:v>208.29525386924274</c:v>
                </c:pt>
                <c:pt idx="281">
                  <c:v>208.06990597131517</c:v>
                </c:pt>
                <c:pt idx="282">
                  <c:v>207.84480186998962</c:v>
                </c:pt>
                <c:pt idx="283">
                  <c:v>207.61994130151032</c:v>
                </c:pt>
                <c:pt idx="284">
                  <c:v>207.39532400240702</c:v>
                </c:pt>
                <c:pt idx="285">
                  <c:v>207.17094970949447</c:v>
                </c:pt>
                <c:pt idx="286">
                  <c:v>206.94681815987212</c:v>
                </c:pt>
                <c:pt idx="287">
                  <c:v>206.72292909092386</c:v>
                </c:pt>
                <c:pt idx="288">
                  <c:v>206.49928224031765</c:v>
                </c:pt>
                <c:pt idx="289">
                  <c:v>206.27587734600539</c:v>
                </c:pt>
                <c:pt idx="290">
                  <c:v>206.05271414622229</c:v>
                </c:pt>
                <c:pt idx="291">
                  <c:v>205.82979237948692</c:v>
                </c:pt>
                <c:pt idx="292">
                  <c:v>205.60711178460065</c:v>
                </c:pt>
                <c:pt idx="293">
                  <c:v>205.38467210064746</c:v>
                </c:pt>
                <c:pt idx="294">
                  <c:v>205.16247306699367</c:v>
                </c:pt>
                <c:pt idx="295">
                  <c:v>204.9405144232874</c:v>
                </c:pt>
                <c:pt idx="296">
                  <c:v>204.71879590945858</c:v>
                </c:pt>
                <c:pt idx="297">
                  <c:v>204.49731726571846</c:v>
                </c:pt>
                <c:pt idx="298">
                  <c:v>204.27607823255937</c:v>
                </c:pt>
                <c:pt idx="299">
                  <c:v>204.05507855075439</c:v>
                </c:pt>
                <c:pt idx="300">
                  <c:v>203.83431796135696</c:v>
                </c:pt>
                <c:pt idx="301">
                  <c:v>203.61379620570079</c:v>
                </c:pt>
                <c:pt idx="302">
                  <c:v>203.39351302539936</c:v>
                </c:pt>
                <c:pt idx="303">
                  <c:v>203.1734681623457</c:v>
                </c:pt>
                <c:pt idx="304">
                  <c:v>202.9536613587122</c:v>
                </c:pt>
                <c:pt idx="305">
                  <c:v>202.73409235694996</c:v>
                </c:pt>
                <c:pt idx="306">
                  <c:v>202.5147608997888</c:v>
                </c:pt>
                <c:pt idx="307">
                  <c:v>202.29566673023695</c:v>
                </c:pt>
                <c:pt idx="308">
                  <c:v>202.07680959158063</c:v>
                </c:pt>
                <c:pt idx="309">
                  <c:v>201.85818922738375</c:v>
                </c:pt>
                <c:pt idx="310">
                  <c:v>201.63980538148772</c:v>
                </c:pt>
                <c:pt idx="311">
                  <c:v>201.42165779801101</c:v>
                </c:pt>
                <c:pt idx="312">
                  <c:v>201.20374622134898</c:v>
                </c:pt>
                <c:pt idx="313">
                  <c:v>200.98442695739439</c:v>
                </c:pt>
                <c:pt idx="314">
                  <c:v>200.76534675926459</c:v>
                </c:pt>
                <c:pt idx="315">
                  <c:v>200.54650536636927</c:v>
                </c:pt>
                <c:pt idx="316">
                  <c:v>200.32790251840223</c:v>
                </c:pt>
                <c:pt idx="317">
                  <c:v>200.10953795534098</c:v>
                </c:pt>
                <c:pt idx="318">
                  <c:v>199.89141141744653</c:v>
                </c:pt>
                <c:pt idx="319">
                  <c:v>199.67352264526284</c:v>
                </c:pt>
                <c:pt idx="320">
                  <c:v>199.45587137961684</c:v>
                </c:pt>
                <c:pt idx="321">
                  <c:v>199.23845736161803</c:v>
                </c:pt>
                <c:pt idx="322">
                  <c:v>199.02128033265791</c:v>
                </c:pt>
                <c:pt idx="323">
                  <c:v>198.80434003440996</c:v>
                </c:pt>
                <c:pt idx="324">
                  <c:v>198.58763620882928</c:v>
                </c:pt>
                <c:pt idx="325">
                  <c:v>198.37116859815222</c:v>
                </c:pt>
                <c:pt idx="326">
                  <c:v>198.15493694489612</c:v>
                </c:pt>
                <c:pt idx="327">
                  <c:v>197.93894099185897</c:v>
                </c:pt>
                <c:pt idx="328">
                  <c:v>197.72318048211909</c:v>
                </c:pt>
                <c:pt idx="329">
                  <c:v>197.5076551590349</c:v>
                </c:pt>
                <c:pt idx="330">
                  <c:v>197.29236476624459</c:v>
                </c:pt>
                <c:pt idx="331">
                  <c:v>197.07730904766569</c:v>
                </c:pt>
                <c:pt idx="332">
                  <c:v>196.86248774749498</c:v>
                </c:pt>
                <c:pt idx="333">
                  <c:v>196.64790061020801</c:v>
                </c:pt>
                <c:pt idx="334">
                  <c:v>196.43354738055888</c:v>
                </c:pt>
                <c:pt idx="335">
                  <c:v>196.21942780357992</c:v>
                </c:pt>
                <c:pt idx="336">
                  <c:v>196.00554162458138</c:v>
                </c:pt>
                <c:pt idx="337">
                  <c:v>195.79188858915111</c:v>
                </c:pt>
                <c:pt idx="338">
                  <c:v>195.57846844315435</c:v>
                </c:pt>
                <c:pt idx="339">
                  <c:v>195.36528093273327</c:v>
                </c:pt>
                <c:pt idx="340">
                  <c:v>195.1523258043068</c:v>
                </c:pt>
                <c:pt idx="341">
                  <c:v>194.93960280457028</c:v>
                </c:pt>
                <c:pt idx="342">
                  <c:v>194.72711168049517</c:v>
                </c:pt>
                <c:pt idx="343">
                  <c:v>194.5148521793287</c:v>
                </c:pt>
                <c:pt idx="344">
                  <c:v>194.30282404859364</c:v>
                </c:pt>
                <c:pt idx="345">
                  <c:v>194.09102703608792</c:v>
                </c:pt>
                <c:pt idx="346">
                  <c:v>193.87946088988446</c:v>
                </c:pt>
                <c:pt idx="347">
                  <c:v>193.66812535833077</c:v>
                </c:pt>
                <c:pt idx="348">
                  <c:v>193.45702019004861</c:v>
                </c:pt>
                <c:pt idx="349">
                  <c:v>193.24614513393382</c:v>
                </c:pt>
                <c:pt idx="350">
                  <c:v>193.0354999391559</c:v>
                </c:pt>
                <c:pt idx="351">
                  <c:v>192.82508435515786</c:v>
                </c:pt>
                <c:pt idx="352">
                  <c:v>192.61489813165565</c:v>
                </c:pt>
                <c:pt idx="353">
                  <c:v>192.40494101863823</c:v>
                </c:pt>
                <c:pt idx="354">
                  <c:v>192.19521276636692</c:v>
                </c:pt>
                <c:pt idx="355">
                  <c:v>191.98571312537538</c:v>
                </c:pt>
                <c:pt idx="356">
                  <c:v>191.77644184646917</c:v>
                </c:pt>
                <c:pt idx="357">
                  <c:v>191.56739868072546</c:v>
                </c:pt>
                <c:pt idx="358">
                  <c:v>191.35858337949279</c:v>
                </c:pt>
                <c:pt idx="359">
                  <c:v>191.14999569439064</c:v>
                </c:pt>
                <c:pt idx="360">
                  <c:v>190.94163537730938</c:v>
                </c:pt>
                <c:pt idx="361">
                  <c:v>190.73350218040969</c:v>
                </c:pt>
                <c:pt idx="362">
                  <c:v>190.52559585612249</c:v>
                </c:pt>
                <c:pt idx="363">
                  <c:v>190.3179161571486</c:v>
                </c:pt>
                <c:pt idx="364">
                  <c:v>190.11046283645825</c:v>
                </c:pt>
                <c:pt idx="365">
                  <c:v>189.9015538490448</c:v>
                </c:pt>
                <c:pt idx="366">
                  <c:v>189.69287442798125</c:v>
                </c:pt>
                <c:pt idx="367">
                  <c:v>189.48442432100111</c:v>
                </c:pt>
                <c:pt idx="368">
                  <c:v>189.27620327611535</c:v>
                </c:pt>
                <c:pt idx="369">
                  <c:v>189.06821104161173</c:v>
                </c:pt>
                <c:pt idx="370">
                  <c:v>188.86044736605456</c:v>
                </c:pt>
                <c:pt idx="371">
                  <c:v>188.65291199828454</c:v>
                </c:pt>
                <c:pt idx="372">
                  <c:v>188.4456046874183</c:v>
                </c:pt>
                <c:pt idx="373">
                  <c:v>188.23852518284821</c:v>
                </c:pt>
                <c:pt idx="374">
                  <c:v>188.03167323424196</c:v>
                </c:pt>
                <c:pt idx="375">
                  <c:v>187.82504859154244</c:v>
                </c:pt>
                <c:pt idx="376">
                  <c:v>187.61865100496726</c:v>
                </c:pt>
                <c:pt idx="377">
                  <c:v>187.41248022500841</c:v>
                </c:pt>
                <c:pt idx="378">
                  <c:v>187.20653600243222</c:v>
                </c:pt>
                <c:pt idx="379">
                  <c:v>187.00081808827881</c:v>
                </c:pt>
                <c:pt idx="380">
                  <c:v>186.79532623386194</c:v>
                </c:pt>
                <c:pt idx="381">
                  <c:v>186.59006019076858</c:v>
                </c:pt>
                <c:pt idx="382">
                  <c:v>186.38501971085873</c:v>
                </c:pt>
                <c:pt idx="383">
                  <c:v>186.18020454626506</c:v>
                </c:pt>
                <c:pt idx="384">
                  <c:v>185.97561444939257</c:v>
                </c:pt>
                <c:pt idx="385">
                  <c:v>185.77124917291835</c:v>
                </c:pt>
                <c:pt idx="386">
                  <c:v>185.56710846979132</c:v>
                </c:pt>
                <c:pt idx="387">
                  <c:v>185.36319209323176</c:v>
                </c:pt>
                <c:pt idx="388">
                  <c:v>185.1594997967313</c:v>
                </c:pt>
                <c:pt idx="389">
                  <c:v>184.95603133405234</c:v>
                </c:pt>
                <c:pt idx="390">
                  <c:v>184.75278645922791</c:v>
                </c:pt>
                <c:pt idx="391">
                  <c:v>184.54976492656138</c:v>
                </c:pt>
                <c:pt idx="392">
                  <c:v>184.34696649062596</c:v>
                </c:pt>
                <c:pt idx="393">
                  <c:v>184.14439090626459</c:v>
                </c:pt>
                <c:pt idx="394">
                  <c:v>183.9420379285898</c:v>
                </c:pt>
                <c:pt idx="395">
                  <c:v>183.73990731298301</c:v>
                </c:pt>
                <c:pt idx="396">
                  <c:v>183.53799881509451</c:v>
                </c:pt>
                <c:pt idx="397">
                  <c:v>183.33631219084316</c:v>
                </c:pt>
                <c:pt idx="398">
                  <c:v>183.13484719641593</c:v>
                </c:pt>
                <c:pt idx="399">
                  <c:v>182.93360358826783</c:v>
                </c:pt>
                <c:pt idx="400">
                  <c:v>182.73258112312138</c:v>
                </c:pt>
                <c:pt idx="401">
                  <c:v>182.53177955796653</c:v>
                </c:pt>
                <c:pt idx="402">
                  <c:v>182.33119865006017</c:v>
                </c:pt>
                <c:pt idx="403">
                  <c:v>182.13083815692605</c:v>
                </c:pt>
                <c:pt idx="404">
                  <c:v>181.93069783635434</c:v>
                </c:pt>
                <c:pt idx="405">
                  <c:v>181.73077744640133</c:v>
                </c:pt>
                <c:pt idx="406">
                  <c:v>181.53107674538919</c:v>
                </c:pt>
                <c:pt idx="407">
                  <c:v>181.33159549190563</c:v>
                </c:pt>
                <c:pt idx="408">
                  <c:v>181.13233344480372</c:v>
                </c:pt>
                <c:pt idx="409">
                  <c:v>180.93329036320154</c:v>
                </c:pt>
                <c:pt idx="410">
                  <c:v>180.73446600648171</c:v>
                </c:pt>
                <c:pt idx="411">
                  <c:v>180.53586013429148</c:v>
                </c:pt>
                <c:pt idx="412">
                  <c:v>180.33747250654204</c:v>
                </c:pt>
                <c:pt idx="413">
                  <c:v>180.13930288340848</c:v>
                </c:pt>
                <c:pt idx="414">
                  <c:v>179.94135102532948</c:v>
                </c:pt>
                <c:pt idx="415">
                  <c:v>179.74361669300689</c:v>
                </c:pt>
                <c:pt idx="416">
                  <c:v>179.54609964740547</c:v>
                </c:pt>
                <c:pt idx="417">
                  <c:v>179.34703697812051</c:v>
                </c:pt>
                <c:pt idx="418">
                  <c:v>179.14819500951569</c:v>
                </c:pt>
                <c:pt idx="419">
                  <c:v>178.94957349690026</c:v>
                </c:pt>
                <c:pt idx="420">
                  <c:v>178.75117219585471</c:v>
                </c:pt>
                <c:pt idx="421">
                  <c:v>178.55299086223067</c:v>
                </c:pt>
                <c:pt idx="422">
                  <c:v>178.35502925215033</c:v>
                </c:pt>
                <c:pt idx="423">
                  <c:v>178.15728712200632</c:v>
                </c:pt>
                <c:pt idx="424">
                  <c:v>177.95976422846138</c:v>
                </c:pt>
                <c:pt idx="425">
                  <c:v>177.76246032844793</c:v>
                </c:pt>
                <c:pt idx="426">
                  <c:v>177.56537517916797</c:v>
                </c:pt>
                <c:pt idx="427">
                  <c:v>177.36850853809273</c:v>
                </c:pt>
                <c:pt idx="428">
                  <c:v>177.17186016296222</c:v>
                </c:pt>
                <c:pt idx="429">
                  <c:v>176.97542981178512</c:v>
                </c:pt>
                <c:pt idx="430">
                  <c:v>176.7792172428384</c:v>
                </c:pt>
                <c:pt idx="431">
                  <c:v>176.58322221466699</c:v>
                </c:pt>
                <c:pt idx="432">
                  <c:v>176.3874444860835</c:v>
                </c:pt>
                <c:pt idx="433">
                  <c:v>176.19188381616809</c:v>
                </c:pt>
                <c:pt idx="434">
                  <c:v>175.99653996426787</c:v>
                </c:pt>
                <c:pt idx="435">
                  <c:v>175.80141268999679</c:v>
                </c:pt>
                <c:pt idx="436">
                  <c:v>175.60650175323536</c:v>
                </c:pt>
                <c:pt idx="437">
                  <c:v>175.4118069141303</c:v>
                </c:pt>
                <c:pt idx="438">
                  <c:v>175.21732793309425</c:v>
                </c:pt>
                <c:pt idx="439">
                  <c:v>175.02306457080553</c:v>
                </c:pt>
                <c:pt idx="440">
                  <c:v>174.82901658820768</c:v>
                </c:pt>
                <c:pt idx="441">
                  <c:v>174.63518374650931</c:v>
                </c:pt>
                <c:pt idx="442">
                  <c:v>174.44156580718388</c:v>
                </c:pt>
                <c:pt idx="443">
                  <c:v>174.24816253196923</c:v>
                </c:pt>
                <c:pt idx="444">
                  <c:v>174.05497368286737</c:v>
                </c:pt>
                <c:pt idx="445">
                  <c:v>173.86199902214418</c:v>
                </c:pt>
                <c:pt idx="446">
                  <c:v>173.66923831232913</c:v>
                </c:pt>
                <c:pt idx="447">
                  <c:v>173.47669131621487</c:v>
                </c:pt>
                <c:pt idx="448">
                  <c:v>173.28435779685722</c:v>
                </c:pt>
                <c:pt idx="449">
                  <c:v>173.0922375175746</c:v>
                </c:pt>
                <c:pt idx="450">
                  <c:v>172.90033024194784</c:v>
                </c:pt>
                <c:pt idx="451">
                  <c:v>172.70863573381988</c:v>
                </c:pt>
                <c:pt idx="452">
                  <c:v>172.51715375729546</c:v>
                </c:pt>
                <c:pt idx="453">
                  <c:v>172.32588407674095</c:v>
                </c:pt>
                <c:pt idx="454">
                  <c:v>172.13482645678388</c:v>
                </c:pt>
                <c:pt idx="455">
                  <c:v>171.94398066231284</c:v>
                </c:pt>
                <c:pt idx="456">
                  <c:v>171.75334645847701</c:v>
                </c:pt>
                <c:pt idx="457">
                  <c:v>171.56292361068591</c:v>
                </c:pt>
                <c:pt idx="458">
                  <c:v>171.37271188460923</c:v>
                </c:pt>
                <c:pt idx="459">
                  <c:v>171.18271104617642</c:v>
                </c:pt>
                <c:pt idx="460">
                  <c:v>170.99292086157647</c:v>
                </c:pt>
                <c:pt idx="461">
                  <c:v>170.80334109725757</c:v>
                </c:pt>
                <c:pt idx="462">
                  <c:v>170.61397151992682</c:v>
                </c:pt>
                <c:pt idx="463">
                  <c:v>170.4248118965501</c:v>
                </c:pt>
                <c:pt idx="464">
                  <c:v>170.23586199435155</c:v>
                </c:pt>
                <c:pt idx="465">
                  <c:v>170.04712158081335</c:v>
                </c:pt>
                <c:pt idx="466">
                  <c:v>169.85859042367557</c:v>
                </c:pt>
                <c:pt idx="467">
                  <c:v>169.67026829093578</c:v>
                </c:pt>
                <c:pt idx="468">
                  <c:v>169.4821549508487</c:v>
                </c:pt>
                <c:pt idx="469">
                  <c:v>169.29235590507164</c:v>
                </c:pt>
                <c:pt idx="470">
                  <c:v>169.1027694107446</c:v>
                </c:pt>
                <c:pt idx="471">
                  <c:v>168.91339522983617</c:v>
                </c:pt>
                <c:pt idx="472">
                  <c:v>168.72423312458162</c:v>
                </c:pt>
                <c:pt idx="473">
                  <c:v>168.53528285748246</c:v>
                </c:pt>
                <c:pt idx="474">
                  <c:v>168.34654419130612</c:v>
                </c:pt>
                <c:pt idx="475">
                  <c:v>168.15801688908581</c:v>
                </c:pt>
                <c:pt idx="476">
                  <c:v>167.96970071412002</c:v>
                </c:pt>
                <c:pt idx="477">
                  <c:v>167.78159542997236</c:v>
                </c:pt>
                <c:pt idx="478">
                  <c:v>167.59370080047117</c:v>
                </c:pt>
                <c:pt idx="479">
                  <c:v>167.40601658970928</c:v>
                </c:pt>
                <c:pt idx="480">
                  <c:v>167.21854256204378</c:v>
                </c:pt>
                <c:pt idx="481">
                  <c:v>167.03127848209562</c:v>
                </c:pt>
                <c:pt idx="482">
                  <c:v>166.8442241147493</c:v>
                </c:pt>
                <c:pt idx="483">
                  <c:v>166.65737922515268</c:v>
                </c:pt>
                <c:pt idx="484">
                  <c:v>166.47074357871657</c:v>
                </c:pt>
                <c:pt idx="485">
                  <c:v>166.28431694111453</c:v>
                </c:pt>
                <c:pt idx="486">
                  <c:v>166.09809907828256</c:v>
                </c:pt>
                <c:pt idx="487">
                  <c:v>165.91208975641868</c:v>
                </c:pt>
                <c:pt idx="488">
                  <c:v>165.72628874198284</c:v>
                </c:pt>
                <c:pt idx="489">
                  <c:v>165.54069580169647</c:v>
                </c:pt>
                <c:pt idx="490">
                  <c:v>165.35531070254228</c:v>
                </c:pt>
                <c:pt idx="491">
                  <c:v>165.17013321176393</c:v>
                </c:pt>
                <c:pt idx="492">
                  <c:v>164.9851630968657</c:v>
                </c:pt>
                <c:pt idx="493">
                  <c:v>164.80040012561227</c:v>
                </c:pt>
                <c:pt idx="494">
                  <c:v>164.61584406602842</c:v>
                </c:pt>
                <c:pt idx="495">
                  <c:v>164.43149468639859</c:v>
                </c:pt>
                <c:pt idx="496">
                  <c:v>164.24735175526686</c:v>
                </c:pt>
                <c:pt idx="497">
                  <c:v>164.06341504143646</c:v>
                </c:pt>
                <c:pt idx="498">
                  <c:v>163.87968431396953</c:v>
                </c:pt>
                <c:pt idx="499">
                  <c:v>163.6961593421868</c:v>
                </c:pt>
                <c:pt idx="500">
                  <c:v>163.51283989566735</c:v>
                </c:pt>
                <c:pt idx="501">
                  <c:v>163.32972574424835</c:v>
                </c:pt>
                <c:pt idx="502">
                  <c:v>163.14681665802468</c:v>
                </c:pt>
                <c:pt idx="503">
                  <c:v>162.96411240734861</c:v>
                </c:pt>
                <c:pt idx="504">
                  <c:v>162.78161276282981</c:v>
                </c:pt>
                <c:pt idx="505">
                  <c:v>162.59931749533459</c:v>
                </c:pt>
                <c:pt idx="506">
                  <c:v>162.41722637598599</c:v>
                </c:pt>
                <c:pt idx="507">
                  <c:v>162.23533917616336</c:v>
                </c:pt>
                <c:pt idx="508">
                  <c:v>162.05365566750208</c:v>
                </c:pt>
                <c:pt idx="509">
                  <c:v>161.87217562189323</c:v>
                </c:pt>
                <c:pt idx="510">
                  <c:v>161.69089881148332</c:v>
                </c:pt>
                <c:pt idx="511">
                  <c:v>161.50982500867414</c:v>
                </c:pt>
                <c:pt idx="512">
                  <c:v>161.32895398612226</c:v>
                </c:pt>
                <c:pt idx="513">
                  <c:v>161.14828551673884</c:v>
                </c:pt>
                <c:pt idx="514">
                  <c:v>160.96781937368942</c:v>
                </c:pt>
                <c:pt idx="515">
                  <c:v>160.78755533039356</c:v>
                </c:pt>
                <c:pt idx="516">
                  <c:v>160.60749316052454</c:v>
                </c:pt>
                <c:pt idx="517">
                  <c:v>160.4276326380091</c:v>
                </c:pt>
                <c:pt idx="518">
                  <c:v>160.24797353702709</c:v>
                </c:pt>
                <c:pt idx="519">
                  <c:v>160.06851563201138</c:v>
                </c:pt>
              </c:numCache>
            </c:numRef>
          </c:val>
          <c:smooth val="0"/>
          <c:extLst>
            <c:ext xmlns:c16="http://schemas.microsoft.com/office/drawing/2014/chart" uri="{C3380CC4-5D6E-409C-BE32-E72D297353CC}">
              <c16:uniqueId val="{00000002-050E-4C76-B86D-B3269E11B822}"/>
            </c:ext>
          </c:extLst>
        </c:ser>
        <c:ser>
          <c:idx val="4"/>
          <c:order val="3"/>
          <c:tx>
            <c:strRef>
              <c:f>Ig!$F$534</c:f>
              <c:strCache>
                <c:ptCount val="1"/>
                <c:pt idx="0">
                  <c:v>Fracture</c:v>
                </c:pt>
              </c:strCache>
            </c:strRef>
          </c:tx>
          <c:spPr>
            <a:ln w="28575" cap="rnd">
              <a:solidFill>
                <a:schemeClr val="accent5"/>
              </a:solidFill>
              <a:round/>
            </a:ln>
            <a:effectLst/>
          </c:spPr>
          <c:marker>
            <c:symbol val="none"/>
          </c:marker>
          <c:cat>
            <c:numRef>
              <c:f>Ig!$B$535:$B$1054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Ig!$F$535:$F$1054</c:f>
              <c:numCache>
                <c:formatCode>#,##0</c:formatCode>
                <c:ptCount val="5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8.8897231892177894E-2</c:v>
                </c:pt>
                <c:pt idx="22">
                  <c:v>0.17588129231779392</c:v>
                </c:pt>
                <c:pt idx="23">
                  <c:v>0.26099732504491308</c:v>
                </c:pt>
                <c:pt idx="24">
                  <c:v>0.34428931289175496</c:v>
                </c:pt>
                <c:pt idx="25">
                  <c:v>0.42580010845727062</c:v>
                </c:pt>
                <c:pt idx="26">
                  <c:v>0.50557146403219377</c:v>
                </c:pt>
                <c:pt idx="27">
                  <c:v>0.58364406071245789</c:v>
                </c:pt>
                <c:pt idx="28">
                  <c:v>0.66005753673629064</c:v>
                </c:pt>
                <c:pt idx="29">
                  <c:v>0.73485051506572019</c:v>
                </c:pt>
                <c:pt idx="30">
                  <c:v>0.80806063023268038</c:v>
                </c:pt>
                <c:pt idx="31">
                  <c:v>0.87972455446935982</c:v>
                </c:pt>
                <c:pt idx="32">
                  <c:v>0.94987802314191416</c:v>
                </c:pt>
                <c:pt idx="33">
                  <c:v>1.0185558595061501</c:v>
                </c:pt>
                <c:pt idx="34">
                  <c:v>1.085791998803294</c:v>
                </c:pt>
                <c:pt idx="35">
                  <c:v>1.1516195117134718</c:v>
                </c:pt>
                <c:pt idx="36">
                  <c:v>1.2160706271840585</c:v>
                </c:pt>
                <c:pt idx="37">
                  <c:v>1.2791767546495918</c:v>
                </c:pt>
                <c:pt idx="38">
                  <c:v>1.3409685056595071</c:v>
                </c:pt>
                <c:pt idx="39">
                  <c:v>1.4014757149295056</c:v>
                </c:pt>
                <c:pt idx="40">
                  <c:v>1.4607274608319545</c:v>
                </c:pt>
                <c:pt idx="41">
                  <c:v>1.5187520853403016</c:v>
                </c:pt>
                <c:pt idx="42">
                  <c:v>1.5755772134420865</c:v>
                </c:pt>
                <c:pt idx="43">
                  <c:v>1.6312297720347411</c:v>
                </c:pt>
                <c:pt idx="44">
                  <c:v>1.6857360083179982</c:v>
                </c:pt>
                <c:pt idx="45">
                  <c:v>1.7391215076963449</c:v>
                </c:pt>
                <c:pt idx="46">
                  <c:v>1.7914112112046141</c:v>
                </c:pt>
                <c:pt idx="47">
                  <c:v>1.8426294324694454</c:v>
                </c:pt>
                <c:pt idx="48">
                  <c:v>1.8927998742190122</c:v>
                </c:pt>
                <c:pt idx="49">
                  <c:v>1.9419456443530798</c:v>
                </c:pt>
                <c:pt idx="50">
                  <c:v>1.9900892715851359</c:v>
                </c:pt>
                <c:pt idx="51">
                  <c:v>2.0372527206680209</c:v>
                </c:pt>
                <c:pt idx="52">
                  <c:v>2.083457407214182</c:v>
                </c:pt>
                <c:pt idx="53">
                  <c:v>2.1287121941504483</c:v>
                </c:pt>
                <c:pt idx="54">
                  <c:v>2.1724026534343523</c:v>
                </c:pt>
                <c:pt idx="55">
                  <c:v>2.2145718495573692</c:v>
                </c:pt>
                <c:pt idx="56">
                  <c:v>2.2552616913870529</c:v>
                </c:pt>
                <c:pt idx="57">
                  <c:v>2.2945129630759156</c:v>
                </c:pt>
                <c:pt idx="58">
                  <c:v>2.3323653541439637</c:v>
                </c:pt>
                <c:pt idx="59">
                  <c:v>2.3688574887569751</c:v>
                </c:pt>
                <c:pt idx="60">
                  <c:v>2.4040269542220227</c:v>
                </c:pt>
                <c:pt idx="61">
                  <c:v>2.4379103287211663</c:v>
                </c:pt>
                <c:pt idx="62">
                  <c:v>2.4705432083036811</c:v>
                </c:pt>
                <c:pt idx="63">
                  <c:v>2.5019602331566442</c:v>
                </c:pt>
                <c:pt idx="64">
                  <c:v>2.532195113173175</c:v>
                </c:pt>
                <c:pt idx="65">
                  <c:v>2.5612806528370973</c:v>
                </c:pt>
                <c:pt idx="66">
                  <c:v>2.5892487754423041</c:v>
                </c:pt>
                <c:pt idx="67">
                  <c:v>2.616130546664611</c:v>
                </c:pt>
                <c:pt idx="68">
                  <c:v>2.641956197503402</c:v>
                </c:pt>
                <c:pt idx="69">
                  <c:v>2.666755146609924</c:v>
                </c:pt>
                <c:pt idx="70">
                  <c:v>2.690556022018622</c:v>
                </c:pt>
                <c:pt idx="71">
                  <c:v>2.7133866822974717</c:v>
                </c:pt>
                <c:pt idx="72">
                  <c:v>2.7352742371328476</c:v>
                </c:pt>
                <c:pt idx="73">
                  <c:v>2.7562450673640404</c:v>
                </c:pt>
                <c:pt idx="74">
                  <c:v>2.7763248444821356</c:v>
                </c:pt>
                <c:pt idx="75">
                  <c:v>2.7955385496075738</c:v>
                </c:pt>
                <c:pt idx="76">
                  <c:v>2.8139104919603302</c:v>
                </c:pt>
                <c:pt idx="77">
                  <c:v>2.8314643268362754</c:v>
                </c:pt>
                <c:pt idx="78">
                  <c:v>2.8482230731029223</c:v>
                </c:pt>
                <c:pt idx="79">
                  <c:v>2.8642091302274042</c:v>
                </c:pt>
                <c:pt idx="80">
                  <c:v>2.8794442948491898</c:v>
                </c:pt>
                <c:pt idx="81">
                  <c:v>2.8939497769097096</c:v>
                </c:pt>
                <c:pt idx="82">
                  <c:v>2.9077462153507327</c:v>
                </c:pt>
                <c:pt idx="83">
                  <c:v>2.9208536933930285</c:v>
                </c:pt>
                <c:pt idx="84">
                  <c:v>2.933291753406531</c:v>
                </c:pt>
                <c:pt idx="85">
                  <c:v>2.9450794113829284</c:v>
                </c:pt>
                <c:pt idx="86">
                  <c:v>2.9562351710213011</c:v>
                </c:pt>
                <c:pt idx="87">
                  <c:v>2.9667770374371627</c:v>
                </c:pt>
                <c:pt idx="88">
                  <c:v>2.9767225305049614</c:v>
                </c:pt>
                <c:pt idx="89">
                  <c:v>2.9860886978438463</c:v>
                </c:pt>
                <c:pt idx="90">
                  <c:v>2.994892127456235</c:v>
                </c:pt>
                <c:pt idx="91">
                  <c:v>3.0031489600284647</c:v>
                </c:pt>
                <c:pt idx="92">
                  <c:v>3.0108749009025573</c:v>
                </c:pt>
                <c:pt idx="93">
                  <c:v>3.0180852317278948</c:v>
                </c:pt>
                <c:pt idx="94">
                  <c:v>3.0247948218013607</c:v>
                </c:pt>
                <c:pt idx="95">
                  <c:v>3.0310181391042752</c:v>
                </c:pt>
                <c:pt idx="96">
                  <c:v>3.0367692610442307</c:v>
                </c:pt>
                <c:pt idx="97">
                  <c:v>3.0420618849097165</c:v>
                </c:pt>
                <c:pt idx="98">
                  <c:v>3.0469093380452117</c:v>
                </c:pt>
                <c:pt idx="99">
                  <c:v>3.0513245877542183</c:v>
                </c:pt>
                <c:pt idx="100">
                  <c:v>3.0553202509375073</c:v>
                </c:pt>
                <c:pt idx="101">
                  <c:v>3.0589086034736588</c:v>
                </c:pt>
                <c:pt idx="102">
                  <c:v>3.0621015893487815</c:v>
                </c:pt>
                <c:pt idx="103">
                  <c:v>3.0649108295421237</c:v>
                </c:pt>
                <c:pt idx="104">
                  <c:v>3.0673476306740928</c:v>
                </c:pt>
                <c:pt idx="105">
                  <c:v>3.0694038517455846</c:v>
                </c:pt>
                <c:pt idx="106">
                  <c:v>3.0711093230874686</c:v>
                </c:pt>
                <c:pt idx="107">
                  <c:v>3.07247446397766</c:v>
                </c:pt>
                <c:pt idx="108">
                  <c:v>3.0735094114298187</c:v>
                </c:pt>
                <c:pt idx="109">
                  <c:v>3.0742240277537656</c:v>
                </c:pt>
                <c:pt idx="110">
                  <c:v>3.0746279079136984</c:v>
                </c:pt>
                <c:pt idx="111">
                  <c:v>3.074730386689601</c:v>
                </c:pt>
                <c:pt idx="112">
                  <c:v>3.0745405456471255</c:v>
                </c:pt>
                <c:pt idx="113">
                  <c:v>3.0740672199210546</c:v>
                </c:pt>
                <c:pt idx="114">
                  <c:v>3.0733190048173356</c:v>
                </c:pt>
                <c:pt idx="115">
                  <c:v>3.072304262238537</c:v>
                </c:pt>
                <c:pt idx="116">
                  <c:v>3.0710311269374477</c:v>
                </c:pt>
                <c:pt idx="117">
                  <c:v>3.0695075126034164</c:v>
                </c:pt>
                <c:pt idx="118">
                  <c:v>3.0677411177859026</c:v>
                </c:pt>
                <c:pt idx="119">
                  <c:v>3.0657394316595901</c:v>
                </c:pt>
                <c:pt idx="120">
                  <c:v>3.0635097396353053</c:v>
                </c:pt>
                <c:pt idx="121">
                  <c:v>3.0610591288208582</c:v>
                </c:pt>
                <c:pt idx="122">
                  <c:v>3.0583944933358183</c:v>
                </c:pt>
                <c:pt idx="123">
                  <c:v>3.0555225394841417</c:v>
                </c:pt>
                <c:pt idx="124">
                  <c:v>3.0524497907884331</c:v>
                </c:pt>
                <c:pt idx="125">
                  <c:v>3.0491825928895602</c:v>
                </c:pt>
                <c:pt idx="126">
                  <c:v>3.045727118315209</c:v>
                </c:pt>
                <c:pt idx="127">
                  <c:v>3.0420893711208894</c:v>
                </c:pt>
                <c:pt idx="128">
                  <c:v>3.038275191406802</c:v>
                </c:pt>
                <c:pt idx="129">
                  <c:v>3.0342902597138841</c:v>
                </c:pt>
                <c:pt idx="130">
                  <c:v>3.0301401013022682</c:v>
                </c:pt>
                <c:pt idx="131">
                  <c:v>3.0258300903152917</c:v>
                </c:pt>
                <c:pt idx="132">
                  <c:v>3.021365453832126</c:v>
                </c:pt>
                <c:pt idx="133">
                  <c:v>3.0167512758119965</c:v>
                </c:pt>
                <c:pt idx="134">
                  <c:v>3.0119925009328989</c:v>
                </c:pt>
                <c:pt idx="135">
                  <c:v>3.0070939383276252</c:v>
                </c:pt>
                <c:pt idx="136">
                  <c:v>3.0020602652198534</c:v>
                </c:pt>
                <c:pt idx="137">
                  <c:v>2.9968960304629673</c:v>
                </c:pt>
                <c:pt idx="138">
                  <c:v>2.9916056579842114</c:v>
                </c:pt>
                <c:pt idx="139">
                  <c:v>2.9861934501367093</c:v>
                </c:pt>
                <c:pt idx="140">
                  <c:v>2.9806635909618122</c:v>
                </c:pt>
                <c:pt idx="141">
                  <c:v>2.9750201493641724</c:v>
                </c:pt>
                <c:pt idx="142">
                  <c:v>2.9692670822018785</c:v>
                </c:pt>
                <c:pt idx="143">
                  <c:v>2.9634082372939221</c:v>
                </c:pt>
                <c:pt idx="144">
                  <c:v>2.9574473563472061</c:v>
                </c:pt>
                <c:pt idx="145">
                  <c:v>2.9513880778052468</c:v>
                </c:pt>
                <c:pt idx="146">
                  <c:v>2.9452339396206662</c:v>
                </c:pt>
                <c:pt idx="147">
                  <c:v>2.9389883819535063</c:v>
                </c:pt>
                <c:pt idx="148">
                  <c:v>2.9326547497973552</c:v>
                </c:pt>
                <c:pt idx="149">
                  <c:v>2.9262362955352144</c:v>
                </c:pt>
                <c:pt idx="150">
                  <c:v>2.9197361814269809</c:v>
                </c:pt>
                <c:pt idx="151">
                  <c:v>2.9131574820303796</c:v>
                </c:pt>
                <c:pt idx="152">
                  <c:v>2.9065031865571216</c:v>
                </c:pt>
                <c:pt idx="153">
                  <c:v>2.8997762011660222</c:v>
                </c:pt>
                <c:pt idx="154">
                  <c:v>2.8929793511947626</c:v>
                </c:pt>
                <c:pt idx="155">
                  <c:v>2.886115383331938</c:v>
                </c:pt>
                <c:pt idx="156">
                  <c:v>2.8791869677309889</c:v>
                </c:pt>
                <c:pt idx="157">
                  <c:v>2.872176540456743</c:v>
                </c:pt>
                <c:pt idx="158">
                  <c:v>2.8651068901337382</c:v>
                </c:pt>
                <c:pt idx="159">
                  <c:v>2.8579804704053324</c:v>
                </c:pt>
                <c:pt idx="160">
                  <c:v>2.8507996662241006</c:v>
                </c:pt>
                <c:pt idx="161">
                  <c:v>2.8435667956998487</c:v>
                </c:pt>
                <c:pt idx="162">
                  <c:v>2.8362841118981654</c:v>
                </c:pt>
                <c:pt idx="163">
                  <c:v>2.8289538045908307</c:v>
                </c:pt>
                <c:pt idx="164">
                  <c:v>2.8215780019593688</c:v>
                </c:pt>
                <c:pt idx="165">
                  <c:v>2.8141587722530024</c:v>
                </c:pt>
                <c:pt idx="166">
                  <c:v>2.8066981254022236</c:v>
                </c:pt>
                <c:pt idx="167">
                  <c:v>2.7991980145891717</c:v>
                </c:pt>
                <c:pt idx="168">
                  <c:v>2.7916603377759701</c:v>
                </c:pt>
                <c:pt idx="169">
                  <c:v>2.7840869391921532</c:v>
                </c:pt>
                <c:pt idx="170">
                  <c:v>2.7764796107822689</c:v>
                </c:pt>
                <c:pt idx="171">
                  <c:v>2.7688400936147293</c:v>
                </c:pt>
                <c:pt idx="172">
                  <c:v>2.7611700792529423</c:v>
                </c:pt>
                <c:pt idx="173">
                  <c:v>2.7534712110897348</c:v>
                </c:pt>
                <c:pt idx="174">
                  <c:v>2.7457450856460484</c:v>
                </c:pt>
                <c:pt idx="175">
                  <c:v>2.737993253834861</c:v>
                </c:pt>
                <c:pt idx="176">
                  <c:v>2.7302172221912744</c:v>
                </c:pt>
                <c:pt idx="177">
                  <c:v>2.7224184540696577</c:v>
                </c:pt>
                <c:pt idx="178">
                  <c:v>2.7145983708087393</c:v>
                </c:pt>
                <c:pt idx="179">
                  <c:v>2.7067583528655019</c:v>
                </c:pt>
                <c:pt idx="180">
                  <c:v>2.6988997409187152</c:v>
                </c:pt>
                <c:pt idx="181">
                  <c:v>2.691023836942914</c:v>
                </c:pt>
                <c:pt idx="182">
                  <c:v>2.68313190525362</c:v>
                </c:pt>
                <c:pt idx="183">
                  <c:v>2.6752251735245696</c:v>
                </c:pt>
                <c:pt idx="184">
                  <c:v>2.667304833777703</c:v>
                </c:pt>
                <c:pt idx="185">
                  <c:v>2.6593720433466368</c:v>
                </c:pt>
                <c:pt idx="186">
                  <c:v>2.6514279258143332</c:v>
                </c:pt>
                <c:pt idx="187">
                  <c:v>2.6434735719256568</c:v>
                </c:pt>
                <c:pt idx="188">
                  <c:v>2.635510040475487</c:v>
                </c:pt>
                <c:pt idx="189">
                  <c:v>2.6275383591730441</c:v>
                </c:pt>
                <c:pt idx="190">
                  <c:v>2.6195595254830639</c:v>
                </c:pt>
                <c:pt idx="191">
                  <c:v>2.6115745074444363</c:v>
                </c:pt>
                <c:pt idx="192">
                  <c:v>2.6035842444669175</c:v>
                </c:pt>
                <c:pt idx="193">
                  <c:v>2.5955896481065013</c:v>
                </c:pt>
                <c:pt idx="194">
                  <c:v>2.5875916028200106</c:v>
                </c:pt>
                <c:pt idx="195">
                  <c:v>2.5795909666994805</c:v>
                </c:pt>
                <c:pt idx="196">
                  <c:v>2.5715885721868608</c:v>
                </c:pt>
                <c:pt idx="197">
                  <c:v>2.5635852267695718</c:v>
                </c:pt>
                <c:pt idx="198">
                  <c:v>2.5555817136574235</c:v>
                </c:pt>
                <c:pt idx="199">
                  <c:v>2.5475787924413922</c:v>
                </c:pt>
                <c:pt idx="200">
                  <c:v>2.5395771997347505</c:v>
                </c:pt>
                <c:pt idx="201">
                  <c:v>2.5315776497970104</c:v>
                </c:pt>
                <c:pt idx="202">
                  <c:v>2.5235808351411499</c:v>
                </c:pt>
                <c:pt idx="203">
                  <c:v>2.5155874271245624</c:v>
                </c:pt>
                <c:pt idx="204">
                  <c:v>2.5075980765241703</c:v>
                </c:pt>
                <c:pt idx="205">
                  <c:v>2.499613414096121</c:v>
                </c:pt>
                <c:pt idx="206">
                  <c:v>2.4916340511204846</c:v>
                </c:pt>
                <c:pt idx="207">
                  <c:v>2.4836605799313447</c:v>
                </c:pt>
                <c:pt idx="208">
                  <c:v>2.4756935744326856</c:v>
                </c:pt>
                <c:pt idx="209">
                  <c:v>2.4677153039903805</c:v>
                </c:pt>
                <c:pt idx="210">
                  <c:v>2.4597447176542295</c:v>
                </c:pt>
                <c:pt idx="211">
                  <c:v>2.4517823366160059</c:v>
                </c:pt>
                <c:pt idx="212">
                  <c:v>2.4438286655568637</c:v>
                </c:pt>
                <c:pt idx="213">
                  <c:v>2.4358841930981185</c:v>
                </c:pt>
                <c:pt idx="214">
                  <c:v>2.4279493922399364</c:v>
                </c:pt>
                <c:pt idx="215">
                  <c:v>2.420024720788255</c:v>
                </c:pt>
                <c:pt idx="216">
                  <c:v>2.4121106217702497</c:v>
                </c:pt>
                <c:pt idx="217">
                  <c:v>2.4042075238386551</c:v>
                </c:pt>
                <c:pt idx="218">
                  <c:v>2.3963158416652366</c:v>
                </c:pt>
                <c:pt idx="219">
                  <c:v>2.3884359763237049</c:v>
                </c:pt>
                <c:pt idx="220">
                  <c:v>2.3805683156623521</c:v>
                </c:pt>
                <c:pt idx="221">
                  <c:v>2.3727132346666919</c:v>
                </c:pt>
                <c:pt idx="222">
                  <c:v>2.3648710958123638</c:v>
                </c:pt>
                <c:pt idx="223">
                  <c:v>2.3570422494085634</c:v>
                </c:pt>
                <c:pt idx="224">
                  <c:v>2.3492270339322596</c:v>
                </c:pt>
                <c:pt idx="225">
                  <c:v>2.3414257763534319</c:v>
                </c:pt>
                <c:pt idx="226">
                  <c:v>2.3336387924515836</c:v>
                </c:pt>
                <c:pt idx="227">
                  <c:v>2.3258663871237504</c:v>
                </c:pt>
                <c:pt idx="228">
                  <c:v>2.3181088546842417</c:v>
                </c:pt>
                <c:pt idx="229">
                  <c:v>2.3103664791563321</c:v>
                </c:pt>
                <c:pt idx="230">
                  <c:v>2.3026395345561164</c:v>
                </c:pt>
                <c:pt idx="231">
                  <c:v>2.2949282851687456</c:v>
                </c:pt>
                <c:pt idx="232">
                  <c:v>2.2872329858172358</c:v>
                </c:pt>
                <c:pt idx="233">
                  <c:v>2.2795538821240613</c:v>
                </c:pt>
                <c:pt idx="234">
                  <c:v>2.2718912107657165</c:v>
                </c:pt>
                <c:pt idx="235">
                  <c:v>2.2642451997204405</c:v>
                </c:pt>
                <c:pt idx="236">
                  <c:v>2.2566160685092775</c:v>
                </c:pt>
                <c:pt idx="237">
                  <c:v>2.24900402843067</c:v>
                </c:pt>
                <c:pt idx="238">
                  <c:v>2.2414092827887355</c:v>
                </c:pt>
                <c:pt idx="239">
                  <c:v>2.2338320271154131</c:v>
                </c:pt>
                <c:pt idx="240">
                  <c:v>2.2262724493866348</c:v>
                </c:pt>
                <c:pt idx="241">
                  <c:v>2.2187307302326866</c:v>
                </c:pt>
                <c:pt idx="242">
                  <c:v>2.2112070431429109</c:v>
                </c:pt>
                <c:pt idx="243">
                  <c:v>2.2037015546649048</c:v>
                </c:pt>
                <c:pt idx="244">
                  <c:v>2.1962144245983595</c:v>
                </c:pt>
                <c:pt idx="245">
                  <c:v>2.1887458061836846</c:v>
                </c:pt>
                <c:pt idx="246">
                  <c:v>2.1812958462855598</c:v>
                </c:pt>
                <c:pt idx="247">
                  <c:v>2.1738646855715458</c:v>
                </c:pt>
                <c:pt idx="248">
                  <c:v>2.1664524586858871</c:v>
                </c:pt>
                <c:pt idx="249">
                  <c:v>2.1590592944186406</c:v>
                </c:pt>
                <c:pt idx="250">
                  <c:v>2.1516853158702474</c:v>
                </c:pt>
                <c:pt idx="251">
                  <c:v>2.144330640611674</c:v>
                </c:pt>
                <c:pt idx="252">
                  <c:v>2.1369953808402453</c:v>
                </c:pt>
                <c:pt idx="253">
                  <c:v>2.1296796435312753</c:v>
                </c:pt>
                <c:pt idx="254">
                  <c:v>2.1223835305856165</c:v>
                </c:pt>
                <c:pt idx="255">
                  <c:v>2.115107138973233</c:v>
                </c:pt>
                <c:pt idx="256">
                  <c:v>2.1078505608729063</c:v>
                </c:pt>
                <c:pt idx="257">
                  <c:v>2.1006138838081747</c:v>
                </c:pt>
                <c:pt idx="258">
                  <c:v>2.0933971907796076</c:v>
                </c:pt>
                <c:pt idx="259">
                  <c:v>2.0862005603935172</c:v>
                </c:pt>
                <c:pt idx="260">
                  <c:v>2.0790240669871944</c:v>
                </c:pt>
                <c:pt idx="261">
                  <c:v>2.0719707681713837</c:v>
                </c:pt>
                <c:pt idx="262">
                  <c:v>2.0650536623123883</c:v>
                </c:pt>
                <c:pt idx="263">
                  <c:v>2.0582691616003235</c:v>
                </c:pt>
                <c:pt idx="264">
                  <c:v>2.0516137741775426</c:v>
                </c:pt>
                <c:pt idx="265">
                  <c:v>2.045084101570918</c:v>
                </c:pt>
                <c:pt idx="266">
                  <c:v>2.0386768361928307</c:v>
                </c:pt>
                <c:pt idx="267">
                  <c:v>2.0323887589090428</c:v>
                </c:pt>
                <c:pt idx="268">
                  <c:v>2.0262167366716533</c:v>
                </c:pt>
                <c:pt idx="269">
                  <c:v>2.0201577202153982</c:v>
                </c:pt>
                <c:pt idx="270">
                  <c:v>2.0142087418156014</c:v>
                </c:pt>
                <c:pt idx="271">
                  <c:v>2.0083669131061228</c:v>
                </c:pt>
                <c:pt idx="272">
                  <c:v>2.0026294229557053</c:v>
                </c:pt>
                <c:pt idx="273">
                  <c:v>1.9969935354011468</c:v>
                </c:pt>
                <c:pt idx="274">
                  <c:v>1.9914565876357886</c:v>
                </c:pt>
                <c:pt idx="275">
                  <c:v>1.9860159880518293</c:v>
                </c:pt>
                <c:pt idx="276">
                  <c:v>1.9806692143350311</c:v>
                </c:pt>
                <c:pt idx="277">
                  <c:v>1.975413811610413</c:v>
                </c:pt>
                <c:pt idx="278">
                  <c:v>1.9702473906375679</c:v>
                </c:pt>
                <c:pt idx="279">
                  <c:v>1.9651676260542741</c:v>
                </c:pt>
                <c:pt idx="280">
                  <c:v>1.9601722546671096</c:v>
                </c:pt>
                <c:pt idx="281">
                  <c:v>1.9552590737878126</c:v>
                </c:pt>
                <c:pt idx="282">
                  <c:v>1.950425939614161</c:v>
                </c:pt>
                <c:pt idx="283">
                  <c:v>1.9456707656541821</c:v>
                </c:pt>
                <c:pt idx="284">
                  <c:v>1.940991521192533</c:v>
                </c:pt>
                <c:pt idx="285">
                  <c:v>1.9363862297979211</c:v>
                </c:pt>
                <c:pt idx="286">
                  <c:v>1.9318529678704677</c:v>
                </c:pt>
                <c:pt idx="287">
                  <c:v>1.9273898632279458</c:v>
                </c:pt>
                <c:pt idx="288">
                  <c:v>1.922995093729853</c:v>
                </c:pt>
                <c:pt idx="289">
                  <c:v>1.9186668859383031</c:v>
                </c:pt>
                <c:pt idx="290">
                  <c:v>1.9144035138147557</c:v>
                </c:pt>
                <c:pt idx="291">
                  <c:v>1.9102032974516219</c:v>
                </c:pt>
                <c:pt idx="292">
                  <c:v>1.906064601837814</c:v>
                </c:pt>
                <c:pt idx="293">
                  <c:v>1.9019858356573298</c:v>
                </c:pt>
                <c:pt idx="294">
                  <c:v>1.8979654501199883</c:v>
                </c:pt>
                <c:pt idx="295">
                  <c:v>1.8940019378234556</c:v>
                </c:pt>
                <c:pt idx="296">
                  <c:v>1.8900938316457263</c:v>
                </c:pt>
                <c:pt idx="297">
                  <c:v>1.8862397036672398</c:v>
                </c:pt>
                <c:pt idx="298">
                  <c:v>1.8824381641218451</c:v>
                </c:pt>
                <c:pt idx="299">
                  <c:v>1.878687860375837</c:v>
                </c:pt>
                <c:pt idx="300">
                  <c:v>1.8749874759343148</c:v>
                </c:pt>
                <c:pt idx="301">
                  <c:v>1.8713357294741326</c:v>
                </c:pt>
                <c:pt idx="302">
                  <c:v>1.8677313739027275</c:v>
                </c:pt>
                <c:pt idx="303">
                  <c:v>1.8641731954421352</c:v>
                </c:pt>
                <c:pt idx="304">
                  <c:v>1.860660012737519</c:v>
                </c:pt>
                <c:pt idx="305">
                  <c:v>1.8571906759895545</c:v>
                </c:pt>
                <c:pt idx="306">
                  <c:v>1.8537640661100321</c:v>
                </c:pt>
                <c:pt idx="307">
                  <c:v>1.8503790939000588</c:v>
                </c:pt>
                <c:pt idx="308">
                  <c:v>1.8470346992502493</c:v>
                </c:pt>
                <c:pt idx="309">
                  <c:v>1.8437298503623225</c:v>
                </c:pt>
                <c:pt idx="310">
                  <c:v>1.8404635429915284</c:v>
                </c:pt>
                <c:pt idx="311">
                  <c:v>1.8372347997093486</c:v>
                </c:pt>
                <c:pt idx="312">
                  <c:v>1.8340426691859271</c:v>
                </c:pt>
                <c:pt idx="313">
                  <c:v>1.8308710461295332</c:v>
                </c:pt>
                <c:pt idx="314">
                  <c:v>1.8277342658062787</c:v>
                </c:pt>
                <c:pt idx="315">
                  <c:v>1.8246314500709768</c:v>
                </c:pt>
                <c:pt idx="316">
                  <c:v>1.8215617442261853</c:v>
                </c:pt>
                <c:pt idx="317">
                  <c:v>1.818524316394595</c:v>
                </c:pt>
                <c:pt idx="318">
                  <c:v>1.8155183569082185</c:v>
                </c:pt>
                <c:pt idx="319">
                  <c:v>1.8125430777139289</c:v>
                </c:pt>
                <c:pt idx="320">
                  <c:v>1.8095977117949131</c:v>
                </c:pt>
                <c:pt idx="321">
                  <c:v>1.8066815126076115</c:v>
                </c:pt>
                <c:pt idx="322">
                  <c:v>1.8037937535337294</c:v>
                </c:pt>
                <c:pt idx="323">
                  <c:v>1.8009337273469199</c:v>
                </c:pt>
                <c:pt idx="324">
                  <c:v>1.7981007456937412</c:v>
                </c:pt>
                <c:pt idx="325">
                  <c:v>1.7952941385885079</c:v>
                </c:pt>
                <c:pt idx="326">
                  <c:v>1.7925132539216662</c:v>
                </c:pt>
                <c:pt idx="327">
                  <c:v>1.7897574569813288</c:v>
                </c:pt>
                <c:pt idx="328">
                  <c:v>1.787026129987618</c:v>
                </c:pt>
                <c:pt idx="329">
                  <c:v>1.784318671639473</c:v>
                </c:pt>
                <c:pt idx="330">
                  <c:v>1.7816344966735898</c:v>
                </c:pt>
                <c:pt idx="331">
                  <c:v>1.7789730354351674</c:v>
                </c:pt>
                <c:pt idx="332">
                  <c:v>1.7763337334601448</c:v>
                </c:pt>
                <c:pt idx="333">
                  <c:v>1.7737160510686218</c:v>
                </c:pt>
                <c:pt idx="334">
                  <c:v>1.7711194629691618</c:v>
                </c:pt>
                <c:pt idx="335">
                  <c:v>1.7685434578736881</c:v>
                </c:pt>
                <c:pt idx="336">
                  <c:v>1.7659875381226899</c:v>
                </c:pt>
                <c:pt idx="337">
                  <c:v>1.7634512193204597</c:v>
                </c:pt>
                <c:pt idx="338">
                  <c:v>1.7609340299800953</c:v>
                </c:pt>
                <c:pt idx="339">
                  <c:v>1.7584355111780052</c:v>
                </c:pt>
                <c:pt idx="340">
                  <c:v>1.755955216217663</c:v>
                </c:pt>
                <c:pt idx="341">
                  <c:v>1.7534927103023605</c:v>
                </c:pt>
                <c:pt idx="342">
                  <c:v>1.7510475702167247</c:v>
                </c:pt>
                <c:pt idx="343">
                  <c:v>1.7486193840167559</c:v>
                </c:pt>
                <c:pt idx="344">
                  <c:v>1.7462077507281659</c:v>
                </c:pt>
                <c:pt idx="345">
                  <c:v>1.743812280052792</c:v>
                </c:pt>
                <c:pt idx="346">
                  <c:v>1.7414325920828668</c:v>
                </c:pt>
                <c:pt idx="347">
                  <c:v>1.7390683170229397</c:v>
                </c:pt>
                <c:pt idx="348">
                  <c:v>1.7367190949192415</c:v>
                </c:pt>
                <c:pt idx="349">
                  <c:v>1.7343845753962921</c:v>
                </c:pt>
                <c:pt idx="350">
                  <c:v>1.7320644174005608</c:v>
                </c:pt>
                <c:pt idx="351">
                  <c:v>1.7297582889509884</c:v>
                </c:pt>
                <c:pt idx="352">
                  <c:v>1.7274658668961864</c:v>
                </c:pt>
                <c:pt idx="353">
                  <c:v>1.7251868366781358</c:v>
                </c:pt>
                <c:pt idx="354">
                  <c:v>1.7229208921022132</c:v>
                </c:pt>
                <c:pt idx="355">
                  <c:v>1.720667735113371</c:v>
                </c:pt>
                <c:pt idx="356">
                  <c:v>1.7184270755783095</c:v>
                </c:pt>
                <c:pt idx="357">
                  <c:v>1.7161986310734814</c:v>
                </c:pt>
                <c:pt idx="358">
                  <c:v>1.7139821266787685</c:v>
                </c:pt>
                <c:pt idx="359">
                  <c:v>1.7117772947766847</c:v>
                </c:pt>
                <c:pt idx="360">
                  <c:v>1.7095838748569514</c:v>
                </c:pt>
                <c:pt idx="361">
                  <c:v>1.707401613326305</c:v>
                </c:pt>
                <c:pt idx="362">
                  <c:v>1.7052302633233969</c:v>
                </c:pt>
                <c:pt idx="363">
                  <c:v>1.7030695845386461</c:v>
                </c:pt>
                <c:pt idx="364">
                  <c:v>1.7009193430389162</c:v>
                </c:pt>
                <c:pt idx="365">
                  <c:v>1.6987640571246618</c:v>
                </c:pt>
                <c:pt idx="366">
                  <c:v>1.6966188028152023</c:v>
                </c:pt>
                <c:pt idx="367">
                  <c:v>1.6944833638824457</c:v>
                </c:pt>
                <c:pt idx="368">
                  <c:v>1.6923575298308602</c:v>
                </c:pt>
                <c:pt idx="369">
                  <c:v>1.690241095744031</c:v>
                </c:pt>
                <c:pt idx="370">
                  <c:v>1.6881338621353266</c:v>
                </c:pt>
                <c:pt idx="371">
                  <c:v>1.6860356348025631</c:v>
                </c:pt>
                <c:pt idx="372">
                  <c:v>1.6839462246865613</c:v>
                </c:pt>
                <c:pt idx="373">
                  <c:v>1.68186544773349</c:v>
                </c:pt>
                <c:pt idx="374">
                  <c:v>1.6797931247608973</c:v>
                </c:pt>
                <c:pt idx="375">
                  <c:v>1.6777290813273271</c:v>
                </c:pt>
                <c:pt idx="376">
                  <c:v>1.6756731476054278</c:v>
                </c:pt>
                <c:pt idx="377">
                  <c:v>1.6736251582584598</c:v>
                </c:pt>
                <c:pt idx="378">
                  <c:v>1.6715849523201083</c:v>
                </c:pt>
                <c:pt idx="379">
                  <c:v>1.6695523730775148</c:v>
                </c:pt>
                <c:pt idx="380">
                  <c:v>1.6675272679574413</c:v>
                </c:pt>
                <c:pt idx="381">
                  <c:v>1.6655094884154822</c:v>
                </c:pt>
                <c:pt idx="382">
                  <c:v>1.6634988898282428</c:v>
                </c:pt>
                <c:pt idx="383">
                  <c:v>1.6614953313884051</c:v>
                </c:pt>
                <c:pt idx="384">
                  <c:v>1.659498676002604</c:v>
                </c:pt>
                <c:pt idx="385">
                  <c:v>1.6575087901920369</c:v>
                </c:pt>
                <c:pt idx="386">
                  <c:v>1.6555255439957353</c:v>
                </c:pt>
                <c:pt idx="387">
                  <c:v>1.6535488108764269</c:v>
                </c:pt>
                <c:pt idx="388">
                  <c:v>1.6515784676289182</c:v>
                </c:pt>
                <c:pt idx="389">
                  <c:v>1.6496143942909298</c:v>
                </c:pt>
                <c:pt idx="390">
                  <c:v>1.6476564740563198</c:v>
                </c:pt>
                <c:pt idx="391">
                  <c:v>1.6457045931906313</c:v>
                </c:pt>
                <c:pt idx="392">
                  <c:v>1.6437586409489005</c:v>
                </c:pt>
                <c:pt idx="393">
                  <c:v>1.6418185094956654</c:v>
                </c:pt>
                <c:pt idx="394">
                  <c:v>1.6398840938271178</c:v>
                </c:pt>
                <c:pt idx="395">
                  <c:v>1.6379552916953379</c:v>
                </c:pt>
                <c:pt idx="396">
                  <c:v>1.6360320035345606</c:v>
                </c:pt>
                <c:pt idx="397">
                  <c:v>1.6341141323894117</c:v>
                </c:pt>
                <c:pt idx="398">
                  <c:v>1.6322015838450712</c:v>
                </c:pt>
                <c:pt idx="399">
                  <c:v>1.6302942659593016</c:v>
                </c:pt>
                <c:pt idx="400">
                  <c:v>1.6283920891962991</c:v>
                </c:pt>
                <c:pt idx="401">
                  <c:v>1.6264949663623161</c:v>
                </c:pt>
                <c:pt idx="402">
                  <c:v>1.6246028125430054</c:v>
                </c:pt>
                <c:pt idx="403">
                  <c:v>1.6227155450424458</c:v>
                </c:pt>
                <c:pt idx="404">
                  <c:v>1.6208330833237952</c:v>
                </c:pt>
                <c:pt idx="405">
                  <c:v>1.6189553489515383</c:v>
                </c:pt>
                <c:pt idx="406">
                  <c:v>1.6170822655352768</c:v>
                </c:pt>
                <c:pt idx="407">
                  <c:v>1.6152137586750264</c:v>
                </c:pt>
                <c:pt idx="408">
                  <c:v>1.6133497559079788</c:v>
                </c:pt>
                <c:pt idx="409">
                  <c:v>1.6114901866566882</c:v>
                </c:pt>
                <c:pt idx="410">
                  <c:v>1.6096349821786458</c:v>
                </c:pt>
                <c:pt idx="411">
                  <c:v>1.6077840755172037</c:v>
                </c:pt>
                <c:pt idx="412">
                  <c:v>1.6059374014538155</c:v>
                </c:pt>
                <c:pt idx="413">
                  <c:v>1.6040948964615518</c:v>
                </c:pt>
                <c:pt idx="414">
                  <c:v>1.6022564986598633</c:v>
                </c:pt>
                <c:pt idx="415">
                  <c:v>1.6004221477705551</c:v>
                </c:pt>
                <c:pt idx="416">
                  <c:v>1.5985917850749376</c:v>
                </c:pt>
                <c:pt idx="417">
                  <c:v>1.5967494415215964</c:v>
                </c:pt>
                <c:pt idx="418">
                  <c:v>1.5949110153228043</c:v>
                </c:pt>
                <c:pt idx="419">
                  <c:v>1.5930764519153218</c:v>
                </c:pt>
                <c:pt idx="420">
                  <c:v>1.5912456981416798</c:v>
                </c:pt>
                <c:pt idx="421">
                  <c:v>1.589418702212585</c:v>
                </c:pt>
                <c:pt idx="422">
                  <c:v>1.5875954136703299</c:v>
                </c:pt>
                <c:pt idx="423">
                  <c:v>1.5857757833531858</c:v>
                </c:pt>
                <c:pt idx="424">
                  <c:v>1.5839597633607483</c:v>
                </c:pt>
                <c:pt idx="425">
                  <c:v>1.5821473070202112</c:v>
                </c:pt>
                <c:pt idx="426">
                  <c:v>1.5803383688535426</c:v>
                </c:pt>
                <c:pt idx="427">
                  <c:v>1.5785329045455421</c:v>
                </c:pt>
                <c:pt idx="428">
                  <c:v>1.576730870912753</c:v>
                </c:pt>
                <c:pt idx="429">
                  <c:v>1.5749322258732061</c:v>
                </c:pt>
                <c:pt idx="430">
                  <c:v>1.5731369284169756</c:v>
                </c:pt>
                <c:pt idx="431">
                  <c:v>1.5713449385775224</c:v>
                </c:pt>
                <c:pt idx="432">
                  <c:v>1.5695562174038051</c:v>
                </c:pt>
                <c:pt idx="433">
                  <c:v>1.5677707269331391</c:v>
                </c:pt>
                <c:pt idx="434">
                  <c:v>1.5659884301647815</c:v>
                </c:pt>
                <c:pt idx="435">
                  <c:v>1.5642092910342238</c:v>
                </c:pt>
                <c:pt idx="436">
                  <c:v>1.5624332743881737</c:v>
                </c:pt>
                <c:pt idx="437">
                  <c:v>1.5606603459602062</c:v>
                </c:pt>
                <c:pt idx="438">
                  <c:v>1.5588904723470673</c:v>
                </c:pt>
                <c:pt idx="439">
                  <c:v>1.5571236209856132</c:v>
                </c:pt>
                <c:pt idx="440">
                  <c:v>1.555359760130365</c:v>
                </c:pt>
                <c:pt idx="441">
                  <c:v>1.5535988588316674</c:v>
                </c:pt>
                <c:pt idx="442">
                  <c:v>1.55184088691443</c:v>
                </c:pt>
                <c:pt idx="443">
                  <c:v>1.550085814957439</c:v>
                </c:pt>
                <c:pt idx="444">
                  <c:v>1.5483336142732238</c:v>
                </c:pt>
                <c:pt idx="445">
                  <c:v>1.5465842568884611</c:v>
                </c:pt>
                <c:pt idx="446">
                  <c:v>1.5448377155249053</c:v>
                </c:pt>
                <c:pt idx="447">
                  <c:v>1.5430939635808296</c:v>
                </c:pt>
                <c:pt idx="448">
                  <c:v>1.5413529751129624</c:v>
                </c:pt>
                <c:pt idx="449">
                  <c:v>1.5396147248189107</c:v>
                </c:pt>
                <c:pt idx="450">
                  <c:v>1.5378791880200511</c:v>
                </c:pt>
                <c:pt idx="451">
                  <c:v>1.5361463406448808</c:v>
                </c:pt>
                <c:pt idx="452">
                  <c:v>1.5344161592128138</c:v>
                </c:pt>
                <c:pt idx="453">
                  <c:v>1.5326886208184123</c:v>
                </c:pt>
                <c:pt idx="454">
                  <c:v>1.5309637031160388</c:v>
                </c:pt>
                <c:pt idx="455">
                  <c:v>1.52924138430492</c:v>
                </c:pt>
                <c:pt idx="456">
                  <c:v>1.5275216431146108</c:v>
                </c:pt>
                <c:pt idx="457">
                  <c:v>1.5258044587908484</c:v>
                </c:pt>
                <c:pt idx="458">
                  <c:v>1.5240898110817827</c:v>
                </c:pt>
                <c:pt idx="459">
                  <c:v>1.522377680224579</c:v>
                </c:pt>
                <c:pt idx="460">
                  <c:v>1.5206680469323766</c:v>
                </c:pt>
                <c:pt idx="461">
                  <c:v>1.5189608923815983</c:v>
                </c:pt>
                <c:pt idx="462">
                  <c:v>1.5172561981995993</c:v>
                </c:pt>
                <c:pt idx="463">
                  <c:v>1.5155539464526466</c:v>
                </c:pt>
                <c:pt idx="464">
                  <c:v>1.5138541196342212</c:v>
                </c:pt>
                <c:pt idx="465">
                  <c:v>1.5121567006536323</c:v>
                </c:pt>
                <c:pt idx="466">
                  <c:v>1.5104616728249376</c:v>
                </c:pt>
                <c:pt idx="467">
                  <c:v>1.5087690198561596</c:v>
                </c:pt>
                <c:pt idx="468">
                  <c:v>1.5070787258387917</c:v>
                </c:pt>
                <c:pt idx="469">
                  <c:v>1.5053736964136859</c:v>
                </c:pt>
                <c:pt idx="470">
                  <c:v>1.5036710396979733</c:v>
                </c:pt>
                <c:pt idx="471">
                  <c:v>1.5019707406190288</c:v>
                </c:pt>
                <c:pt idx="472">
                  <c:v>1.5002727844538259</c:v>
                </c:pt>
                <c:pt idx="473">
                  <c:v>1.4985771568196278</c:v>
                </c:pt>
                <c:pt idx="474">
                  <c:v>1.4968838436649288</c:v>
                </c:pt>
                <c:pt idx="475">
                  <c:v>1.4951928312606393</c:v>
                </c:pt>
                <c:pt idx="476">
                  <c:v>1.4935041061915053</c:v>
                </c:pt>
                <c:pt idx="477">
                  <c:v>1.4918176553477587</c:v>
                </c:pt>
                <c:pt idx="478">
                  <c:v>1.4901334659169916</c:v>
                </c:pt>
                <c:pt idx="479">
                  <c:v>1.4884515253762476</c:v>
                </c:pt>
                <c:pt idx="480">
                  <c:v>1.4867718214843253</c:v>
                </c:pt>
                <c:pt idx="481">
                  <c:v>1.4850943422742877</c:v>
                </c:pt>
                <c:pt idx="482">
                  <c:v>1.4834190760461736</c:v>
                </c:pt>
                <c:pt idx="483">
                  <c:v>1.481746011359901</c:v>
                </c:pt>
                <c:pt idx="484">
                  <c:v>1.4800751370283651</c:v>
                </c:pt>
                <c:pt idx="485">
                  <c:v>1.4784064421107177</c:v>
                </c:pt>
                <c:pt idx="486">
                  <c:v>1.4767399159058274</c:v>
                </c:pt>
                <c:pt idx="487">
                  <c:v>1.4750755479459166</c:v>
                </c:pt>
                <c:pt idx="488">
                  <c:v>1.473413327990367</c:v>
                </c:pt>
                <c:pt idx="489">
                  <c:v>1.4717532460196916</c:v>
                </c:pt>
                <c:pt idx="490">
                  <c:v>1.4700952922296695</c:v>
                </c:pt>
                <c:pt idx="491">
                  <c:v>1.4684394570256352</c:v>
                </c:pt>
                <c:pt idx="492">
                  <c:v>1.4667857310169228</c:v>
                </c:pt>
                <c:pt idx="493">
                  <c:v>1.4651341050114595</c:v>
                </c:pt>
                <c:pt idx="494">
                  <c:v>1.4634845700105021</c:v>
                </c:pt>
                <c:pt idx="495">
                  <c:v>1.4618371172035156</c:v>
                </c:pt>
                <c:pt idx="496">
                  <c:v>1.4601917379631884</c:v>
                </c:pt>
                <c:pt idx="497">
                  <c:v>1.4585484238405821</c:v>
                </c:pt>
                <c:pt idx="498">
                  <c:v>1.4569071665604105</c:v>
                </c:pt>
                <c:pt idx="499">
                  <c:v>1.4552679580164436</c:v>
                </c:pt>
                <c:pt idx="500">
                  <c:v>1.4536307902670382</c:v>
                </c:pt>
                <c:pt idx="501">
                  <c:v>1.4519956555307849</c:v>
                </c:pt>
                <c:pt idx="502">
                  <c:v>1.4503625461822731</c:v>
                </c:pt>
                <c:pt idx="503">
                  <c:v>1.4487314547479697</c:v>
                </c:pt>
                <c:pt idx="504">
                  <c:v>1.4471023739022071</c:v>
                </c:pt>
                <c:pt idx="505">
                  <c:v>1.4454752964632798</c:v>
                </c:pt>
                <c:pt idx="506">
                  <c:v>1.4438502153896451</c:v>
                </c:pt>
                <c:pt idx="507">
                  <c:v>1.442227123776225</c:v>
                </c:pt>
                <c:pt idx="508">
                  <c:v>1.4406060148508082</c:v>
                </c:pt>
                <c:pt idx="509">
                  <c:v>1.4389868819705471</c:v>
                </c:pt>
                <c:pt idx="510">
                  <c:v>1.4373697186185503</c:v>
                </c:pt>
                <c:pt idx="511">
                  <c:v>1.4357545184005649</c:v>
                </c:pt>
                <c:pt idx="512">
                  <c:v>1.4341412750417484</c:v>
                </c:pt>
                <c:pt idx="513">
                  <c:v>1.4325299823835269</c:v>
                </c:pt>
                <c:pt idx="514">
                  <c:v>1.4309206343805372</c:v>
                </c:pt>
                <c:pt idx="515">
                  <c:v>1.4293132250976504</c:v>
                </c:pt>
                <c:pt idx="516">
                  <c:v>1.4277077487070771</c:v>
                </c:pt>
                <c:pt idx="517">
                  <c:v>1.4261041994855475</c:v>
                </c:pt>
                <c:pt idx="518">
                  <c:v>1.4245025718115691</c:v>
                </c:pt>
                <c:pt idx="519">
                  <c:v>1.4229028601627565</c:v>
                </c:pt>
              </c:numCache>
            </c:numRef>
          </c:val>
          <c:smooth val="0"/>
          <c:extLst>
            <c:ext xmlns:c16="http://schemas.microsoft.com/office/drawing/2014/chart" uri="{C3380CC4-5D6E-409C-BE32-E72D297353CC}">
              <c16:uniqueId val="{00000003-050E-4C76-B86D-B3269E11B822}"/>
            </c:ext>
          </c:extLst>
        </c:ser>
        <c:ser>
          <c:idx val="5"/>
          <c:order val="4"/>
          <c:tx>
            <c:strRef>
              <c:f>Ig!$G$534</c:f>
              <c:strCache>
                <c:ptCount val="1"/>
                <c:pt idx="0">
                  <c:v>Steroids non respond + azathioprine</c:v>
                </c:pt>
              </c:strCache>
            </c:strRef>
          </c:tx>
          <c:spPr>
            <a:ln w="28575" cap="rnd">
              <a:solidFill>
                <a:schemeClr val="accent6"/>
              </a:solidFill>
              <a:round/>
            </a:ln>
            <a:effectLst/>
          </c:spPr>
          <c:marker>
            <c:symbol val="none"/>
          </c:marker>
          <c:cat>
            <c:numRef>
              <c:f>Ig!$B$535:$B$1054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Ig!$G$535:$G$1054</c:f>
              <c:numCache>
                <c:formatCode>#,##0</c:formatCode>
                <c:ptCount val="5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0.95736037561301457</c:v>
                </c:pt>
                <c:pt idx="22">
                  <c:v>1.2837826710482192</c:v>
                </c:pt>
                <c:pt idx="23">
                  <c:v>1.3983003453465266</c:v>
                </c:pt>
                <c:pt idx="24">
                  <c:v>1.4416061291069953</c:v>
                </c:pt>
                <c:pt idx="25">
                  <c:v>1.4609386842380645</c:v>
                </c:pt>
                <c:pt idx="26">
                  <c:v>1.4721590744308282</c:v>
                </c:pt>
                <c:pt idx="27">
                  <c:v>1.4805932001622153</c:v>
                </c:pt>
                <c:pt idx="28">
                  <c:v>1.4880297335703323</c:v>
                </c:pt>
                <c:pt idx="29">
                  <c:v>1.4950697044207635</c:v>
                </c:pt>
                <c:pt idx="30">
                  <c:v>1.5019153834558217</c:v>
                </c:pt>
                <c:pt idx="31">
                  <c:v>1.5086351533026376</c:v>
                </c:pt>
                <c:pt idx="32">
                  <c:v>1.5152524400090575</c:v>
                </c:pt>
                <c:pt idx="33">
                  <c:v>1.5217755721982569</c:v>
                </c:pt>
                <c:pt idx="34">
                  <c:v>1.5282078064237841</c:v>
                </c:pt>
                <c:pt idx="35">
                  <c:v>1.5345506932432065</c:v>
                </c:pt>
                <c:pt idx="36">
                  <c:v>1.5408052074100285</c:v>
                </c:pt>
                <c:pt idx="37">
                  <c:v>1.5469721273588364</c:v>
                </c:pt>
                <c:pt idx="38">
                  <c:v>1.5530521626373965</c:v>
                </c:pt>
                <c:pt idx="39">
                  <c:v>1.5590459967107753</c:v>
                </c:pt>
                <c:pt idx="40">
                  <c:v>1.5649543013511484</c:v>
                </c:pt>
                <c:pt idx="41">
                  <c:v>1.5707777414872923</c:v>
                </c:pt>
                <c:pt idx="42">
                  <c:v>1.5765169768507494</c:v>
                </c:pt>
                <c:pt idx="43">
                  <c:v>1.5821726625463695</c:v>
                </c:pt>
                <c:pt idx="44">
                  <c:v>1.5877454492615948</c:v>
                </c:pt>
                <c:pt idx="45">
                  <c:v>1.5932359833543503</c:v>
                </c:pt>
                <c:pt idx="46">
                  <c:v>1.5986449069000654</c:v>
                </c:pt>
                <c:pt idx="47">
                  <c:v>1.6039728577248733</c:v>
                </c:pt>
                <c:pt idx="48">
                  <c:v>1.6092204694340653</c:v>
                </c:pt>
                <c:pt idx="49">
                  <c:v>1.6143883714388516</c:v>
                </c:pt>
                <c:pt idx="50">
                  <c:v>1.6194771889824486</c:v>
                </c:pt>
                <c:pt idx="51">
                  <c:v>1.6244875431658361</c:v>
                </c:pt>
                <c:pt idx="52">
                  <c:v>1.6294200509733114</c:v>
                </c:pt>
                <c:pt idx="53">
                  <c:v>1.6342662223964963</c:v>
                </c:pt>
                <c:pt idx="54">
                  <c:v>1.6320753809649087</c:v>
                </c:pt>
                <c:pt idx="55">
                  <c:v>1.6275352539732224</c:v>
                </c:pt>
                <c:pt idx="56">
                  <c:v>1.6222197096442108</c:v>
                </c:pt>
                <c:pt idx="57">
                  <c:v>1.616657130962843</c:v>
                </c:pt>
                <c:pt idx="58">
                  <c:v>1.6110248769862152</c:v>
                </c:pt>
                <c:pt idx="59">
                  <c:v>1.6053824498379532</c:v>
                </c:pt>
                <c:pt idx="60">
                  <c:v>1.5997497810666259</c:v>
                </c:pt>
                <c:pt idx="61">
                  <c:v>1.5941335164715211</c:v>
                </c:pt>
                <c:pt idx="62">
                  <c:v>1.5885358412932722</c:v>
                </c:pt>
                <c:pt idx="63">
                  <c:v>1.5829574432915012</c:v>
                </c:pt>
                <c:pt idx="64">
                  <c:v>1.5773985076044399</c:v>
                </c:pt>
                <c:pt idx="65">
                  <c:v>1.5718590507747885</c:v>
                </c:pt>
                <c:pt idx="66">
                  <c:v>1.5663390328991063</c:v>
                </c:pt>
                <c:pt idx="67">
                  <c:v>1.5608383952816651</c:v>
                </c:pt>
                <c:pt idx="68">
                  <c:v>1.5553570730762631</c:v>
                </c:pt>
                <c:pt idx="69">
                  <c:v>1.5498949995301787</c:v>
                </c:pt>
                <c:pt idx="70">
                  <c:v>1.5444521074085336</c:v>
                </c:pt>
                <c:pt idx="71">
                  <c:v>1.5390283294719711</c:v>
                </c:pt>
                <c:pt idx="72">
                  <c:v>1.5336235986364859</c:v>
                </c:pt>
                <c:pt idx="73">
                  <c:v>1.5282378480265344</c:v>
                </c:pt>
                <c:pt idx="74">
                  <c:v>1.5228710109923183</c:v>
                </c:pt>
                <c:pt idx="75">
                  <c:v>1.5175230211150432</c:v>
                </c:pt>
                <c:pt idx="76">
                  <c:v>1.5121938122081351</c:v>
                </c:pt>
                <c:pt idx="77">
                  <c:v>1.5068833183171082</c:v>
                </c:pt>
                <c:pt idx="78">
                  <c:v>1.5015914737189795</c:v>
                </c:pt>
                <c:pt idx="79">
                  <c:v>1.4963182129215302</c:v>
                </c:pt>
                <c:pt idx="80">
                  <c:v>1.4910634706625254</c:v>
                </c:pt>
                <c:pt idx="81">
                  <c:v>1.4858271819089102</c:v>
                </c:pt>
                <c:pt idx="82">
                  <c:v>1.480609281856011</c:v>
                </c:pt>
                <c:pt idx="83">
                  <c:v>1.4754097059267335</c:v>
                </c:pt>
                <c:pt idx="84">
                  <c:v>1.4702283897707642</c:v>
                </c:pt>
                <c:pt idx="85">
                  <c:v>1.4650652692637731</c:v>
                </c:pt>
                <c:pt idx="86">
                  <c:v>1.4599202805066211</c:v>
                </c:pt>
                <c:pt idx="87">
                  <c:v>1.4547933598245688</c:v>
                </c:pt>
                <c:pt idx="88">
                  <c:v>1.4496844437664889</c:v>
                </c:pt>
                <c:pt idx="89">
                  <c:v>1.4445934691040796</c:v>
                </c:pt>
                <c:pt idx="90">
                  <c:v>1.439520372831085</c:v>
                </c:pt>
                <c:pt idx="91">
                  <c:v>1.4344650921625117</c:v>
                </c:pt>
                <c:pt idx="92">
                  <c:v>1.4294275645338534</c:v>
                </c:pt>
                <c:pt idx="93">
                  <c:v>1.4244077276003182</c:v>
                </c:pt>
                <c:pt idx="94">
                  <c:v>1.4194055192360537</c:v>
                </c:pt>
                <c:pt idx="95">
                  <c:v>1.4144208775333813</c:v>
                </c:pt>
                <c:pt idx="96">
                  <c:v>1.4094537408020278</c:v>
                </c:pt>
                <c:pt idx="97">
                  <c:v>1.4045040475683623</c:v>
                </c:pt>
                <c:pt idx="98">
                  <c:v>1.3995717365746381</c:v>
                </c:pt>
                <c:pt idx="99">
                  <c:v>1.3946567467782296</c:v>
                </c:pt>
                <c:pt idx="100">
                  <c:v>1.3897590173508807</c:v>
                </c:pt>
                <c:pt idx="101">
                  <c:v>1.3848784876779505</c:v>
                </c:pt>
                <c:pt idx="102">
                  <c:v>1.3800150973576644</c:v>
                </c:pt>
                <c:pt idx="103">
                  <c:v>1.3751687862003648</c:v>
                </c:pt>
                <c:pt idx="104">
                  <c:v>1.3703394942277671</c:v>
                </c:pt>
                <c:pt idx="105">
                  <c:v>1.3655187623877023</c:v>
                </c:pt>
                <c:pt idx="106">
                  <c:v>1.3607149894513046</c:v>
                </c:pt>
                <c:pt idx="107">
                  <c:v>1.3559281157586667</c:v>
                </c:pt>
                <c:pt idx="108">
                  <c:v>1.3511580818597602</c:v>
                </c:pt>
                <c:pt idx="109">
                  <c:v>1.3464048285136956</c:v>
                </c:pt>
                <c:pt idx="110">
                  <c:v>1.3416682966879883</c:v>
                </c:pt>
                <c:pt idx="111">
                  <c:v>1.3369484275578247</c:v>
                </c:pt>
                <c:pt idx="112">
                  <c:v>1.3322451625053315</c:v>
                </c:pt>
                <c:pt idx="113">
                  <c:v>1.3275584431188476</c:v>
                </c:pt>
                <c:pt idx="114">
                  <c:v>1.3228882111921987</c:v>
                </c:pt>
                <c:pt idx="115">
                  <c:v>1.3182344087239757</c:v>
                </c:pt>
                <c:pt idx="116">
                  <c:v>1.3135969779168124</c:v>
                </c:pt>
                <c:pt idx="117">
                  <c:v>1.3089758611766684</c:v>
                </c:pt>
                <c:pt idx="118">
                  <c:v>1.3043710011121141</c:v>
                </c:pt>
                <c:pt idx="119">
                  <c:v>1.2997823405336182</c:v>
                </c:pt>
                <c:pt idx="120">
                  <c:v>1.2952098224528372</c:v>
                </c:pt>
                <c:pt idx="121">
                  <c:v>1.290653390081907</c:v>
                </c:pt>
                <c:pt idx="122">
                  <c:v>1.2861129868327383</c:v>
                </c:pt>
                <c:pt idx="123">
                  <c:v>1.2815885563163141</c:v>
                </c:pt>
                <c:pt idx="124">
                  <c:v>1.2770800423419881</c:v>
                </c:pt>
                <c:pt idx="125">
                  <c:v>1.272587388916788</c:v>
                </c:pt>
                <c:pt idx="126">
                  <c:v>1.2681105402447197</c:v>
                </c:pt>
                <c:pt idx="127">
                  <c:v>1.2636494407260748</c:v>
                </c:pt>
                <c:pt idx="128">
                  <c:v>1.2592040349567393</c:v>
                </c:pt>
                <c:pt idx="129">
                  <c:v>1.254774267727506</c:v>
                </c:pt>
                <c:pt idx="130">
                  <c:v>1.2503600840233893</c:v>
                </c:pt>
                <c:pt idx="131">
                  <c:v>1.2459614290229399</c:v>
                </c:pt>
                <c:pt idx="132">
                  <c:v>1.2415782480975672</c:v>
                </c:pt>
                <c:pt idx="133">
                  <c:v>1.2372104868108584</c:v>
                </c:pt>
                <c:pt idx="134">
                  <c:v>1.2328580909179032</c:v>
                </c:pt>
                <c:pt idx="135">
                  <c:v>1.2285210063646197</c:v>
                </c:pt>
                <c:pt idx="136">
                  <c:v>1.2241991792870834</c:v>
                </c:pt>
                <c:pt idx="137">
                  <c:v>1.2198925560108593</c:v>
                </c:pt>
                <c:pt idx="138">
                  <c:v>1.2156010830503332</c:v>
                </c:pt>
                <c:pt idx="139">
                  <c:v>1.2113247071080484</c:v>
                </c:pt>
                <c:pt idx="140">
                  <c:v>1.2070633750740449</c:v>
                </c:pt>
                <c:pt idx="141">
                  <c:v>1.202817034025198</c:v>
                </c:pt>
                <c:pt idx="142">
                  <c:v>1.198585631224562</c:v>
                </c:pt>
                <c:pt idx="143">
                  <c:v>1.1943691141207151</c:v>
                </c:pt>
                <c:pt idx="144">
                  <c:v>1.1901674303471064</c:v>
                </c:pt>
                <c:pt idx="145">
                  <c:v>1.1859805277214064</c:v>
                </c:pt>
                <c:pt idx="146">
                  <c:v>1.1818083542448585</c:v>
                </c:pt>
                <c:pt idx="147">
                  <c:v>1.1776508581016318</c:v>
                </c:pt>
                <c:pt idx="148">
                  <c:v>1.1735079876581804</c:v>
                </c:pt>
                <c:pt idx="149">
                  <c:v>1.1693796914625996</c:v>
                </c:pt>
                <c:pt idx="150">
                  <c:v>1.1652659182439886</c:v>
                </c:pt>
                <c:pt idx="151">
                  <c:v>1.1611666169118124</c:v>
                </c:pt>
                <c:pt idx="152">
                  <c:v>1.1570817365552686</c:v>
                </c:pt>
                <c:pt idx="153">
                  <c:v>1.1530112264426537</c:v>
                </c:pt>
                <c:pt idx="154">
                  <c:v>1.1489550360207343</c:v>
                </c:pt>
                <c:pt idx="155">
                  <c:v>1.1449131149141185</c:v>
                </c:pt>
                <c:pt idx="156">
                  <c:v>1.1408854129246309</c:v>
                </c:pt>
                <c:pt idx="157">
                  <c:v>1.1368640099771588</c:v>
                </c:pt>
                <c:pt idx="158">
                  <c:v>1.1328567817061992</c:v>
                </c:pt>
                <c:pt idx="159">
                  <c:v>1.1288636781487273</c:v>
                </c:pt>
                <c:pt idx="160">
                  <c:v>1.1248846495178291</c:v>
                </c:pt>
                <c:pt idx="161">
                  <c:v>1.1209196462020787</c:v>
                </c:pt>
                <c:pt idx="162">
                  <c:v>1.1169686187649224</c:v>
                </c:pt>
                <c:pt idx="163">
                  <c:v>1.1130315179440602</c:v>
                </c:pt>
                <c:pt idx="164">
                  <c:v>1.1091082946508326</c:v>
                </c:pt>
                <c:pt idx="165">
                  <c:v>1.1051988999696074</c:v>
                </c:pt>
                <c:pt idx="166">
                  <c:v>1.1013032851571718</c:v>
                </c:pt>
                <c:pt idx="167">
                  <c:v>1.0974214016421231</c:v>
                </c:pt>
                <c:pt idx="168">
                  <c:v>1.093553201024263</c:v>
                </c:pt>
                <c:pt idx="169">
                  <c:v>1.089698635073995</c:v>
                </c:pt>
                <c:pt idx="170">
                  <c:v>1.0858576557317225</c:v>
                </c:pt>
                <c:pt idx="171">
                  <c:v>1.0820302151072509</c:v>
                </c:pt>
                <c:pt idx="172">
                  <c:v>1.0782162654791878</c:v>
                </c:pt>
                <c:pt idx="173">
                  <c:v>1.0744157592943506</c:v>
                </c:pt>
                <c:pt idx="174">
                  <c:v>1.0706286491671726</c:v>
                </c:pt>
                <c:pt idx="175">
                  <c:v>1.0668548878791111</c:v>
                </c:pt>
                <c:pt idx="176">
                  <c:v>1.0630944283780606</c:v>
                </c:pt>
                <c:pt idx="177">
                  <c:v>1.0593472237777655</c:v>
                </c:pt>
                <c:pt idx="178">
                  <c:v>1.0556132273572345</c:v>
                </c:pt>
                <c:pt idx="179">
                  <c:v>1.05189239256016</c:v>
                </c:pt>
                <c:pt idx="180">
                  <c:v>1.0481846729943349</c:v>
                </c:pt>
                <c:pt idx="181">
                  <c:v>1.0444900224310769</c:v>
                </c:pt>
                <c:pt idx="182">
                  <c:v>1.0408083948046507</c:v>
                </c:pt>
                <c:pt idx="183">
                  <c:v>1.0371397442116943</c:v>
                </c:pt>
                <c:pt idx="184">
                  <c:v>1.0334840249106456</c:v>
                </c:pt>
                <c:pt idx="185">
                  <c:v>1.0298411913211729</c:v>
                </c:pt>
                <c:pt idx="186">
                  <c:v>1.0262111980236066</c:v>
                </c:pt>
                <c:pt idx="187">
                  <c:v>1.0225939997583731</c:v>
                </c:pt>
                <c:pt idx="188">
                  <c:v>1.0189895514254297</c:v>
                </c:pt>
                <c:pt idx="189">
                  <c:v>1.0153978080837027</c:v>
                </c:pt>
                <c:pt idx="190">
                  <c:v>1.011818724950527</c:v>
                </c:pt>
                <c:pt idx="191">
                  <c:v>1.0082522574010886</c:v>
                </c:pt>
                <c:pt idx="192">
                  <c:v>1.0046983609678659</c:v>
                </c:pt>
                <c:pt idx="193">
                  <c:v>1.0011569913400789</c:v>
                </c:pt>
                <c:pt idx="194">
                  <c:v>0.99762810436313276</c:v>
                </c:pt>
                <c:pt idx="195">
                  <c:v>0.99411165603807039</c:v>
                </c:pt>
                <c:pt idx="196">
                  <c:v>0.99060760252102176</c:v>
                </c:pt>
                <c:pt idx="197">
                  <c:v>0.98711590012265849</c:v>
                </c:pt>
                <c:pt idx="198">
                  <c:v>0.98363650530764879</c:v>
                </c:pt>
                <c:pt idx="199">
                  <c:v>0.98016937469411436</c:v>
                </c:pt>
                <c:pt idx="200">
                  <c:v>0.97671446505309012</c:v>
                </c:pt>
                <c:pt idx="201">
                  <c:v>0.97327173330798467</c:v>
                </c:pt>
                <c:pt idx="202">
                  <c:v>0.9698411365340428</c:v>
                </c:pt>
                <c:pt idx="203">
                  <c:v>0.96642263195781186</c:v>
                </c:pt>
                <c:pt idx="204">
                  <c:v>0.96301617695660691</c:v>
                </c:pt>
                <c:pt idx="205">
                  <c:v>0.95962172905797949</c:v>
                </c:pt>
                <c:pt idx="206">
                  <c:v>0.95623924593918885</c:v>
                </c:pt>
                <c:pt idx="207">
                  <c:v>0.95286868542667369</c:v>
                </c:pt>
                <c:pt idx="208">
                  <c:v>0.94951000549552622</c:v>
                </c:pt>
                <c:pt idx="209">
                  <c:v>0.94615624926776409</c:v>
                </c:pt>
                <c:pt idx="210">
                  <c:v>0.94281433881389576</c:v>
                </c:pt>
                <c:pt idx="211">
                  <c:v>0.93948423229356437</c:v>
                </c:pt>
                <c:pt idx="212">
                  <c:v>0.9361658880141962</c:v>
                </c:pt>
                <c:pt idx="213">
                  <c:v>0.93285926443047973</c:v>
                </c:pt>
                <c:pt idx="214">
                  <c:v>0.9295643201438456</c:v>
                </c:pt>
                <c:pt idx="215">
                  <c:v>0.92628101390194773</c:v>
                </c:pt>
                <c:pt idx="216">
                  <c:v>0.9230093045981469</c:v>
                </c:pt>
                <c:pt idx="217">
                  <c:v>0.91974915127099688</c:v>
                </c:pt>
                <c:pt idx="218">
                  <c:v>0.9165005131037306</c:v>
                </c:pt>
                <c:pt idx="219">
                  <c:v>0.91326334942374932</c:v>
                </c:pt>
                <c:pt idx="220">
                  <c:v>0.91003761970211428</c:v>
                </c:pt>
                <c:pt idx="221">
                  <c:v>0.90682328355303798</c:v>
                </c:pt>
                <c:pt idx="222">
                  <c:v>0.90362030073337951</c:v>
                </c:pt>
                <c:pt idx="223">
                  <c:v>0.900428631142141</c:v>
                </c:pt>
                <c:pt idx="224">
                  <c:v>0.89724823481996374</c:v>
                </c:pt>
                <c:pt idx="225">
                  <c:v>0.89407907194863034</c:v>
                </c:pt>
                <c:pt idx="226">
                  <c:v>0.89092110285056414</c:v>
                </c:pt>
                <c:pt idx="227">
                  <c:v>0.88777428798833358</c:v>
                </c:pt>
                <c:pt idx="228">
                  <c:v>0.88463858796415729</c:v>
                </c:pt>
                <c:pt idx="229">
                  <c:v>0.88151396351940969</c:v>
                </c:pt>
                <c:pt idx="230">
                  <c:v>0.87840037553413119</c:v>
                </c:pt>
                <c:pt idx="231">
                  <c:v>0.87529778502653688</c:v>
                </c:pt>
                <c:pt idx="232">
                  <c:v>0.87220615315252903</c:v>
                </c:pt>
                <c:pt idx="233">
                  <c:v>0.86912544120521118</c:v>
                </c:pt>
                <c:pt idx="234">
                  <c:v>0.86605561061440306</c:v>
                </c:pt>
                <c:pt idx="235">
                  <c:v>0.86299662294615764</c:v>
                </c:pt>
                <c:pt idx="236">
                  <c:v>0.85994843990228043</c:v>
                </c:pt>
                <c:pt idx="237">
                  <c:v>0.85691102331984892</c:v>
                </c:pt>
                <c:pt idx="238">
                  <c:v>0.85388433517073636</c:v>
                </c:pt>
                <c:pt idx="239">
                  <c:v>0.85086833756113478</c:v>
                </c:pt>
                <c:pt idx="240">
                  <c:v>0.84786299273108012</c:v>
                </c:pt>
                <c:pt idx="241">
                  <c:v>0.84486826305397988</c:v>
                </c:pt>
                <c:pt idx="242">
                  <c:v>0.8418841110361428</c:v>
                </c:pt>
                <c:pt idx="243">
                  <c:v>0.83891049931630834</c:v>
                </c:pt>
                <c:pt idx="244">
                  <c:v>0.83594739066517953</c:v>
                </c:pt>
                <c:pt idx="245">
                  <c:v>0.83299474798495643</c:v>
                </c:pt>
                <c:pt idx="246">
                  <c:v>0.83005253430887205</c:v>
                </c:pt>
                <c:pt idx="247">
                  <c:v>0.8271207128007293</c:v>
                </c:pt>
                <c:pt idx="248">
                  <c:v>0.82419924675444067</c:v>
                </c:pt>
                <c:pt idx="249">
                  <c:v>0.82128809959356674</c:v>
                </c:pt>
                <c:pt idx="250">
                  <c:v>0.81838723487086018</c:v>
                </c:pt>
                <c:pt idx="251">
                  <c:v>0.81549661626780834</c:v>
                </c:pt>
                <c:pt idx="252">
                  <c:v>0.81261620759417885</c:v>
                </c:pt>
                <c:pt idx="253">
                  <c:v>0.80974597278756699</c:v>
                </c:pt>
                <c:pt idx="254">
                  <c:v>0.80688587591294336</c:v>
                </c:pt>
                <c:pt idx="255">
                  <c:v>0.80403588116220459</c:v>
                </c:pt>
                <c:pt idx="256">
                  <c:v>0.80119595285372447</c:v>
                </c:pt>
                <c:pt idx="257">
                  <c:v>0.79836605543190753</c:v>
                </c:pt>
                <c:pt idx="258">
                  <c:v>0.79554615346674462</c:v>
                </c:pt>
                <c:pt idx="259">
                  <c:v>0.79273621165336805</c:v>
                </c:pt>
                <c:pt idx="260">
                  <c:v>0.26615759620569557</c:v>
                </c:pt>
                <c:pt idx="261">
                  <c:v>8.9360504036262112E-2</c:v>
                </c:pt>
                <c:pt idx="262">
                  <c:v>3.0002148334115207E-2</c:v>
                </c:pt>
                <c:pt idx="263">
                  <c:v>1.007300612692363E-2</c:v>
                </c:pt>
                <c:pt idx="264">
                  <c:v>3.3819395632300577E-3</c:v>
                </c:pt>
                <c:pt idx="265">
                  <c:v>1.1354619529883891E-3</c:v>
                </c:pt>
                <c:pt idx="266">
                  <c:v>3.8122320715064275E-4</c:v>
                </c:pt>
                <c:pt idx="267">
                  <c:v>1.279929576572153E-4</c:v>
                </c:pt>
                <c:pt idx="268">
                  <c:v>4.2972717564301335E-5</c:v>
                </c:pt>
                <c:pt idx="269">
                  <c:v>1.4427781720669624E-5</c:v>
                </c:pt>
                <c:pt idx="270">
                  <c:v>4.8440242362566746E-6</c:v>
                </c:pt>
                <c:pt idx="271">
                  <c:v>1.62634639584449E-6</c:v>
                </c:pt>
                <c:pt idx="272">
                  <c:v>5.4603413820248482E-7</c:v>
                </c:pt>
                <c:pt idx="273">
                  <c:v>1.8332704572921709E-7</c:v>
                </c:pt>
                <c:pt idx="274">
                  <c:v>6.1550740776832818E-8</c:v>
                </c:pt>
                <c:pt idx="275">
                  <c:v>2.0665219772169674E-8</c:v>
                </c:pt>
                <c:pt idx="276">
                  <c:v>6.9381993269658742E-9</c:v>
                </c:pt>
                <c:pt idx="277">
                  <c:v>2.3294506630671833E-9</c:v>
                </c:pt>
                <c:pt idx="278">
                  <c:v>7.8209635323883364E-10</c:v>
                </c:pt>
                <c:pt idx="279">
                  <c:v>2.6258324138279514E-10</c:v>
                </c:pt>
                <c:pt idx="280">
                  <c:v>8.8160440039847078E-11</c:v>
                </c:pt>
                <c:pt idx="281">
                  <c:v>2.9599235454211748E-11</c:v>
                </c:pt>
                <c:pt idx="282">
                  <c:v>9.9377310171986025E-12</c:v>
                </c:pt>
                <c:pt idx="283">
                  <c:v>3.3365219153367883E-12</c:v>
                </c:pt>
                <c:pt idx="284">
                  <c:v>1.1202133034448777E-12</c:v>
                </c:pt>
                <c:pt idx="285">
                  <c:v>3.7610358243015422E-13</c:v>
                </c:pt>
                <c:pt idx="286">
                  <c:v>1.2627408037540444E-13</c:v>
                </c:pt>
                <c:pt idx="287">
                  <c:v>4.2395616844769757E-14</c:v>
                </c:pt>
                <c:pt idx="288">
                  <c:v>1.4234024293069564E-14</c:v>
                </c:pt>
                <c:pt idx="289">
                  <c:v>4.7789715695736997E-15</c:v>
                </c:pt>
                <c:pt idx="290">
                  <c:v>1.6045054295652447E-15</c:v>
                </c:pt>
                <c:pt idx="291">
                  <c:v>5.3870119041825527E-16</c:v>
                </c:pt>
                <c:pt idx="292">
                  <c:v>1.8086506110277072E-16</c:v>
                </c:pt>
                <c:pt idx="293">
                  <c:v>6.0724147095926779E-17</c:v>
                </c:pt>
                <c:pt idx="294">
                  <c:v>2.0387696872158707E-17</c:v>
                </c:pt>
                <c:pt idx="295">
                  <c:v>6.8450230036892726E-18</c:v>
                </c:pt>
                <c:pt idx="296">
                  <c:v>2.298167380790287E-18</c:v>
                </c:pt>
                <c:pt idx="297">
                  <c:v>7.7159321557894998E-19</c:v>
                </c:pt>
                <c:pt idx="298">
                  <c:v>2.5905688824228927E-19</c:v>
                </c:pt>
                <c:pt idx="299">
                  <c:v>8.697649226402659E-20</c:v>
                </c:pt>
                <c:pt idx="300">
                  <c:v>2.9201733479786922E-20</c:v>
                </c:pt>
                <c:pt idx="301">
                  <c:v>9.8042725801808582E-21</c:v>
                </c:pt>
                <c:pt idx="302">
                  <c:v>3.2917142022757618E-21</c:v>
                </c:pt>
                <c:pt idx="303">
                  <c:v>1.1051694351468222E-21</c:v>
                </c:pt>
                <c:pt idx="304">
                  <c:v>3.7105271154413052E-22</c:v>
                </c:pt>
                <c:pt idx="305">
                  <c:v>1.2457828670041066E-22</c:v>
                </c:pt>
                <c:pt idx="306">
                  <c:v>4.1826266280670749E-23</c:v>
                </c:pt>
                <c:pt idx="307">
                  <c:v>1.4042868924571654E-23</c:v>
                </c:pt>
                <c:pt idx="308">
                  <c:v>4.7147925255722308E-24</c:v>
                </c:pt>
                <c:pt idx="309">
                  <c:v>1.5829577758356682E-24</c:v>
                </c:pt>
                <c:pt idx="310">
                  <c:v>5.3146672021893148E-25</c:v>
                </c:pt>
                <c:pt idx="311">
                  <c:v>1.7843613961917241E-25</c:v>
                </c:pt>
                <c:pt idx="312">
                  <c:v>5.9908654128102135E-26</c:v>
                </c:pt>
                <c:pt idx="313">
                  <c:v>2.0113736488015771E-26</c:v>
                </c:pt>
                <c:pt idx="314">
                  <c:v>6.7529875507512621E-27</c:v>
                </c:pt>
                <c:pt idx="315">
                  <c:v>2.2672485983781659E-27</c:v>
                </c:pt>
                <c:pt idx="316">
                  <c:v>7.6120623179231135E-28</c:v>
                </c:pt>
                <c:pt idx="317">
                  <c:v>2.5556744317051866E-28</c:v>
                </c:pt>
                <c:pt idx="318">
                  <c:v>8.5804234490997783E-29</c:v>
                </c:pt>
                <c:pt idx="319">
                  <c:v>2.8807920779149656E-29</c:v>
                </c:pt>
                <c:pt idx="320">
                  <c:v>9.6719737031723283E-30</c:v>
                </c:pt>
                <c:pt idx="321">
                  <c:v>3.2472692504265603E-30</c:v>
                </c:pt>
                <c:pt idx="322">
                  <c:v>1.0902384465031455E-30</c:v>
                </c:pt>
                <c:pt idx="323">
                  <c:v>3.6603674612983057E-31</c:v>
                </c:pt>
                <c:pt idx="324">
                  <c:v>1.2289320739610102E-31</c:v>
                </c:pt>
                <c:pt idx="325">
                  <c:v>4.1260175607462816E-32</c:v>
                </c:pt>
                <c:pt idx="326">
                  <c:v>1.3852694768325178E-32</c:v>
                </c:pt>
                <c:pt idx="327">
                  <c:v>4.6509048863494143E-33</c:v>
                </c:pt>
                <c:pt idx="328">
                  <c:v>1.5614951909089156E-33</c:v>
                </c:pt>
                <c:pt idx="329">
                  <c:v>5.2425652444281969E-34</c:v>
                </c:pt>
                <c:pt idx="330">
                  <c:v>1.7601392884270298E-34</c:v>
                </c:pt>
                <c:pt idx="331">
                  <c:v>5.9094931016014791E-35</c:v>
                </c:pt>
                <c:pt idx="332">
                  <c:v>1.9840537023114827E-35</c:v>
                </c:pt>
                <c:pt idx="333">
                  <c:v>6.6612635398273247E-36</c:v>
                </c:pt>
                <c:pt idx="334">
                  <c:v>2.2364531713701918E-36</c:v>
                </c:pt>
                <c:pt idx="335">
                  <c:v>7.5086697258361958E-37</c:v>
                </c:pt>
                <c:pt idx="336">
                  <c:v>2.5209613942932239E-37</c:v>
                </c:pt>
                <c:pt idx="337">
                  <c:v>8.4638778686048666E-38</c:v>
                </c:pt>
                <c:pt idx="338">
                  <c:v>2.841663055087897E-38</c:v>
                </c:pt>
                <c:pt idx="339">
                  <c:v>9.5406018895952253E-39</c:v>
                </c:pt>
                <c:pt idx="340">
                  <c:v>3.203162466879188E-39</c:v>
                </c:pt>
                <c:pt idx="341">
                  <c:v>1.0754300313498218E-39</c:v>
                </c:pt>
                <c:pt idx="342">
                  <c:v>3.6106496760243793E-40</c:v>
                </c:pt>
                <c:pt idx="343">
                  <c:v>1.2122398206243018E-40</c:v>
                </c:pt>
                <c:pt idx="344">
                  <c:v>4.0699749755985949E-41</c:v>
                </c:pt>
                <c:pt idx="345">
                  <c:v>1.3664537346634916E-41</c:v>
                </c:pt>
                <c:pt idx="346">
                  <c:v>4.5877328980411836E-42</c:v>
                </c:pt>
                <c:pt idx="347">
                  <c:v>1.5402858223335711E-42</c:v>
                </c:pt>
                <c:pt idx="348">
                  <c:v>5.1713568928452194E-43</c:v>
                </c:pt>
                <c:pt idx="349">
                  <c:v>1.7362317905816704E-43</c:v>
                </c:pt>
                <c:pt idx="350">
                  <c:v>5.8292260485775348E-44</c:v>
                </c:pt>
                <c:pt idx="351">
                  <c:v>1.9571048352956926E-44</c:v>
                </c:pt>
                <c:pt idx="352">
                  <c:v>6.5707853914370867E-45</c:v>
                </c:pt>
                <c:pt idx="353">
                  <c:v>2.2060760303522435E-45</c:v>
                </c:pt>
                <c:pt idx="354">
                  <c:v>7.4066814874778747E-46</c:v>
                </c:pt>
                <c:pt idx="355">
                  <c:v>2.4867198547181597E-46</c:v>
                </c:pt>
                <c:pt idx="356">
                  <c:v>8.34891529533722E-47</c:v>
                </c:pt>
                <c:pt idx="357">
                  <c:v>2.8030655112381344E-47</c:v>
                </c:pt>
                <c:pt idx="358">
                  <c:v>9.4110144639757599E-48</c:v>
                </c:pt>
                <c:pt idx="359">
                  <c:v>3.1596547738921806E-48</c:v>
                </c:pt>
                <c:pt idx="360">
                  <c:v>1.0608227549107464E-48</c:v>
                </c:pt>
                <c:pt idx="361">
                  <c:v>3.5616071940358961E-49</c:v>
                </c:pt>
                <c:pt idx="362">
                  <c:v>1.195774293668458E-49</c:v>
                </c:pt>
                <c:pt idx="363">
                  <c:v>4.0146936017893955E-50</c:v>
                </c:pt>
                <c:pt idx="364">
                  <c:v>1.3478935616521577E-50</c:v>
                </c:pt>
                <c:pt idx="365">
                  <c:v>4.525378880361896E-51</c:v>
                </c:pt>
                <c:pt idx="366">
                  <c:v>1.5193376237900882E-51</c:v>
                </c:pt>
                <c:pt idx="367">
                  <c:v>5.1009802186541109E-52</c:v>
                </c:pt>
                <c:pt idx="368">
                  <c:v>1.7125883532188145E-52</c:v>
                </c:pt>
                <c:pt idx="369">
                  <c:v>5.7497946313436007E-53</c:v>
                </c:pt>
                <c:pt idx="370">
                  <c:v>1.9304194286088112E-53</c:v>
                </c:pt>
                <c:pt idx="371">
                  <c:v>6.4811343870199489E-54</c:v>
                </c:pt>
                <c:pt idx="372">
                  <c:v>2.1759573240973917E-54</c:v>
                </c:pt>
                <c:pt idx="373">
                  <c:v>7.3054962195748507E-55</c:v>
                </c:pt>
                <c:pt idx="374">
                  <c:v>2.4527261827784678E-55</c:v>
                </c:pt>
                <c:pt idx="375">
                  <c:v>8.2347119851594854E-56</c:v>
                </c:pt>
                <c:pt idx="376">
                  <c:v>2.7646983978339163E-56</c:v>
                </c:pt>
                <c:pt idx="377">
                  <c:v>9.2821184818127985E-57</c:v>
                </c:pt>
                <c:pt idx="378">
                  <c:v>3.1163516272846809E-57</c:v>
                </c:pt>
                <c:pt idx="379">
                  <c:v>1.0462748869138753E-57</c:v>
                </c:pt>
                <c:pt idx="380">
                  <c:v>3.5127330606798751E-58</c:v>
                </c:pt>
                <c:pt idx="381">
                  <c:v>1.1793548435430543E-58</c:v>
                </c:pt>
                <c:pt idx="382">
                  <c:v>3.9595318601273492E-59</c:v>
                </c:pt>
                <c:pt idx="383">
                  <c:v>1.3293617809092585E-59</c:v>
                </c:pt>
                <c:pt idx="384">
                  <c:v>4.4631608153934571E-60</c:v>
                </c:pt>
                <c:pt idx="385">
                  <c:v>1.4984487105112062E-60</c:v>
                </c:pt>
                <c:pt idx="386">
                  <c:v>5.0308483850469415E-61</c:v>
                </c:pt>
                <c:pt idx="387">
                  <c:v>1.689042494133478E-61</c:v>
                </c:pt>
                <c:pt idx="388">
                  <c:v>5.670742444690115E-62</c:v>
                </c:pt>
                <c:pt idx="389">
                  <c:v>1.9038786759777493E-62</c:v>
                </c:pt>
                <c:pt idx="390">
                  <c:v>6.3920272313493642E-63</c:v>
                </c:pt>
                <c:pt idx="391">
                  <c:v>2.1460407452344053E-63</c:v>
                </c:pt>
                <c:pt idx="392">
                  <c:v>7.2050551624981368E-64</c:v>
                </c:pt>
                <c:pt idx="393">
                  <c:v>2.4190043926202707E-64</c:v>
                </c:pt>
                <c:pt idx="394">
                  <c:v>8.1214954216773881E-65</c:v>
                </c:pt>
                <c:pt idx="395">
                  <c:v>2.7266873960853036E-65</c:v>
                </c:pt>
                <c:pt idx="396">
                  <c:v>9.1545014433251844E-66</c:v>
                </c:pt>
                <c:pt idx="397">
                  <c:v>3.0735058516851369E-66</c:v>
                </c:pt>
                <c:pt idx="398">
                  <c:v>1.0318899700682722E-66</c:v>
                </c:pt>
                <c:pt idx="399">
                  <c:v>3.4644375566869166E-67</c:v>
                </c:pt>
                <c:pt idx="400">
                  <c:v>1.163140250640164E-67</c:v>
                </c:pt>
                <c:pt idx="401">
                  <c:v>3.9050934546300604E-68</c:v>
                </c:pt>
                <c:pt idx="402">
                  <c:v>1.3110847880125757E-68</c:v>
                </c:pt>
                <c:pt idx="403">
                  <c:v>4.4017981677747595E-69</c:v>
                </c:pt>
                <c:pt idx="404">
                  <c:v>1.477846992580573E-69</c:v>
                </c:pt>
                <c:pt idx="405">
                  <c:v>4.9616807728000333E-70</c:v>
                </c:pt>
                <c:pt idx="406">
                  <c:v>1.6658203599403635E-70</c:v>
                </c:pt>
                <c:pt idx="407">
                  <c:v>5.5927771226318656E-71</c:v>
                </c:pt>
                <c:pt idx="408">
                  <c:v>1.8777028241240947E-71</c:v>
                </c:pt>
                <c:pt idx="409">
                  <c:v>6.3041451830006682E-72</c:v>
                </c:pt>
                <c:pt idx="410">
                  <c:v>2.1165354803622548E-72</c:v>
                </c:pt>
                <c:pt idx="411">
                  <c:v>7.1059950391244124E-73</c:v>
                </c:pt>
                <c:pt idx="412">
                  <c:v>2.3857462331516537E-73</c:v>
                </c:pt>
                <c:pt idx="413">
                  <c:v>8.0098354384703241E-74</c:v>
                </c:pt>
                <c:pt idx="414">
                  <c:v>2.6891989960986277E-74</c:v>
                </c:pt>
                <c:pt idx="415">
                  <c:v>9.0286389728862628E-75</c:v>
                </c:pt>
                <c:pt idx="416">
                  <c:v>3.0312491496903358E-75</c:v>
                </c:pt>
                <c:pt idx="417">
                  <c:v>1.0176928249290286E-75</c:v>
                </c:pt>
                <c:pt idx="418">
                  <c:v>3.4167388913505526E-76</c:v>
                </c:pt>
                <c:pt idx="419">
                  <c:v>1.1471147644655475E-76</c:v>
                </c:pt>
                <c:pt idx="420">
                  <c:v>3.8512520994389386E-77</c:v>
                </c:pt>
                <c:pt idx="421">
                  <c:v>1.2929955391467109E-77</c:v>
                </c:pt>
                <c:pt idx="422">
                  <c:v>4.3410231817773028E-78</c:v>
                </c:pt>
                <c:pt idx="423">
                  <c:v>1.4574282504612513E-78</c:v>
                </c:pt>
                <c:pt idx="424">
                  <c:v>4.8930793877329536E-79</c:v>
                </c:pt>
                <c:pt idx="425">
                  <c:v>1.6427721836103966E-79</c:v>
                </c:pt>
                <c:pt idx="426">
                  <c:v>5.5153416353917444E-80</c:v>
                </c:pt>
                <c:pt idx="427">
                  <c:v>1.8516866585987868E-80</c:v>
                </c:pt>
                <c:pt idx="428">
                  <c:v>6.2167381611152051E-81</c:v>
                </c:pt>
                <c:pt idx="429">
                  <c:v>2.0871691862332558E-81</c:v>
                </c:pt>
                <c:pt idx="430">
                  <c:v>7.0073326221288519E-82</c:v>
                </c:pt>
                <c:pt idx="431">
                  <c:v>2.3525984764928224E-82</c:v>
                </c:pt>
                <c:pt idx="432">
                  <c:v>7.8984684901612134E-83</c:v>
                </c:pt>
                <c:pt idx="433">
                  <c:v>2.6517829163552079E-83</c:v>
                </c:pt>
                <c:pt idx="434">
                  <c:v>8.9029318078976163E-84</c:v>
                </c:pt>
                <c:pt idx="435">
                  <c:v>2.9890152126411044E-84</c:v>
                </c:pt>
                <c:pt idx="436">
                  <c:v>1.003513464348293E-84</c:v>
                </c:pt>
                <c:pt idx="437">
                  <c:v>3.369133983893274E-85</c:v>
                </c:pt>
                <c:pt idx="438">
                  <c:v>1.131132187528369E-85</c:v>
                </c:pt>
                <c:pt idx="439">
                  <c:v>3.7975931850125064E-86</c:v>
                </c:pt>
                <c:pt idx="440">
                  <c:v>1.27498042738632E-86</c:v>
                </c:pt>
                <c:pt idx="441">
                  <c:v>4.2805403607570732E-87</c:v>
                </c:pt>
                <c:pt idx="442">
                  <c:v>1.4371221225436433E-87</c:v>
                </c:pt>
                <c:pt idx="443">
                  <c:v>4.8249048508891182E-88</c:v>
                </c:pt>
                <c:pt idx="444">
                  <c:v>1.6198836866368243E-88</c:v>
                </c:pt>
                <c:pt idx="445">
                  <c:v>5.4384972125379044E-89</c:v>
                </c:pt>
                <c:pt idx="446">
                  <c:v>1.8258873877661158E-89</c:v>
                </c:pt>
                <c:pt idx="447">
                  <c:v>6.1301212862948293E-90</c:v>
                </c:pt>
                <c:pt idx="448">
                  <c:v>2.0580889728725433E-90</c:v>
                </c:pt>
                <c:pt idx="449">
                  <c:v>6.9097005139676801E-91</c:v>
                </c:pt>
                <c:pt idx="450">
                  <c:v>2.3198200768787661E-91</c:v>
                </c:pt>
                <c:pt idx="451">
                  <c:v>7.7884203204048973E-92</c:v>
                </c:pt>
                <c:pt idx="452">
                  <c:v>2.6148360250813528E-92</c:v>
                </c:pt>
                <c:pt idx="453">
                  <c:v>8.778888602288217E-93</c:v>
                </c:pt>
                <c:pt idx="454">
                  <c:v>2.947369714664544E-93</c:v>
                </c:pt>
                <c:pt idx="455">
                  <c:v>9.8953166265915357E-94</c:v>
                </c:pt>
                <c:pt idx="456">
                  <c:v>3.3221923484289925E-94</c:v>
                </c:pt>
                <c:pt idx="457">
                  <c:v>1.1153722934242127E-94</c:v>
                </c:pt>
                <c:pt idx="458">
                  <c:v>3.7446818921447467E-95</c:v>
                </c:pt>
                <c:pt idx="459">
                  <c:v>1.2572163174599756E-95</c:v>
                </c:pt>
                <c:pt idx="460">
                  <c:v>4.2209002377564994E-96</c:v>
                </c:pt>
                <c:pt idx="461">
                  <c:v>1.4170989168425315E-96</c:v>
                </c:pt>
                <c:pt idx="462">
                  <c:v>4.7576801795809845E-97</c:v>
                </c:pt>
                <c:pt idx="463">
                  <c:v>1.5973140916381783E-97</c:v>
                </c:pt>
                <c:pt idx="464">
                  <c:v>5.3627234514334358E-98</c:v>
                </c:pt>
                <c:pt idx="465">
                  <c:v>1.8004475742813743E-98</c:v>
                </c:pt>
                <c:pt idx="466">
                  <c:v>6.0447112313226105E-99</c:v>
                </c:pt>
                <c:pt idx="467">
                  <c:v>2.0294139297369768E-99</c:v>
                </c:pt>
                <c:pt idx="468">
                  <c:v>6.8134286992388352E-100</c:v>
                </c:pt>
                <c:pt idx="469">
                  <c:v>2.2874727784891352E-100</c:v>
                </c:pt>
                <c:pt idx="470">
                  <c:v>7.6797335721930407E-101</c:v>
                </c:pt>
                <c:pt idx="471">
                  <c:v>2.5783173594233446E-101</c:v>
                </c:pt>
                <c:pt idx="472">
                  <c:v>8.6561862379887635E-102</c:v>
                </c:pt>
                <c:pt idx="473">
                  <c:v>2.9061418646890109E-102</c:v>
                </c:pt>
                <c:pt idx="474">
                  <c:v>9.7567916233517199E-103</c:v>
                </c:pt>
                <c:pt idx="475">
                  <c:v>3.2756481690783951E-103</c:v>
                </c:pt>
                <c:pt idx="476">
                  <c:v>1.0997335335015223E-103</c:v>
                </c:pt>
                <c:pt idx="477">
                  <c:v>3.6921359751771289E-104</c:v>
                </c:pt>
                <c:pt idx="478">
                  <c:v>1.2395610067280268E-104</c:v>
                </c:pt>
                <c:pt idx="479">
                  <c:v>4.1615788251863761E-105</c:v>
                </c:pt>
                <c:pt idx="480">
                  <c:v>1.3971670796546391E-105</c:v>
                </c:pt>
                <c:pt idx="481">
                  <c:v>4.6907097773962009E-106</c:v>
                </c:pt>
                <c:pt idx="482">
                  <c:v>1.5748122422981151E-106</c:v>
                </c:pt>
                <c:pt idx="483">
                  <c:v>5.2871179761385203E-107</c:v>
                </c:pt>
                <c:pt idx="484">
                  <c:v>1.7750443984874365E-107</c:v>
                </c:pt>
                <c:pt idx="485">
                  <c:v>5.9593575002894461E-108</c:v>
                </c:pt>
                <c:pt idx="486">
                  <c:v>2.0007354095772745E-108</c:v>
                </c:pt>
                <c:pt idx="487">
                  <c:v>6.7170700514978689E-109</c:v>
                </c:pt>
                <c:pt idx="488">
                  <c:v>2.2551222845734792E-109</c:v>
                </c:pt>
                <c:pt idx="489">
                  <c:v>7.571123241815608E-110</c:v>
                </c:pt>
                <c:pt idx="490">
                  <c:v>2.5418536074464812E-110</c:v>
                </c:pt>
                <c:pt idx="491">
                  <c:v>8.533766464141313E-111</c:v>
                </c:pt>
                <c:pt idx="492">
                  <c:v>2.8650418675236894E-111</c:v>
                </c:pt>
                <c:pt idx="493">
                  <c:v>9.618806581074611E-112</c:v>
                </c:pt>
                <c:pt idx="494">
                  <c:v>3.2293224435178089E-112</c:v>
                </c:pt>
                <c:pt idx="495">
                  <c:v>1.084180595202566E-112</c:v>
                </c:pt>
                <c:pt idx="496">
                  <c:v>3.6399200871788322E-113</c:v>
                </c:pt>
                <c:pt idx="497">
                  <c:v>1.222030563881522E-113</c:v>
                </c:pt>
                <c:pt idx="498">
                  <c:v>4.102723860121989E-114</c:v>
                </c:pt>
                <c:pt idx="499">
                  <c:v>1.3774076991126876E-114</c:v>
                </c:pt>
                <c:pt idx="500">
                  <c:v>4.6243715986249577E-115</c:v>
                </c:pt>
                <c:pt idx="501">
                  <c:v>1.5525405220215509E-115</c:v>
                </c:pt>
                <c:pt idx="502">
                  <c:v>5.2123451178440532E-116</c:v>
                </c:pt>
                <c:pt idx="503">
                  <c:v>1.7499409028072762E-116</c:v>
                </c:pt>
                <c:pt idx="504">
                  <c:v>5.8750775209308877E-117</c:v>
                </c:pt>
                <c:pt idx="505">
                  <c:v>1.972440087638136E-117</c:v>
                </c:pt>
                <c:pt idx="506">
                  <c:v>6.6220741521475221E-118</c:v>
                </c:pt>
                <c:pt idx="507">
                  <c:v>2.2232293062472673E-118</c:v>
                </c:pt>
                <c:pt idx="508">
                  <c:v>7.4640489287692202E-119</c:v>
                </c:pt>
                <c:pt idx="509">
                  <c:v>2.5059055426496196E-119</c:v>
                </c:pt>
                <c:pt idx="510">
                  <c:v>8.4130780071367334E-120</c:v>
                </c:pt>
                <c:pt idx="511">
                  <c:v>2.8245231254538304E-120</c:v>
                </c:pt>
                <c:pt idx="512">
                  <c:v>9.4827729868377197E-121</c:v>
                </c:pt>
                <c:pt idx="513">
                  <c:v>3.1836518777112436E-121</c:v>
                </c:pt>
                <c:pt idx="514">
                  <c:v>1.0688476137225681E-121</c:v>
                </c:pt>
                <c:pt idx="515">
                  <c:v>3.5884426603254604E-122</c:v>
                </c:pt>
                <c:pt idx="516">
                  <c:v>1.204748044634361E-122</c:v>
                </c:pt>
                <c:pt idx="517">
                  <c:v>4.0447012490891448E-123</c:v>
                </c:pt>
                <c:pt idx="518">
                  <c:v>1.3579277648338829E-123</c:v>
                </c:pt>
                <c:pt idx="519">
                  <c:v>4.5589716049411602E-124</c:v>
                </c:pt>
              </c:numCache>
            </c:numRef>
          </c:val>
          <c:smooth val="0"/>
          <c:extLst>
            <c:ext xmlns:c16="http://schemas.microsoft.com/office/drawing/2014/chart" uri="{C3380CC4-5D6E-409C-BE32-E72D297353CC}">
              <c16:uniqueId val="{00000004-050E-4C76-B86D-B3269E11B822}"/>
            </c:ext>
          </c:extLst>
        </c:ser>
        <c:ser>
          <c:idx val="6"/>
          <c:order val="5"/>
          <c:tx>
            <c:strRef>
              <c:f>Ig!$H$534</c:f>
              <c:strCache>
                <c:ptCount val="1"/>
                <c:pt idx="0">
                  <c:v>Diabetes</c:v>
                </c:pt>
              </c:strCache>
            </c:strRef>
          </c:tx>
          <c:spPr>
            <a:ln w="28575" cap="rnd">
              <a:solidFill>
                <a:schemeClr val="accent1">
                  <a:lumMod val="60000"/>
                </a:schemeClr>
              </a:solidFill>
              <a:round/>
            </a:ln>
            <a:effectLst/>
          </c:spPr>
          <c:marker>
            <c:symbol val="none"/>
          </c:marker>
          <c:cat>
            <c:numRef>
              <c:f>Ig!$B$535:$B$1054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Ig!$H$535:$H$1054</c:f>
              <c:numCache>
                <c:formatCode>#,##0</c:formatCode>
                <c:ptCount val="5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0.17426170618473294</c:v>
                </c:pt>
                <c:pt idx="22">
                  <c:v>0.34477325154220917</c:v>
                </c:pt>
                <c:pt idx="23">
                  <c:v>0.51162312221935047</c:v>
                </c:pt>
                <c:pt idx="24">
                  <c:v>0.67489752887440801</c:v>
                </c:pt>
                <c:pt idx="25">
                  <c:v>0.83468046690753817</c:v>
                </c:pt>
                <c:pt idx="26">
                  <c:v>0.99105377508519599</c:v>
                </c:pt>
                <c:pt idx="27">
                  <c:v>1.144097192601254</c:v>
                </c:pt>
                <c:pt idx="28">
                  <c:v>1.293888414616607</c:v>
                </c:pt>
                <c:pt idx="29">
                  <c:v>1.4405031463179068</c:v>
                </c:pt>
                <c:pt idx="30">
                  <c:v>1.584015155534984</c:v>
                </c:pt>
                <c:pt idx="31">
                  <c:v>1.7244963239554594</c:v>
                </c:pt>
                <c:pt idx="32">
                  <c:v>1.862016696974016</c:v>
                </c:pt>
                <c:pt idx="33">
                  <c:v>1.9966445322128028</c:v>
                </c:pt>
                <c:pt idx="34">
                  <c:v>2.1284463467484658</c:v>
                </c:pt>
                <c:pt idx="35">
                  <c:v>2.2574869630803538</c:v>
                </c:pt>
                <c:pt idx="36">
                  <c:v>2.3838295538735244</c:v>
                </c:pt>
                <c:pt idx="37">
                  <c:v>2.5075356855092741</c:v>
                </c:pt>
                <c:pt idx="38">
                  <c:v>2.6286653604750452</c:v>
                </c:pt>
                <c:pt idx="39">
                  <c:v>2.7472770586247073</c:v>
                </c:pt>
                <c:pt idx="40">
                  <c:v>2.8634277773393877</c:v>
                </c:pt>
                <c:pt idx="41">
                  <c:v>2.9771730706182167</c:v>
                </c:pt>
                <c:pt idx="42">
                  <c:v>3.0885670871275597</c:v>
                </c:pt>
                <c:pt idx="43">
                  <c:v>3.197662607236567</c:v>
                </c:pt>
                <c:pt idx="44">
                  <c:v>3.3045110790661045</c:v>
                </c:pt>
                <c:pt idx="45">
                  <c:v>3.4091626535774155</c:v>
                </c:pt>
                <c:pt idx="46">
                  <c:v>3.5116662187261669</c:v>
                </c:pt>
                <c:pt idx="47">
                  <c:v>3.6120694327068308</c:v>
                </c:pt>
                <c:pt idx="48">
                  <c:v>3.7104187563117046</c:v>
                </c:pt>
                <c:pt idx="49">
                  <c:v>3.8067594844282033</c:v>
                </c:pt>
                <c:pt idx="50">
                  <c:v>3.9011357766974468</c:v>
                </c:pt>
                <c:pt idx="51">
                  <c:v>3.9935906873565337</c:v>
                </c:pt>
                <c:pt idx="52">
                  <c:v>4.0841661942863023</c:v>
                </c:pt>
                <c:pt idx="53">
                  <c:v>4.1728799584664493</c:v>
                </c:pt>
                <c:pt idx="54">
                  <c:v>4.2585272479465708</c:v>
                </c:pt>
                <c:pt idx="55">
                  <c:v>4.3411924770356292</c:v>
                </c:pt>
                <c:pt idx="56">
                  <c:v>4.4209577948873573</c:v>
                </c:pt>
                <c:pt idx="57">
                  <c:v>4.4979031460830532</c:v>
                </c:pt>
                <c:pt idx="58">
                  <c:v>4.5721063295947646</c:v>
                </c:pt>
                <c:pt idx="59">
                  <c:v>4.6436430561721389</c:v>
                </c:pt>
                <c:pt idx="60">
                  <c:v>4.7125870041950977</c:v>
                </c:pt>
                <c:pt idx="61">
                  <c:v>4.7790098740333322</c:v>
                </c:pt>
                <c:pt idx="62">
                  <c:v>4.8429814409525456</c:v>
                </c:pt>
                <c:pt idx="63">
                  <c:v>4.9045696066062892</c:v>
                </c:pt>
                <c:pt idx="64">
                  <c:v>4.9638404491512018</c:v>
                </c:pt>
                <c:pt idx="65">
                  <c:v>5.0208582720224504</c:v>
                </c:pt>
                <c:pt idx="66">
                  <c:v>5.0756856514051929</c:v>
                </c:pt>
                <c:pt idx="67">
                  <c:v>5.1283834824369237</c:v>
                </c:pt>
                <c:pt idx="68">
                  <c:v>5.1790110241746099</c:v>
                </c:pt>
                <c:pt idx="69">
                  <c:v>5.2276259433596737</c:v>
                </c:pt>
                <c:pt idx="70">
                  <c:v>5.2742843570129185</c:v>
                </c:pt>
                <c:pt idx="71">
                  <c:v>5.3190408738907058</c:v>
                </c:pt>
                <c:pt idx="72">
                  <c:v>5.3619486348328147</c:v>
                </c:pt>
                <c:pt idx="73">
                  <c:v>5.4030593520316037</c:v>
                </c:pt>
                <c:pt idx="74">
                  <c:v>5.4424233472513297</c:v>
                </c:pt>
                <c:pt idx="75">
                  <c:v>5.4800895890256713</c:v>
                </c:pt>
                <c:pt idx="76">
                  <c:v>5.5161057288607847</c:v>
                </c:pt>
                <c:pt idx="77">
                  <c:v>5.5505181364704681</c:v>
                </c:pt>
                <c:pt idx="78">
                  <c:v>5.5833719340693122</c:v>
                </c:pt>
                <c:pt idx="79">
                  <c:v>5.6147110297490199</c:v>
                </c:pt>
                <c:pt idx="80">
                  <c:v>5.6445781499624079</c:v>
                </c:pt>
                <c:pt idx="81">
                  <c:v>5.6730148711389345</c:v>
                </c:pt>
                <c:pt idx="82">
                  <c:v>5.7000616504549786</c:v>
                </c:pt>
                <c:pt idx="83">
                  <c:v>5.7257578557814623</c:v>
                </c:pt>
                <c:pt idx="84">
                  <c:v>5.750141794830812</c:v>
                </c:pt>
                <c:pt idx="85">
                  <c:v>5.7732507435246543</c:v>
                </c:pt>
                <c:pt idx="86">
                  <c:v>5.7951209736030904</c:v>
                </c:pt>
                <c:pt idx="87">
                  <c:v>5.815787779495813</c:v>
                </c:pt>
                <c:pt idx="88">
                  <c:v>5.8352855044748013</c:v>
                </c:pt>
                <c:pt idx="89">
                  <c:v>5.8536475661078047</c:v>
                </c:pt>
                <c:pt idx="90">
                  <c:v>5.8709064810312981</c:v>
                </c:pt>
                <c:pt idx="91">
                  <c:v>5.8870938890611146</c:v>
                </c:pt>
                <c:pt idx="92">
                  <c:v>5.9022405766584409</c:v>
                </c:pt>
                <c:pt idx="93">
                  <c:v>5.9163764997684307</c:v>
                </c:pt>
                <c:pt idx="94">
                  <c:v>5.929530806048195</c:v>
                </c:pt>
                <c:pt idx="95">
                  <c:v>5.9417318565004908</c:v>
                </c:pt>
                <c:pt idx="96">
                  <c:v>5.9530072465290029</c:v>
                </c:pt>
                <c:pt idx="97">
                  <c:v>5.9633838264306824</c:v>
                </c:pt>
                <c:pt idx="98">
                  <c:v>5.9728877213401805</c:v>
                </c:pt>
                <c:pt idx="99">
                  <c:v>5.9815443506410357</c:v>
                </c:pt>
                <c:pt idx="100">
                  <c:v>5.9893784468578612</c:v>
                </c:pt>
                <c:pt idx="101">
                  <c:v>5.9964140740434146</c:v>
                </c:pt>
                <c:pt idx="102">
                  <c:v>6.0026746456740483</c:v>
                </c:pt>
                <c:pt idx="103">
                  <c:v>6.0081829420666821</c:v>
                </c:pt>
                <c:pt idx="104">
                  <c:v>6.0129611273300929</c:v>
                </c:pt>
                <c:pt idx="105">
                  <c:v>6.0169937135032843</c:v>
                </c:pt>
                <c:pt idx="106">
                  <c:v>6.0203386934062442</c:v>
                </c:pt>
                <c:pt idx="107">
                  <c:v>6.0230164920457039</c:v>
                </c:pt>
                <c:pt idx="108">
                  <c:v>6.0250469811243406</c:v>
                </c:pt>
                <c:pt idx="109">
                  <c:v>6.0264494938603912</c:v>
                </c:pt>
                <c:pt idx="110">
                  <c:v>6.0272428394109445</c:v>
                </c:pt>
                <c:pt idx="111">
                  <c:v>6.0274453169094713</c:v>
                </c:pt>
                <c:pt idx="112">
                  <c:v>6.0270747291279463</c:v>
                </c:pt>
                <c:pt idx="113">
                  <c:v>6.026148395773566</c:v>
                </c:pt>
                <c:pt idx="114">
                  <c:v>6.0246831664298588</c:v>
                </c:pt>
                <c:pt idx="115">
                  <c:v>6.0226954331516778</c:v>
                </c:pt>
                <c:pt idx="116">
                  <c:v>6.0202011427233417</c:v>
                </c:pt>
                <c:pt idx="117">
                  <c:v>6.017215808588932</c:v>
                </c:pt>
                <c:pt idx="118">
                  <c:v>6.0137545224634987</c:v>
                </c:pt>
                <c:pt idx="119">
                  <c:v>6.0098319656337269</c:v>
                </c:pt>
                <c:pt idx="120">
                  <c:v>6.0054624199563511</c:v>
                </c:pt>
                <c:pt idx="121">
                  <c:v>6.0006597785624081</c:v>
                </c:pt>
                <c:pt idx="122">
                  <c:v>5.995437556275192</c:v>
                </c:pt>
                <c:pt idx="123">
                  <c:v>5.9898088997495673</c:v>
                </c:pt>
                <c:pt idx="124">
                  <c:v>5.9837865973400888</c:v>
                </c:pt>
                <c:pt idx="125">
                  <c:v>5.9773830887051771</c:v>
                </c:pt>
                <c:pt idx="126">
                  <c:v>5.9706104741544213</c:v>
                </c:pt>
                <c:pt idx="127">
                  <c:v>5.9634805237458597</c:v>
                </c:pt>
                <c:pt idx="128">
                  <c:v>5.9560046861399316</c:v>
                </c:pt>
                <c:pt idx="129">
                  <c:v>5.9481940972166125</c:v>
                </c:pt>
                <c:pt idx="130">
                  <c:v>5.9400595884620548</c:v>
                </c:pt>
                <c:pt idx="131">
                  <c:v>5.9316116951309024</c:v>
                </c:pt>
                <c:pt idx="132">
                  <c:v>5.9228606641902797</c:v>
                </c:pt>
                <c:pt idx="133">
                  <c:v>5.9138164620512876</c:v>
                </c:pt>
                <c:pt idx="134">
                  <c:v>5.9044887820936927</c:v>
                </c:pt>
                <c:pt idx="135">
                  <c:v>5.8948870519893397</c:v>
                </c:pt>
                <c:pt idx="136">
                  <c:v>5.8850204408296625</c:v>
                </c:pt>
                <c:pt idx="137">
                  <c:v>5.874897866062545</c:v>
                </c:pt>
                <c:pt idx="138">
                  <c:v>5.8645280002436122</c:v>
                </c:pt>
                <c:pt idx="139">
                  <c:v>5.8539192776069351</c:v>
                </c:pt>
                <c:pt idx="140">
                  <c:v>5.8430799004599541</c:v>
                </c:pt>
                <c:pt idx="141">
                  <c:v>5.8320178454073455</c:v>
                </c:pt>
                <c:pt idx="142">
                  <c:v>5.8207408694083869</c:v>
                </c:pt>
                <c:pt idx="143">
                  <c:v>5.8092565156722777</c:v>
                </c:pt>
                <c:pt idx="144">
                  <c:v>5.7975721193957579</c:v>
                </c:pt>
                <c:pt idx="145">
                  <c:v>5.7856948133472281</c:v>
                </c:pt>
                <c:pt idx="146">
                  <c:v>5.7736315333014874</c:v>
                </c:pt>
                <c:pt idx="147">
                  <c:v>5.7613890233290705</c:v>
                </c:pt>
                <c:pt idx="148">
                  <c:v>5.7489738409440871</c:v>
                </c:pt>
                <c:pt idx="149">
                  <c:v>5.7363923621143336</c:v>
                </c:pt>
                <c:pt idx="150">
                  <c:v>5.7236507861373713</c:v>
                </c:pt>
                <c:pt idx="151">
                  <c:v>5.7107551403861487</c:v>
                </c:pt>
                <c:pt idx="152">
                  <c:v>5.6977112849276521</c:v>
                </c:pt>
                <c:pt idx="153">
                  <c:v>5.684524917017991</c:v>
                </c:pt>
                <c:pt idx="154">
                  <c:v>5.6712015754772205</c:v>
                </c:pt>
                <c:pt idx="155">
                  <c:v>5.6577466449471006</c:v>
                </c:pt>
                <c:pt idx="156">
                  <c:v>5.644165360034946</c:v>
                </c:pt>
                <c:pt idx="157">
                  <c:v>5.6304237878753822</c:v>
                </c:pt>
                <c:pt idx="158">
                  <c:v>5.6165660893546905</c:v>
                </c:pt>
                <c:pt idx="159">
                  <c:v>5.6025970750260745</c:v>
                </c:pt>
                <c:pt idx="160">
                  <c:v>5.5885214207756011</c:v>
                </c:pt>
                <c:pt idx="161">
                  <c:v>5.5743436714450514</c:v>
                </c:pt>
                <c:pt idx="162">
                  <c:v>5.5600682443578036</c:v>
                </c:pt>
                <c:pt idx="163">
                  <c:v>5.5456994327503466</c:v>
                </c:pt>
                <c:pt idx="164">
                  <c:v>5.5312414091119351</c:v>
                </c:pt>
                <c:pt idx="165">
                  <c:v>5.5166982284348594</c:v>
                </c:pt>
                <c:pt idx="166">
                  <c:v>5.5020738313777091</c:v>
                </c:pt>
                <c:pt idx="167">
                  <c:v>5.4873720473439676</c:v>
                </c:pt>
                <c:pt idx="168">
                  <c:v>5.4725965974781845</c:v>
                </c:pt>
                <c:pt idx="169">
                  <c:v>5.4577510975819559</c:v>
                </c:pt>
                <c:pt idx="170">
                  <c:v>5.4428390609518367</c:v>
                </c:pt>
                <c:pt idx="171">
                  <c:v>5.4278639011412837</c:v>
                </c:pt>
                <c:pt idx="172">
                  <c:v>5.4128289346486547</c:v>
                </c:pt>
                <c:pt idx="173">
                  <c:v>5.3977373835332516</c:v>
                </c:pt>
                <c:pt idx="174">
                  <c:v>5.382592377961319</c:v>
                </c:pt>
                <c:pt idx="175">
                  <c:v>5.3673969586838837</c:v>
                </c:pt>
                <c:pt idx="176">
                  <c:v>5.3521540794482512</c:v>
                </c:pt>
                <c:pt idx="177">
                  <c:v>5.336866609344936</c:v>
                </c:pt>
                <c:pt idx="178">
                  <c:v>5.3215373350917528</c:v>
                </c:pt>
                <c:pt idx="179">
                  <c:v>5.3061689632567512</c:v>
                </c:pt>
                <c:pt idx="180">
                  <c:v>5.290764122421626</c:v>
                </c:pt>
                <c:pt idx="181">
                  <c:v>5.2753253652871965</c:v>
                </c:pt>
                <c:pt idx="182">
                  <c:v>5.2598551707225054</c:v>
                </c:pt>
                <c:pt idx="183">
                  <c:v>5.2443559457590512</c:v>
                </c:pt>
                <c:pt idx="184">
                  <c:v>5.2288300275316058</c:v>
                </c:pt>
                <c:pt idx="185">
                  <c:v>5.2132796851670644</c:v>
                </c:pt>
                <c:pt idx="186">
                  <c:v>5.1977071216227024</c:v>
                </c:pt>
                <c:pt idx="187">
                  <c:v>5.1821144754752098</c:v>
                </c:pt>
                <c:pt idx="188">
                  <c:v>5.1665038226617988</c:v>
                </c:pt>
                <c:pt idx="189">
                  <c:v>5.1508771781746843</c:v>
                </c:pt>
                <c:pt idx="190">
                  <c:v>5.1352364977101761</c:v>
                </c:pt>
                <c:pt idx="191">
                  <c:v>5.1195836792735969</c:v>
                </c:pt>
                <c:pt idx="192">
                  <c:v>5.103920564741216</c:v>
                </c:pt>
                <c:pt idx="193">
                  <c:v>5.0882489413803338</c:v>
                </c:pt>
                <c:pt idx="194">
                  <c:v>5.0725705433286494</c:v>
                </c:pt>
                <c:pt idx="195">
                  <c:v>5.0568870530339964</c:v>
                </c:pt>
                <c:pt idx="196">
                  <c:v>5.0412001026555062</c:v>
                </c:pt>
                <c:pt idx="197">
                  <c:v>5.0255112754272311</c:v>
                </c:pt>
                <c:pt idx="198">
                  <c:v>5.0098221069852293</c:v>
                </c:pt>
                <c:pt idx="199">
                  <c:v>4.9941340866590966</c:v>
                </c:pt>
                <c:pt idx="200">
                  <c:v>4.978448658728885</c:v>
                </c:pt>
                <c:pt idx="201">
                  <c:v>4.9627672236483447</c:v>
                </c:pt>
                <c:pt idx="202">
                  <c:v>4.9470911392353836</c:v>
                </c:pt>
                <c:pt idx="203">
                  <c:v>4.9314217218306231</c:v>
                </c:pt>
                <c:pt idx="204">
                  <c:v>4.9157602474249051</c:v>
                </c:pt>
                <c:pt idx="205">
                  <c:v>4.9001079527565778</c:v>
                </c:pt>
                <c:pt idx="206">
                  <c:v>4.8844660363793722</c:v>
                </c:pt>
                <c:pt idx="207">
                  <c:v>4.8688356597016558</c:v>
                </c:pt>
                <c:pt idx="208">
                  <c:v>4.853217947997825</c:v>
                </c:pt>
                <c:pt idx="209">
                  <c:v>4.8375785956206716</c:v>
                </c:pt>
                <c:pt idx="210">
                  <c:v>4.8219542836040903</c:v>
                </c:pt>
                <c:pt idx="211">
                  <c:v>4.8063460342393611</c:v>
                </c:pt>
                <c:pt idx="212">
                  <c:v>4.7907548374373086</c:v>
                </c:pt>
                <c:pt idx="213">
                  <c:v>4.7751816516123213</c:v>
                </c:pt>
                <c:pt idx="214">
                  <c:v>4.7596274045426581</c:v>
                </c:pt>
                <c:pt idx="215">
                  <c:v>4.7440929942076799</c:v>
                </c:pt>
                <c:pt idx="216">
                  <c:v>4.7285792896026164</c:v>
                </c:pt>
                <c:pt idx="217">
                  <c:v>4.7130871315314771</c:v>
                </c:pt>
                <c:pt idx="218">
                  <c:v>4.6976173333786884</c:v>
                </c:pt>
                <c:pt idx="219">
                  <c:v>4.6821706818600246</c:v>
                </c:pt>
                <c:pt idx="220">
                  <c:v>4.6667479377533923</c:v>
                </c:pt>
                <c:pt idx="221">
                  <c:v>4.6513498366099961</c:v>
                </c:pt>
                <c:pt idx="222">
                  <c:v>4.6359770894464241</c:v>
                </c:pt>
                <c:pt idx="223">
                  <c:v>4.6206303834181597</c:v>
                </c:pt>
                <c:pt idx="224">
                  <c:v>4.6053103824750057</c:v>
                </c:pt>
                <c:pt idx="225">
                  <c:v>4.5900177279989256</c:v>
                </c:pt>
                <c:pt idx="226">
                  <c:v>4.5747530394247526</c:v>
                </c:pt>
                <c:pt idx="227">
                  <c:v>4.5595169148442363</c:v>
                </c:pt>
                <c:pt idx="228">
                  <c:v>4.5443099315938689</c:v>
                </c:pt>
                <c:pt idx="229">
                  <c:v>4.5291326468269304</c:v>
                </c:pt>
                <c:pt idx="230">
                  <c:v>4.5139855980701649</c:v>
                </c:pt>
                <c:pt idx="231">
                  <c:v>4.4988693037655114</c:v>
                </c:pt>
                <c:pt idx="232">
                  <c:v>4.48378426379728</c:v>
                </c:pt>
                <c:pt idx="233">
                  <c:v>4.468730960005165</c:v>
                </c:pt>
                <c:pt idx="234">
                  <c:v>4.4537098566834796</c:v>
                </c:pt>
                <c:pt idx="235">
                  <c:v>4.4387214010669718</c:v>
                </c:pt>
                <c:pt idx="236">
                  <c:v>4.423766023803589</c:v>
                </c:pt>
                <c:pt idx="237">
                  <c:v>4.4088441394145388</c:v>
                </c:pt>
                <c:pt idx="238">
                  <c:v>4.3939561467419797</c:v>
                </c:pt>
                <c:pt idx="239">
                  <c:v>4.3791024293846812</c:v>
                </c:pt>
                <c:pt idx="240">
                  <c:v>4.3642833561219687</c:v>
                </c:pt>
                <c:pt idx="241">
                  <c:v>4.3494992813262758</c:v>
                </c:pt>
                <c:pt idx="242">
                  <c:v>4.3347505453645958</c:v>
                </c:pt>
                <c:pt idx="243">
                  <c:v>4.3200374749891415</c:v>
                </c:pt>
                <c:pt idx="244">
                  <c:v>4.3053603837174963</c:v>
                </c:pt>
                <c:pt idx="245">
                  <c:v>4.2907195722025397</c:v>
                </c:pt>
                <c:pt idx="246">
                  <c:v>4.2761153285924207</c:v>
                </c:pt>
                <c:pt idx="247">
                  <c:v>4.2615479288808418</c:v>
                </c:pt>
                <c:pt idx="248">
                  <c:v>4.2470176372479234</c:v>
                </c:pt>
                <c:pt idx="249">
                  <c:v>4.2325247063918869</c:v>
                </c:pt>
                <c:pt idx="250">
                  <c:v>4.2180693778518137</c:v>
                </c:pt>
                <c:pt idx="251">
                  <c:v>4.2036518823217106</c:v>
                </c:pt>
                <c:pt idx="252">
                  <c:v>4.1892724399561256</c:v>
                </c:pt>
                <c:pt idx="253">
                  <c:v>4.1749312606675248</c:v>
                </c:pt>
                <c:pt idx="254">
                  <c:v>4.1606285444156645</c:v>
                </c:pt>
                <c:pt idx="255">
                  <c:v>4.1463644814891651</c:v>
                </c:pt>
                <c:pt idx="256">
                  <c:v>4.1321392527795018</c:v>
                </c:pt>
                <c:pt idx="257">
                  <c:v>4.1179530300476062</c:v>
                </c:pt>
                <c:pt idx="258">
                  <c:v>4.1038059761832866</c:v>
                </c:pt>
                <c:pt idx="259">
                  <c:v>4.0896982454576536</c:v>
                </c:pt>
                <c:pt idx="260">
                  <c:v>4.0756299837687378</c:v>
                </c:pt>
                <c:pt idx="261">
                  <c:v>4.0618036193984288</c:v>
                </c:pt>
                <c:pt idx="262">
                  <c:v>4.0482442122489672</c:v>
                </c:pt>
                <c:pt idx="263">
                  <c:v>4.0349447300682728</c:v>
                </c:pt>
                <c:pt idx="264">
                  <c:v>4.0218983286653023</c:v>
                </c:pt>
                <c:pt idx="265">
                  <c:v>4.0090983468777015</c:v>
                </c:pt>
                <c:pt idx="266">
                  <c:v>3.9965383016741223</c:v>
                </c:pt>
                <c:pt idx="267">
                  <c:v>3.9842118833876095</c:v>
                </c:pt>
                <c:pt idx="268">
                  <c:v>3.9721129510765314</c:v>
                </c:pt>
                <c:pt idx="269">
                  <c:v>3.9602355280096564</c:v>
                </c:pt>
                <c:pt idx="270">
                  <c:v>3.9485737972720441</c:v>
                </c:pt>
                <c:pt idx="271">
                  <c:v>3.9371220974885248</c:v>
                </c:pt>
                <c:pt idx="272">
                  <c:v>3.9258749186616173</c:v>
                </c:pt>
                <c:pt idx="273">
                  <c:v>3.9148268981208196</c:v>
                </c:pt>
                <c:pt idx="274">
                  <c:v>3.903972816580302</c:v>
                </c:pt>
                <c:pt idx="275">
                  <c:v>3.8933075943020876</c:v>
                </c:pt>
                <c:pt idx="276">
                  <c:v>3.882826287361913</c:v>
                </c:pt>
                <c:pt idx="277">
                  <c:v>3.8725240840150073</c:v>
                </c:pt>
                <c:pt idx="278">
                  <c:v>3.8623963011591256</c:v>
                </c:pt>
                <c:pt idx="279">
                  <c:v>3.8524383808922296</c:v>
                </c:pt>
                <c:pt idx="280">
                  <c:v>3.8426458871622842</c:v>
                </c:pt>
                <c:pt idx="281">
                  <c:v>3.8330145025067042</c:v>
                </c:pt>
                <c:pt idx="282">
                  <c:v>3.823540024879053</c:v>
                </c:pt>
                <c:pt idx="283">
                  <c:v>3.8142183645606575</c:v>
                </c:pt>
                <c:pt idx="284">
                  <c:v>3.8050455411548709</c:v>
                </c:pt>
                <c:pt idx="285">
                  <c:v>3.7960176806617603</c:v>
                </c:pt>
                <c:pt idx="286">
                  <c:v>3.7871310126310842</c:v>
                </c:pt>
                <c:pt idx="287">
                  <c:v>3.7783818673914489</c:v>
                </c:pt>
                <c:pt idx="288">
                  <c:v>3.7697666733536161</c:v>
                </c:pt>
                <c:pt idx="289">
                  <c:v>3.7612819543859701</c:v>
                </c:pt>
                <c:pt idx="290">
                  <c:v>3.7529243272602195</c:v>
                </c:pt>
                <c:pt idx="291">
                  <c:v>3.7446904991654488</c:v>
                </c:pt>
                <c:pt idx="292">
                  <c:v>3.7365772652886955</c:v>
                </c:pt>
                <c:pt idx="293">
                  <c:v>3.7285815064602694</c:v>
                </c:pt>
                <c:pt idx="294">
                  <c:v>3.7207001868620826</c:v>
                </c:pt>
                <c:pt idx="295">
                  <c:v>3.7129303517973042</c:v>
                </c:pt>
                <c:pt idx="296">
                  <c:v>3.7052691255196972</c:v>
                </c:pt>
                <c:pt idx="297">
                  <c:v>3.6977137091210435</c:v>
                </c:pt>
                <c:pt idx="298">
                  <c:v>3.6902613784750997</c:v>
                </c:pt>
                <c:pt idx="299">
                  <c:v>3.6829094822365738</c:v>
                </c:pt>
                <c:pt idx="300">
                  <c:v>3.6756554398936458</c:v>
                </c:pt>
                <c:pt idx="301">
                  <c:v>3.6684967398726047</c:v>
                </c:pt>
                <c:pt idx="302">
                  <c:v>3.6614309376932037</c:v>
                </c:pt>
                <c:pt idx="303">
                  <c:v>3.6544556541733786</c:v>
                </c:pt>
                <c:pt idx="304">
                  <c:v>3.6475685736820078</c:v>
                </c:pt>
                <c:pt idx="305">
                  <c:v>3.640767442438424</c:v>
                </c:pt>
                <c:pt idx="306">
                  <c:v>3.6340500668574363</c:v>
                </c:pt>
                <c:pt idx="307">
                  <c:v>3.6274143119386348</c:v>
                </c:pt>
                <c:pt idx="308">
                  <c:v>3.6208580996988</c:v>
                </c:pt>
                <c:pt idx="309">
                  <c:v>3.6143794076462568</c:v>
                </c:pt>
                <c:pt idx="310">
                  <c:v>3.6079762672960567</c:v>
                </c:pt>
                <c:pt idx="311">
                  <c:v>3.6016467627248945</c:v>
                </c:pt>
                <c:pt idx="312">
                  <c:v>3.5953890291646919</c:v>
                </c:pt>
                <c:pt idx="313">
                  <c:v>3.5891718697938577</c:v>
                </c:pt>
                <c:pt idx="314">
                  <c:v>3.5830230011939541</c:v>
                </c:pt>
                <c:pt idx="315">
                  <c:v>3.576940702337577</c:v>
                </c:pt>
                <c:pt idx="316">
                  <c:v>3.5709232981487813</c:v>
                </c:pt>
                <c:pt idx="317">
                  <c:v>3.5649691582731906</c:v>
                </c:pt>
                <c:pt idx="318">
                  <c:v>3.5590766958810272</c:v>
                </c:pt>
                <c:pt idx="319">
                  <c:v>3.5532443665021831</c:v>
                </c:pt>
                <c:pt idx="320">
                  <c:v>3.5474706668924738</c:v>
                </c:pt>
                <c:pt idx="321">
                  <c:v>3.5417541339302381</c:v>
                </c:pt>
                <c:pt idx="322">
                  <c:v>3.5360933435424751</c:v>
                </c:pt>
                <c:pt idx="323">
                  <c:v>3.5304869096597238</c:v>
                </c:pt>
                <c:pt idx="324">
                  <c:v>3.5249334831989216</c:v>
                </c:pt>
                <c:pt idx="325">
                  <c:v>3.5194317510734852</c:v>
                </c:pt>
                <c:pt idx="326">
                  <c:v>3.5139804352298922</c:v>
                </c:pt>
                <c:pt idx="327">
                  <c:v>3.5085782917100503</c:v>
                </c:pt>
                <c:pt idx="328">
                  <c:v>3.5032241097387637</c:v>
                </c:pt>
                <c:pt idx="329">
                  <c:v>3.4979167108356273</c:v>
                </c:pt>
                <c:pt idx="330">
                  <c:v>3.4926549479506916</c:v>
                </c:pt>
                <c:pt idx="331">
                  <c:v>3.4874377046232672</c:v>
                </c:pt>
                <c:pt idx="332">
                  <c:v>3.4822638941632418</c:v>
                </c:pt>
                <c:pt idx="333">
                  <c:v>3.4771324588543138</c:v>
                </c:pt>
                <c:pt idx="334">
                  <c:v>3.4720423691785522</c:v>
                </c:pt>
                <c:pt idx="335">
                  <c:v>3.4669926230617163</c:v>
                </c:pt>
                <c:pt idx="336">
                  <c:v>3.4619822451387718</c:v>
                </c:pt>
                <c:pt idx="337">
                  <c:v>3.4570102860390697</c:v>
                </c:pt>
                <c:pt idx="338">
                  <c:v>3.4520758216906597</c:v>
                </c:pt>
                <c:pt idx="339">
                  <c:v>3.4471779526432242</c:v>
                </c:pt>
                <c:pt idx="340">
                  <c:v>3.4423158034091372</c:v>
                </c:pt>
                <c:pt idx="341">
                  <c:v>3.4374885218221585</c:v>
                </c:pt>
                <c:pt idx="342">
                  <c:v>3.432695278413298</c:v>
                </c:pt>
                <c:pt idx="343">
                  <c:v>3.4279352658033835</c:v>
                </c:pt>
                <c:pt idx="344">
                  <c:v>3.4232076981118893</c:v>
                </c:pt>
                <c:pt idx="345">
                  <c:v>3.418511810381589</c:v>
                </c:pt>
                <c:pt idx="346">
                  <c:v>3.413846858018609</c:v>
                </c:pt>
                <c:pt idx="347">
                  <c:v>3.4092121162474696</c:v>
                </c:pt>
                <c:pt idx="348">
                  <c:v>3.4046068795807134</c:v>
                </c:pt>
                <c:pt idx="349">
                  <c:v>3.4000304613027321</c:v>
                </c:pt>
                <c:pt idx="350">
                  <c:v>3.3954821929674077</c:v>
                </c:pt>
                <c:pt idx="351">
                  <c:v>3.3909614239092023</c:v>
                </c:pt>
                <c:pt idx="352">
                  <c:v>3.3864675207673329</c:v>
                </c:pt>
                <c:pt idx="353">
                  <c:v>3.3819998670226852</c:v>
                </c:pt>
                <c:pt idx="354">
                  <c:v>3.3775578625471208</c:v>
                </c:pt>
                <c:pt idx="355">
                  <c:v>3.3731409231648506</c:v>
                </c:pt>
                <c:pt idx="356">
                  <c:v>3.3687484802255474</c:v>
                </c:pt>
                <c:pt idx="357">
                  <c:v>3.3643799801888856</c:v>
                </c:pt>
                <c:pt idx="358">
                  <c:v>3.3600348842202008</c:v>
                </c:pt>
                <c:pt idx="359">
                  <c:v>3.355712667796976</c:v>
                </c:pt>
                <c:pt idx="360">
                  <c:v>3.3514128203258555</c:v>
                </c:pt>
                <c:pt idx="361">
                  <c:v>3.3471348447699167</c:v>
                </c:pt>
                <c:pt idx="362">
                  <c:v>3.3428782572859141</c:v>
                </c:pt>
                <c:pt idx="363">
                  <c:v>3.3386425868712348</c:v>
                </c:pt>
                <c:pt idx="364">
                  <c:v>3.3344273750203044</c:v>
                </c:pt>
                <c:pt idx="365">
                  <c:v>3.3302026490488563</c:v>
                </c:pt>
                <c:pt idx="366">
                  <c:v>3.3259975759531746</c:v>
                </c:pt>
                <c:pt idx="367">
                  <c:v>3.321811732212713</c:v>
                </c:pt>
                <c:pt idx="368">
                  <c:v>3.3176447055344078</c:v>
                </c:pt>
                <c:pt idx="369">
                  <c:v>3.3134960945521712</c:v>
                </c:pt>
                <c:pt idx="370">
                  <c:v>3.3093655085344302</c:v>
                </c:pt>
                <c:pt idx="371">
                  <c:v>3.3052525670994961</c:v>
                </c:pt>
                <c:pt idx="372">
                  <c:v>3.3011568999385554</c:v>
                </c:pt>
                <c:pt idx="373">
                  <c:v>3.2970781465460792</c:v>
                </c:pt>
                <c:pt idx="374">
                  <c:v>3.2930159559574479</c:v>
                </c:pt>
                <c:pt idx="375">
                  <c:v>3.2889699864936053</c:v>
                </c:pt>
                <c:pt idx="376">
                  <c:v>3.2849399055125472</c:v>
                </c:pt>
                <c:pt idx="377">
                  <c:v>3.2809253891674639</c:v>
                </c:pt>
                <c:pt idx="378">
                  <c:v>3.2769261221713601</c:v>
                </c:pt>
                <c:pt idx="379">
                  <c:v>3.2729417975679764</c:v>
                </c:pt>
                <c:pt idx="380">
                  <c:v>3.2689721165088454</c:v>
                </c:pt>
                <c:pt idx="381">
                  <c:v>3.2650167880363159</c:v>
                </c:pt>
                <c:pt idx="382">
                  <c:v>3.2610755288723876</c:v>
                </c:pt>
                <c:pt idx="383">
                  <c:v>3.2571480632132008</c:v>
                </c:pt>
                <c:pt idx="384">
                  <c:v>3.2532341225290273</c:v>
                </c:pt>
                <c:pt idx="385">
                  <c:v>3.2493334453696168</c:v>
                </c:pt>
                <c:pt idx="386">
                  <c:v>3.2454457771747558</c:v>
                </c:pt>
                <c:pt idx="387">
                  <c:v>3.2415708700899004</c:v>
                </c:pt>
                <c:pt idx="388">
                  <c:v>3.2377084827867422</c:v>
                </c:pt>
                <c:pt idx="389">
                  <c:v>3.2338583802885812</c:v>
                </c:pt>
                <c:pt idx="390">
                  <c:v>3.2300203338003741</c:v>
                </c:pt>
                <c:pt idx="391">
                  <c:v>3.2261941205433344</c:v>
                </c:pt>
                <c:pt idx="392">
                  <c:v>3.2223795235939559</c:v>
                </c:pt>
                <c:pt idx="393">
                  <c:v>3.2185763317273537</c:v>
                </c:pt>
                <c:pt idx="394">
                  <c:v>3.2147843392647943</c:v>
                </c:pt>
                <c:pt idx="395">
                  <c:v>3.2110033459253113</c:v>
                </c:pt>
                <c:pt idx="396">
                  <c:v>3.2072331566812933</c:v>
                </c:pt>
                <c:pt idx="397">
                  <c:v>3.2034735816179376</c:v>
                </c:pt>
                <c:pt idx="398">
                  <c:v>3.199724435796468</c:v>
                </c:pt>
                <c:pt idx="399">
                  <c:v>3.1959855391210139</c:v>
                </c:pt>
                <c:pt idx="400">
                  <c:v>3.1922567162090556</c:v>
                </c:pt>
                <c:pt idx="401">
                  <c:v>3.1885377962653378</c:v>
                </c:pt>
                <c:pt idx="402">
                  <c:v>3.1848286129591585</c:v>
                </c:pt>
                <c:pt idx="403">
                  <c:v>3.1811290043049429</c:v>
                </c:pt>
                <c:pt idx="404">
                  <c:v>3.1774388125460176</c:v>
                </c:pt>
                <c:pt idx="405">
                  <c:v>3.1737578840414931</c:v>
                </c:pt>
                <c:pt idx="406">
                  <c:v>3.1700860691561794</c:v>
                </c:pt>
                <c:pt idx="407">
                  <c:v>3.166423222153445</c:v>
                </c:pt>
                <c:pt idx="408">
                  <c:v>3.1627692010909465</c:v>
                </c:pt>
                <c:pt idx="409">
                  <c:v>3.1591238677191509</c:v>
                </c:pt>
                <c:pt idx="410">
                  <c:v>3.1554870873825736</c:v>
                </c:pt>
                <c:pt idx="411">
                  <c:v>3.1518587289236604</c:v>
                </c:pt>
                <c:pt idx="412">
                  <c:v>3.1482386645892451</c:v>
                </c:pt>
                <c:pt idx="413">
                  <c:v>3.1446267699395101</c:v>
                </c:pt>
                <c:pt idx="414">
                  <c:v>3.1410229237593836</c:v>
                </c:pt>
                <c:pt idx="415">
                  <c:v>3.1374270079723128</c:v>
                </c:pt>
                <c:pt idx="416">
                  <c:v>3.1338389075563415</c:v>
                </c:pt>
                <c:pt idx="417">
                  <c:v>3.130227710731909</c:v>
                </c:pt>
                <c:pt idx="418">
                  <c:v>3.1266241795820191</c:v>
                </c:pt>
                <c:pt idx="419">
                  <c:v>3.1230282075190683</c:v>
                </c:pt>
                <c:pt idx="420">
                  <c:v>3.1194396907010264</c:v>
                </c:pt>
                <c:pt idx="421">
                  <c:v>3.1158585279580162</c:v>
                </c:pt>
                <c:pt idx="422">
                  <c:v>3.1122846207208568</c:v>
                </c:pt>
                <c:pt idx="423">
                  <c:v>3.1087178729515248</c:v>
                </c:pt>
                <c:pt idx="424">
                  <c:v>3.1051581910754735</c:v>
                </c:pt>
                <c:pt idx="425">
                  <c:v>3.1016054839157685</c:v>
                </c:pt>
                <c:pt idx="426">
                  <c:v>3.0980596626289851</c:v>
                </c:pt>
                <c:pt idx="427">
                  <c:v>3.0945206406428252</c:v>
                </c:pt>
                <c:pt idx="428">
                  <c:v>3.0909883335954018</c:v>
                </c:pt>
                <c:pt idx="429">
                  <c:v>3.0874626592761518</c:v>
                </c:pt>
                <c:pt idx="430">
                  <c:v>3.0839435375683308</c:v>
                </c:pt>
                <c:pt idx="431">
                  <c:v>3.0804308903930493</c:v>
                </c:pt>
                <c:pt idx="432">
                  <c:v>3.0769246416548048</c:v>
                </c:pt>
                <c:pt idx="433">
                  <c:v>3.073424717188475</c:v>
                </c:pt>
                <c:pt idx="434">
                  <c:v>3.0699310447077321</c:v>
                </c:pt>
                <c:pt idx="435">
                  <c:v>3.0664435537548349</c:v>
                </c:pt>
                <c:pt idx="436">
                  <c:v>3.0629621756517693</c:v>
                </c:pt>
                <c:pt idx="437">
                  <c:v>3.0594868434526945</c:v>
                </c:pt>
                <c:pt idx="438">
                  <c:v>3.0560174918976655</c:v>
                </c:pt>
                <c:pt idx="439">
                  <c:v>3.0525540573675922</c:v>
                </c:pt>
                <c:pt idx="440">
                  <c:v>3.0490964778404077</c:v>
                </c:pt>
                <c:pt idx="441">
                  <c:v>3.0456446928484078</c:v>
                </c:pt>
                <c:pt idx="442">
                  <c:v>3.0421986434367363</c:v>
                </c:pt>
                <c:pt idx="443">
                  <c:v>3.0387582721229793</c:v>
                </c:pt>
                <c:pt idx="444">
                  <c:v>3.0353235228578432</c:v>
                </c:pt>
                <c:pt idx="445">
                  <c:v>3.031894340986883</c:v>
                </c:pt>
                <c:pt idx="446">
                  <c:v>3.028470673213262</c:v>
                </c:pt>
                <c:pt idx="447">
                  <c:v>3.0250524675615029</c:v>
                </c:pt>
                <c:pt idx="448">
                  <c:v>3.02163967334221</c:v>
                </c:pt>
                <c:pt idx="449">
                  <c:v>3.0182322411177411</c:v>
                </c:pt>
                <c:pt idx="450">
                  <c:v>3.0148301226687941</c:v>
                </c:pt>
                <c:pt idx="451">
                  <c:v>3.0114332709618887</c:v>
                </c:pt>
                <c:pt idx="452">
                  <c:v>3.0080416401177223</c:v>
                </c:pt>
                <c:pt idx="453">
                  <c:v>3.0046551853803716</c:v>
                </c:pt>
                <c:pt idx="454">
                  <c:v>3.0012738630873157</c:v>
                </c:pt>
                <c:pt idx="455">
                  <c:v>2.9978976306402703</c:v>
                </c:pt>
                <c:pt idx="456">
                  <c:v>2.994526446476792</c:v>
                </c:pt>
                <c:pt idx="457">
                  <c:v>2.9911602700426534</c:v>
                </c:pt>
                <c:pt idx="458">
                  <c:v>2.9877990617649508</c:v>
                </c:pt>
                <c:pt idx="459">
                  <c:v>2.9844427830259379</c:v>
                </c:pt>
                <c:pt idx="460">
                  <c:v>2.9810913961375531</c:v>
                </c:pt>
                <c:pt idx="461">
                  <c:v>2.9777448643166369</c:v>
                </c:pt>
                <c:pt idx="462">
                  <c:v>2.9744031516608067</c:v>
                </c:pt>
                <c:pt idx="463">
                  <c:v>2.971066223124982</c:v>
                </c:pt>
                <c:pt idx="464">
                  <c:v>2.9677340444985352</c:v>
                </c:pt>
                <c:pt idx="465">
                  <c:v>2.964406582383055</c:v>
                </c:pt>
                <c:pt idx="466">
                  <c:v>2.9610838041707086</c:v>
                </c:pt>
                <c:pt idx="467">
                  <c:v>2.9577656780231778</c:v>
                </c:pt>
                <c:pt idx="468">
                  <c:v>2.9544521728511635</c:v>
                </c:pt>
                <c:pt idx="469">
                  <c:v>2.9511101997849383</c:v>
                </c:pt>
                <c:pt idx="470">
                  <c:v>2.9477728630482654</c:v>
                </c:pt>
                <c:pt idx="471">
                  <c:v>2.9444401334997776</c:v>
                </c:pt>
                <c:pt idx="472">
                  <c:v>2.9411119826725067</c:v>
                </c:pt>
                <c:pt idx="473">
                  <c:v>2.9377883827559321</c:v>
                </c:pt>
                <c:pt idx="474">
                  <c:v>2.9344693065785084</c:v>
                </c:pt>
                <c:pt idx="475">
                  <c:v>2.9311547275906631</c:v>
                </c:pt>
                <c:pt idx="476">
                  <c:v>2.9278446198482473</c:v>
                </c:pt>
                <c:pt idx="477">
                  <c:v>2.9245389579964312</c:v>
                </c:pt>
                <c:pt idx="478">
                  <c:v>2.9212377172540309</c:v>
                </c:pt>
                <c:pt idx="479">
                  <c:v>2.9179408733982548</c:v>
                </c:pt>
                <c:pt idx="480">
                  <c:v>2.9146484027498594</c:v>
                </c:pt>
                <c:pt idx="481">
                  <c:v>2.9113602821587019</c:v>
                </c:pt>
                <c:pt idx="482">
                  <c:v>2.9080764889896789</c:v>
                </c:pt>
                <c:pt idx="483">
                  <c:v>2.9047970011090447</c:v>
                </c:pt>
                <c:pt idx="484">
                  <c:v>2.9015217968710934</c:v>
                </c:pt>
                <c:pt idx="485">
                  <c:v>2.8982508551051982</c:v>
                </c:pt>
                <c:pt idx="486">
                  <c:v>2.8949841551031987</c:v>
                </c:pt>
                <c:pt idx="487">
                  <c:v>2.8917216766071254</c:v>
                </c:pt>
                <c:pt idx="488">
                  <c:v>2.8884633997972538</c:v>
                </c:pt>
                <c:pt idx="489">
                  <c:v>2.8852093052804784</c:v>
                </c:pt>
                <c:pt idx="490">
                  <c:v>2.8819593740789959</c:v>
                </c:pt>
                <c:pt idx="491">
                  <c:v>2.8787135876192949</c:v>
                </c:pt>
                <c:pt idx="492">
                  <c:v>2.8754719277214389</c:v>
                </c:pt>
                <c:pt idx="493">
                  <c:v>2.8722343765886342</c:v>
                </c:pt>
                <c:pt idx="494">
                  <c:v>2.869000916797082</c:v>
                </c:pt>
                <c:pt idx="495">
                  <c:v>2.8657715312860987</c:v>
                </c:pt>
                <c:pt idx="496">
                  <c:v>2.8625462033485016</c:v>
                </c:pt>
                <c:pt idx="497">
                  <c:v>2.8593249166212522</c:v>
                </c:pt>
                <c:pt idx="498">
                  <c:v>2.8561076550763502</c:v>
                </c:pt>
                <c:pt idx="499">
                  <c:v>2.8528944030119718</c:v>
                </c:pt>
                <c:pt idx="500">
                  <c:v>2.8496851450438445</c:v>
                </c:pt>
                <c:pt idx="501">
                  <c:v>2.8464798660968533</c:v>
                </c:pt>
                <c:pt idx="502">
                  <c:v>2.8432785513968719</c:v>
                </c:pt>
                <c:pt idx="503">
                  <c:v>2.8400811864628133</c:v>
                </c:pt>
                <c:pt idx="504">
                  <c:v>2.8368877570988893</c:v>
                </c:pt>
                <c:pt idx="505">
                  <c:v>2.8336982493870853</c:v>
                </c:pt>
                <c:pt idx="506">
                  <c:v>2.8305126496798274</c:v>
                </c:pt>
                <c:pt idx="507">
                  <c:v>2.8273309445928523</c:v>
                </c:pt>
                <c:pt idx="508">
                  <c:v>2.8241531209982664</c:v>
                </c:pt>
                <c:pt idx="509">
                  <c:v>2.8209791660177892</c:v>
                </c:pt>
                <c:pt idx="510">
                  <c:v>2.8178090670161797</c:v>
                </c:pt>
                <c:pt idx="511">
                  <c:v>2.8146428115948376</c:v>
                </c:pt>
                <c:pt idx="512">
                  <c:v>2.8114803875855765</c:v>
                </c:pt>
                <c:pt idx="513">
                  <c:v>2.8083217830445641</c:v>
                </c:pt>
                <c:pt idx="514">
                  <c:v>2.8051669862464226</c:v>
                </c:pt>
                <c:pt idx="515">
                  <c:v>2.8020159856784903</c:v>
                </c:pt>
                <c:pt idx="516">
                  <c:v>2.7988687700352335</c:v>
                </c:pt>
                <c:pt idx="517">
                  <c:v>2.7957253282128107</c:v>
                </c:pt>
                <c:pt idx="518">
                  <c:v>2.7925856493037822</c:v>
                </c:pt>
                <c:pt idx="519">
                  <c:v>2.7894497225919572</c:v>
                </c:pt>
              </c:numCache>
            </c:numRef>
          </c:val>
          <c:smooth val="0"/>
          <c:extLst>
            <c:ext xmlns:c16="http://schemas.microsoft.com/office/drawing/2014/chart" uri="{C3380CC4-5D6E-409C-BE32-E72D297353CC}">
              <c16:uniqueId val="{00000005-050E-4C76-B86D-B3269E11B822}"/>
            </c:ext>
          </c:extLst>
        </c:ser>
        <c:ser>
          <c:idx val="7"/>
          <c:order val="6"/>
          <c:tx>
            <c:strRef>
              <c:f>Ig!$I$534</c:f>
              <c:strCache>
                <c:ptCount val="1"/>
                <c:pt idx="0">
                  <c:v>Cataract</c:v>
                </c:pt>
              </c:strCache>
            </c:strRef>
          </c:tx>
          <c:spPr>
            <a:ln w="28575" cap="rnd">
              <a:solidFill>
                <a:schemeClr val="accent2">
                  <a:lumMod val="60000"/>
                </a:schemeClr>
              </a:solidFill>
              <a:round/>
            </a:ln>
            <a:effectLst/>
          </c:spPr>
          <c:marker>
            <c:symbol val="none"/>
          </c:marker>
          <c:cat>
            <c:numRef>
              <c:f>Ig!$B$535:$B$1054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Ig!$I$535:$I$1054</c:f>
              <c:numCache>
                <c:formatCode>#,##0</c:formatCode>
                <c:ptCount val="5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8.5866423607801765E-2</c:v>
                </c:pt>
                <c:pt idx="22">
                  <c:v>0.16988498438862853</c:v>
                </c:pt>
                <c:pt idx="23">
                  <c:v>0.25209928304358975</c:v>
                </c:pt>
                <c:pt idx="24">
                  <c:v>0.3325517990522881</c:v>
                </c:pt>
                <c:pt idx="25">
                  <c:v>0.41128392035066891</c:v>
                </c:pt>
                <c:pt idx="26">
                  <c:v>0.48833597221744618</c:v>
                </c:pt>
                <c:pt idx="27">
                  <c:v>0.56374724539024734</c:v>
                </c:pt>
                <c:pt idx="28">
                  <c:v>0.6375560234320532</c:v>
                </c:pt>
                <c:pt idx="29">
                  <c:v>0.70979960936795961</c:v>
                </c:pt>
                <c:pt idx="30">
                  <c:v>0.78051435161175398</c:v>
                </c:pt>
                <c:pt idx="31">
                  <c:v>0.84973566920127408</c:v>
                </c:pt>
                <c:pt idx="32">
                  <c:v>0.91749807636101732</c:v>
                </c:pt>
                <c:pt idx="33">
                  <c:v>0.98383520640996724</c:v>
                </c:pt>
                <c:pt idx="34">
                  <c:v>1.0487798350321291</c:v>
                </c:pt>
                <c:pt idx="35">
                  <c:v>1.1123639029267964</c:v>
                </c:pt>
                <c:pt idx="36">
                  <c:v>1.1746185378551175</c:v>
                </c:pt>
                <c:pt idx="37">
                  <c:v>1.235574076099085</c:v>
                </c:pt>
                <c:pt idx="38">
                  <c:v>1.295260083348647</c:v>
                </c:pt>
                <c:pt idx="39">
                  <c:v>1.3537053750322063</c:v>
                </c:pt>
                <c:pt idx="40">
                  <c:v>1.4109380361053845</c:v>
                </c:pt>
                <c:pt idx="41">
                  <c:v>1.4669854403125122</c:v>
                </c:pt>
                <c:pt idx="42">
                  <c:v>1.5218742689349321</c:v>
                </c:pt>
                <c:pt idx="43">
                  <c:v>1.57563052903982</c:v>
                </c:pt>
                <c:pt idx="44">
                  <c:v>1.6282795712428637</c:v>
                </c:pt>
                <c:pt idx="45">
                  <c:v>1.6798461069977837</c:v>
                </c:pt>
                <c:pt idx="46">
                  <c:v>1.7303542254253323</c:v>
                </c:pt>
                <c:pt idx="47">
                  <c:v>1.7798274096940703</c:v>
                </c:pt>
                <c:pt idx="48">
                  <c:v>1.8282885529648896</c:v>
                </c:pt>
                <c:pt idx="49">
                  <c:v>1.8757599739109359</c:v>
                </c:pt>
                <c:pt idx="50">
                  <c:v>1.9222634318242673</c:v>
                </c:pt>
                <c:pt idx="51">
                  <c:v>1.9678201413202854</c:v>
                </c:pt>
                <c:pt idx="52">
                  <c:v>2.0124507866506813</c:v>
                </c:pt>
                <c:pt idx="53">
                  <c:v>2.0561640827529564</c:v>
                </c:pt>
                <c:pt idx="54">
                  <c:v>2.0983663922465872</c:v>
                </c:pt>
                <c:pt idx="55">
                  <c:v>2.1390993096377007</c:v>
                </c:pt>
                <c:pt idx="56">
                  <c:v>2.178403313297979</c:v>
                </c:pt>
                <c:pt idx="57">
                  <c:v>2.2163177953161823</c:v>
                </c:pt>
                <c:pt idx="58">
                  <c:v>2.252881090551627</c:v>
                </c:pt>
                <c:pt idx="59">
                  <c:v>2.2881305049109453</c:v>
                </c:pt>
                <c:pt idx="60">
                  <c:v>2.3221023428688983</c:v>
                </c:pt>
                <c:pt idx="61">
                  <c:v>2.3548319342534421</c:v>
                </c:pt>
                <c:pt idx="62">
                  <c:v>2.3863536603147235</c:v>
                </c:pt>
                <c:pt idx="63">
                  <c:v>2.4167009790971434</c:v>
                </c:pt>
                <c:pt idx="64">
                  <c:v>2.4459064501331138</c:v>
                </c:pt>
                <c:pt idx="65">
                  <c:v>2.4740017584766547</c:v>
                </c:pt>
                <c:pt idx="66">
                  <c:v>2.5010177380944625</c:v>
                </c:pt>
                <c:pt idx="67">
                  <c:v>2.526984394631639</c:v>
                </c:pt>
                <c:pt idx="68">
                  <c:v>2.5519309275687916</c:v>
                </c:pt>
                <c:pt idx="69">
                  <c:v>2.5758857517867737</c:v>
                </c:pt>
                <c:pt idx="70">
                  <c:v>2.5988765185549059</c:v>
                </c:pt>
                <c:pt idx="71">
                  <c:v>2.6209301359580861</c:v>
                </c:pt>
                <c:pt idx="72">
                  <c:v>2.6420727887777873</c:v>
                </c:pt>
                <c:pt idx="73">
                  <c:v>2.6623299578415467</c:v>
                </c:pt>
                <c:pt idx="74">
                  <c:v>2.6817264388551503</c:v>
                </c:pt>
                <c:pt idx="75">
                  <c:v>2.7002863607313405</c:v>
                </c:pt>
                <c:pt idx="76">
                  <c:v>2.718033203428516</c:v>
                </c:pt>
                <c:pt idx="77">
                  <c:v>2.734989815312507</c:v>
                </c:pt>
                <c:pt idx="78">
                  <c:v>2.7511784300541913</c:v>
                </c:pt>
                <c:pt idx="79">
                  <c:v>2.7666206830753475</c:v>
                </c:pt>
                <c:pt idx="80">
                  <c:v>2.78133762755483</c:v>
                </c:pt>
                <c:pt idx="81">
                  <c:v>2.7953497500068125</c:v>
                </c:pt>
                <c:pt idx="82">
                  <c:v>2.8086769854425473</c:v>
                </c:pt>
                <c:pt idx="83">
                  <c:v>2.8213387321267671</c:v>
                </c:pt>
                <c:pt idx="84">
                  <c:v>2.8333538659395705</c:v>
                </c:pt>
                <c:pt idx="85">
                  <c:v>2.8447407543543353</c:v>
                </c:pt>
                <c:pt idx="86">
                  <c:v>2.8555172700419234</c:v>
                </c:pt>
                <c:pt idx="87">
                  <c:v>2.8657008041111718</c:v>
                </c:pt>
                <c:pt idx="88">
                  <c:v>2.8753082789953872</c:v>
                </c:pt>
                <c:pt idx="89">
                  <c:v>2.8843561609943107</c:v>
                </c:pt>
                <c:pt idx="90">
                  <c:v>2.8928604724807614</c:v>
                </c:pt>
                <c:pt idx="91">
                  <c:v>2.9008368037809249</c:v>
                </c:pt>
                <c:pt idx="92">
                  <c:v>2.9083003247370085</c:v>
                </c:pt>
                <c:pt idx="93">
                  <c:v>2.9152657959607562</c:v>
                </c:pt>
                <c:pt idx="94">
                  <c:v>2.9217475797860875</c:v>
                </c:pt>
                <c:pt idx="95">
                  <c:v>2.9277596509289001</c:v>
                </c:pt>
                <c:pt idx="96">
                  <c:v>2.9333156068618718</c:v>
                </c:pt>
                <c:pt idx="97">
                  <c:v>2.9384286779118716</c:v>
                </c:pt>
                <c:pt idx="98">
                  <c:v>2.9431117370874031</c:v>
                </c:pt>
                <c:pt idx="99">
                  <c:v>2.9473773096432905</c:v>
                </c:pt>
                <c:pt idx="100">
                  <c:v>2.9512375823896395</c:v>
                </c:pt>
                <c:pt idx="101">
                  <c:v>2.9547044127519007</c:v>
                </c:pt>
                <c:pt idx="102">
                  <c:v>2.9577893375886961</c:v>
                </c:pt>
                <c:pt idx="103">
                  <c:v>2.960503581773879</c:v>
                </c:pt>
                <c:pt idx="104">
                  <c:v>2.9628580665491335</c:v>
                </c:pt>
                <c:pt idx="105">
                  <c:v>2.9648451809369876</c:v>
                </c:pt>
                <c:pt idx="106">
                  <c:v>2.966493479411958</c:v>
                </c:pt>
                <c:pt idx="107">
                  <c:v>2.9678130262975273</c:v>
                </c:pt>
                <c:pt idx="108">
                  <c:v>2.9688136132802039</c:v>
                </c:pt>
                <c:pt idx="109">
                  <c:v>2.9695047667117667</c:v>
                </c:pt>
                <c:pt idx="110">
                  <c:v>2.9698957547162217</c:v>
                </c:pt>
                <c:pt idx="111">
                  <c:v>2.969995594106686</c:v>
                </c:pt>
                <c:pt idx="112">
                  <c:v>2.9698130571172836</c:v>
                </c:pt>
                <c:pt idx="113">
                  <c:v>2.9693566779550005</c:v>
                </c:pt>
                <c:pt idx="114">
                  <c:v>2.9686347591763109</c:v>
                </c:pt>
                <c:pt idx="115">
                  <c:v>2.9676553778932631</c:v>
                </c:pt>
                <c:pt idx="116">
                  <c:v>2.9664263918135805</c:v>
                </c:pt>
                <c:pt idx="117">
                  <c:v>2.9649554451192213</c:v>
                </c:pt>
                <c:pt idx="118">
                  <c:v>2.963249974187713</c:v>
                </c:pt>
                <c:pt idx="119">
                  <c:v>2.9613172131604641</c:v>
                </c:pt>
                <c:pt idx="120">
                  <c:v>2.9591641993621534</c:v>
                </c:pt>
                <c:pt idx="121">
                  <c:v>2.9567977785751656</c:v>
                </c:pt>
                <c:pt idx="122">
                  <c:v>2.9542246101729601</c:v>
                </c:pt>
                <c:pt idx="123">
                  <c:v>2.9514511721161427</c:v>
                </c:pt>
                <c:pt idx="124">
                  <c:v>2.9484837658149043</c:v>
                </c:pt>
                <c:pt idx="125">
                  <c:v>2.9453285208614126</c:v>
                </c:pt>
                <c:pt idx="126">
                  <c:v>2.94199139963562</c:v>
                </c:pt>
                <c:pt idx="127">
                  <c:v>2.9384782017878854</c:v>
                </c:pt>
                <c:pt idx="128">
                  <c:v>2.9347945686016943</c:v>
                </c:pt>
                <c:pt idx="129">
                  <c:v>2.930945987239689</c:v>
                </c:pt>
                <c:pt idx="130">
                  <c:v>2.9269377948761237</c:v>
                </c:pt>
                <c:pt idx="131">
                  <c:v>2.92277518271879</c:v>
                </c:pt>
                <c:pt idx="132">
                  <c:v>2.9184631999233579</c:v>
                </c:pt>
                <c:pt idx="133">
                  <c:v>2.9140067574030164</c:v>
                </c:pt>
                <c:pt idx="134">
                  <c:v>2.9094106315362129</c:v>
                </c:pt>
                <c:pt idx="135">
                  <c:v>2.9046794677752108</c:v>
                </c:pt>
                <c:pt idx="136">
                  <c:v>2.8998177841581243</c:v>
                </c:pt>
                <c:pt idx="137">
                  <c:v>2.894829974727005</c:v>
                </c:pt>
                <c:pt idx="138">
                  <c:v>2.8897203128544984</c:v>
                </c:pt>
                <c:pt idx="139">
                  <c:v>2.8844929544815114</c:v>
                </c:pt>
                <c:pt idx="140">
                  <c:v>2.8791519412682689</c:v>
                </c:pt>
                <c:pt idx="141">
                  <c:v>2.8737012036610805</c:v>
                </c:pt>
                <c:pt idx="142">
                  <c:v>2.8681445638770686</c:v>
                </c:pt>
                <c:pt idx="143">
                  <c:v>2.8624857388090499</c:v>
                </c:pt>
                <c:pt idx="144">
                  <c:v>2.8567283428527066</c:v>
                </c:pt>
                <c:pt idx="145">
                  <c:v>2.8508758906581266</c:v>
                </c:pt>
                <c:pt idx="146">
                  <c:v>2.8449317998077341</c:v>
                </c:pt>
                <c:pt idx="147">
                  <c:v>2.8388993934225786</c:v>
                </c:pt>
                <c:pt idx="148">
                  <c:v>2.8327819026988985</c:v>
                </c:pt>
                <c:pt idx="149">
                  <c:v>2.8265824693768224</c:v>
                </c:pt>
                <c:pt idx="150">
                  <c:v>2.8203041481430264</c:v>
                </c:pt>
                <c:pt idx="151">
                  <c:v>2.8139499089691071</c:v>
                </c:pt>
                <c:pt idx="152">
                  <c:v>2.8075226393873969</c:v>
                </c:pt>
                <c:pt idx="153">
                  <c:v>2.8010251467058889</c:v>
                </c:pt>
                <c:pt idx="154">
                  <c:v>2.7944601601639008</c:v>
                </c:pt>
                <c:pt idx="155">
                  <c:v>2.7878303330300636</c:v>
                </c:pt>
                <c:pt idx="156">
                  <c:v>2.7811382446441772</c:v>
                </c:pt>
                <c:pt idx="157">
                  <c:v>2.7743671965731664</c:v>
                </c:pt>
                <c:pt idx="158">
                  <c:v>2.7675389264450549</c:v>
                </c:pt>
                <c:pt idx="159">
                  <c:v>2.760655804665356</c:v>
                </c:pt>
                <c:pt idx="160">
                  <c:v>2.7537201352824772</c:v>
                </c:pt>
                <c:pt idx="161">
                  <c:v>2.7467341577728699</c:v>
                </c:pt>
                <c:pt idx="162">
                  <c:v>2.7397000487783996</c:v>
                </c:pt>
                <c:pt idx="163">
                  <c:v>2.7326199237972122</c:v>
                </c:pt>
                <c:pt idx="164">
                  <c:v>2.7254958388293442</c:v>
                </c:pt>
                <c:pt idx="165">
                  <c:v>2.7183297919782814</c:v>
                </c:pt>
                <c:pt idx="166">
                  <c:v>2.7111237250096512</c:v>
                </c:pt>
                <c:pt idx="167">
                  <c:v>2.7038795248681899</c:v>
                </c:pt>
                <c:pt idx="168">
                  <c:v>2.6965990251541032</c:v>
                </c:pt>
                <c:pt idx="169">
                  <c:v>2.6892840075599049</c:v>
                </c:pt>
                <c:pt idx="170">
                  <c:v>2.6819362032687937</c:v>
                </c:pt>
                <c:pt idx="171">
                  <c:v>2.6745572943155933</c:v>
                </c:pt>
                <c:pt idx="172">
                  <c:v>2.6671489149112593</c:v>
                </c:pt>
                <c:pt idx="173">
                  <c:v>2.6597126527319266</c:v>
                </c:pt>
                <c:pt idx="174">
                  <c:v>2.6522500501734472</c:v>
                </c:pt>
                <c:pt idx="175">
                  <c:v>2.6447626055723386</c:v>
                </c:pt>
                <c:pt idx="176">
                  <c:v>2.6372517743940445</c:v>
                </c:pt>
                <c:pt idx="177">
                  <c:v>2.6297189703893808</c:v>
                </c:pt>
                <c:pt idx="178">
                  <c:v>2.6221655667200157</c:v>
                </c:pt>
                <c:pt idx="179">
                  <c:v>2.614592897053817</c:v>
                </c:pt>
                <c:pt idx="180">
                  <c:v>2.6070022566308699</c:v>
                </c:pt>
                <c:pt idx="181">
                  <c:v>2.5993949033009462</c:v>
                </c:pt>
                <c:pt idx="182">
                  <c:v>2.5917720585331971</c:v>
                </c:pt>
                <c:pt idx="183">
                  <c:v>2.584134908398803</c:v>
                </c:pt>
                <c:pt idx="184">
                  <c:v>2.5764846045273138</c:v>
                </c:pt>
                <c:pt idx="185">
                  <c:v>2.5688222650373733</c:v>
                </c:pt>
                <c:pt idx="186">
                  <c:v>2.5611489754425185</c:v>
                </c:pt>
                <c:pt idx="187">
                  <c:v>2.5534657895327229</c:v>
                </c:pt>
                <c:pt idx="188">
                  <c:v>2.5457737302323258</c:v>
                </c:pt>
                <c:pt idx="189">
                  <c:v>2.5380737904349853</c:v>
                </c:pt>
                <c:pt idx="190">
                  <c:v>2.5303669338162647</c:v>
                </c:pt>
                <c:pt idx="191">
                  <c:v>2.5226540956244565</c:v>
                </c:pt>
                <c:pt idx="192">
                  <c:v>2.5149361834502213</c:v>
                </c:pt>
                <c:pt idx="193">
                  <c:v>2.5072140779756067</c:v>
                </c:pt>
                <c:pt idx="194">
                  <c:v>2.4994886337030069</c:v>
                </c:pt>
                <c:pt idx="195">
                  <c:v>2.4917606796645897</c:v>
                </c:pt>
                <c:pt idx="196">
                  <c:v>2.4840310201127171</c:v>
                </c:pt>
                <c:pt idx="197">
                  <c:v>2.4763004351918707</c:v>
                </c:pt>
                <c:pt idx="198">
                  <c:v>2.4685696815925717</c:v>
                </c:pt>
                <c:pt idx="199">
                  <c:v>2.4608394931877813</c:v>
                </c:pt>
                <c:pt idx="200">
                  <c:v>2.453110581652246</c:v>
                </c:pt>
                <c:pt idx="201">
                  <c:v>2.4453836370652509</c:v>
                </c:pt>
                <c:pt idx="202">
                  <c:v>2.4376593284972152</c:v>
                </c:pt>
                <c:pt idx="203">
                  <c:v>2.4299383045805718</c:v>
                </c:pt>
                <c:pt idx="204">
                  <c:v>2.4222211940653446</c:v>
                </c:pt>
                <c:pt idx="205">
                  <c:v>2.4145086063598371</c:v>
                </c:pt>
                <c:pt idx="206">
                  <c:v>2.4068011320568261</c:v>
                </c:pt>
                <c:pt idx="207">
                  <c:v>2.3990993434456538</c:v>
                </c:pt>
                <c:pt idx="208">
                  <c:v>2.391403795010592</c:v>
                </c:pt>
                <c:pt idx="209">
                  <c:v>2.3836976026159205</c:v>
                </c:pt>
                <c:pt idx="210">
                  <c:v>2.3759988202841904</c:v>
                </c:pt>
                <c:pt idx="211">
                  <c:v>2.3683079517705394</c:v>
                </c:pt>
                <c:pt idx="212">
                  <c:v>2.3606254848741561</c:v>
                </c:pt>
                <c:pt idx="213">
                  <c:v>2.3529518918738903</c:v>
                </c:pt>
                <c:pt idx="214">
                  <c:v>2.345287629952181</c:v>
                </c:pt>
                <c:pt idx="215">
                  <c:v>2.3376331416076104</c:v>
                </c:pt>
                <c:pt idx="216">
                  <c:v>2.3299888550563921</c:v>
                </c:pt>
                <c:pt idx="217">
                  <c:v>2.3223551846230888</c:v>
                </c:pt>
                <c:pt idx="218">
                  <c:v>2.3147325311208449</c:v>
                </c:pt>
                <c:pt idx="219">
                  <c:v>2.3071212822214187</c:v>
                </c:pt>
                <c:pt idx="220">
                  <c:v>2.2995218128152835</c:v>
                </c:pt>
                <c:pt idx="221">
                  <c:v>2.2919344853620669</c:v>
                </c:pt>
                <c:pt idx="222">
                  <c:v>2.2843596502315826</c:v>
                </c:pt>
                <c:pt idx="223">
                  <c:v>2.2767976460357127</c:v>
                </c:pt>
                <c:pt idx="224">
                  <c:v>2.2692487999513773</c:v>
                </c:pt>
                <c:pt idx="225">
                  <c:v>2.2617134280348381</c:v>
                </c:pt>
                <c:pt idx="226">
                  <c:v>2.254191835527561</c:v>
                </c:pt>
                <c:pt idx="227">
                  <c:v>2.2466843171538695</c:v>
                </c:pt>
                <c:pt idx="228">
                  <c:v>2.2391911574106027</c:v>
                </c:pt>
                <c:pt idx="229">
                  <c:v>2.2317126308489974</c:v>
                </c:pt>
                <c:pt idx="230">
                  <c:v>2.2242490023490009</c:v>
                </c:pt>
                <c:pt idx="231">
                  <c:v>2.2168005273862126</c:v>
                </c:pt>
                <c:pt idx="232">
                  <c:v>2.2093674522916582</c:v>
                </c:pt>
                <c:pt idx="233">
                  <c:v>2.2019500145045865</c:v>
                </c:pt>
                <c:pt idx="234">
                  <c:v>2.1945484428184705</c:v>
                </c:pt>
                <c:pt idx="235">
                  <c:v>2.1871629576204019</c:v>
                </c:pt>
                <c:pt idx="236">
                  <c:v>2.1797937711240527</c:v>
                </c:pt>
                <c:pt idx="237">
                  <c:v>2.1724410875963751</c:v>
                </c:pt>
                <c:pt idx="238">
                  <c:v>2.1651051035782074</c:v>
                </c:pt>
                <c:pt idx="239">
                  <c:v>2.1577860080989528</c:v>
                </c:pt>
                <c:pt idx="240">
                  <c:v>2.1504839828854836</c:v>
                </c:pt>
                <c:pt idx="241">
                  <c:v>2.1431992025654316</c:v>
                </c:pt>
                <c:pt idx="242">
                  <c:v>2.1359318348650103</c:v>
                </c:pt>
                <c:pt idx="243">
                  <c:v>2.1286820408015155</c:v>
                </c:pt>
                <c:pt idx="244">
                  <c:v>2.1214499748706541</c:v>
                </c:pt>
                <c:pt idx="245">
                  <c:v>2.1142357852288276</c:v>
                </c:pt>
                <c:pt idx="246">
                  <c:v>2.107039613870513</c:v>
                </c:pt>
                <c:pt idx="247">
                  <c:v>2.0998615968008738</c:v>
                </c:pt>
                <c:pt idx="248">
                  <c:v>2.0927018642037227</c:v>
                </c:pt>
                <c:pt idx="249">
                  <c:v>2.0855605406049644</c:v>
                </c:pt>
                <c:pt idx="250">
                  <c:v>2.07843774503164</c:v>
                </c:pt>
                <c:pt idx="251">
                  <c:v>2.0713335911666881</c:v>
                </c:pt>
                <c:pt idx="252">
                  <c:v>2.0642481874995395</c:v>
                </c:pt>
                <c:pt idx="253">
                  <c:v>2.0571816374726555</c:v>
                </c:pt>
                <c:pt idx="254">
                  <c:v>2.0501340396241203</c:v>
                </c:pt>
                <c:pt idx="255">
                  <c:v>2.0431054877263906</c:v>
                </c:pt>
                <c:pt idx="256">
                  <c:v>2.0360960709213067</c:v>
                </c:pt>
                <c:pt idx="257">
                  <c:v>2.029105873851468</c:v>
                </c:pt>
                <c:pt idx="258">
                  <c:v>2.0221349767880636</c:v>
                </c:pt>
                <c:pt idx="259">
                  <c:v>2.0151834557552597</c:v>
                </c:pt>
                <c:pt idx="260">
                  <c:v>2.0082513826512316</c:v>
                </c:pt>
                <c:pt idx="261">
                  <c:v>2.0014385207205496</c:v>
                </c:pt>
                <c:pt idx="262">
                  <c:v>1.9947571996599069</c:v>
                </c:pt>
                <c:pt idx="263">
                  <c:v>1.9882039544033192</c:v>
                </c:pt>
                <c:pt idx="264">
                  <c:v>1.9817754125494329</c:v>
                </c:pt>
                <c:pt idx="265">
                  <c:v>1.9754682918819149</c:v>
                </c:pt>
                <c:pt idx="266">
                  <c:v>1.969279397956194</c:v>
                </c:pt>
                <c:pt idx="267">
                  <c:v>1.9632056217507812</c:v>
                </c:pt>
                <c:pt idx="268">
                  <c:v>1.9572439373814392</c:v>
                </c:pt>
                <c:pt idx="269">
                  <c:v>1.9513913998765196</c:v>
                </c:pt>
                <c:pt idx="270">
                  <c:v>1.9456451430118338</c:v>
                </c:pt>
                <c:pt idx="271">
                  <c:v>1.9400023772034583</c:v>
                </c:pt>
                <c:pt idx="272">
                  <c:v>1.9344603874569308</c:v>
                </c:pt>
                <c:pt idx="273">
                  <c:v>1.9290165313713232</c:v>
                </c:pt>
                <c:pt idx="274">
                  <c:v>1.9236682371967253</c:v>
                </c:pt>
                <c:pt idx="275">
                  <c:v>1.9184130019437109</c:v>
                </c:pt>
                <c:pt idx="276">
                  <c:v>1.9132483895433918</c:v>
                </c:pt>
                <c:pt idx="277">
                  <c:v>1.9081720290567101</c:v>
                </c:pt>
                <c:pt idx="278">
                  <c:v>1.9031816129316474</c:v>
                </c:pt>
                <c:pt idx="279">
                  <c:v>1.8982748953070716</c:v>
                </c:pt>
                <c:pt idx="280">
                  <c:v>1.893449690361972</c:v>
                </c:pt>
                <c:pt idx="281">
                  <c:v>1.8887038707088677</c:v>
                </c:pt>
                <c:pt idx="282">
                  <c:v>1.8840353658302089</c:v>
                </c:pt>
                <c:pt idx="283">
                  <c:v>1.8794421605566178</c:v>
                </c:pt>
                <c:pt idx="284">
                  <c:v>1.8749222935858536</c:v>
                </c:pt>
                <c:pt idx="285">
                  <c:v>1.8704738560414069</c:v>
                </c:pt>
                <c:pt idx="286">
                  <c:v>1.8660949900696673</c:v>
                </c:pt>
                <c:pt idx="287">
                  <c:v>1.8617838874746298</c:v>
                </c:pt>
                <c:pt idx="288">
                  <c:v>1.8575387883891359</c:v>
                </c:pt>
                <c:pt idx="289">
                  <c:v>1.853357979981672</c:v>
                </c:pt>
                <c:pt idx="290">
                  <c:v>1.8492397951977726</c:v>
                </c:pt>
                <c:pt idx="291">
                  <c:v>1.8451826115351047</c:v>
                </c:pt>
                <c:pt idx="292">
                  <c:v>1.8411848498513279</c:v>
                </c:pt>
                <c:pt idx="293">
                  <c:v>1.8372449732038594</c:v>
                </c:pt>
                <c:pt idx="294">
                  <c:v>1.8333614857206821</c:v>
                </c:pt>
                <c:pt idx="295">
                  <c:v>1.8295329315013733</c:v>
                </c:pt>
                <c:pt idx="296">
                  <c:v>1.8257578935475391</c:v>
                </c:pt>
                <c:pt idx="297">
                  <c:v>1.8220349927218713</c:v>
                </c:pt>
                <c:pt idx="298">
                  <c:v>1.8183628867350579</c:v>
                </c:pt>
                <c:pt idx="299">
                  <c:v>1.8147402691598054</c:v>
                </c:pt>
                <c:pt idx="300">
                  <c:v>1.8111658684712444</c:v>
                </c:pt>
                <c:pt idx="301">
                  <c:v>1.8076384471130136</c:v>
                </c:pt>
                <c:pt idx="302">
                  <c:v>1.8041568005883351</c:v>
                </c:pt>
                <c:pt idx="303">
                  <c:v>1.8007197565754127</c:v>
                </c:pt>
                <c:pt idx="304">
                  <c:v>1.7973261740665007</c:v>
                </c:pt>
                <c:pt idx="305">
                  <c:v>1.7939749425300122</c:v>
                </c:pt>
                <c:pt idx="306">
                  <c:v>1.7906649810950479</c:v>
                </c:pt>
                <c:pt idx="307">
                  <c:v>1.7873952377577473</c:v>
                </c:pt>
                <c:pt idx="308">
                  <c:v>1.7841646886088771</c:v>
                </c:pt>
                <c:pt idx="309">
                  <c:v>1.7809723370820898</c:v>
                </c:pt>
                <c:pt idx="310">
                  <c:v>1.7778172132222971</c:v>
                </c:pt>
                <c:pt idx="311">
                  <c:v>1.7746983729736237</c:v>
                </c:pt>
                <c:pt idx="312">
                  <c:v>1.7716148974864123</c:v>
                </c:pt>
                <c:pt idx="313">
                  <c:v>1.7685514310934629</c:v>
                </c:pt>
                <c:pt idx="314">
                  <c:v>1.7655216141328205</c:v>
                </c:pt>
                <c:pt idx="315">
                  <c:v>1.7625245985944511</c:v>
                </c:pt>
                <c:pt idx="316">
                  <c:v>1.759559559110095</c:v>
                </c:pt>
                <c:pt idx="317">
                  <c:v>1.7566256923472614</c:v>
                </c:pt>
                <c:pt idx="318">
                  <c:v>1.7537222164194468</c:v>
                </c:pt>
                <c:pt idx="319">
                  <c:v>1.7508483703121378</c:v>
                </c:pt>
                <c:pt idx="320">
                  <c:v>1.7480034133241806</c:v>
                </c:pt>
                <c:pt idx="321">
                  <c:v>1.7451866245241026</c:v>
                </c:pt>
                <c:pt idx="322">
                  <c:v>1.7423973022209858</c:v>
                </c:pt>
                <c:pt idx="323">
                  <c:v>1.7396347634495071</c:v>
                </c:pt>
                <c:pt idx="324">
                  <c:v>1.7368983434687584</c:v>
                </c:pt>
                <c:pt idx="325">
                  <c:v>1.7341873952744851</c:v>
                </c:pt>
                <c:pt idx="326">
                  <c:v>1.7315012891243797</c:v>
                </c:pt>
                <c:pt idx="327">
                  <c:v>1.7288394120760828</c:v>
                </c:pt>
                <c:pt idx="328">
                  <c:v>1.7262011675375488</c:v>
                </c:pt>
                <c:pt idx="329">
                  <c:v>1.7235859748294495</c:v>
                </c:pt>
                <c:pt idx="330">
                  <c:v>1.7209932687592897</c:v>
                </c:pt>
                <c:pt idx="331">
                  <c:v>1.7184224992069226</c:v>
                </c:pt>
                <c:pt idx="332">
                  <c:v>1.7158731307211605</c:v>
                </c:pt>
                <c:pt idx="333">
                  <c:v>1.7133446421271832</c:v>
                </c:pt>
                <c:pt idx="334">
                  <c:v>1.7108365261444543</c:v>
                </c:pt>
                <c:pt idx="335">
                  <c:v>1.7083482890148662</c:v>
                </c:pt>
                <c:pt idx="336">
                  <c:v>1.7058794501408376</c:v>
                </c:pt>
                <c:pt idx="337">
                  <c:v>1.7034295417330982</c:v>
                </c:pt>
                <c:pt idx="338">
                  <c:v>1.7009981084679024</c:v>
                </c:pt>
                <c:pt idx="339">
                  <c:v>1.6985847071534173</c:v>
                </c:pt>
                <c:pt idx="340">
                  <c:v>1.6961889064050406</c:v>
                </c:pt>
                <c:pt idx="341">
                  <c:v>1.693810286329412</c:v>
                </c:pt>
                <c:pt idx="342">
                  <c:v>1.6914484382168784</c:v>
                </c:pt>
                <c:pt idx="343">
                  <c:v>1.6891029642421944</c:v>
                </c:pt>
                <c:pt idx="344">
                  <c:v>1.6867734771732334</c:v>
                </c:pt>
                <c:pt idx="345">
                  <c:v>1.6844596000874952</c:v>
                </c:pt>
                <c:pt idx="346">
                  <c:v>1.6821609660962025</c:v>
                </c:pt>
                <c:pt idx="347">
                  <c:v>1.6798772180757822</c:v>
                </c:pt>
                <c:pt idx="348">
                  <c:v>1.6776080084065352</c:v>
                </c:pt>
                <c:pt idx="349">
                  <c:v>1.6753529987182996</c:v>
                </c:pt>
                <c:pt idx="350">
                  <c:v>1.6731118596429237</c:v>
                </c:pt>
                <c:pt idx="351">
                  <c:v>1.6708842705733638</c:v>
                </c:pt>
                <c:pt idx="352">
                  <c:v>1.6686699194292294</c:v>
                </c:pt>
                <c:pt idx="353">
                  <c:v>1.6664685024286059</c:v>
                </c:pt>
                <c:pt idx="354">
                  <c:v>1.6642797238659841</c:v>
                </c:pt>
                <c:pt idx="355">
                  <c:v>1.6621032958961335</c:v>
                </c:pt>
                <c:pt idx="356">
                  <c:v>1.6599389383237619</c:v>
                </c:pt>
                <c:pt idx="357">
                  <c:v>1.6577863783988043</c:v>
                </c:pt>
                <c:pt idx="358">
                  <c:v>1.6556453506171909</c:v>
                </c:pt>
                <c:pt idx="359">
                  <c:v>1.6535155965269501</c:v>
                </c:pt>
                <c:pt idx="360">
                  <c:v>1.6513968645394994</c:v>
                </c:pt>
                <c:pt idx="361">
                  <c:v>1.6492889097459884</c:v>
                </c:pt>
                <c:pt idx="362">
                  <c:v>1.6471914937385583</c:v>
                </c:pt>
                <c:pt idx="363">
                  <c:v>1.6451043844363844</c:v>
                </c:pt>
                <c:pt idx="364">
                  <c:v>1.6430273559163768</c:v>
                </c:pt>
                <c:pt idx="365">
                  <c:v>1.640945655773715</c:v>
                </c:pt>
                <c:pt idx="366">
                  <c:v>1.6388736389572571</c:v>
                </c:pt>
                <c:pt idx="367">
                  <c:v>1.6368110967947855</c:v>
                </c:pt>
                <c:pt idx="368">
                  <c:v>1.6347578261459275</c:v>
                </c:pt>
                <c:pt idx="369">
                  <c:v>1.6327136292540947</c:v>
                </c:pt>
                <c:pt idx="370">
                  <c:v>1.6306783136023864</c:v>
                </c:pt>
                <c:pt idx="371">
                  <c:v>1.6286516917733513</c:v>
                </c:pt>
                <c:pt idx="372">
                  <c:v>1.6266335813125046</c:v>
                </c:pt>
                <c:pt idx="373">
                  <c:v>1.6246238045954982</c:v>
                </c:pt>
                <c:pt idx="374">
                  <c:v>1.6226221886988499</c:v>
                </c:pt>
                <c:pt idx="375">
                  <c:v>1.6206285652741315</c:v>
                </c:pt>
                <c:pt idx="376">
                  <c:v>1.6186427704255268</c:v>
                </c:pt>
                <c:pt idx="377">
                  <c:v>1.6166646445906687</c:v>
                </c:pt>
                <c:pt idx="378">
                  <c:v>1.6146940324246648</c:v>
                </c:pt>
                <c:pt idx="379">
                  <c:v>1.612730782687231</c:v>
                </c:pt>
                <c:pt idx="380">
                  <c:v>1.6107747481328445</c:v>
                </c:pt>
                <c:pt idx="381">
                  <c:v>1.6088257854038406</c:v>
                </c:pt>
                <c:pt idx="382">
                  <c:v>1.6068837549263699</c:v>
                </c:pt>
                <c:pt idx="383">
                  <c:v>1.6049485208091423</c:v>
                </c:pt>
                <c:pt idx="384">
                  <c:v>1.6030199507448823</c:v>
                </c:pt>
                <c:pt idx="385">
                  <c:v>1.6010979159144221</c:v>
                </c:pt>
                <c:pt idx="386">
                  <c:v>1.5991822908933631</c:v>
                </c:pt>
                <c:pt idx="387">
                  <c:v>1.5972729535612369</c:v>
                </c:pt>
                <c:pt idx="388">
                  <c:v>1.5953697850130979</c:v>
                </c:pt>
                <c:pt idx="389">
                  <c:v>1.593472669473484</c:v>
                </c:pt>
                <c:pt idx="390">
                  <c:v>1.5915814942126802</c:v>
                </c:pt>
                <c:pt idx="391">
                  <c:v>1.589696149465224</c:v>
                </c:pt>
                <c:pt idx="392">
                  <c:v>1.5878165283505941</c:v>
                </c:pt>
                <c:pt idx="393">
                  <c:v>1.5859425267960221</c:v>
                </c:pt>
                <c:pt idx="394">
                  <c:v>1.58407404346137</c:v>
                </c:pt>
                <c:pt idx="395">
                  <c:v>1.5822109796660206</c:v>
                </c:pt>
                <c:pt idx="396">
                  <c:v>1.5803532393177251</c:v>
                </c:pt>
                <c:pt idx="397">
                  <c:v>1.578500728843355</c:v>
                </c:pt>
                <c:pt idx="398">
                  <c:v>1.5766533571215089</c:v>
                </c:pt>
                <c:pt idx="399">
                  <c:v>1.5748110354169231</c:v>
                </c:pt>
                <c:pt idx="400">
                  <c:v>1.5729736773166398</c:v>
                </c:pt>
                <c:pt idx="401">
                  <c:v>1.5711411986678827</c:v>
                </c:pt>
                <c:pt idx="402">
                  <c:v>1.5693135175175967</c:v>
                </c:pt>
                <c:pt idx="403">
                  <c:v>1.5674905540536073</c:v>
                </c:pt>
                <c:pt idx="404">
                  <c:v>1.5656722305473532</c:v>
                </c:pt>
                <c:pt idx="405">
                  <c:v>1.5638584712981551</c:v>
                </c:pt>
                <c:pt idx="406">
                  <c:v>1.5620492025789747</c:v>
                </c:pt>
                <c:pt idx="407">
                  <c:v>1.5602443525836267</c:v>
                </c:pt>
                <c:pt idx="408">
                  <c:v>1.5584438513754038</c:v>
                </c:pt>
                <c:pt idx="409">
                  <c:v>1.5566476308370776</c:v>
                </c:pt>
                <c:pt idx="410">
                  <c:v>1.5548556246222387</c:v>
                </c:pt>
                <c:pt idx="411">
                  <c:v>1.5530677681079386</c:v>
                </c:pt>
                <c:pt idx="412">
                  <c:v>1.5512839983486009</c:v>
                </c:pt>
                <c:pt idx="413">
                  <c:v>1.5495042540311645</c:v>
                </c:pt>
                <c:pt idx="414">
                  <c:v>1.5477284754314304</c:v>
                </c:pt>
                <c:pt idx="415">
                  <c:v>1.5459566043715751</c:v>
                </c:pt>
                <c:pt idx="416">
                  <c:v>1.5441885841788037</c:v>
                </c:pt>
                <c:pt idx="417">
                  <c:v>1.5424092004264838</c:v>
                </c:pt>
                <c:pt idx="418">
                  <c:v>1.5406335933043385</c:v>
                </c:pt>
                <c:pt idx="419">
                  <c:v>1.5388617103081976</c:v>
                </c:pt>
                <c:pt idx="420">
                  <c:v>1.5370935002863129</c:v>
                </c:pt>
                <c:pt idx="421">
                  <c:v>1.5353289134031929</c:v>
                </c:pt>
                <c:pt idx="422">
                  <c:v>1.5335679011044052</c:v>
                </c:pt>
                <c:pt idx="423">
                  <c:v>1.531810416082322</c:v>
                </c:pt>
                <c:pt idx="424">
                  <c:v>1.530056412242784</c:v>
                </c:pt>
                <c:pt idx="425">
                  <c:v>1.5283058446726543</c:v>
                </c:pt>
                <c:pt idx="426">
                  <c:v>1.5265586696082447</c:v>
                </c:pt>
                <c:pt idx="427">
                  <c:v>1.5248148444045859</c:v>
                </c:pt>
                <c:pt idx="428">
                  <c:v>1.5230743275055205</c:v>
                </c:pt>
                <c:pt idx="429">
                  <c:v>1.5213370784145983</c:v>
                </c:pt>
                <c:pt idx="430">
                  <c:v>1.5196030576667496</c:v>
                </c:pt>
                <c:pt idx="431">
                  <c:v>1.5178722268007192</c:v>
                </c:pt>
                <c:pt idx="432">
                  <c:v>1.5161445483322358</c:v>
                </c:pt>
                <c:pt idx="433">
                  <c:v>1.5144199857279033</c:v>
                </c:pt>
                <c:pt idx="434">
                  <c:v>1.5126985033797886</c:v>
                </c:pt>
                <c:pt idx="435">
                  <c:v>1.5109800665806916</c:v>
                </c:pt>
                <c:pt idx="436">
                  <c:v>1.5092646415000779</c:v>
                </c:pt>
                <c:pt idx="437">
                  <c:v>1.5075521951606539</c:v>
                </c:pt>
                <c:pt idx="438">
                  <c:v>1.5058426954155721</c:v>
                </c:pt>
                <c:pt idx="439">
                  <c:v>1.504136110926245</c:v>
                </c:pt>
                <c:pt idx="440">
                  <c:v>1.502432411140753</c:v>
                </c:pt>
                <c:pt idx="441">
                  <c:v>1.5007315662728327</c:v>
                </c:pt>
                <c:pt idx="442">
                  <c:v>1.4990335472814256</c:v>
                </c:pt>
                <c:pt idx="443">
                  <c:v>1.497338325850776</c:v>
                </c:pt>
                <c:pt idx="444">
                  <c:v>1.4956458743710617</c:v>
                </c:pt>
                <c:pt idx="445">
                  <c:v>1.4939561659195419</c:v>
                </c:pt>
                <c:pt idx="446">
                  <c:v>1.4922691742422138</c:v>
                </c:pt>
                <c:pt idx="447">
                  <c:v>1.4905848737359557</c:v>
                </c:pt>
                <c:pt idx="448">
                  <c:v>1.4889032394311517</c:v>
                </c:pt>
                <c:pt idx="449">
                  <c:v>1.4872242469747798</c:v>
                </c:pt>
                <c:pt idx="450">
                  <c:v>1.4855478726139559</c:v>
                </c:pt>
                <c:pt idx="451">
                  <c:v>1.4838740931799141</c:v>
                </c:pt>
                <c:pt idx="452">
                  <c:v>1.4822028860724195</c:v>
                </c:pt>
                <c:pt idx="453">
                  <c:v>1.4805342292445975</c:v>
                </c:pt>
                <c:pt idx="454">
                  <c:v>1.4788681011881692</c:v>
                </c:pt>
                <c:pt idx="455">
                  <c:v>1.4772044809190821</c:v>
                </c:pt>
                <c:pt idx="456">
                  <c:v>1.4755433479635249</c:v>
                </c:pt>
                <c:pt idx="457">
                  <c:v>1.4738846823443199</c:v>
                </c:pt>
                <c:pt idx="458">
                  <c:v>1.4722284645676755</c:v>
                </c:pt>
                <c:pt idx="459">
                  <c:v>1.4705746756102971</c:v>
                </c:pt>
                <c:pt idx="460">
                  <c:v>1.4689232969068404</c:v>
                </c:pt>
                <c:pt idx="461">
                  <c:v>1.4672743103377039</c:v>
                </c:pt>
                <c:pt idx="462">
                  <c:v>1.4656276982171443</c:v>
                </c:pt>
                <c:pt idx="463">
                  <c:v>1.463983443281714</c:v>
                </c:pt>
                <c:pt idx="464">
                  <c:v>1.4623415286790056</c:v>
                </c:pt>
                <c:pt idx="465">
                  <c:v>1.4607019379566992</c:v>
                </c:pt>
                <c:pt idx="466">
                  <c:v>1.4590646550519031</c:v>
                </c:pt>
                <c:pt idx="467">
                  <c:v>1.4574296642807789</c:v>
                </c:pt>
                <c:pt idx="468">
                  <c:v>1.4557969503284447</c:v>
                </c:pt>
                <c:pt idx="469">
                  <c:v>1.4541502272825433</c:v>
                </c:pt>
                <c:pt idx="470">
                  <c:v>1.4525057881119652</c:v>
                </c:pt>
                <c:pt idx="471">
                  <c:v>1.4508636184752195</c:v>
                </c:pt>
                <c:pt idx="472">
                  <c:v>1.4492237043626437</c:v>
                </c:pt>
                <c:pt idx="473">
                  <c:v>1.4475860320875713</c:v>
                </c:pt>
                <c:pt idx="474">
                  <c:v>1.4459505882777344</c:v>
                </c:pt>
                <c:pt idx="475">
                  <c:v>1.4443173598668981</c:v>
                </c:pt>
                <c:pt idx="476">
                  <c:v>1.4426863340867182</c:v>
                </c:pt>
                <c:pt idx="477">
                  <c:v>1.4410574984588167</c:v>
                </c:pt>
                <c:pt idx="478">
                  <c:v>1.4394308407870715</c:v>
                </c:pt>
                <c:pt idx="479">
                  <c:v>1.4378063491501096</c:v>
                </c:pt>
                <c:pt idx="480">
                  <c:v>1.4361840118940039</c:v>
                </c:pt>
                <c:pt idx="481">
                  <c:v>1.4345638176251643</c:v>
                </c:pt>
                <c:pt idx="482">
                  <c:v>1.4329457552034208</c:v>
                </c:pt>
                <c:pt idx="483">
                  <c:v>1.4313298137352894</c:v>
                </c:pt>
                <c:pt idx="484">
                  <c:v>1.4297159825674208</c:v>
                </c:pt>
                <c:pt idx="485">
                  <c:v>1.4281042512802229</c:v>
                </c:pt>
                <c:pt idx="486">
                  <c:v>1.4264946096816551</c:v>
                </c:pt>
                <c:pt idx="487">
                  <c:v>1.4248870478011886</c:v>
                </c:pt>
                <c:pt idx="488">
                  <c:v>1.4232815558839278</c:v>
                </c:pt>
                <c:pt idx="489">
                  <c:v>1.4216781243848908</c:v>
                </c:pt>
                <c:pt idx="490">
                  <c:v>1.4200767439634412</c:v>
                </c:pt>
                <c:pt idx="491">
                  <c:v>1.4184774054778702</c:v>
                </c:pt>
                <c:pt idx="492">
                  <c:v>1.4168800999801237</c:v>
                </c:pt>
                <c:pt idx="493">
                  <c:v>1.4152848187106701</c:v>
                </c:pt>
                <c:pt idx="494">
                  <c:v>1.4136915530935061</c:v>
                </c:pt>
                <c:pt idx="495">
                  <c:v>1.4121002947312959</c:v>
                </c:pt>
                <c:pt idx="496">
                  <c:v>1.4105110354006416</c:v>
                </c:pt>
                <c:pt idx="497">
                  <c:v>1.4089237670474779</c:v>
                </c:pt>
                <c:pt idx="498">
                  <c:v>1.4073384817825934</c:v>
                </c:pt>
                <c:pt idx="499">
                  <c:v>1.4057551718772687</c:v>
                </c:pt>
                <c:pt idx="500">
                  <c:v>1.4041738297590336</c:v>
                </c:pt>
                <c:pt idx="501">
                  <c:v>1.4025944480075372</c:v>
                </c:pt>
                <c:pt idx="502">
                  <c:v>1.4010170193505274</c:v>
                </c:pt>
                <c:pt idx="503">
                  <c:v>1.3994415366599404</c:v>
                </c:pt>
                <c:pt idx="504">
                  <c:v>1.3978679929480933</c:v>
                </c:pt>
                <c:pt idx="505">
                  <c:v>1.3962963813639784</c:v>
                </c:pt>
                <c:pt idx="506">
                  <c:v>1.3947266951896584</c:v>
                </c:pt>
                <c:pt idx="507">
                  <c:v>1.3931589278367567</c:v>
                </c:pt>
                <c:pt idx="508">
                  <c:v>1.3915930728430419</c:v>
                </c:pt>
                <c:pt idx="509">
                  <c:v>1.3900291238691043</c:v>
                </c:pt>
                <c:pt idx="510">
                  <c:v>1.3884670746951204</c:v>
                </c:pt>
                <c:pt idx="511">
                  <c:v>1.3869069192177057</c:v>
                </c:pt>
                <c:pt idx="512">
                  <c:v>1.38534865144685</c:v>
                </c:pt>
                <c:pt idx="513">
                  <c:v>1.383792265502936</c:v>
                </c:pt>
                <c:pt idx="514">
                  <c:v>1.382237755613837</c:v>
                </c:pt>
                <c:pt idx="515">
                  <c:v>1.3806851161120925</c:v>
                </c:pt>
                <c:pt idx="516">
                  <c:v>1.3791343414321597</c:v>
                </c:pt>
                <c:pt idx="517">
                  <c:v>1.3775854261077387</c:v>
                </c:pt>
                <c:pt idx="518">
                  <c:v>1.3760383647691679</c:v>
                </c:pt>
                <c:pt idx="519">
                  <c:v>1.374493152140891</c:v>
                </c:pt>
              </c:numCache>
            </c:numRef>
          </c:val>
          <c:smooth val="0"/>
          <c:extLst>
            <c:ext xmlns:c16="http://schemas.microsoft.com/office/drawing/2014/chart" uri="{C3380CC4-5D6E-409C-BE32-E72D297353CC}">
              <c16:uniqueId val="{00000006-050E-4C76-B86D-B3269E11B822}"/>
            </c:ext>
          </c:extLst>
        </c:ser>
        <c:ser>
          <c:idx val="8"/>
          <c:order val="7"/>
          <c:tx>
            <c:strRef>
              <c:f>Ig!$J$534</c:f>
              <c:strCache>
                <c:ptCount val="1"/>
                <c:pt idx="0">
                  <c:v>Glaucoma</c:v>
                </c:pt>
              </c:strCache>
            </c:strRef>
          </c:tx>
          <c:spPr>
            <a:ln w="28575" cap="rnd">
              <a:solidFill>
                <a:schemeClr val="accent3">
                  <a:lumMod val="60000"/>
                </a:schemeClr>
              </a:solidFill>
              <a:round/>
            </a:ln>
            <a:effectLst/>
          </c:spPr>
          <c:marker>
            <c:symbol val="none"/>
          </c:marker>
          <c:cat>
            <c:numRef>
              <c:f>Ig!$B$535:$B$1054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Ig!$J$535:$J$1054</c:f>
              <c:numCache>
                <c:formatCode>#,##0</c:formatCode>
                <c:ptCount val="5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5.9936995343894475E-3</c:v>
                </c:pt>
                <c:pt idx="22">
                  <c:v>1.1858413440866366E-2</c:v>
                </c:pt>
                <c:pt idx="23">
                  <c:v>1.7597185161686277E-2</c:v>
                </c:pt>
                <c:pt idx="24">
                  <c:v>2.3212979874929488E-2</c:v>
                </c:pt>
                <c:pt idx="25">
                  <c:v>2.870868656609209E-2</c:v>
                </c:pt>
                <c:pt idx="26">
                  <c:v>3.4087120044433601E-2</c:v>
                </c:pt>
                <c:pt idx="27">
                  <c:v>3.9351022905556914E-2</c:v>
                </c:pt>
                <c:pt idx="28">
                  <c:v>4.4503067441656941E-2</c:v>
                </c:pt>
                <c:pt idx="29">
                  <c:v>4.9545857500835837E-2</c:v>
                </c:pt>
                <c:pt idx="30">
                  <c:v>5.4481930296845352E-2</c:v>
                </c:pt>
                <c:pt idx="31">
                  <c:v>5.9313758170580544E-2</c:v>
                </c:pt>
                <c:pt idx="32">
                  <c:v>6.4043750304613706E-2</c:v>
                </c:pt>
                <c:pt idx="33">
                  <c:v>6.8674254392022765E-2</c:v>
                </c:pt>
                <c:pt idx="34">
                  <c:v>7.3207558260735189E-2</c:v>
                </c:pt>
                <c:pt idx="35">
                  <c:v>7.7645891454575428E-2</c:v>
                </c:pt>
                <c:pt idx="36">
                  <c:v>8.1991426772172596E-2</c:v>
                </c:pt>
                <c:pt idx="37">
                  <c:v>8.6246281764853716E-2</c:v>
                </c:pt>
                <c:pt idx="38">
                  <c:v>9.0412520194618234E-2</c:v>
                </c:pt>
                <c:pt idx="39">
                  <c:v>9.4492153453259939E-2</c:v>
                </c:pt>
                <c:pt idx="40">
                  <c:v>9.8487141943673889E-2</c:v>
                </c:pt>
                <c:pt idx="41">
                  <c:v>0.10239939642435865</c:v>
                </c:pt>
                <c:pt idx="42">
                  <c:v>0.10623077931809652</c:v>
                </c:pt>
                <c:pt idx="43">
                  <c:v>0.10998310598576864</c:v>
                </c:pt>
                <c:pt idx="44">
                  <c:v>0.11365814596623619</c:v>
                </c:pt>
                <c:pt idx="45">
                  <c:v>0.11725762418319384</c:v>
                </c:pt>
                <c:pt idx="46">
                  <c:v>0.12078322211987765</c:v>
                </c:pt>
                <c:pt idx="47">
                  <c:v>0.12423657896248584</c:v>
                </c:pt>
                <c:pt idx="48">
                  <c:v>0.12761929271314795</c:v>
                </c:pt>
                <c:pt idx="49">
                  <c:v>0.1309329212732557</c:v>
                </c:pt>
                <c:pt idx="50">
                  <c:v>0.13417898349794707</c:v>
                </c:pt>
                <c:pt idx="51">
                  <c:v>0.13735896022251382</c:v>
                </c:pt>
                <c:pt idx="52">
                  <c:v>0.14047429526148231</c:v>
                </c:pt>
                <c:pt idx="53">
                  <c:v>0.14352559694014019</c:v>
                </c:pt>
                <c:pt idx="54">
                  <c:v>0.14647142782646527</c:v>
                </c:pt>
                <c:pt idx="55">
                  <c:v>0.14931469132508918</c:v>
                </c:pt>
                <c:pt idx="56">
                  <c:v>0.1520582129315585</c:v>
                </c:pt>
                <c:pt idx="57">
                  <c:v>0.15470474231604861</c:v>
                </c:pt>
                <c:pt idx="58">
                  <c:v>0.15725695535137194</c:v>
                </c:pt>
                <c:pt idx="59">
                  <c:v>0.1597174560867694</c:v>
                </c:pt>
                <c:pt idx="60">
                  <c:v>0.16208877866893451</c:v>
                </c:pt>
                <c:pt idx="61">
                  <c:v>0.16437338921168071</c:v>
                </c:pt>
                <c:pt idx="62">
                  <c:v>0.16657368761562508</c:v>
                </c:pt>
                <c:pt idx="63">
                  <c:v>0.16869200933922404</c:v>
                </c:pt>
                <c:pt idx="64">
                  <c:v>0.17073062712246215</c:v>
                </c:pt>
                <c:pt idx="65">
                  <c:v>0.17269175266445932</c:v>
                </c:pt>
                <c:pt idx="66">
                  <c:v>0.17457753825622835</c:v>
                </c:pt>
                <c:pt idx="67">
                  <c:v>0.17639007836978193</c:v>
                </c:pt>
                <c:pt idx="68">
                  <c:v>0.17813141120475581</c:v>
                </c:pt>
                <c:pt idx="69">
                  <c:v>0.17980352019368373</c:v>
                </c:pt>
                <c:pt idx="70">
                  <c:v>0.18140833546702989</c:v>
                </c:pt>
                <c:pt idx="71">
                  <c:v>0.18294773527905411</c:v>
                </c:pt>
                <c:pt idx="72">
                  <c:v>0.18442354739555747</c:v>
                </c:pt>
                <c:pt idx="73">
                  <c:v>0.1858375504445266</c:v>
                </c:pt>
                <c:pt idx="74">
                  <c:v>0.18719147523066926</c:v>
                </c:pt>
                <c:pt idx="75">
                  <c:v>0.18848700601480595</c:v>
                </c:pt>
                <c:pt idx="76">
                  <c:v>0.18972578175905713</c:v>
                </c:pt>
                <c:pt idx="77">
                  <c:v>0.19090939733874066</c:v>
                </c:pt>
                <c:pt idx="78">
                  <c:v>0.19203940472186901</c:v>
                </c:pt>
                <c:pt idx="79">
                  <c:v>0.19311731411711278</c:v>
                </c:pt>
                <c:pt idx="80">
                  <c:v>0.1941445950910731</c:v>
                </c:pt>
                <c:pt idx="81">
                  <c:v>0.19512267765568367</c:v>
                </c:pt>
                <c:pt idx="82">
                  <c:v>0.19605295332654096</c:v>
                </c:pt>
                <c:pt idx="83">
                  <c:v>0.19693677615293934</c:v>
                </c:pt>
                <c:pt idx="84">
                  <c:v>0.197775463720368</c:v>
                </c:pt>
                <c:pt idx="85">
                  <c:v>0.19857029812620572</c:v>
                </c:pt>
                <c:pt idx="86">
                  <c:v>0.19932252692932975</c:v>
                </c:pt>
                <c:pt idx="87">
                  <c:v>0.20003336407433633</c:v>
                </c:pt>
                <c:pt idx="88">
                  <c:v>0.20070399079105161</c:v>
                </c:pt>
                <c:pt idx="89">
                  <c:v>0.20133555646999335</c:v>
                </c:pt>
                <c:pt idx="90">
                  <c:v>0.20192917951442643</c:v>
                </c:pt>
                <c:pt idx="91">
                  <c:v>0.2024859481696378</c:v>
                </c:pt>
                <c:pt idx="92">
                  <c:v>0.20300692133003995</c:v>
                </c:pt>
                <c:pt idx="93">
                  <c:v>0.20349312932469535</c:v>
                </c:pt>
                <c:pt idx="94">
                  <c:v>0.20394557468183924</c:v>
                </c:pt>
                <c:pt idx="95">
                  <c:v>0.20436523287296157</c:v>
                </c:pt>
                <c:pt idx="96">
                  <c:v>0.20475305303699501</c:v>
                </c:pt>
                <c:pt idx="97">
                  <c:v>0.20510995868514056</c:v>
                </c:pt>
                <c:pt idx="98">
                  <c:v>0.2054368483868487</c:v>
                </c:pt>
                <c:pt idx="99">
                  <c:v>0.20573459643745928</c:v>
                </c:pt>
                <c:pt idx="100">
                  <c:v>0.20600405350799117</c:v>
                </c:pt>
                <c:pt idx="101">
                  <c:v>0.20624604727755821</c:v>
                </c:pt>
                <c:pt idx="102">
                  <c:v>0.20646138304887648</c:v>
                </c:pt>
                <c:pt idx="103">
                  <c:v>0.20665084434731432</c:v>
                </c:pt>
                <c:pt idx="104">
                  <c:v>0.20681519350392558</c:v>
                </c:pt>
                <c:pt idx="105">
                  <c:v>0.20695389925270183</c:v>
                </c:pt>
                <c:pt idx="106">
                  <c:v>0.20706895477017731</c:v>
                </c:pt>
                <c:pt idx="107">
                  <c:v>0.20716106257228828</c:v>
                </c:pt>
                <c:pt idx="108">
                  <c:v>0.2072309061442015</c:v>
                </c:pt>
                <c:pt idx="109">
                  <c:v>0.20727915045003018</c:v>
                </c:pt>
                <c:pt idx="110">
                  <c:v>0.20730644242891771</c:v>
                </c:pt>
                <c:pt idx="111">
                  <c:v>0.20731341147785437</c:v>
                </c:pt>
                <c:pt idx="112">
                  <c:v>0.20730066992158103</c:v>
                </c:pt>
                <c:pt idx="113">
                  <c:v>0.20726881346992568</c:v>
                </c:pt>
                <c:pt idx="114">
                  <c:v>0.20721842166290855</c:v>
                </c:pt>
                <c:pt idx="115">
                  <c:v>0.20715005830394292</c:v>
                </c:pt>
                <c:pt idx="116">
                  <c:v>0.20706427188145013</c:v>
                </c:pt>
                <c:pt idx="117">
                  <c:v>0.20696159597919805</c:v>
                </c:pt>
                <c:pt idx="118">
                  <c:v>0.20684254967566515</c:v>
                </c:pt>
                <c:pt idx="119">
                  <c:v>0.20670763793272337</c:v>
                </c:pt>
                <c:pt idx="120">
                  <c:v>0.20655735197392519</c:v>
                </c:pt>
                <c:pt idx="121">
                  <c:v>0.20639216965267324</c:v>
                </c:pt>
                <c:pt idx="122">
                  <c:v>0.20621255581054274</c:v>
                </c:pt>
                <c:pt idx="123">
                  <c:v>0.20601896262602007</c:v>
                </c:pt>
                <c:pt idx="124">
                  <c:v>0.20581182995391398</c:v>
                </c:pt>
                <c:pt idx="125">
                  <c:v>0.2055915856556885</c:v>
                </c:pt>
                <c:pt idx="126">
                  <c:v>0.20535864592096059</c:v>
                </c:pt>
                <c:pt idx="127">
                  <c:v>0.20511341558039856</c:v>
                </c:pt>
                <c:pt idx="128">
                  <c:v>0.20485628841025139</c:v>
                </c:pt>
                <c:pt idx="129">
                  <c:v>0.20458764742873256</c:v>
                </c:pt>
                <c:pt idx="130">
                  <c:v>0.20430786518447636</c:v>
                </c:pt>
                <c:pt idx="131">
                  <c:v>0.20401730403727858</c:v>
                </c:pt>
                <c:pt idx="132">
                  <c:v>0.20371631643132768</c:v>
                </c:pt>
                <c:pt idx="133">
                  <c:v>0.20340524516112773</c:v>
                </c:pt>
                <c:pt idx="134">
                  <c:v>0.20308442363030818</c:v>
                </c:pt>
                <c:pt idx="135">
                  <c:v>0.20275417610351051</c:v>
                </c:pt>
                <c:pt idx="136">
                  <c:v>0.20241481795153743</c:v>
                </c:pt>
                <c:pt idx="137">
                  <c:v>0.20206665588994427</c:v>
                </c:pt>
                <c:pt idx="138">
                  <c:v>0.20170998821124819</c:v>
                </c:pt>
                <c:pt idx="139">
                  <c:v>0.2013451050109257</c:v>
                </c:pt>
                <c:pt idx="140">
                  <c:v>0.20097228840736481</c:v>
                </c:pt>
                <c:pt idx="141">
                  <c:v>0.20059181275593316</c:v>
                </c:pt>
                <c:pt idx="142">
                  <c:v>0.20020394485731982</c:v>
                </c:pt>
                <c:pt idx="143">
                  <c:v>0.19980894416030356</c:v>
                </c:pt>
                <c:pt idx="144">
                  <c:v>0.19940706295909685</c:v>
                </c:pt>
                <c:pt idx="145">
                  <c:v>0.19899854658541033</c:v>
                </c:pt>
                <c:pt idx="146">
                  <c:v>0.19858363359537951</c:v>
                </c:pt>
                <c:pt idx="147">
                  <c:v>0.19816255595149043</c:v>
                </c:pt>
                <c:pt idx="148">
                  <c:v>0.1977355391996384</c:v>
                </c:pt>
                <c:pt idx="149">
                  <c:v>0.19730280264144981</c:v>
                </c:pt>
                <c:pt idx="150">
                  <c:v>0.19686455950199369</c:v>
                </c:pt>
                <c:pt idx="151">
                  <c:v>0.19642101709300649</c:v>
                </c:pt>
                <c:pt idx="152">
                  <c:v>0.19597237697174971</c:v>
                </c:pt>
                <c:pt idx="153">
                  <c:v>0.1955188350956174</c:v>
                </c:pt>
                <c:pt idx="154">
                  <c:v>0.19506058197260726</c:v>
                </c:pt>
                <c:pt idx="155">
                  <c:v>0.19459780280776556</c:v>
                </c:pt>
                <c:pt idx="156">
                  <c:v>0.19413067764571404</c:v>
                </c:pt>
                <c:pt idx="157">
                  <c:v>0.19365804089242486</c:v>
                </c:pt>
                <c:pt idx="158">
                  <c:v>0.1931814098908301</c:v>
                </c:pt>
                <c:pt idx="159">
                  <c:v>0.19270095010139526</c:v>
                </c:pt>
                <c:pt idx="160">
                  <c:v>0.19221682235268739</c:v>
                </c:pt>
                <c:pt idx="161">
                  <c:v>0.19172918296598324</c:v>
                </c:pt>
                <c:pt idx="162">
                  <c:v>0.19123818387654204</c:v>
                </c:pt>
                <c:pt idx="163">
                  <c:v>0.19074397275163263</c:v>
                </c:pt>
                <c:pt idx="164">
                  <c:v>0.19024669310540102</c:v>
                </c:pt>
                <c:pt idx="165">
                  <c:v>0.18974648441066361</c:v>
                </c:pt>
                <c:pt idx="166">
                  <c:v>0.18924348220770784</c:v>
                </c:pt>
                <c:pt idx="167">
                  <c:v>0.18873781821018049</c:v>
                </c:pt>
                <c:pt idx="168">
                  <c:v>0.18822962040814134</c:v>
                </c:pt>
                <c:pt idx="169">
                  <c:v>0.18771901316835857</c:v>
                </c:pt>
                <c:pt idx="170">
                  <c:v>0.18720611733191875</c:v>
                </c:pt>
                <c:pt idx="171">
                  <c:v>0.1866910503092242</c:v>
                </c:pt>
                <c:pt idx="172">
                  <c:v>0.18617392617244691</c:v>
                </c:pt>
                <c:pt idx="173">
                  <c:v>0.1856548557455075</c:v>
                </c:pt>
                <c:pt idx="174">
                  <c:v>0.18513394669164507</c:v>
                </c:pt>
                <c:pt idx="175">
                  <c:v>0.18461130359864272</c:v>
                </c:pt>
                <c:pt idx="176">
                  <c:v>0.18408702806177119</c:v>
                </c:pt>
                <c:pt idx="177">
                  <c:v>0.1835612187645117</c:v>
                </c:pt>
                <c:pt idx="178">
                  <c:v>0.18303397155711765</c:v>
                </c:pt>
                <c:pt idx="179">
                  <c:v>0.18250537953307233</c:v>
                </c:pt>
                <c:pt idx="180">
                  <c:v>0.18197553310350001</c:v>
                </c:pt>
                <c:pt idx="181">
                  <c:v>0.18144452006958395</c:v>
                </c:pt>
                <c:pt idx="182">
                  <c:v>0.18091242569304547</c:v>
                </c:pt>
                <c:pt idx="183">
                  <c:v>0.18037933276473558</c:v>
                </c:pt>
                <c:pt idx="184">
                  <c:v>0.17984532167138995</c:v>
                </c:pt>
                <c:pt idx="185">
                  <c:v>0.17931047046059587</c:v>
                </c:pt>
                <c:pt idx="186">
                  <c:v>0.17877485490401948</c:v>
                </c:pt>
                <c:pt idx="187">
                  <c:v>0.17823854855893975</c:v>
                </c:pt>
                <c:pt idx="188">
                  <c:v>0.17770162282813409</c:v>
                </c:pt>
                <c:pt idx="189">
                  <c:v>0.17716414701816041</c:v>
                </c:pt>
                <c:pt idx="190">
                  <c:v>0.1766261883960776</c:v>
                </c:pt>
                <c:pt idx="191">
                  <c:v>0.17608781224464723</c:v>
                </c:pt>
                <c:pt idx="192">
                  <c:v>0.17554908191605609</c:v>
                </c:pt>
                <c:pt idx="193">
                  <c:v>0.17501005888420013</c:v>
                </c:pt>
                <c:pt idx="194">
                  <c:v>0.17447080279556729</c:v>
                </c:pt>
                <c:pt idx="195">
                  <c:v>0.17393137151875751</c:v>
                </c:pt>
                <c:pt idx="196">
                  <c:v>0.17339182119267593</c:v>
                </c:pt>
                <c:pt idx="197">
                  <c:v>0.17285220627343498</c:v>
                </c:pt>
                <c:pt idx="198">
                  <c:v>0.17231257957999965</c:v>
                </c:pt>
                <c:pt idx="199">
                  <c:v>0.17177299233860993</c:v>
                </c:pt>
                <c:pt idx="200">
                  <c:v>0.17123349422601278</c:v>
                </c:pt>
                <c:pt idx="201">
                  <c:v>0.17069413341153583</c:v>
                </c:pt>
                <c:pt idx="202">
                  <c:v>0.17015495659803326</c:v>
                </c:pt>
                <c:pt idx="203">
                  <c:v>0.16961600906173468</c:v>
                </c:pt>
                <c:pt idx="204">
                  <c:v>0.16907733469102587</c:v>
                </c:pt>
                <c:pt idx="205">
                  <c:v>0.16853897602419024</c:v>
                </c:pt>
                <c:pt idx="206">
                  <c:v>0.16800097428613858</c:v>
                </c:pt>
                <c:pt idx="207">
                  <c:v>0.16746336942415441</c:v>
                </c:pt>
                <c:pt idx="208">
                  <c:v>0.16692620014268089</c:v>
                </c:pt>
                <c:pt idx="209">
                  <c:v>0.16638828788516305</c:v>
                </c:pt>
                <c:pt idx="210">
                  <c:v>0.16585089286929722</c:v>
                </c:pt>
                <c:pt idx="211">
                  <c:v>0.16531405025850129</c:v>
                </c:pt>
                <c:pt idx="212">
                  <c:v>0.16477779410242646</c:v>
                </c:pt>
                <c:pt idx="213">
                  <c:v>0.16424215736736386</c:v>
                </c:pt>
                <c:pt idx="214">
                  <c:v>0.16370717196583592</c:v>
                </c:pt>
                <c:pt idx="215">
                  <c:v>0.16317286878539375</c:v>
                </c:pt>
                <c:pt idx="216">
                  <c:v>0.16263927771664202</c:v>
                </c:pt>
                <c:pt idx="217">
                  <c:v>0.16210642768051201</c:v>
                </c:pt>
                <c:pt idx="218">
                  <c:v>0.16157434665480291</c:v>
                </c:pt>
                <c:pt idx="219">
                  <c:v>0.16104306170001101</c:v>
                </c:pt>
                <c:pt idx="220">
                  <c:v>0.16051259898446568</c:v>
                </c:pt>
                <c:pt idx="221">
                  <c:v>0.15998298380879095</c:v>
                </c:pt>
                <c:pt idx="222">
                  <c:v>0.15945424062971048</c:v>
                </c:pt>
                <c:pt idx="223">
                  <c:v>0.15892639308321366</c:v>
                </c:pt>
                <c:pt idx="224">
                  <c:v>0.15839946400709984</c:v>
                </c:pt>
                <c:pt idx="225">
                  <c:v>0.15787347546291752</c:v>
                </c:pt>
                <c:pt idx="226">
                  <c:v>0.15734844875731432</c:v>
                </c:pt>
                <c:pt idx="227">
                  <c:v>0.15682440446281401</c:v>
                </c:pt>
                <c:pt idx="228">
                  <c:v>0.15630136243803538</c:v>
                </c:pt>
                <c:pt idx="229">
                  <c:v>0.15577934184736836</c:v>
                </c:pt>
                <c:pt idx="230">
                  <c:v>0.1552583611801216</c:v>
                </c:pt>
                <c:pt idx="231">
                  <c:v>0.15473843826915595</c:v>
                </c:pt>
                <c:pt idx="232">
                  <c:v>0.1542195903090173</c:v>
                </c:pt>
                <c:pt idx="233">
                  <c:v>0.15370183387358222</c:v>
                </c:pt>
                <c:pt idx="234">
                  <c:v>0.1531851849332298</c:v>
                </c:pt>
                <c:pt idx="235">
                  <c:v>0.15266965887155184</c:v>
                </c:pt>
                <c:pt idx="236">
                  <c:v>0.15215527050161415</c:v>
                </c:pt>
                <c:pt idx="237">
                  <c:v>0.1516420340817809</c:v>
                </c:pt>
                <c:pt idx="238">
                  <c:v>0.15112996333111342</c:v>
                </c:pt>
                <c:pt idx="239">
                  <c:v>0.15061907144435532</c:v>
                </c:pt>
                <c:pt idx="240">
                  <c:v>0.15010937110651462</c:v>
                </c:pt>
                <c:pt idx="241">
                  <c:v>0.14960087450705384</c:v>
                </c:pt>
                <c:pt idx="242">
                  <c:v>0.14909359335369859</c:v>
                </c:pt>
                <c:pt idx="243">
                  <c:v>0.1485875388858747</c:v>
                </c:pt>
                <c:pt idx="244">
                  <c:v>0.14808272188778396</c:v>
                </c:pt>
                <c:pt idx="245">
                  <c:v>0.14757915270112826</c:v>
                </c:pt>
                <c:pt idx="246">
                  <c:v>0.14707684123749115</c:v>
                </c:pt>
                <c:pt idx="247">
                  <c:v>0.14657579699038653</c:v>
                </c:pt>
                <c:pt idx="248">
                  <c:v>0.14607602904698286</c:v>
                </c:pt>
                <c:pt idx="249">
                  <c:v>0.14557754609951193</c:v>
                </c:pt>
                <c:pt idx="250">
                  <c:v>0.1450803564563706</c:v>
                </c:pt>
                <c:pt idx="251">
                  <c:v>0.14458446805292344</c:v>
                </c:pt>
                <c:pt idx="252">
                  <c:v>0.14408988846201465</c:v>
                </c:pt>
                <c:pt idx="253">
                  <c:v>0.14359662490419686</c:v>
                </c:pt>
                <c:pt idx="254">
                  <c:v>0.14310468425768447</c:v>
                </c:pt>
                <c:pt idx="255">
                  <c:v>0.14261407306803864</c:v>
                </c:pt>
                <c:pt idx="256">
                  <c:v>0.14212479755759155</c:v>
                </c:pt>
                <c:pt idx="257">
                  <c:v>0.14163686363461661</c:v>
                </c:pt>
                <c:pt idx="258">
                  <c:v>0.14115027690225146</c:v>
                </c:pt>
                <c:pt idx="259">
                  <c:v>0.14066504266718047</c:v>
                </c:pt>
                <c:pt idx="260">
                  <c:v>0.14018116594808305</c:v>
                </c:pt>
                <c:pt idx="261">
                  <c:v>0.13970561047871471</c:v>
                </c:pt>
                <c:pt idx="262">
                  <c:v>0.13923923690394946</c:v>
                </c:pt>
                <c:pt idx="263">
                  <c:v>0.1387818033531758</c:v>
                </c:pt>
                <c:pt idx="264">
                  <c:v>0.13833307442401449</c:v>
                </c:pt>
                <c:pt idx="265">
                  <c:v>0.13789282100923497</c:v>
                </c:pt>
                <c:pt idx="266">
                  <c:v>0.1374608201283038</c:v>
                </c:pt>
                <c:pt idx="267">
                  <c:v>0.13703685476344071</c:v>
                </c:pt>
                <c:pt idx="268">
                  <c:v>0.13662071370006171</c:v>
                </c:pt>
                <c:pt idx="269">
                  <c:v>0.13621219137149174</c:v>
                </c:pt>
                <c:pt idx="270">
                  <c:v>0.13581108770783315</c:v>
                </c:pt>
                <c:pt idx="271">
                  <c:v>0.13541720798887796</c:v>
                </c:pt>
                <c:pt idx="272">
                  <c:v>0.13503036270095642</c:v>
                </c:pt>
                <c:pt idx="273">
                  <c:v>0.13465036739761616</c:v>
                </c:pt>
                <c:pt idx="274">
                  <c:v>0.13427704256402948</c:v>
                </c:pt>
                <c:pt idx="275">
                  <c:v>0.13391021348502918</c:v>
                </c:pt>
                <c:pt idx="276">
                  <c:v>0.13354971011667555</c:v>
                </c:pt>
                <c:pt idx="277">
                  <c:v>0.13319536696126022</c:v>
                </c:pt>
                <c:pt idx="278">
                  <c:v>0.13284702294565501</c:v>
                </c:pt>
                <c:pt idx="279">
                  <c:v>0.13250452130291593</c:v>
                </c:pt>
                <c:pt idx="280">
                  <c:v>0.13216770945705553</c:v>
                </c:pt>
                <c:pt idx="281">
                  <c:v>0.13183643891089852</c:v>
                </c:pt>
                <c:pt idx="282">
                  <c:v>0.13151056513693865</c:v>
                </c:pt>
                <c:pt idx="283">
                  <c:v>0.13118994747111595</c:v>
                </c:pt>
                <c:pt idx="284">
                  <c:v>0.13087444900943657</c:v>
                </c:pt>
                <c:pt idx="285">
                  <c:v>0.13056393650735898</c:v>
                </c:pt>
                <c:pt idx="286">
                  <c:v>0.13025828028187267</c:v>
                </c:pt>
                <c:pt idx="287">
                  <c:v>0.12995735411619699</c:v>
                </c:pt>
                <c:pt idx="288">
                  <c:v>0.12966103516703034</c:v>
                </c:pt>
                <c:pt idx="289">
                  <c:v>0.12936920387428144</c:v>
                </c:pt>
                <c:pt idx="290">
                  <c:v>0.12908174387321597</c:v>
                </c:pt>
                <c:pt idx="291">
                  <c:v>0.12879854190895418</c:v>
                </c:pt>
                <c:pt idx="292">
                  <c:v>0.12851948775325653</c:v>
                </c:pt>
                <c:pt idx="293">
                  <c:v>0.12824447412353621</c:v>
                </c:pt>
                <c:pt idx="294">
                  <c:v>0.1279733966040387</c:v>
                </c:pt>
                <c:pt idx="295">
                  <c:v>0.12770615356913056</c:v>
                </c:pt>
                <c:pt idx="296">
                  <c:v>0.12744264610864117</c:v>
                </c:pt>
                <c:pt idx="297">
                  <c:v>0.12718277795520203</c:v>
                </c:pt>
                <c:pt idx="298">
                  <c:v>0.12692645541353051</c:v>
                </c:pt>
                <c:pt idx="299">
                  <c:v>0.12667358729160622</c:v>
                </c:pt>
                <c:pt idx="300">
                  <c:v>0.1264240848336885</c:v>
                </c:pt>
                <c:pt idx="301">
                  <c:v>0.12617786165512695</c:v>
                </c:pt>
                <c:pt idx="302">
                  <c:v>0.12593483367891603</c:v>
                </c:pt>
                <c:pt idx="303">
                  <c:v>0.12569491907394748</c:v>
                </c:pt>
                <c:pt idx="304">
                  <c:v>0.12545803819491516</c:v>
                </c:pt>
                <c:pt idx="305">
                  <c:v>0.12522411352382806</c:v>
                </c:pt>
                <c:pt idx="306">
                  <c:v>0.1249930696130882</c:v>
                </c:pt>
                <c:pt idx="307">
                  <c:v>0.12476483303009198</c:v>
                </c:pt>
                <c:pt idx="308">
                  <c:v>0.12453933230331375</c:v>
                </c:pt>
                <c:pt idx="309">
                  <c:v>0.1243164978698324</c:v>
                </c:pt>
                <c:pt idx="310">
                  <c:v>0.12409626202426186</c:v>
                </c:pt>
                <c:pt idx="311">
                  <c:v>0.12387855886904843</c:v>
                </c:pt>
                <c:pt idx="312">
                  <c:v>0.123663324266098</c:v>
                </c:pt>
                <c:pt idx="313">
                  <c:v>0.1234494863499306</c:v>
                </c:pt>
                <c:pt idx="314">
                  <c:v>0.123237997251593</c:v>
                </c:pt>
                <c:pt idx="315">
                  <c:v>0.12302879777778088</c:v>
                </c:pt>
                <c:pt idx="316">
                  <c:v>0.1228218303156445</c:v>
                </c:pt>
                <c:pt idx="317">
                  <c:v>0.12261703879048824</c:v>
                </c:pt>
                <c:pt idx="318">
                  <c:v>0.12241436862460196</c:v>
                </c:pt>
                <c:pt idx="319">
                  <c:v>0.12221376669719482</c:v>
                </c:pt>
                <c:pt idx="320">
                  <c:v>0.12201518130540115</c:v>
                </c:pt>
                <c:pt idx="321">
                  <c:v>0.12181856212633047</c:v>
                </c:pt>
                <c:pt idx="322">
                  <c:v>0.12162386018013302</c:v>
                </c:pt>
                <c:pt idx="323">
                  <c:v>0.12143102779405421</c:v>
                </c:pt>
                <c:pt idx="324">
                  <c:v>0.12124001856745102</c:v>
                </c:pt>
                <c:pt idx="325">
                  <c:v>0.12105078733774491</c:v>
                </c:pt>
                <c:pt idx="326">
                  <c:v>0.12086329014728613</c:v>
                </c:pt>
                <c:pt idx="327">
                  <c:v>0.12067748421110493</c:v>
                </c:pt>
                <c:pt idx="328">
                  <c:v>0.120493327885526</c:v>
                </c:pt>
                <c:pt idx="329">
                  <c:v>0.12031078063762304</c:v>
                </c:pt>
                <c:pt idx="330">
                  <c:v>0.12012980301549096</c:v>
                </c:pt>
                <c:pt idx="331">
                  <c:v>0.11995035661931375</c:v>
                </c:pt>
                <c:pt idx="332">
                  <c:v>0.11977240407320688</c:v>
                </c:pt>
                <c:pt idx="333">
                  <c:v>0.11959590899781335</c:v>
                </c:pt>
                <c:pt idx="334">
                  <c:v>0.11942083598363333</c:v>
                </c:pt>
                <c:pt idx="335">
                  <c:v>0.11924715056506761</c:v>
                </c:pt>
                <c:pt idx="336">
                  <c:v>0.11907481919515596</c:v>
                </c:pt>
                <c:pt idx="337">
                  <c:v>0.1189038092209915</c:v>
                </c:pt>
                <c:pt idx="338">
                  <c:v>0.11873408885979342</c:v>
                </c:pt>
                <c:pt idx="339">
                  <c:v>0.11856562717561991</c:v>
                </c:pt>
                <c:pt idx="340">
                  <c:v>0.11839839405670462</c:v>
                </c:pt>
                <c:pt idx="341">
                  <c:v>0.11823236019339964</c:v>
                </c:pt>
                <c:pt idx="342">
                  <c:v>0.11806749705670898</c:v>
                </c:pt>
                <c:pt idx="343">
                  <c:v>0.11790377687739656</c:v>
                </c:pt>
                <c:pt idx="344">
                  <c:v>0.11774117262565352</c:v>
                </c:pt>
                <c:pt idx="345">
                  <c:v>0.11757965799130973</c:v>
                </c:pt>
                <c:pt idx="346">
                  <c:v>0.11741920736457498</c:v>
                </c:pt>
                <c:pt idx="347">
                  <c:v>0.11725979581729573</c:v>
                </c:pt>
                <c:pt idx="348">
                  <c:v>0.1171013990847135</c:v>
                </c:pt>
                <c:pt idx="349">
                  <c:v>0.11694399354771157</c:v>
                </c:pt>
                <c:pt idx="350">
                  <c:v>0.11678755621553692</c:v>
                </c:pt>
                <c:pt idx="351">
                  <c:v>0.11663206470898466</c:v>
                </c:pt>
                <c:pt idx="352">
                  <c:v>0.11647749724403242</c:v>
                </c:pt>
                <c:pt idx="353">
                  <c:v>0.11632383261591303</c:v>
                </c:pt>
                <c:pt idx="354">
                  <c:v>0.11617105018361343</c:v>
                </c:pt>
                <c:pt idx="355">
                  <c:v>0.11601912985478842</c:v>
                </c:pt>
                <c:pt idx="356">
                  <c:v>0.11586805207107836</c:v>
                </c:pt>
                <c:pt idx="357">
                  <c:v>0.11571779779381983</c:v>
                </c:pt>
                <c:pt idx="358">
                  <c:v>0.11556834849013874</c:v>
                </c:pt>
                <c:pt idx="359">
                  <c:v>0.11541968611941575</c:v>
                </c:pt>
                <c:pt idx="360">
                  <c:v>0.11527179312011392</c:v>
                </c:pt>
                <c:pt idx="361">
                  <c:v>0.11512465239695897</c:v>
                </c:pt>
                <c:pt idx="362">
                  <c:v>0.11497824730846275</c:v>
                </c:pt>
                <c:pt idx="363">
                  <c:v>0.11483256165478051</c:v>
                </c:pt>
                <c:pt idx="364">
                  <c:v>0.11468757966589338</c:v>
                </c:pt>
                <c:pt idx="365">
                  <c:v>0.11454227158560347</c:v>
                </c:pt>
                <c:pt idx="366">
                  <c:v>0.11439763942664953</c:v>
                </c:pt>
                <c:pt idx="367">
                  <c:v>0.11425366862316842</c:v>
                </c:pt>
                <c:pt idx="368">
                  <c:v>0.11411034499543418</c:v>
                </c:pt>
                <c:pt idx="369">
                  <c:v>0.11396765473952296</c:v>
                </c:pt>
                <c:pt idx="370">
                  <c:v>0.11382558441725474</c:v>
                </c:pt>
                <c:pt idx="371">
                  <c:v>0.11368412094640434</c:v>
                </c:pt>
                <c:pt idx="372">
                  <c:v>0.11354325159117448</c:v>
                </c:pt>
                <c:pt idx="373">
                  <c:v>0.11340296395292407</c:v>
                </c:pt>
                <c:pt idx="374">
                  <c:v>0.11326324596114459</c:v>
                </c:pt>
                <c:pt idx="375">
                  <c:v>0.11312408586467824</c:v>
                </c:pt>
                <c:pt idx="376">
                  <c:v>0.1129854722231711</c:v>
                </c:pt>
                <c:pt idx="377">
                  <c:v>0.11284739389875519</c:v>
                </c:pt>
                <c:pt idx="378">
                  <c:v>0.1127098400479533</c:v>
                </c:pt>
                <c:pt idx="379">
                  <c:v>0.11257280011380051</c:v>
                </c:pt>
                <c:pt idx="380">
                  <c:v>0.11243626381817667</c:v>
                </c:pt>
                <c:pt idx="381">
                  <c:v>0.11230022115434418</c:v>
                </c:pt>
                <c:pt idx="382">
                  <c:v>0.11216466237968561</c:v>
                </c:pt>
                <c:pt idx="383">
                  <c:v>0.11202957800863575</c:v>
                </c:pt>
                <c:pt idx="384">
                  <c:v>0.11189495880580287</c:v>
                </c:pt>
                <c:pt idx="385">
                  <c:v>0.11176079577927427</c:v>
                </c:pt>
                <c:pt idx="386">
                  <c:v>0.11162708017410095</c:v>
                </c:pt>
                <c:pt idx="387">
                  <c:v>0.11149380346595682</c:v>
                </c:pt>
                <c:pt idx="388">
                  <c:v>0.11136095735496765</c:v>
                </c:pt>
                <c:pt idx="389">
                  <c:v>0.11122853375970528</c:v>
                </c:pt>
                <c:pt idx="390">
                  <c:v>0.11109652481134262</c:v>
                </c:pt>
                <c:pt idx="391">
                  <c:v>0.11096492284796509</c:v>
                </c:pt>
                <c:pt idx="392">
                  <c:v>0.11083372040903458</c:v>
                </c:pt>
                <c:pt idx="393">
                  <c:v>0.1107029102300013</c:v>
                </c:pt>
                <c:pt idx="394">
                  <c:v>0.11057248523706026</c:v>
                </c:pt>
                <c:pt idx="395">
                  <c:v>0.11044243854204792</c:v>
                </c:pt>
                <c:pt idx="396">
                  <c:v>0.11031276343747558</c:v>
                </c:pt>
                <c:pt idx="397">
                  <c:v>0.11018345339169566</c:v>
                </c:pt>
                <c:pt idx="398">
                  <c:v>0.11005450204419749</c:v>
                </c:pt>
                <c:pt idx="399">
                  <c:v>0.10992590320102909</c:v>
                </c:pt>
                <c:pt idx="400">
                  <c:v>0.10979765083034139</c:v>
                </c:pt>
                <c:pt idx="401">
                  <c:v>0.1096697390580519</c:v>
                </c:pt>
                <c:pt idx="402">
                  <c:v>0.10954216216362439</c:v>
                </c:pt>
                <c:pt idx="403">
                  <c:v>0.1094149145759616</c:v>
                </c:pt>
                <c:pt idx="404">
                  <c:v>0.10928799086940799</c:v>
                </c:pt>
                <c:pt idx="405">
                  <c:v>0.10916138575985938</c:v>
                </c:pt>
                <c:pt idx="406">
                  <c:v>0.10903509410097689</c:v>
                </c:pt>
                <c:pt idx="407">
                  <c:v>0.10890911088050213</c:v>
                </c:pt>
                <c:pt idx="408">
                  <c:v>0.10878343121667118</c:v>
                </c:pt>
                <c:pt idx="409">
                  <c:v>0.10865805035472448</c:v>
                </c:pt>
                <c:pt idx="410">
                  <c:v>0.1085329636635102</c:v>
                </c:pt>
                <c:pt idx="411">
                  <c:v>0.10840816663217862</c:v>
                </c:pt>
                <c:pt idx="412">
                  <c:v>0.10828365486696484</c:v>
                </c:pt>
                <c:pt idx="413">
                  <c:v>0.1081594240880579</c:v>
                </c:pt>
                <c:pt idx="414">
                  <c:v>0.10803547012655347</c:v>
                </c:pt>
                <c:pt idx="415">
                  <c:v>0.10791178892148827</c:v>
                </c:pt>
                <c:pt idx="416">
                  <c:v>0.10778837651695389</c:v>
                </c:pt>
                <c:pt idx="417">
                  <c:v>0.10766417090642919</c:v>
                </c:pt>
                <c:pt idx="418">
                  <c:v>0.10754022891450614</c:v>
                </c:pt>
                <c:pt idx="419">
                  <c:v>0.10741654687625718</c:v>
                </c:pt>
                <c:pt idx="420">
                  <c:v>0.10729312122115735</c:v>
                </c:pt>
                <c:pt idx="421">
                  <c:v>0.1071699484705598</c:v>
                </c:pt>
                <c:pt idx="422">
                  <c:v>0.10704702523523899</c:v>
                </c:pt>
                <c:pt idx="423">
                  <c:v>0.10692434821299954</c:v>
                </c:pt>
                <c:pt idx="424">
                  <c:v>0.10680191418634932</c:v>
                </c:pt>
                <c:pt idx="425">
                  <c:v>0.10667972002023465</c:v>
                </c:pt>
                <c:pt idx="426">
                  <c:v>0.10655776265983635</c:v>
                </c:pt>
                <c:pt idx="427">
                  <c:v>0.10643603912842474</c:v>
                </c:pt>
                <c:pt idx="428">
                  <c:v>0.10631454652527202</c:v>
                </c:pt>
                <c:pt idx="429">
                  <c:v>0.10619328202362072</c:v>
                </c:pt>
                <c:pt idx="430">
                  <c:v>0.10607224286870641</c:v>
                </c:pt>
                <c:pt idx="431">
                  <c:v>0.1059514263758335</c:v>
                </c:pt>
                <c:pt idx="432">
                  <c:v>0.10583082992850246</c:v>
                </c:pt>
                <c:pt idx="433">
                  <c:v>0.10571045097658725</c:v>
                </c:pt>
                <c:pt idx="434">
                  <c:v>0.10559028703456164</c:v>
                </c:pt>
                <c:pt idx="435">
                  <c:v>0.10547033567977283</c:v>
                </c:pt>
                <c:pt idx="436">
                  <c:v>0.10535059455076161</c:v>
                </c:pt>
                <c:pt idx="437">
                  <c:v>0.10523106134562718</c:v>
                </c:pt>
                <c:pt idx="438">
                  <c:v>0.10511173382043601</c:v>
                </c:pt>
                <c:pt idx="439">
                  <c:v>0.10499260978767325</c:v>
                </c:pt>
                <c:pt idx="440">
                  <c:v>0.10487368711473551</c:v>
                </c:pt>
                <c:pt idx="441">
                  <c:v>0.10475496372246419</c:v>
                </c:pt>
                <c:pt idx="442">
                  <c:v>0.10463643758371795</c:v>
                </c:pt>
                <c:pt idx="443">
                  <c:v>0.10451810672198343</c:v>
                </c:pt>
                <c:pt idx="444">
                  <c:v>0.10439996921002329</c:v>
                </c:pt>
                <c:pt idx="445">
                  <c:v>0.10428202316856028</c:v>
                </c:pt>
                <c:pt idx="446">
                  <c:v>0.10416426676499672</c:v>
                </c:pt>
                <c:pt idx="447">
                  <c:v>0.10404669821216819</c:v>
                </c:pt>
                <c:pt idx="448">
                  <c:v>0.10392931576713059</c:v>
                </c:pt>
                <c:pt idx="449">
                  <c:v>0.10381211772997972</c:v>
                </c:pt>
                <c:pt idx="450">
                  <c:v>0.10369510244270251</c:v>
                </c:pt>
                <c:pt idx="451">
                  <c:v>0.1035782682880589</c:v>
                </c:pt>
                <c:pt idx="452">
                  <c:v>0.10346161368849376</c:v>
                </c:pt>
                <c:pt idx="453">
                  <c:v>0.10334513710507795</c:v>
                </c:pt>
                <c:pt idx="454">
                  <c:v>0.10322883703647767</c:v>
                </c:pt>
                <c:pt idx="455">
                  <c:v>0.10311271201795154</c:v>
                </c:pt>
                <c:pt idx="456">
                  <c:v>0.10299676062037433</c:v>
                </c:pt>
                <c:pt idx="457">
                  <c:v>0.1028809814492871</c:v>
                </c:pt>
                <c:pt idx="458">
                  <c:v>0.10276537314397255</c:v>
                </c:pt>
                <c:pt idx="459">
                  <c:v>0.10264993437655523</c:v>
                </c:pt>
                <c:pt idx="460">
                  <c:v>0.10253466385112592</c:v>
                </c:pt>
                <c:pt idx="461">
                  <c:v>0.10241956030288926</c:v>
                </c:pt>
                <c:pt idx="462">
                  <c:v>0.10230462249733448</c:v>
                </c:pt>
                <c:pt idx="463">
                  <c:v>0.10218984922942803</c:v>
                </c:pt>
                <c:pt idx="464">
                  <c:v>0.1020752393228281</c:v>
                </c:pt>
                <c:pt idx="465">
                  <c:v>0.10196079162912</c:v>
                </c:pt>
                <c:pt idx="466">
                  <c:v>0.10184650502707213</c:v>
                </c:pt>
                <c:pt idx="467">
                  <c:v>0.1017323784219118</c:v>
                </c:pt>
                <c:pt idx="468">
                  <c:v>0.10161841074462044</c:v>
                </c:pt>
                <c:pt idx="469">
                  <c:v>0.10150346519618851</c:v>
                </c:pt>
                <c:pt idx="470">
                  <c:v>0.10138867906818992</c:v>
                </c:pt>
                <c:pt idx="471">
                  <c:v>0.10127405135955134</c:v>
                </c:pt>
                <c:pt idx="472">
                  <c:v>0.10115958109236194</c:v>
                </c:pt>
                <c:pt idx="473">
                  <c:v>0.10104526731125679</c:v>
                </c:pt>
                <c:pt idx="474">
                  <c:v>0.10093110908281687</c:v>
                </c:pt>
                <c:pt idx="475">
                  <c:v>0.100817105494985</c:v>
                </c:pt>
                <c:pt idx="476">
                  <c:v>0.10070325565649758</c:v>
                </c:pt>
                <c:pt idx="477">
                  <c:v>0.1005895586963314</c:v>
                </c:pt>
                <c:pt idx="478">
                  <c:v>0.10047601376316542</c:v>
                </c:pt>
                <c:pt idx="479">
                  <c:v>0.10036262002485682</c:v>
                </c:pt>
                <c:pt idx="480">
                  <c:v>0.10024937666793121</c:v>
                </c:pt>
                <c:pt idx="481">
                  <c:v>0.10013628289708641</c:v>
                </c:pt>
                <c:pt idx="482">
                  <c:v>0.10002333793470958</c:v>
                </c:pt>
                <c:pt idx="483">
                  <c:v>9.9910541020407223E-2</c:v>
                </c:pt>
                <c:pt idx="484">
                  <c:v>9.9797891410547873E-2</c:v>
                </c:pt>
                <c:pt idx="485">
                  <c:v>9.9685388377816916E-2</c:v>
                </c:pt>
                <c:pt idx="486">
                  <c:v>9.9573031210783439E-2</c:v>
                </c:pt>
                <c:pt idx="487">
                  <c:v>9.9460819213478588E-2</c:v>
                </c:pt>
                <c:pt idx="488">
                  <c:v>9.9348751704985347E-2</c:v>
                </c:pt>
                <c:pt idx="489">
                  <c:v>9.9236828019039144E-2</c:v>
                </c:pt>
                <c:pt idx="490">
                  <c:v>9.9125047503639291E-2</c:v>
                </c:pt>
                <c:pt idx="491">
                  <c:v>9.9013409520670739E-2</c:v>
                </c:pt>
                <c:pt idx="492">
                  <c:v>9.8901913445536074E-2</c:v>
                </c:pt>
                <c:pt idx="493">
                  <c:v>9.8790558666797215E-2</c:v>
                </c:pt>
                <c:pt idx="494">
                  <c:v>9.8679344585826834E-2</c:v>
                </c:pt>
                <c:pt idx="495">
                  <c:v>9.8568270616469097E-2</c:v>
                </c:pt>
                <c:pt idx="496">
                  <c:v>9.8457336184709435E-2</c:v>
                </c:pt>
                <c:pt idx="497">
                  <c:v>9.8346540728353166E-2</c:v>
                </c:pt>
                <c:pt idx="498">
                  <c:v>9.8235883696712809E-2</c:v>
                </c:pt>
                <c:pt idx="499">
                  <c:v>9.8125364550303684E-2</c:v>
                </c:pt>
                <c:pt idx="500">
                  <c:v>9.8014982760547695E-2</c:v>
                </c:pt>
                <c:pt idx="501">
                  <c:v>9.7904737809485026E-2</c:v>
                </c:pt>
                <c:pt idx="502">
                  <c:v>9.7794629189493609E-2</c:v>
                </c:pt>
                <c:pt idx="503">
                  <c:v>9.7684656403016074E-2</c:v>
                </c:pt>
                <c:pt idx="504">
                  <c:v>9.7574818962293974E-2</c:v>
                </c:pt>
                <c:pt idx="505">
                  <c:v>9.7465116389109194E-2</c:v>
                </c:pt>
                <c:pt idx="506">
                  <c:v>9.7355548214532239E-2</c:v>
                </c:pt>
                <c:pt idx="507">
                  <c:v>9.7246113978677287E-2</c:v>
                </c:pt>
                <c:pt idx="508">
                  <c:v>9.7136813230463789E-2</c:v>
                </c:pt>
                <c:pt idx="509">
                  <c:v>9.7027645527384465E-2</c:v>
                </c:pt>
                <c:pt idx="510">
                  <c:v>9.6918610435279495E-2</c:v>
                </c:pt>
                <c:pt idx="511">
                  <c:v>9.6809707528116767E-2</c:v>
                </c:pt>
                <c:pt idx="512">
                  <c:v>9.6700936387778005E-2</c:v>
                </c:pt>
                <c:pt idx="513">
                  <c:v>9.6592296603850644E-2</c:v>
                </c:pt>
                <c:pt idx="514">
                  <c:v>9.6483787773425214E-2</c:v>
                </c:pt>
                <c:pt idx="515">
                  <c:v>9.6375409500898263E-2</c:v>
                </c:pt>
                <c:pt idx="516">
                  <c:v>9.6267161397780437E-2</c:v>
                </c:pt>
                <c:pt idx="517">
                  <c:v>9.6159043082509776E-2</c:v>
                </c:pt>
                <c:pt idx="518">
                  <c:v>9.6051054180269962E-2</c:v>
                </c:pt>
                <c:pt idx="519">
                  <c:v>9.594319432281348E-2</c:v>
                </c:pt>
              </c:numCache>
            </c:numRef>
          </c:val>
          <c:smooth val="0"/>
          <c:extLst>
            <c:ext xmlns:c16="http://schemas.microsoft.com/office/drawing/2014/chart" uri="{C3380CC4-5D6E-409C-BE32-E72D297353CC}">
              <c16:uniqueId val="{00000007-050E-4C76-B86D-B3269E11B822}"/>
            </c:ext>
          </c:extLst>
        </c:ser>
        <c:ser>
          <c:idx val="9"/>
          <c:order val="8"/>
          <c:tx>
            <c:strRef>
              <c:f>Ig!$K$534</c:f>
              <c:strCache>
                <c:ptCount val="1"/>
                <c:pt idx="0">
                  <c:v>Infection</c:v>
                </c:pt>
              </c:strCache>
            </c:strRef>
          </c:tx>
          <c:spPr>
            <a:ln w="28575" cap="rnd">
              <a:solidFill>
                <a:schemeClr val="accent4">
                  <a:lumMod val="60000"/>
                </a:schemeClr>
              </a:solidFill>
              <a:round/>
            </a:ln>
            <a:effectLst/>
          </c:spPr>
          <c:marker>
            <c:symbol val="none"/>
          </c:marker>
          <c:cat>
            <c:numRef>
              <c:f>Ig!$B$535:$B$1054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Ig!$K$535:$K$1054</c:f>
              <c:numCache>
                <c:formatCode>#,##0</c:formatCode>
                <c:ptCount val="5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2.6257923307442248E-2</c:v>
                </c:pt>
                <c:pt idx="22">
                  <c:v>5.1950738949673253E-2</c:v>
                </c:pt>
                <c:pt idx="23">
                  <c:v>7.7091781542451207E-2</c:v>
                </c:pt>
                <c:pt idx="24">
                  <c:v>0.10169404277515356</c:v>
                </c:pt>
                <c:pt idx="25">
                  <c:v>0.12577018048819849</c:v>
                </c:pt>
                <c:pt idx="26">
                  <c:v>0.14933252750838644</c:v>
                </c:pt>
                <c:pt idx="27">
                  <c:v>0.17239310024862881</c:v>
                </c:pt>
                <c:pt idx="28">
                  <c:v>0.19496360707835814</c:v>
                </c:pt>
                <c:pt idx="29">
                  <c:v>0.21705545647074573</c:v>
                </c:pt>
                <c:pt idx="30">
                  <c:v>0.23867976493268911</c:v>
                </c:pt>
                <c:pt idx="31">
                  <c:v>0.25984736472337211</c:v>
                </c:pt>
                <c:pt idx="32">
                  <c:v>0.2805688113670462</c:v>
                </c:pt>
                <c:pt idx="33">
                  <c:v>0.30085439096552891</c:v>
                </c:pt>
                <c:pt idx="34">
                  <c:v>0.32071412731577015</c:v>
                </c:pt>
                <c:pt idx="35">
                  <c:v>0.34015778883769376</c:v>
                </c:pt>
                <c:pt idx="36">
                  <c:v>0.35919489531738136</c:v>
                </c:pt>
                <c:pt idx="37">
                  <c:v>0.37783472447053162</c:v>
                </c:pt>
                <c:pt idx="38">
                  <c:v>0.39608631833099556</c:v>
                </c:pt>
                <c:pt idx="39">
                  <c:v>0.41395848946905983</c:v>
                </c:pt>
                <c:pt idx="40">
                  <c:v>0.4314598270440263</c:v>
                </c:pt>
                <c:pt idx="41">
                  <c:v>0.448598702695513</c:v>
                </c:pt>
                <c:pt idx="42">
                  <c:v>0.46538327627778475</c:v>
                </c:pt>
                <c:pt idx="43">
                  <c:v>0.48182150144130592</c:v>
                </c:pt>
                <c:pt idx="44">
                  <c:v>0.49792113106559571</c:v>
                </c:pt>
                <c:pt idx="45">
                  <c:v>0.51368972254735779</c:v>
                </c:pt>
                <c:pt idx="46">
                  <c:v>0.52913464294774892</c:v>
                </c:pt>
                <c:pt idx="47">
                  <c:v>0.54426307400254959</c:v>
                </c:pt>
                <c:pt idx="48">
                  <c:v>0.5590820169988977</c:v>
                </c:pt>
                <c:pt idx="49">
                  <c:v>0.57359829752214853</c:v>
                </c:pt>
                <c:pt idx="50">
                  <c:v>0.58781857007633076</c:v>
                </c:pt>
                <c:pt idx="51">
                  <c:v>0.60174932258157243</c:v>
                </c:pt>
                <c:pt idx="52">
                  <c:v>0.61539688075178434</c:v>
                </c:pt>
                <c:pt idx="53">
                  <c:v>0.6287638498467657</c:v>
                </c:pt>
                <c:pt idx="54">
                  <c:v>0.64166875672193602</c:v>
                </c:pt>
                <c:pt idx="55">
                  <c:v>0.65412432164959389</c:v>
                </c:pt>
                <c:pt idx="56">
                  <c:v>0.66614292355348392</c:v>
                </c:pt>
                <c:pt idx="57">
                  <c:v>0.67773660913876654</c:v>
                </c:pt>
                <c:pt idx="58">
                  <c:v>0.68891710177789545</c:v>
                </c:pt>
                <c:pt idx="59">
                  <c:v>0.69969581015892901</c:v>
                </c:pt>
                <c:pt idx="60">
                  <c:v>0.71008383670262631</c:v>
                </c:pt>
                <c:pt idx="61">
                  <c:v>0.7200919857545095</c:v>
                </c:pt>
                <c:pt idx="62">
                  <c:v>0.72973077155790744</c:v>
                </c:pt>
                <c:pt idx="63">
                  <c:v>0.73901042601383704</c:v>
                </c:pt>
                <c:pt idx="64">
                  <c:v>0.74794090623342036</c:v>
                </c:pt>
                <c:pt idx="65">
                  <c:v>0.7565319018883836</c:v>
                </c:pt>
                <c:pt idx="66">
                  <c:v>0.76479284236503609</c:v>
                </c:pt>
                <c:pt idx="67">
                  <c:v>0.77273290372698367</c:v>
                </c:pt>
                <c:pt idx="68">
                  <c:v>0.78036101549168857</c:v>
                </c:pt>
                <c:pt idx="69">
                  <c:v>0.78768586722585321</c:v>
                </c:pt>
                <c:pt idx="70">
                  <c:v>0.79471591496447114</c:v>
                </c:pt>
                <c:pt idx="71">
                  <c:v>0.80145938745825884</c:v>
                </c:pt>
                <c:pt idx="72">
                  <c:v>0.80792429225405782</c:v>
                </c:pt>
                <c:pt idx="73">
                  <c:v>0.81411842161267001</c:v>
                </c:pt>
                <c:pt idx="74">
                  <c:v>0.82004935826847447</c:v>
                </c:pt>
                <c:pt idx="75">
                  <c:v>0.82572448103505491</c:v>
                </c:pt>
                <c:pt idx="76">
                  <c:v>0.83115097026095341</c:v>
                </c:pt>
                <c:pt idx="77">
                  <c:v>0.83633581313955829</c:v>
                </c:pt>
                <c:pt idx="78">
                  <c:v>0.84128580887702586</c:v>
                </c:pt>
                <c:pt idx="79">
                  <c:v>0.84600757372203017</c:v>
                </c:pt>
                <c:pt idx="80">
                  <c:v>0.85050754586103583</c:v>
                </c:pt>
                <c:pt idx="81">
                  <c:v>0.85479199018268837</c:v>
                </c:pt>
                <c:pt idx="82">
                  <c:v>0.85886700291482065</c:v>
                </c:pt>
                <c:pt idx="83">
                  <c:v>0.86273851613748209</c:v>
                </c:pt>
                <c:pt idx="84">
                  <c:v>0.86641230217530441</c:v>
                </c:pt>
                <c:pt idx="85">
                  <c:v>0.86989397787242906</c:v>
                </c:pt>
                <c:pt idx="86">
                  <c:v>0.87318900875313721</c:v>
                </c:pt>
                <c:pt idx="87">
                  <c:v>0.87630271307123653</c:v>
                </c:pt>
                <c:pt idx="88">
                  <c:v>0.87924026575118031</c:v>
                </c:pt>
                <c:pt idx="89">
                  <c:v>0.8820067022238115</c:v>
                </c:pt>
                <c:pt idx="90">
                  <c:v>0.88460692215955072</c:v>
                </c:pt>
                <c:pt idx="91">
                  <c:v>0.88704569310176828</c:v>
                </c:pt>
                <c:pt idx="92">
                  <c:v>0.88932765400300973</c:v>
                </c:pt>
                <c:pt idx="93">
                  <c:v>0.89145731866667144</c:v>
                </c:pt>
                <c:pt idx="94">
                  <c:v>0.89343907909665465</c:v>
                </c:pt>
                <c:pt idx="95">
                  <c:v>0.8952772087574572</c:v>
                </c:pt>
                <c:pt idx="96">
                  <c:v>0.89697586574709776</c:v>
                </c:pt>
                <c:pt idx="97">
                  <c:v>0.8985390958852032</c:v>
                </c:pt>
                <c:pt idx="98">
                  <c:v>0.89997083571852654</c:v>
                </c:pt>
                <c:pt idx="99">
                  <c:v>0.90127491544610328</c:v>
                </c:pt>
                <c:pt idx="100">
                  <c:v>0.90245506176619417</c:v>
                </c:pt>
                <c:pt idx="101">
                  <c:v>0.90351490064710605</c:v>
                </c:pt>
                <c:pt idx="102">
                  <c:v>0.90445796002392487</c:v>
                </c:pt>
                <c:pt idx="103">
                  <c:v>0.90528767242314256</c:v>
                </c:pt>
                <c:pt idx="104">
                  <c:v>0.90600737751710436</c:v>
                </c:pt>
                <c:pt idx="105">
                  <c:v>0.90661465000598906</c:v>
                </c:pt>
                <c:pt idx="106">
                  <c:v>0.90711832217390742</c:v>
                </c:pt>
                <c:pt idx="107">
                  <c:v>0.90752147158132079</c:v>
                </c:pt>
                <c:pt idx="108">
                  <c:v>0.90782709241487092</c:v>
                </c:pt>
                <c:pt idx="109">
                  <c:v>0.90803809772056343</c:v>
                </c:pt>
                <c:pt idx="110">
                  <c:v>0.90815732157722406</c:v>
                </c:pt>
                <c:pt idx="111">
                  <c:v>0.908187521211824</c:v>
                </c:pt>
                <c:pt idx="112">
                  <c:v>0.90813137905822938</c:v>
                </c:pt>
                <c:pt idx="113">
                  <c:v>0.90799150476088675</c:v>
                </c:pt>
                <c:pt idx="114">
                  <c:v>0.90777043712491801</c:v>
                </c:pt>
                <c:pt idx="115">
                  <c:v>0.90747064601405836</c:v>
                </c:pt>
                <c:pt idx="116">
                  <c:v>0.90709453419782959</c:v>
                </c:pt>
                <c:pt idx="117">
                  <c:v>0.90664443914930859</c:v>
                </c:pt>
                <c:pt idx="118">
                  <c:v>0.90612263479481114</c:v>
                </c:pt>
                <c:pt idx="119">
                  <c:v>0.90553133321677737</c:v>
                </c:pt>
                <c:pt idx="120">
                  <c:v>0.9048726863111084</c:v>
                </c:pt>
                <c:pt idx="121">
                  <c:v>0.90414878740017579</c:v>
                </c:pt>
                <c:pt idx="122">
                  <c:v>0.90336167280268487</c:v>
                </c:pt>
                <c:pt idx="123">
                  <c:v>0.90251332336154966</c:v>
                </c:pt>
                <c:pt idx="124">
                  <c:v>0.90160566593089875</c:v>
                </c:pt>
                <c:pt idx="125">
                  <c:v>0.90064057482330762</c:v>
                </c:pt>
                <c:pt idx="126">
                  <c:v>0.8996198732183196</c:v>
                </c:pt>
                <c:pt idx="127">
                  <c:v>0.898545334533291</c:v>
                </c:pt>
                <c:pt idx="128">
                  <c:v>0.89741868375756795</c:v>
                </c:pt>
                <c:pt idx="129">
                  <c:v>0.89624159875097498</c:v>
                </c:pt>
                <c:pt idx="130">
                  <c:v>0.89501571150757087</c:v>
                </c:pt>
                <c:pt idx="131">
                  <c:v>0.8937426093855988</c:v>
                </c:pt>
                <c:pt idx="132">
                  <c:v>0.89242383630453703</c:v>
                </c:pt>
                <c:pt idx="133">
                  <c:v>0.89106089391012744</c:v>
                </c:pt>
                <c:pt idx="134">
                  <c:v>0.88965524270824003</c:v>
                </c:pt>
                <c:pt idx="135">
                  <c:v>0.88820830316840593</c:v>
                </c:pt>
                <c:pt idx="136">
                  <c:v>0.88672145679783021</c:v>
                </c:pt>
                <c:pt idx="137">
                  <c:v>0.885196047186674</c:v>
                </c:pt>
                <c:pt idx="138">
                  <c:v>0.88363338102537392</c:v>
                </c:pt>
                <c:pt idx="139">
                  <c:v>0.88203472909474701</c:v>
                </c:pt>
                <c:pt idx="140">
                  <c:v>0.88040132722960807</c:v>
                </c:pt>
                <c:pt idx="141">
                  <c:v>0.87873437725660897</c:v>
                </c:pt>
                <c:pt idx="142">
                  <c:v>0.87703504790698827</c:v>
                </c:pt>
                <c:pt idx="143">
                  <c:v>0.87530447570490233</c:v>
                </c:pt>
                <c:pt idx="144">
                  <c:v>0.87354376583199089</c:v>
                </c:pt>
                <c:pt idx="145">
                  <c:v>0.8717539929688134</c:v>
                </c:pt>
                <c:pt idx="146">
                  <c:v>0.86993620211377265</c:v>
                </c:pt>
                <c:pt idx="147">
                  <c:v>0.86809140938013007</c:v>
                </c:pt>
                <c:pt idx="148">
                  <c:v>0.86622060277169721</c:v>
                </c:pt>
                <c:pt idx="149">
                  <c:v>0.8643247429377735</c:v>
                </c:pt>
                <c:pt idx="150">
                  <c:v>0.86240476390788634</c:v>
                </c:pt>
                <c:pt idx="151">
                  <c:v>0.86046157380687216</c:v>
                </c:pt>
                <c:pt idx="152">
                  <c:v>0.85849605555082587</c:v>
                </c:pt>
                <c:pt idx="153">
                  <c:v>0.85650906752442879</c:v>
                </c:pt>
                <c:pt idx="154">
                  <c:v>0.85450144424015384</c:v>
                </c:pt>
                <c:pt idx="155">
                  <c:v>0.8524739969798325</c:v>
                </c:pt>
                <c:pt idx="156">
                  <c:v>0.85042751441905484</c:v>
                </c:pt>
                <c:pt idx="157">
                  <c:v>0.84835678680490811</c:v>
                </c:pt>
                <c:pt idx="158">
                  <c:v>0.84626856773017534</c:v>
                </c:pt>
                <c:pt idx="159">
                  <c:v>0.84416358190311946</c:v>
                </c:pt>
                <c:pt idx="160">
                  <c:v>0.84204253374321059</c:v>
                </c:pt>
                <c:pt idx="161">
                  <c:v>0.83990610792697051</c:v>
                </c:pt>
                <c:pt idx="162">
                  <c:v>0.8377549699192065</c:v>
                </c:pt>
                <c:pt idx="163">
                  <c:v>0.83558976649002492</c:v>
                </c:pt>
                <c:pt idx="164">
                  <c:v>0.83341112621800584</c:v>
                </c:pt>
                <c:pt idx="165">
                  <c:v>0.8312196599799081</c:v>
                </c:pt>
                <c:pt idx="166">
                  <c:v>0.82901596142726519</c:v>
                </c:pt>
                <c:pt idx="167">
                  <c:v>0.82680060745022366</c:v>
                </c:pt>
                <c:pt idx="168">
                  <c:v>0.82457415862896366</c:v>
                </c:pt>
                <c:pt idx="169">
                  <c:v>0.82233715967303511</c:v>
                </c:pt>
                <c:pt idx="170">
                  <c:v>0.82009013984893175</c:v>
                </c:pt>
                <c:pt idx="171">
                  <c:v>0.81783361339621907</c:v>
                </c:pt>
                <c:pt idx="172">
                  <c:v>0.81556807993252045</c:v>
                </c:pt>
                <c:pt idx="173">
                  <c:v>0.81329402484766122</c:v>
                </c:pt>
                <c:pt idx="174">
                  <c:v>0.81101191968725983</c:v>
                </c:pt>
                <c:pt idx="175">
                  <c:v>0.80872222252604853</c:v>
                </c:pt>
                <c:pt idx="176">
                  <c:v>0.80642537833119798</c:v>
                </c:pt>
                <c:pt idx="177">
                  <c:v>0.80412181931591453</c:v>
                </c:pt>
                <c:pt idx="178">
                  <c:v>0.80181196528356868</c:v>
                </c:pt>
                <c:pt idx="179">
                  <c:v>0.79949622396260811</c:v>
                </c:pt>
                <c:pt idx="180">
                  <c:v>0.79717499133250413</c:v>
                </c:pt>
                <c:pt idx="181">
                  <c:v>0.79484865194096832</c:v>
                </c:pt>
                <c:pt idx="182">
                  <c:v>0.79251757921267474</c:v>
                </c:pt>
                <c:pt idx="183">
                  <c:v>0.7901821357497143</c:v>
                </c:pt>
                <c:pt idx="184">
                  <c:v>0.78784267362400318</c:v>
                </c:pt>
                <c:pt idx="185">
                  <c:v>0.78549953466185896</c:v>
                </c:pt>
                <c:pt idx="186">
                  <c:v>0.78315305072095631</c:v>
                </c:pt>
                <c:pt idx="187">
                  <c:v>0.78080354395986373</c:v>
                </c:pt>
                <c:pt idx="188">
                  <c:v>0.77845132710036158</c:v>
                </c:pt>
                <c:pt idx="189">
                  <c:v>0.77609670368273309</c:v>
                </c:pt>
                <c:pt idx="190">
                  <c:v>0.7737399683142181</c:v>
                </c:pt>
                <c:pt idx="191">
                  <c:v>0.77138140691081025</c:v>
                </c:pt>
                <c:pt idx="192">
                  <c:v>0.7690212969325777</c:v>
                </c:pt>
                <c:pt idx="193">
                  <c:v>0.7666599076126791</c:v>
                </c:pt>
                <c:pt idx="194">
                  <c:v>0.76429750018024512</c:v>
                </c:pt>
                <c:pt idx="195">
                  <c:v>0.76193432807728745</c:v>
                </c:pt>
                <c:pt idx="196">
                  <c:v>0.75957063716979745</c:v>
                </c:pt>
                <c:pt idx="197">
                  <c:v>0.75720666595318753</c:v>
                </c:pt>
                <c:pt idx="198">
                  <c:v>0.75484264575222904</c:v>
                </c:pt>
                <c:pt idx="199">
                  <c:v>0.7524788009156318</c:v>
                </c:pt>
                <c:pt idx="200">
                  <c:v>0.75011534900540955</c:v>
                </c:pt>
                <c:pt idx="201">
                  <c:v>0.74775250098117163</c:v>
                </c:pt>
                <c:pt idx="202">
                  <c:v>0.7453904613794744</c:v>
                </c:pt>
                <c:pt idx="203">
                  <c:v>0.74302942848836673</c:v>
                </c:pt>
                <c:pt idx="204">
                  <c:v>0.74066959451725733</c:v>
                </c:pt>
                <c:pt idx="205">
                  <c:v>0.73831114576222867</c:v>
                </c:pt>
                <c:pt idx="206">
                  <c:v>0.73595426276692033</c:v>
                </c:pt>
                <c:pt idx="207">
                  <c:v>0.73359912047909914</c:v>
                </c:pt>
                <c:pt idx="208">
                  <c:v>0.73124588840303228</c:v>
                </c:pt>
                <c:pt idx="209">
                  <c:v>0.72888930956762921</c:v>
                </c:pt>
                <c:pt idx="210">
                  <c:v>0.72653500140416449</c:v>
                </c:pt>
                <c:pt idx="211">
                  <c:v>0.72418311783187483</c:v>
                </c:pt>
                <c:pt idx="212">
                  <c:v>0.72183380789386475</c:v>
                </c:pt>
                <c:pt idx="213">
                  <c:v>0.7194872158902389</c:v>
                </c:pt>
                <c:pt idx="214">
                  <c:v>0.7171434815076636</c:v>
                </c:pt>
                <c:pt idx="215">
                  <c:v>0.7148027399454524</c:v>
                </c:pt>
                <c:pt idx="216">
                  <c:v>0.71246512203826928</c:v>
                </c:pt>
                <c:pt idx="217">
                  <c:v>0.71013075437553952</c:v>
                </c:pt>
                <c:pt idx="218">
                  <c:v>0.70779975941765638</c:v>
                </c:pt>
                <c:pt idx="219">
                  <c:v>0.7054722556090699</c:v>
                </c:pt>
                <c:pt idx="220">
                  <c:v>0.70314835748834081</c:v>
                </c:pt>
                <c:pt idx="221">
                  <c:v>0.70082817579524059</c:v>
                </c:pt>
                <c:pt idx="222">
                  <c:v>0.6985118175749776</c:v>
                </c:pt>
                <c:pt idx="223">
                  <c:v>0.69619938627962463</c:v>
                </c:pt>
                <c:pt idx="224">
                  <c:v>0.69389098186682485</c:v>
                </c:pt>
                <c:pt idx="225">
                  <c:v>0.69158670089584762</c:v>
                </c:pt>
                <c:pt idx="226">
                  <c:v>0.68928663662106471</c:v>
                </c:pt>
                <c:pt idx="227">
                  <c:v>0.68699087908291723</c:v>
                </c:pt>
                <c:pt idx="228">
                  <c:v>0.68469951519644012</c:v>
                </c:pt>
                <c:pt idx="229">
                  <c:v>0.6824126288374085</c:v>
                </c:pt>
                <c:pt idx="230">
                  <c:v>0.68013030092617122</c:v>
                </c:pt>
                <c:pt idx="231">
                  <c:v>0.67785260950923198</c:v>
                </c:pt>
                <c:pt idx="232">
                  <c:v>0.67557962983863951</c:v>
                </c:pt>
                <c:pt idx="233">
                  <c:v>0.67331143444924435</c:v>
                </c:pt>
                <c:pt idx="234">
                  <c:v>0.67104809323388048</c:v>
                </c:pt>
                <c:pt idx="235">
                  <c:v>0.66878967351652641</c:v>
                </c:pt>
                <c:pt idx="236">
                  <c:v>0.6665362401235001</c:v>
                </c:pt>
                <c:pt idx="237">
                  <c:v>0.66428785545274127</c:v>
                </c:pt>
                <c:pt idx="238">
                  <c:v>0.6620445795412303</c:v>
                </c:pt>
                <c:pt idx="239">
                  <c:v>0.65980647013059535</c:v>
                </c:pt>
                <c:pt idx="240">
                  <c:v>0.65757358273095567</c:v>
                </c:pt>
                <c:pt idx="241">
                  <c:v>0.65534597068304845</c:v>
                </c:pt>
                <c:pt idx="242">
                  <c:v>0.65312368521868425</c:v>
                </c:pt>
                <c:pt idx="243">
                  <c:v>0.65090677551957721</c:v>
                </c:pt>
                <c:pt idx="244">
                  <c:v>0.64869528877459248</c:v>
                </c:pt>
                <c:pt idx="245">
                  <c:v>0.64648927023545377</c:v>
                </c:pt>
                <c:pt idx="246">
                  <c:v>0.64428876327095186</c:v>
                </c:pt>
                <c:pt idx="247">
                  <c:v>0.64209380941969441</c:v>
                </c:pt>
                <c:pt idx="248">
                  <c:v>0.63990444844143679</c:v>
                </c:pt>
                <c:pt idx="249">
                  <c:v>0.63772071836703026</c:v>
                </c:pt>
                <c:pt idx="250">
                  <c:v>0.63554265554702605</c:v>
                </c:pt>
                <c:pt idx="251">
                  <c:v>0.63337029469897088</c:v>
                </c:pt>
                <c:pt idx="252">
                  <c:v>0.63120366895342883</c:v>
                </c:pt>
                <c:pt idx="253">
                  <c:v>0.62904280989876349</c:v>
                </c:pt>
                <c:pt idx="254">
                  <c:v>0.62688774762471389</c:v>
                </c:pt>
                <c:pt idx="255">
                  <c:v>0.6247385107647967</c:v>
                </c:pt>
                <c:pt idx="256">
                  <c:v>0.62259512653756544</c:v>
                </c:pt>
                <c:pt idx="257">
                  <c:v>0.62045762078675837</c:v>
                </c:pt>
                <c:pt idx="258">
                  <c:v>0.61832601802036313</c:v>
                </c:pt>
                <c:pt idx="259">
                  <c:v>0.61620034144862945</c:v>
                </c:pt>
                <c:pt idx="260">
                  <c:v>0.61408061302105588</c:v>
                </c:pt>
                <c:pt idx="261">
                  <c:v>0.61199725532768112</c:v>
                </c:pt>
                <c:pt idx="262">
                  <c:v>0.60995412620170752</c:v>
                </c:pt>
                <c:pt idx="263">
                  <c:v>0.60795016586304573</c:v>
                </c:pt>
                <c:pt idx="264">
                  <c:v>0.60598434287472602</c:v>
                </c:pt>
                <c:pt idx="265">
                  <c:v>0.60405565338441414</c:v>
                </c:pt>
                <c:pt idx="266">
                  <c:v>0.60216312038622521</c:v>
                </c:pt>
                <c:pt idx="267">
                  <c:v>0.60030579300229203</c:v>
                </c:pt>
                <c:pt idx="268">
                  <c:v>0.59848274578356042</c:v>
                </c:pt>
                <c:pt idx="269">
                  <c:v>0.59669307802929572</c:v>
                </c:pt>
                <c:pt idx="270">
                  <c:v>0.59493591312480076</c:v>
                </c:pt>
                <c:pt idx="271">
                  <c:v>0.59321039789685692</c:v>
                </c:pt>
                <c:pt idx="272">
                  <c:v>0.59151570198641501</c:v>
                </c:pt>
                <c:pt idx="273">
                  <c:v>0.58985101723807387</c:v>
                </c:pt>
                <c:pt idx="274">
                  <c:v>0.58821555710589646</c:v>
                </c:pt>
                <c:pt idx="275">
                  <c:v>0.58660855607512874</c:v>
                </c:pt>
                <c:pt idx="276">
                  <c:v>0.58502926909939312</c:v>
                </c:pt>
                <c:pt idx="277">
                  <c:v>0.58347697105294327</c:v>
                </c:pt>
                <c:pt idx="278">
                  <c:v>0.58195095619757831</c:v>
                </c:pt>
                <c:pt idx="279">
                  <c:v>0.58045053766382249</c:v>
                </c:pt>
                <c:pt idx="280">
                  <c:v>0.578975046945989</c:v>
                </c:pt>
                <c:pt idx="281">
                  <c:v>0.57752383341075775</c:v>
                </c:pt>
                <c:pt idx="282">
                  <c:v>0.57609626381890267</c:v>
                </c:pt>
                <c:pt idx="283">
                  <c:v>0.57469172185982009</c:v>
                </c:pt>
                <c:pt idx="284">
                  <c:v>0.57330960769851214</c:v>
                </c:pt>
                <c:pt idx="285">
                  <c:v>0.57194933753469468</c:v>
                </c:pt>
                <c:pt idx="286">
                  <c:v>0.57061034317370352</c:v>
                </c:pt>
                <c:pt idx="287">
                  <c:v>0.56929207160888418</c:v>
                </c:pt>
                <c:pt idx="288">
                  <c:v>0.56799398461515738</c:v>
                </c:pt>
                <c:pt idx="289">
                  <c:v>0.5667155583534611</c:v>
                </c:pt>
                <c:pt idx="290">
                  <c:v>0.56545628298577855</c:v>
                </c:pt>
                <c:pt idx="291">
                  <c:v>0.56421566230046838</c:v>
                </c:pt>
                <c:pt idx="292">
                  <c:v>0.56299321334762209</c:v>
                </c:pt>
                <c:pt idx="293">
                  <c:v>0.56178846608417909</c:v>
                </c:pt>
                <c:pt idx="294">
                  <c:v>0.56060096302853935</c:v>
                </c:pt>
                <c:pt idx="295">
                  <c:v>0.559430258924419</c:v>
                </c:pt>
                <c:pt idx="296">
                  <c:v>0.558275920413702</c:v>
                </c:pt>
                <c:pt idx="297">
                  <c:v>0.55713752571804598</c:v>
                </c:pt>
                <c:pt idx="298">
                  <c:v>0.55601466432900981</c:v>
                </c:pt>
                <c:pt idx="299">
                  <c:v>0.55490693670647284</c:v>
                </c:pt>
                <c:pt idx="300">
                  <c:v>0.55381395398512534</c:v>
                </c:pt>
                <c:pt idx="301">
                  <c:v>0.55273533768881367</c:v>
                </c:pt>
                <c:pt idx="302">
                  <c:v>0.55167071945252999</c:v>
                </c:pt>
                <c:pt idx="303">
                  <c:v>0.55061974075184128</c:v>
                </c:pt>
                <c:pt idx="304">
                  <c:v>0.54958205263956073</c:v>
                </c:pt>
                <c:pt idx="305">
                  <c:v>0.5485573154894644</c:v>
                </c:pt>
                <c:pt idx="306">
                  <c:v>0.54754519874686758</c:v>
                </c:pt>
                <c:pt idx="307">
                  <c:v>0.54654538068587533</c:v>
                </c:pt>
                <c:pt idx="308">
                  <c:v>0.5455575481731304</c:v>
                </c:pt>
                <c:pt idx="309">
                  <c:v>0.54458139643788206</c:v>
                </c:pt>
                <c:pt idx="310">
                  <c:v>0.54361662884820972</c:v>
                </c:pt>
                <c:pt idx="311">
                  <c:v>0.54266295669323383</c:v>
                </c:pt>
                <c:pt idx="312">
                  <c:v>0.54172009897115647</c:v>
                </c:pt>
                <c:pt idx="313">
                  <c:v>0.54078328218751981</c:v>
                </c:pt>
                <c:pt idx="314">
                  <c:v>0.53985675747976902</c:v>
                </c:pt>
                <c:pt idx="315">
                  <c:v>0.53894026545066509</c:v>
                </c:pt>
                <c:pt idx="316">
                  <c:v>0.53803355362935823</c:v>
                </c:pt>
                <c:pt idx="317">
                  <c:v>0.53713637628598998</c:v>
                </c:pt>
                <c:pt idx="318">
                  <c:v>0.53624849425125909</c:v>
                </c:pt>
                <c:pt idx="319">
                  <c:v>0.53536967474081687</c:v>
                </c:pt>
                <c:pt idx="320">
                  <c:v>0.53449969118436413</c:v>
                </c:pt>
                <c:pt idx="321">
                  <c:v>0.53363832305932246</c:v>
                </c:pt>
                <c:pt idx="322">
                  <c:v>0.53278535572895813</c:v>
                </c:pt>
                <c:pt idx="323">
                  <c:v>0.53194058028483981</c:v>
                </c:pt>
                <c:pt idx="324">
                  <c:v>0.5311037933935131</c:v>
                </c:pt>
                <c:pt idx="325">
                  <c:v>0.53027479714727943</c:v>
                </c:pt>
                <c:pt idx="326">
                  <c:v>0.52945339891897025</c:v>
                </c:pt>
                <c:pt idx="327">
                  <c:v>0.5286394112206082</c:v>
                </c:pt>
                <c:pt idx="328">
                  <c:v>0.5278326515658518</c:v>
                </c:pt>
                <c:pt idx="329">
                  <c:v>0.52703294233612263</c:v>
                </c:pt>
                <c:pt idx="330">
                  <c:v>0.52624011065031651</c:v>
                </c:pt>
                <c:pt idx="331">
                  <c:v>0.5254539882380016</c:v>
                </c:pt>
                <c:pt idx="332">
                  <c:v>0.52467441131601222</c:v>
                </c:pt>
                <c:pt idx="333">
                  <c:v>0.52390122046834442</c:v>
                </c:pt>
                <c:pt idx="334">
                  <c:v>0.52313426052926848</c:v>
                </c:pt>
                <c:pt idx="335">
                  <c:v>0.52237338046956894</c:v>
                </c:pt>
                <c:pt idx="336">
                  <c:v>0.52161843328583124</c:v>
                </c:pt>
                <c:pt idx="337">
                  <c:v>0.52086927589269094</c:v>
                </c:pt>
                <c:pt idx="338">
                  <c:v>0.52012576901796814</c:v>
                </c:pt>
                <c:pt idx="339">
                  <c:v>0.51938777710060835</c:v>
                </c:pt>
                <c:pt idx="340">
                  <c:v>0.51865516819135637</c:v>
                </c:pt>
                <c:pt idx="341">
                  <c:v>0.51792781385608821</c:v>
                </c:pt>
                <c:pt idx="342">
                  <c:v>0.51720558908173131</c:v>
                </c:pt>
                <c:pt idx="343">
                  <c:v>0.516488372184703</c:v>
                </c:pt>
                <c:pt idx="344">
                  <c:v>0.51577604472179983</c:v>
                </c:pt>
                <c:pt idx="345">
                  <c:v>0.51506849140347255</c:v>
                </c:pt>
                <c:pt idx="346">
                  <c:v>0.51436560000942311</c:v>
                </c:pt>
                <c:pt idx="347">
                  <c:v>0.51366726130646012</c:v>
                </c:pt>
                <c:pt idx="348">
                  <c:v>0.51297336896855361</c:v>
                </c:pt>
                <c:pt idx="349">
                  <c:v>0.51228381949903046</c:v>
                </c:pt>
                <c:pt idx="350">
                  <c:v>0.51159851215485208</c:v>
                </c:pt>
                <c:pt idx="351">
                  <c:v>0.51091734887291873</c:v>
                </c:pt>
                <c:pt idx="352">
                  <c:v>0.51024023419834763</c:v>
                </c:pt>
                <c:pt idx="353">
                  <c:v>0.50956707521467037</c:v>
                </c:pt>
                <c:pt idx="354">
                  <c:v>0.50889778147589881</c:v>
                </c:pt>
                <c:pt idx="355">
                  <c:v>0.50823226494040974</c:v>
                </c:pt>
                <c:pt idx="356">
                  <c:v>0.50757043990659945</c:v>
                </c:pt>
                <c:pt idx="357">
                  <c:v>0.50691222295026073</c:v>
                </c:pt>
                <c:pt idx="358">
                  <c:v>0.50625753286363617</c:v>
                </c:pt>
                <c:pt idx="359">
                  <c:v>0.50560629059610285</c:v>
                </c:pt>
                <c:pt idx="360">
                  <c:v>0.50495841919644546</c:v>
                </c:pt>
                <c:pt idx="361">
                  <c:v>0.50431384375667376</c:v>
                </c:pt>
                <c:pt idx="362">
                  <c:v>0.50367249135734482</c:v>
                </c:pt>
                <c:pt idx="363">
                  <c:v>0.5030342910143486</c:v>
                </c:pt>
                <c:pt idx="364">
                  <c:v>0.50239917362711795</c:v>
                </c:pt>
                <c:pt idx="365">
                  <c:v>0.50176254981783208</c:v>
                </c:pt>
                <c:pt idx="366">
                  <c:v>0.50112888959582613</c:v>
                </c:pt>
                <c:pt idx="367">
                  <c:v>0.5004981290779088</c:v>
                </c:pt>
                <c:pt idx="368">
                  <c:v>0.49987020607456889</c:v>
                </c:pt>
                <c:pt idx="369">
                  <c:v>0.49924506004464009</c:v>
                </c:pt>
                <c:pt idx="370">
                  <c:v>0.49862263205117968</c:v>
                </c:pt>
                <c:pt idx="371">
                  <c:v>0.49800286471852856</c:v>
                </c:pt>
                <c:pt idx="372">
                  <c:v>0.49738570219052147</c:v>
                </c:pt>
                <c:pt idx="373">
                  <c:v>0.49677109008981585</c:v>
                </c:pt>
                <c:pt idx="374">
                  <c:v>0.49615897547831006</c:v>
                </c:pt>
                <c:pt idx="375">
                  <c:v>0.49554930681862153</c:v>
                </c:pt>
                <c:pt idx="376">
                  <c:v>0.49494203393659586</c:v>
                </c:pt>
                <c:pt idx="377">
                  <c:v>0.49433710798482111</c:v>
                </c:pt>
                <c:pt idx="378">
                  <c:v>0.49373448140711751</c:v>
                </c:pt>
                <c:pt idx="379">
                  <c:v>0.49313410790397949</c:v>
                </c:pt>
                <c:pt idx="380">
                  <c:v>0.49253594239894211</c:v>
                </c:pt>
                <c:pt idx="381">
                  <c:v>0.49193994100584859</c:v>
                </c:pt>
                <c:pt idx="382">
                  <c:v>0.49134606099699413</c:v>
                </c:pt>
                <c:pt idx="383">
                  <c:v>0.4907542607721232</c:v>
                </c:pt>
                <c:pt idx="384">
                  <c:v>0.49016449982825605</c:v>
                </c:pt>
                <c:pt idx="385">
                  <c:v>0.48957673873032448</c:v>
                </c:pt>
                <c:pt idx="386">
                  <c:v>0.488990939082593</c:v>
                </c:pt>
                <c:pt idx="387">
                  <c:v>0.48840706350084517</c:v>
                </c:pt>
                <c:pt idx="388">
                  <c:v>0.48782507558531574</c:v>
                </c:pt>
                <c:pt idx="389">
                  <c:v>0.48724493989434653</c:v>
                </c:pt>
                <c:pt idx="390">
                  <c:v>0.48666662191874815</c:v>
                </c:pt>
                <c:pt idx="391">
                  <c:v>0.48609008805684828</c:v>
                </c:pt>
                <c:pt idx="392">
                  <c:v>0.48551530559020833</c:v>
                </c:pt>
                <c:pt idx="393">
                  <c:v>0.4849422426599897</c:v>
                </c:pt>
                <c:pt idx="394">
                  <c:v>0.48437086824395348</c:v>
                </c:pt>
                <c:pt idx="395">
                  <c:v>0.48380115213407587</c:v>
                </c:pt>
                <c:pt idx="396">
                  <c:v>0.48323306491476292</c:v>
                </c:pt>
                <c:pt idx="397">
                  <c:v>0.48266657794164863</c:v>
                </c:pt>
                <c:pt idx="398">
                  <c:v>0.48210166332096094</c:v>
                </c:pt>
                <c:pt idx="399">
                  <c:v>0.48153829388944003</c:v>
                </c:pt>
                <c:pt idx="400">
                  <c:v>0.48097644319479455</c:v>
                </c:pt>
                <c:pt idx="401">
                  <c:v>0.48041608547668097</c:v>
                </c:pt>
                <c:pt idx="402">
                  <c:v>0.47985719564819251</c:v>
                </c:pt>
                <c:pt idx="403">
                  <c:v>0.47929974927784352</c:v>
                </c:pt>
                <c:pt idx="404">
                  <c:v>0.47874372257203646</c:v>
                </c:pt>
                <c:pt idx="405">
                  <c:v>0.478189092357998</c:v>
                </c:pt>
                <c:pt idx="406">
                  <c:v>0.47763583606717264</c:v>
                </c:pt>
                <c:pt idx="407">
                  <c:v>0.47708393171906055</c:v>
                </c:pt>
                <c:pt idx="408">
                  <c:v>0.47653335790548812</c:v>
                </c:pt>
                <c:pt idx="409">
                  <c:v>0.47598409377530021</c:v>
                </c:pt>
                <c:pt idx="410">
                  <c:v>0.47543611901946176</c:v>
                </c:pt>
                <c:pt idx="411">
                  <c:v>0.47488941385655853</c:v>
                </c:pt>
                <c:pt idx="412">
                  <c:v>0.47434395901868615</c:v>
                </c:pt>
                <c:pt idx="413">
                  <c:v>0.47379973573771716</c:v>
                </c:pt>
                <c:pt idx="414">
                  <c:v>0.47325672573193522</c:v>
                </c:pt>
                <c:pt idx="415">
                  <c:v>0.47271491119302789</c:v>
                </c:pt>
                <c:pt idx="416">
                  <c:v>0.47217427477342722</c:v>
                </c:pt>
                <c:pt idx="417">
                  <c:v>0.47163008243105103</c:v>
                </c:pt>
                <c:pt idx="418">
                  <c:v>0.47108704775969573</c:v>
                </c:pt>
                <c:pt idx="419">
                  <c:v>0.47054515462653046</c:v>
                </c:pt>
                <c:pt idx="420">
                  <c:v>0.47000438731439598</c:v>
                </c:pt>
                <c:pt idx="421">
                  <c:v>0.46946473051068793</c:v>
                </c:pt>
                <c:pt idx="422">
                  <c:v>0.46892616929653785</c:v>
                </c:pt>
                <c:pt idx="423">
                  <c:v>0.46838868913628395</c:v>
                </c:pt>
                <c:pt idx="424">
                  <c:v>0.46785227586722383</c:v>
                </c:pt>
                <c:pt idx="425">
                  <c:v>0.46731691568964201</c:v>
                </c:pt>
                <c:pt idx="426">
                  <c:v>0.46678259515710435</c:v>
                </c:pt>
                <c:pt idx="427">
                  <c:v>0.46624930116701241</c:v>
                </c:pt>
                <c:pt idx="428">
                  <c:v>0.46571702095141099</c:v>
                </c:pt>
                <c:pt idx="429">
                  <c:v>0.46518574206804164</c:v>
                </c:pt>
                <c:pt idx="430">
                  <c:v>0.46465545239163625</c:v>
                </c:pt>
                <c:pt idx="431">
                  <c:v>0.46412614010544312</c:v>
                </c:pt>
                <c:pt idx="432">
                  <c:v>0.46359779369298099</c:v>
                </c:pt>
                <c:pt idx="433">
                  <c:v>0.46307040193001303</c:v>
                </c:pt>
                <c:pt idx="434">
                  <c:v>0.4625439538767363</c:v>
                </c:pt>
                <c:pt idx="435">
                  <c:v>0.4620184388701804</c:v>
                </c:pt>
                <c:pt idx="436">
                  <c:v>0.46149384651680952</c:v>
                </c:pt>
                <c:pt idx="437">
                  <c:v>0.46097016668532281</c:v>
                </c:pt>
                <c:pt idx="438">
                  <c:v>0.46044738949964764</c:v>
                </c:pt>
                <c:pt idx="439">
                  <c:v>0.45992550533212018</c:v>
                </c:pt>
                <c:pt idx="440">
                  <c:v>0.4594045047968493</c:v>
                </c:pt>
                <c:pt idx="441">
                  <c:v>0.45888437874325749</c:v>
                </c:pt>
                <c:pt idx="442">
                  <c:v>0.4583651182497952</c:v>
                </c:pt>
                <c:pt idx="443">
                  <c:v>0.45784671461782367</c:v>
                </c:pt>
                <c:pt idx="444">
                  <c:v>0.45732915936566121</c:v>
                </c:pt>
                <c:pt idx="445">
                  <c:v>0.45681244422278905</c:v>
                </c:pt>
                <c:pt idx="446">
                  <c:v>0.45629656112421269</c:v>
                </c:pt>
                <c:pt idx="447">
                  <c:v>0.45578150220497404</c:v>
                </c:pt>
                <c:pt idx="448">
                  <c:v>0.45526725979481042</c:v>
                </c:pt>
                <c:pt idx="449">
                  <c:v>0.45475382641295681</c:v>
                </c:pt>
                <c:pt idx="450">
                  <c:v>0.45424119476308744</c:v>
                </c:pt>
                <c:pt idx="451">
                  <c:v>0.45372935772839257</c:v>
                </c:pt>
                <c:pt idx="452">
                  <c:v>0.45321830836678728</c:v>
                </c:pt>
                <c:pt idx="453">
                  <c:v>0.45270803990624853</c:v>
                </c:pt>
                <c:pt idx="454">
                  <c:v>0.45219854574027724</c:v>
                </c:pt>
                <c:pt idx="455">
                  <c:v>0.4516898194234818</c:v>
                </c:pt>
                <c:pt idx="456">
                  <c:v>0.45118185466728</c:v>
                </c:pt>
                <c:pt idx="457">
                  <c:v>0.45067464533571572</c:v>
                </c:pt>
                <c:pt idx="458">
                  <c:v>0.45016818544138815</c:v>
                </c:pt>
                <c:pt idx="459">
                  <c:v>0.44966246914148972</c:v>
                </c:pt>
                <c:pt idx="460">
                  <c:v>0.44915749073395017</c:v>
                </c:pt>
                <c:pt idx="461">
                  <c:v>0.44865324465368422</c:v>
                </c:pt>
                <c:pt idx="462">
                  <c:v>0.44814972546893933</c:v>
                </c:pt>
                <c:pt idx="463">
                  <c:v>0.44764692787774107</c:v>
                </c:pt>
                <c:pt idx="464">
                  <c:v>0.44714484670443466</c:v>
                </c:pt>
                <c:pt idx="465">
                  <c:v>0.44664347689631823</c:v>
                </c:pt>
                <c:pt idx="466">
                  <c:v>0.4461428135203665</c:v>
                </c:pt>
                <c:pt idx="467">
                  <c:v>0.44564285176004226</c:v>
                </c:pt>
                <c:pt idx="468">
                  <c:v>0.4451435869121933</c:v>
                </c:pt>
                <c:pt idx="469">
                  <c:v>0.44463995128321882</c:v>
                </c:pt>
                <c:pt idx="470">
                  <c:v>0.44413701714055498</c:v>
                </c:pt>
                <c:pt idx="471">
                  <c:v>0.44363478001435941</c:v>
                </c:pt>
                <c:pt idx="472">
                  <c:v>0.44313323553853073</c:v>
                </c:pt>
                <c:pt idx="473">
                  <c:v>0.44263237944794631</c:v>
                </c:pt>
                <c:pt idx="474">
                  <c:v>0.44213220757577409</c:v>
                </c:pt>
                <c:pt idx="475">
                  <c:v>0.44163271585085639</c:v>
                </c:pt>
                <c:pt idx="476">
                  <c:v>0.44113390029516381</c:v>
                </c:pt>
                <c:pt idx="477">
                  <c:v>0.44063575702131746</c:v>
                </c:pt>
                <c:pt idx="478">
                  <c:v>0.44013828223017726</c:v>
                </c:pt>
                <c:pt idx="479">
                  <c:v>0.43964147220849542</c:v>
                </c:pt>
                <c:pt idx="480">
                  <c:v>0.43914532332663203</c:v>
                </c:pt>
                <c:pt idx="481">
                  <c:v>0.43864983203633245</c:v>
                </c:pt>
                <c:pt idx="482">
                  <c:v>0.43815499486856402</c:v>
                </c:pt>
                <c:pt idx="483">
                  <c:v>0.43766080843141075</c:v>
                </c:pt>
                <c:pt idx="484">
                  <c:v>0.43716726940802453</c:v>
                </c:pt>
                <c:pt idx="485">
                  <c:v>0.43667437455463065</c:v>
                </c:pt>
                <c:pt idx="486">
                  <c:v>0.43618212069858786</c:v>
                </c:pt>
                <c:pt idx="487">
                  <c:v>0.43569050473649917</c:v>
                </c:pt>
                <c:pt idx="488">
                  <c:v>0.43519952363237419</c:v>
                </c:pt>
                <c:pt idx="489">
                  <c:v>0.43470917441584012</c:v>
                </c:pt>
                <c:pt idx="490">
                  <c:v>0.43421945418040109</c:v>
                </c:pt>
                <c:pt idx="491">
                  <c:v>0.4337303600817437</c:v>
                </c:pt>
                <c:pt idx="492">
                  <c:v>0.43324188933608843</c:v>
                </c:pt>
                <c:pt idx="493">
                  <c:v>0.43275403921858457</c:v>
                </c:pt>
                <c:pt idx="494">
                  <c:v>0.43226680706174897</c:v>
                </c:pt>
                <c:pt idx="495">
                  <c:v>0.43178019025394587</c:v>
                </c:pt>
                <c:pt idx="496">
                  <c:v>0.43129418623790794</c:v>
                </c:pt>
                <c:pt idx="497">
                  <c:v>0.43080879250929655</c:v>
                </c:pt>
                <c:pt idx="498">
                  <c:v>0.4303240066153009</c:v>
                </c:pt>
                <c:pt idx="499">
                  <c:v>0.4298398261532746</c:v>
                </c:pt>
                <c:pt idx="500">
                  <c:v>0.4293562487694087</c:v>
                </c:pt>
                <c:pt idx="501">
                  <c:v>0.42887327215744031</c:v>
                </c:pt>
                <c:pt idx="502">
                  <c:v>0.42839089405739567</c:v>
                </c:pt>
                <c:pt idx="503">
                  <c:v>0.4279091122543674</c:v>
                </c:pt>
                <c:pt idx="504">
                  <c:v>0.4274279245773237</c:v>
                </c:pt>
                <c:pt idx="505">
                  <c:v>0.42694732889795001</c:v>
                </c:pt>
                <c:pt idx="506">
                  <c:v>0.42646732312952157</c:v>
                </c:pt>
                <c:pt idx="507">
                  <c:v>0.42598790522580621</c:v>
                </c:pt>
                <c:pt idx="508">
                  <c:v>0.42550907317999626</c:v>
                </c:pt>
                <c:pt idx="509">
                  <c:v>0.42503082502366935</c:v>
                </c:pt>
                <c:pt idx="510">
                  <c:v>0.42455315882577704</c:v>
                </c:pt>
                <c:pt idx="511">
                  <c:v>0.42407607269166048</c:v>
                </c:pt>
                <c:pt idx="512">
                  <c:v>0.42359956476209221</c:v>
                </c:pt>
                <c:pt idx="513">
                  <c:v>0.42312363321234392</c:v>
                </c:pt>
                <c:pt idx="514">
                  <c:v>0.42264827625127921</c:v>
                </c:pt>
                <c:pt idx="515">
                  <c:v>0.42217349212047017</c:v>
                </c:pt>
                <c:pt idx="516">
                  <c:v>0.42169927909333815</c:v>
                </c:pt>
                <c:pt idx="517">
                  <c:v>0.42122563547431746</c:v>
                </c:pt>
                <c:pt idx="518">
                  <c:v>0.42075255959804103</c:v>
                </c:pt>
                <c:pt idx="519">
                  <c:v>0.42028004982854844</c:v>
                </c:pt>
              </c:numCache>
            </c:numRef>
          </c:val>
          <c:smooth val="0"/>
          <c:extLst>
            <c:ext xmlns:c16="http://schemas.microsoft.com/office/drawing/2014/chart" uri="{C3380CC4-5D6E-409C-BE32-E72D297353CC}">
              <c16:uniqueId val="{00000008-050E-4C76-B86D-B3269E11B822}"/>
            </c:ext>
          </c:extLst>
        </c:ser>
        <c:ser>
          <c:idx val="1"/>
          <c:order val="9"/>
          <c:tx>
            <c:strRef>
              <c:f>Ig!$L$534</c:f>
              <c:strCache>
                <c:ptCount val="1"/>
                <c:pt idx="0">
                  <c:v>Death</c:v>
                </c:pt>
              </c:strCache>
            </c:strRef>
          </c:tx>
          <c:spPr>
            <a:ln w="28575" cap="rnd">
              <a:solidFill>
                <a:schemeClr val="accent2"/>
              </a:solidFill>
              <a:round/>
            </a:ln>
            <a:effectLst/>
          </c:spPr>
          <c:marker>
            <c:symbol val="none"/>
          </c:marker>
          <c:cat>
            <c:numRef>
              <c:f>Ig!$B$535:$B$1054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Ig!$L$535:$L$1054</c:f>
              <c:numCache>
                <c:formatCode>#,##0</c:formatCode>
                <c:ptCount val="520"/>
                <c:pt idx="0">
                  <c:v>0</c:v>
                </c:pt>
                <c:pt idx="1">
                  <c:v>6.9081552659944201E-2</c:v>
                </c:pt>
                <c:pt idx="2">
                  <c:v>0.13815833305897052</c:v>
                </c:pt>
                <c:pt idx="3">
                  <c:v>0.2072303415267541</c:v>
                </c:pt>
                <c:pt idx="4">
                  <c:v>0.27629757839294738</c:v>
                </c:pt>
                <c:pt idx="5">
                  <c:v>0.34536004398718001</c:v>
                </c:pt>
                <c:pt idx="6">
                  <c:v>0.4144177386390589</c:v>
                </c:pt>
                <c:pt idx="7">
                  <c:v>0.48347066267816807</c:v>
                </c:pt>
                <c:pt idx="8">
                  <c:v>0.55251881643406897</c:v>
                </c:pt>
                <c:pt idx="9">
                  <c:v>0.62156220023630004</c:v>
                </c:pt>
                <c:pt idx="10">
                  <c:v>0.69060081441437715</c:v>
                </c:pt>
                <c:pt idx="11">
                  <c:v>0.75963465929779339</c:v>
                </c:pt>
                <c:pt idx="12">
                  <c:v>0.82866373521601899</c:v>
                </c:pt>
                <c:pt idx="13">
                  <c:v>0.89768804249850154</c:v>
                </c:pt>
                <c:pt idx="14">
                  <c:v>0.96670758147466573</c:v>
                </c:pt>
                <c:pt idx="15">
                  <c:v>1.0357223524739136</c:v>
                </c:pt>
                <c:pt idx="16">
                  <c:v>1.1047323558256243</c:v>
                </c:pt>
                <c:pt idx="17">
                  <c:v>1.1737375918591544</c:v>
                </c:pt>
                <c:pt idx="18">
                  <c:v>1.2427380609038376</c:v>
                </c:pt>
                <c:pt idx="19">
                  <c:v>1.3117337632889849</c:v>
                </c:pt>
                <c:pt idx="20">
                  <c:v>1.3807246993438846</c:v>
                </c:pt>
                <c:pt idx="21">
                  <c:v>1.4497108693978022</c:v>
                </c:pt>
                <c:pt idx="22">
                  <c:v>1.518692407838993</c:v>
                </c:pt>
                <c:pt idx="23">
                  <c:v>1.5876693121023142</c:v>
                </c:pt>
                <c:pt idx="24">
                  <c:v>1.6566415796908787</c:v>
                </c:pt>
                <c:pt idx="25">
                  <c:v>1.725609208174298</c:v>
                </c:pt>
                <c:pt idx="26">
                  <c:v>1.7945721951869742</c:v>
                </c:pt>
                <c:pt idx="27">
                  <c:v>1.8635305384264362</c:v>
                </c:pt>
                <c:pt idx="28">
                  <c:v>1.93248423565172</c:v>
                </c:pt>
                <c:pt idx="29">
                  <c:v>2.001433284681791</c:v>
                </c:pt>
                <c:pt idx="30">
                  <c:v>2.07037768339401</c:v>
                </c:pt>
                <c:pt idx="31">
                  <c:v>2.1393174297226376</c:v>
                </c:pt>
                <c:pt idx="32">
                  <c:v>2.2082525216573794</c:v>
                </c:pt>
                <c:pt idx="33">
                  <c:v>2.27718295724197</c:v>
                </c:pt>
                <c:pt idx="34">
                  <c:v>2.3461087345727929</c:v>
                </c:pt>
                <c:pt idx="35">
                  <c:v>2.4150298517975384</c:v>
                </c:pt>
                <c:pt idx="36">
                  <c:v>2.4839463071138956</c:v>
                </c:pt>
                <c:pt idx="37">
                  <c:v>2.5528580987682803</c:v>
                </c:pt>
                <c:pt idx="38">
                  <c:v>2.6217652250545949</c:v>
                </c:pt>
                <c:pt idx="39">
                  <c:v>2.6906676843130226</c:v>
                </c:pt>
                <c:pt idx="40">
                  <c:v>2.7595654749288534</c:v>
                </c:pt>
                <c:pt idx="41">
                  <c:v>2.8284585953313388</c:v>
                </c:pt>
                <c:pt idx="42">
                  <c:v>2.8973470439925793</c:v>
                </c:pt>
                <c:pt idx="43">
                  <c:v>2.9662308194264395</c:v>
                </c:pt>
                <c:pt idx="44">
                  <c:v>3.0351099201874936</c:v>
                </c:pt>
                <c:pt idx="45">
                  <c:v>3.1039843448699966</c:v>
                </c:pt>
                <c:pt idx="46">
                  <c:v>3.172854092106884</c:v>
                </c:pt>
                <c:pt idx="47">
                  <c:v>3.2417191605687972</c:v>
                </c:pt>
                <c:pt idx="48">
                  <c:v>3.3105795489631347</c:v>
                </c:pt>
                <c:pt idx="49">
                  <c:v>3.3794352560331289</c:v>
                </c:pt>
                <c:pt idx="50">
                  <c:v>3.4482862805569461</c:v>
                </c:pt>
                <c:pt idx="51">
                  <c:v>3.5171326213468106</c:v>
                </c:pt>
                <c:pt idx="52">
                  <c:v>3.5859742772481518</c:v>
                </c:pt>
                <c:pt idx="53">
                  <c:v>3.6603611362253652</c:v>
                </c:pt>
                <c:pt idx="54">
                  <c:v>3.7347425158953458</c:v>
                </c:pt>
                <c:pt idx="55">
                  <c:v>3.8091184141175276</c:v>
                </c:pt>
                <c:pt idx="56">
                  <c:v>3.8834888288216924</c:v>
                </c:pt>
                <c:pt idx="57">
                  <c:v>3.957853758006082</c:v>
                </c:pt>
                <c:pt idx="58">
                  <c:v>4.0322131997355584</c:v>
                </c:pt>
                <c:pt idx="59">
                  <c:v>4.1065671521398155</c:v>
                </c:pt>
                <c:pt idx="60">
                  <c:v>4.1809156134116376</c:v>
                </c:pt>
                <c:pt idx="61">
                  <c:v>4.2552585818052062</c:v>
                </c:pt>
                <c:pt idx="62">
                  <c:v>4.3295960556344495</c:v>
                </c:pt>
                <c:pt idx="63">
                  <c:v>4.4039280332714368</c:v>
                </c:pt>
                <c:pt idx="64">
                  <c:v>4.4782545131448162</c:v>
                </c:pt>
                <c:pt idx="65">
                  <c:v>4.5525754937382956</c:v>
                </c:pt>
                <c:pt idx="66">
                  <c:v>4.6268909735891626</c:v>
                </c:pt>
                <c:pt idx="67">
                  <c:v>4.7012009512868431</c:v>
                </c:pt>
                <c:pt idx="68">
                  <c:v>4.7755054254715006</c:v>
                </c:pt>
                <c:pt idx="69">
                  <c:v>4.8498043948326712</c:v>
                </c:pt>
                <c:pt idx="70">
                  <c:v>4.9240978581079364</c:v>
                </c:pt>
                <c:pt idx="71">
                  <c:v>4.9983858140816322</c:v>
                </c:pt>
                <c:pt idx="72">
                  <c:v>5.0726682615835896</c:v>
                </c:pt>
                <c:pt idx="73">
                  <c:v>5.1469451994879103</c:v>
                </c:pt>
                <c:pt idx="74">
                  <c:v>5.2212166267117786</c:v>
                </c:pt>
                <c:pt idx="75">
                  <c:v>5.2954825422142981</c:v>
                </c:pt>
                <c:pt idx="76">
                  <c:v>5.3697429449953669</c:v>
                </c:pt>
                <c:pt idx="77">
                  <c:v>5.443997834094576</c:v>
                </c:pt>
                <c:pt idx="78">
                  <c:v>5.5182472085901448</c:v>
                </c:pt>
                <c:pt idx="79">
                  <c:v>5.5924910675978765</c:v>
                </c:pt>
                <c:pt idx="80">
                  <c:v>5.6667294102701486</c:v>
                </c:pt>
                <c:pt idx="81">
                  <c:v>5.7409622357949273</c:v>
                </c:pt>
                <c:pt idx="82">
                  <c:v>5.8151895433948075</c:v>
                </c:pt>
                <c:pt idx="83">
                  <c:v>5.8894113323260804</c:v>
                </c:pt>
                <c:pt idx="84">
                  <c:v>5.9636276018778256</c:v>
                </c:pt>
                <c:pt idx="85">
                  <c:v>6.0378383513710263</c:v>
                </c:pt>
                <c:pt idx="86">
                  <c:v>6.1120435801577093</c:v>
                </c:pt>
                <c:pt idx="87">
                  <c:v>6.1862432876201083</c:v>
                </c:pt>
                <c:pt idx="88">
                  <c:v>6.2604374731698478</c:v>
                </c:pt>
                <c:pt idx="89">
                  <c:v>6.3346261362471514</c:v>
                </c:pt>
                <c:pt idx="90">
                  <c:v>6.4088092763200688</c:v>
                </c:pt>
                <c:pt idx="91">
                  <c:v>6.4829868928837264</c:v>
                </c:pt>
                <c:pt idx="92">
                  <c:v>6.5571589854595933</c:v>
                </c:pt>
                <c:pt idx="93">
                  <c:v>6.631325553594773</c:v>
                </c:pt>
                <c:pt idx="94">
                  <c:v>6.7054865968613093</c:v>
                </c:pt>
                <c:pt idx="95">
                  <c:v>6.7796421148555108</c:v>
                </c:pt>
                <c:pt idx="96">
                  <c:v>6.8537921071972994</c:v>
                </c:pt>
                <c:pt idx="97">
                  <c:v>6.9279365735295668</c:v>
                </c:pt>
                <c:pt idx="98">
                  <c:v>7.002075513517557</c:v>
                </c:pt>
                <c:pt idx="99">
                  <c:v>7.0762089268482606</c:v>
                </c:pt>
                <c:pt idx="100">
                  <c:v>7.1503368132298259</c:v>
                </c:pt>
                <c:pt idx="101">
                  <c:v>7.2244591723909863</c:v>
                </c:pt>
                <c:pt idx="102">
                  <c:v>7.2985760040805028</c:v>
                </c:pt>
                <c:pt idx="103">
                  <c:v>7.3726873080666229</c:v>
                </c:pt>
                <c:pt idx="104">
                  <c:v>7.4467930841365515</c:v>
                </c:pt>
                <c:pt idx="105">
                  <c:v>7.5269984307647437</c:v>
                </c:pt>
                <c:pt idx="106">
                  <c:v>7.6071973002968276</c:v>
                </c:pt>
                <c:pt idx="107">
                  <c:v>7.6873896926372982</c:v>
                </c:pt>
                <c:pt idx="108">
                  <c:v>7.7675756077090421</c:v>
                </c:pt>
                <c:pt idx="109">
                  <c:v>7.8477550454528373</c:v>
                </c:pt>
                <c:pt idx="110">
                  <c:v>7.9279280058268693</c:v>
                </c:pt>
                <c:pt idx="111">
                  <c:v>8.008094488806254</c:v>
                </c:pt>
                <c:pt idx="112">
                  <c:v>8.088254494382582</c:v>
                </c:pt>
                <c:pt idx="113">
                  <c:v>8.168408022563467</c:v>
                </c:pt>
                <c:pt idx="114">
                  <c:v>8.2485550733721116</c:v>
                </c:pt>
                <c:pt idx="115">
                  <c:v>8.3286956468468816</c:v>
                </c:pt>
                <c:pt idx="116">
                  <c:v>8.4088297430408918</c:v>
                </c:pt>
                <c:pt idx="117">
                  <c:v>8.4889573620216083</c:v>
                </c:pt>
                <c:pt idx="118">
                  <c:v>8.569078503870454</c:v>
                </c:pt>
                <c:pt idx="119">
                  <c:v>8.6491931686824266</c:v>
                </c:pt>
                <c:pt idx="120">
                  <c:v>8.7293013565657329</c:v>
                </c:pt>
                <c:pt idx="121">
                  <c:v>8.8094030676414246</c:v>
                </c:pt>
                <c:pt idx="122">
                  <c:v>8.8894983020430463</c:v>
                </c:pt>
                <c:pt idx="123">
                  <c:v>8.9695870599162983</c:v>
                </c:pt>
                <c:pt idx="124">
                  <c:v>9.0496693414187011</c:v>
                </c:pt>
                <c:pt idx="125">
                  <c:v>9.1297451467192712</c:v>
                </c:pt>
                <c:pt idx="126">
                  <c:v>9.2098144759982095</c:v>
                </c:pt>
                <c:pt idx="127">
                  <c:v>9.2898773294465915</c:v>
                </c:pt>
                <c:pt idx="128">
                  <c:v>9.3699337072660729</c:v>
                </c:pt>
                <c:pt idx="129">
                  <c:v>9.4499836096685961</c:v>
                </c:pt>
                <c:pt idx="130">
                  <c:v>9.530027036876108</c:v>
                </c:pt>
                <c:pt idx="131">
                  <c:v>9.6100639891202899</c:v>
                </c:pt>
                <c:pt idx="132">
                  <c:v>9.6900944666422824</c:v>
                </c:pt>
                <c:pt idx="133">
                  <c:v>9.7701184696924326</c:v>
                </c:pt>
                <c:pt idx="134">
                  <c:v>9.8501359985300336</c:v>
                </c:pt>
                <c:pt idx="135">
                  <c:v>9.930147053423088</c:v>
                </c:pt>
                <c:pt idx="136">
                  <c:v>10.010151634648055</c:v>
                </c:pt>
                <c:pt idx="137">
                  <c:v>10.090149742489631</c:v>
                </c:pt>
                <c:pt idx="138">
                  <c:v>10.17014137724051</c:v>
                </c:pt>
                <c:pt idx="139">
                  <c:v>10.250126539201169</c:v>
                </c:pt>
                <c:pt idx="140">
                  <c:v>10.330105228679654</c:v>
                </c:pt>
                <c:pt idx="141">
                  <c:v>10.410077445991368</c:v>
                </c:pt>
                <c:pt idx="142">
                  <c:v>10.490043191458865</c:v>
                </c:pt>
                <c:pt idx="143">
                  <c:v>10.570002465411656</c:v>
                </c:pt>
                <c:pt idx="144">
                  <c:v>10.649955268186018</c:v>
                </c:pt>
                <c:pt idx="145">
                  <c:v>10.729901600124796</c:v>
                </c:pt>
                <c:pt idx="146">
                  <c:v>10.809841461577232</c:v>
                </c:pt>
                <c:pt idx="147">
                  <c:v>10.88977485289878</c:v>
                </c:pt>
                <c:pt idx="148">
                  <c:v>10.969701774450938</c:v>
                </c:pt>
                <c:pt idx="149">
                  <c:v>11.049622226601072</c:v>
                </c:pt>
                <c:pt idx="150">
                  <c:v>11.129536209722259</c:v>
                </c:pt>
                <c:pt idx="151">
                  <c:v>11.209443724193129</c:v>
                </c:pt>
                <c:pt idx="152">
                  <c:v>11.289344770397699</c:v>
                </c:pt>
                <c:pt idx="153">
                  <c:v>11.369239348725236</c:v>
                </c:pt>
                <c:pt idx="154">
                  <c:v>11.449127459570098</c:v>
                </c:pt>
                <c:pt idx="155">
                  <c:v>11.529009103331601</c:v>
                </c:pt>
                <c:pt idx="156">
                  <c:v>11.60888428041387</c:v>
                </c:pt>
                <c:pt idx="157">
                  <c:v>11.695595062415132</c:v>
                </c:pt>
                <c:pt idx="158">
                  <c:v>11.782298224399803</c:v>
                </c:pt>
                <c:pt idx="159">
                  <c:v>11.868993766922872</c:v>
                </c:pt>
                <c:pt idx="160">
                  <c:v>11.955681690543981</c:v>
                </c:pt>
                <c:pt idx="161">
                  <c:v>12.042361995827292</c:v>
                </c:pt>
                <c:pt idx="162">
                  <c:v>12.129034683341358</c:v>
                </c:pt>
                <c:pt idx="163">
                  <c:v>12.215699753658999</c:v>
                </c:pt>
                <c:pt idx="164">
                  <c:v>12.302357207357183</c:v>
                </c:pt>
                <c:pt idx="165">
                  <c:v>12.3890070450169</c:v>
                </c:pt>
                <c:pt idx="166">
                  <c:v>12.475649267223053</c:v>
                </c:pt>
                <c:pt idx="167">
                  <c:v>12.562283874564349</c:v>
                </c:pt>
                <c:pt idx="168">
                  <c:v>12.648910867633179</c:v>
                </c:pt>
                <c:pt idx="169">
                  <c:v>12.735530247025522</c:v>
                </c:pt>
                <c:pt idx="170">
                  <c:v>12.822142013340839</c:v>
                </c:pt>
                <c:pt idx="171">
                  <c:v>12.908746167181969</c:v>
                </c:pt>
                <c:pt idx="172">
                  <c:v>12.995342709155032</c:v>
                </c:pt>
                <c:pt idx="173">
                  <c:v>13.081931639869342</c:v>
                </c:pt>
                <c:pt idx="174">
                  <c:v>13.168512959937305</c:v>
                </c:pt>
                <c:pt idx="175">
                  <c:v>13.255086669974329</c:v>
                </c:pt>
                <c:pt idx="176">
                  <c:v>13.341652770598744</c:v>
                </c:pt>
                <c:pt idx="177">
                  <c:v>13.428211262431709</c:v>
                </c:pt>
                <c:pt idx="178">
                  <c:v>13.514762146097135</c:v>
                </c:pt>
                <c:pt idx="179">
                  <c:v>13.6013054222216</c:v>
                </c:pt>
                <c:pt idx="180">
                  <c:v>13.687841091434271</c:v>
                </c:pt>
                <c:pt idx="181">
                  <c:v>13.774369154366829</c:v>
                </c:pt>
                <c:pt idx="182">
                  <c:v>13.860889611653395</c:v>
                </c:pt>
                <c:pt idx="183">
                  <c:v>13.947402463930455</c:v>
                </c:pt>
                <c:pt idx="184">
                  <c:v>14.033907711836793</c:v>
                </c:pt>
                <c:pt idx="185">
                  <c:v>14.12040535601342</c:v>
                </c:pt>
                <c:pt idx="186">
                  <c:v>14.206895397103507</c:v>
                </c:pt>
                <c:pt idx="187">
                  <c:v>14.293377835752322</c:v>
                </c:pt>
                <c:pt idx="188">
                  <c:v>14.379852672607168</c:v>
                </c:pt>
                <c:pt idx="189">
                  <c:v>14.466319908317317</c:v>
                </c:pt>
                <c:pt idx="190">
                  <c:v>14.552779543533955</c:v>
                </c:pt>
                <c:pt idx="191">
                  <c:v>14.639231578910122</c:v>
                </c:pt>
                <c:pt idx="192">
                  <c:v>14.725676015100653</c:v>
                </c:pt>
                <c:pt idx="193">
                  <c:v>14.812112852762128</c:v>
                </c:pt>
                <c:pt idx="194">
                  <c:v>14.898542092552816</c:v>
                </c:pt>
                <c:pt idx="195">
                  <c:v>14.984963735132618</c:v>
                </c:pt>
                <c:pt idx="196">
                  <c:v>15.071377781163028</c:v>
                </c:pt>
                <c:pt idx="197">
                  <c:v>15.157784231307073</c:v>
                </c:pt>
                <c:pt idx="198">
                  <c:v>15.244183086229269</c:v>
                </c:pt>
                <c:pt idx="199">
                  <c:v>15.330574346595574</c:v>
                </c:pt>
                <c:pt idx="200">
                  <c:v>15.416958013073346</c:v>
                </c:pt>
                <c:pt idx="201">
                  <c:v>15.503334086331291</c:v>
                </c:pt>
                <c:pt idx="202">
                  <c:v>15.58970256703943</c:v>
                </c:pt>
                <c:pt idx="203">
                  <c:v>15.676063455869047</c:v>
                </c:pt>
                <c:pt idx="204">
                  <c:v>15.762416753492655</c:v>
                </c:pt>
                <c:pt idx="205">
                  <c:v>15.848762460583957</c:v>
                </c:pt>
                <c:pt idx="206">
                  <c:v>15.935100577817805</c:v>
                </c:pt>
                <c:pt idx="207">
                  <c:v>16.02143110587016</c:v>
                </c:pt>
                <c:pt idx="208">
                  <c:v>16.107754045418062</c:v>
                </c:pt>
                <c:pt idx="209">
                  <c:v>16.20125990535502</c:v>
                </c:pt>
                <c:pt idx="210">
                  <c:v>16.294756862731184</c:v>
                </c:pt>
                <c:pt idx="211">
                  <c:v>16.388244918408528</c:v>
                </c:pt>
                <c:pt idx="212">
                  <c:v>16.481724073250028</c:v>
                </c:pt>
                <c:pt idx="213">
                  <c:v>16.575194328119622</c:v>
                </c:pt>
                <c:pt idx="214">
                  <c:v>16.668655683882182</c:v>
                </c:pt>
                <c:pt idx="215">
                  <c:v>16.76210814140348</c:v>
                </c:pt>
                <c:pt idx="216">
                  <c:v>16.855551701550159</c:v>
                </c:pt>
                <c:pt idx="217">
                  <c:v>16.94898636518969</c:v>
                </c:pt>
                <c:pt idx="218">
                  <c:v>17.042412133190361</c:v>
                </c:pt>
                <c:pt idx="219">
                  <c:v>17.135829006421233</c:v>
                </c:pt>
                <c:pt idx="220">
                  <c:v>17.22923698575212</c:v>
                </c:pt>
                <c:pt idx="221">
                  <c:v>17.322636072053559</c:v>
                </c:pt>
                <c:pt idx="222">
                  <c:v>17.416026266196777</c:v>
                </c:pt>
                <c:pt idx="223">
                  <c:v>17.509407569053678</c:v>
                </c:pt>
                <c:pt idx="224">
                  <c:v>17.602779981496809</c:v>
                </c:pt>
                <c:pt idx="225">
                  <c:v>17.69614350439933</c:v>
                </c:pt>
                <c:pt idx="226">
                  <c:v>17.789498138635004</c:v>
                </c:pt>
                <c:pt idx="227">
                  <c:v>17.882843885078163</c:v>
                </c:pt>
                <c:pt idx="228">
                  <c:v>17.976180744603692</c:v>
                </c:pt>
                <c:pt idx="229">
                  <c:v>18.069508718087</c:v>
                </c:pt>
                <c:pt idx="230">
                  <c:v>18.162827806404007</c:v>
                </c:pt>
                <c:pt idx="231">
                  <c:v>18.256138010431112</c:v>
                </c:pt>
                <c:pt idx="232">
                  <c:v>18.349439331045186</c:v>
                </c:pt>
                <c:pt idx="233">
                  <c:v>18.44273176912354</c:v>
                </c:pt>
                <c:pt idx="234">
                  <c:v>18.536015325543918</c:v>
                </c:pt>
                <c:pt idx="235">
                  <c:v>18.629290001184465</c:v>
                </c:pt>
                <c:pt idx="236">
                  <c:v>18.722555796923722</c:v>
                </c:pt>
                <c:pt idx="237">
                  <c:v>18.815812713640597</c:v>
                </c:pt>
                <c:pt idx="238">
                  <c:v>18.909060752214355</c:v>
                </c:pt>
                <c:pt idx="239">
                  <c:v>19.002299913524602</c:v>
                </c:pt>
                <c:pt idx="240">
                  <c:v>19.095530198451264</c:v>
                </c:pt>
                <c:pt idx="241">
                  <c:v>19.188751607874575</c:v>
                </c:pt>
                <c:pt idx="242">
                  <c:v>19.281964142675058</c:v>
                </c:pt>
                <c:pt idx="243">
                  <c:v>19.375167803733511</c:v>
                </c:pt>
                <c:pt idx="244">
                  <c:v>19.468362591931001</c:v>
                </c:pt>
                <c:pt idx="245">
                  <c:v>19.561548508148839</c:v>
                </c:pt>
                <c:pt idx="246">
                  <c:v>19.654725553268566</c:v>
                </c:pt>
                <c:pt idx="247">
                  <c:v>19.747893728171952</c:v>
                </c:pt>
                <c:pt idx="248">
                  <c:v>19.84105303374097</c:v>
                </c:pt>
                <c:pt idx="249">
                  <c:v>19.934203470857788</c:v>
                </c:pt>
                <c:pt idx="250">
                  <c:v>20.027345040404764</c:v>
                </c:pt>
                <c:pt idx="251">
                  <c:v>20.12047774326442</c:v>
                </c:pt>
                <c:pt idx="252">
                  <c:v>20.213601580319441</c:v>
                </c:pt>
                <c:pt idx="253">
                  <c:v>20.306716552452666</c:v>
                </c:pt>
                <c:pt idx="254">
                  <c:v>20.399822660547063</c:v>
                </c:pt>
                <c:pt idx="255">
                  <c:v>20.492919905485735</c:v>
                </c:pt>
                <c:pt idx="256">
                  <c:v>20.586008288151898</c:v>
                </c:pt>
                <c:pt idx="257">
                  <c:v>20.679087809428882</c:v>
                </c:pt>
                <c:pt idx="258">
                  <c:v>20.772158470200104</c:v>
                </c:pt>
                <c:pt idx="259">
                  <c:v>20.865220271349077</c:v>
                </c:pt>
                <c:pt idx="260">
                  <c:v>20.958273213759394</c:v>
                </c:pt>
                <c:pt idx="261">
                  <c:v>21.059036730035391</c:v>
                </c:pt>
                <c:pt idx="262">
                  <c:v>21.159789860295785</c:v>
                </c:pt>
                <c:pt idx="263">
                  <c:v>21.260532605915696</c:v>
                </c:pt>
                <c:pt idx="264">
                  <c:v>21.361264968262041</c:v>
                </c:pt>
                <c:pt idx="265">
                  <c:v>21.461986948693745</c:v>
                </c:pt>
                <c:pt idx="266">
                  <c:v>21.562698548561951</c:v>
                </c:pt>
                <c:pt idx="267">
                  <c:v>21.663399769210223</c:v>
                </c:pt>
                <c:pt idx="268">
                  <c:v>21.764090611974748</c:v>
                </c:pt>
                <c:pt idx="269">
                  <c:v>21.864771078184535</c:v>
                </c:pt>
                <c:pt idx="270">
                  <c:v>21.965441169161597</c:v>
                </c:pt>
                <c:pt idx="271">
                  <c:v>22.066100886221133</c:v>
                </c:pt>
                <c:pt idx="272">
                  <c:v>22.16675023067172</c:v>
                </c:pt>
                <c:pt idx="273">
                  <c:v>22.26738920381548</c:v>
                </c:pt>
                <c:pt idx="274">
                  <c:v>22.368017806948238</c:v>
                </c:pt>
                <c:pt idx="275">
                  <c:v>22.468636041359709</c:v>
                </c:pt>
                <c:pt idx="276">
                  <c:v>22.569243908333643</c:v>
                </c:pt>
                <c:pt idx="277">
                  <c:v>22.669841409147988</c:v>
                </c:pt>
                <c:pt idx="278">
                  <c:v>22.770428545075042</c:v>
                </c:pt>
                <c:pt idx="279">
                  <c:v>22.871005317381595</c:v>
                </c:pt>
                <c:pt idx="280">
                  <c:v>22.971571727329081</c:v>
                </c:pt>
                <c:pt idx="281">
                  <c:v>23.072127776173716</c:v>
                </c:pt>
                <c:pt idx="282">
                  <c:v>23.172673465166628</c:v>
                </c:pt>
                <c:pt idx="283">
                  <c:v>23.273208795554005</c:v>
                </c:pt>
                <c:pt idx="284">
                  <c:v>23.373733768577207</c:v>
                </c:pt>
                <c:pt idx="285">
                  <c:v>23.474248385472904</c:v>
                </c:pt>
                <c:pt idx="286">
                  <c:v>23.574752647473197</c:v>
                </c:pt>
                <c:pt idx="287">
                  <c:v>23.675246555805728</c:v>
                </c:pt>
                <c:pt idx="288">
                  <c:v>23.775730111693807</c:v>
                </c:pt>
                <c:pt idx="289">
                  <c:v>23.876203316356523</c:v>
                </c:pt>
                <c:pt idx="290">
                  <c:v>23.976666171008851</c:v>
                </c:pt>
                <c:pt idx="291">
                  <c:v>24.077118676861755</c:v>
                </c:pt>
                <c:pt idx="292">
                  <c:v>24.1775608351223</c:v>
                </c:pt>
                <c:pt idx="293">
                  <c:v>24.277992646993752</c:v>
                </c:pt>
                <c:pt idx="294">
                  <c:v>24.378414113675671</c:v>
                </c:pt>
                <c:pt idx="295">
                  <c:v>24.478825236364017</c:v>
                </c:pt>
                <c:pt idx="296">
                  <c:v>24.579226016251233</c:v>
                </c:pt>
                <c:pt idx="297">
                  <c:v>24.679616454526339</c:v>
                </c:pt>
                <c:pt idx="298">
                  <c:v>24.779996552375028</c:v>
                </c:pt>
                <c:pt idx="299">
                  <c:v>24.880366310979738</c:v>
                </c:pt>
                <c:pt idx="300">
                  <c:v>24.980725731519751</c:v>
                </c:pt>
                <c:pt idx="301">
                  <c:v>25.081074815171267</c:v>
                </c:pt>
                <c:pt idx="302">
                  <c:v>25.181413563107476</c:v>
                </c:pt>
                <c:pt idx="303">
                  <c:v>25.281741976498651</c:v>
                </c:pt>
                <c:pt idx="304">
                  <c:v>25.382060056512209</c:v>
                </c:pt>
                <c:pt idx="305">
                  <c:v>25.482367804312798</c:v>
                </c:pt>
                <c:pt idx="306">
                  <c:v>25.582665221062353</c:v>
                </c:pt>
                <c:pt idx="307">
                  <c:v>25.682952307920182</c:v>
                </c:pt>
                <c:pt idx="308">
                  <c:v>25.783229066043017</c:v>
                </c:pt>
                <c:pt idx="309">
                  <c:v>25.883495496585088</c:v>
                </c:pt>
                <c:pt idx="310">
                  <c:v>25.983751600698188</c:v>
                </c:pt>
                <c:pt idx="311">
                  <c:v>26.083997379531734</c:v>
                </c:pt>
                <c:pt idx="312">
                  <c:v>26.184232834232827</c:v>
                </c:pt>
                <c:pt idx="313">
                  <c:v>26.292420248719854</c:v>
                </c:pt>
                <c:pt idx="314">
                  <c:v>26.400595636770714</c:v>
                </c:pt>
                <c:pt idx="315">
                  <c:v>26.508758999806034</c:v>
                </c:pt>
                <c:pt idx="316">
                  <c:v>26.616910339244154</c:v>
                </c:pt>
                <c:pt idx="317">
                  <c:v>26.725049656501177</c:v>
                </c:pt>
                <c:pt idx="318">
                  <c:v>26.833176952991032</c:v>
                </c:pt>
                <c:pt idx="319">
                  <c:v>26.941292230125523</c:v>
                </c:pt>
                <c:pt idx="320">
                  <c:v>27.049395489314385</c:v>
                </c:pt>
                <c:pt idx="321">
                  <c:v>27.157486731965335</c:v>
                </c:pt>
                <c:pt idx="322">
                  <c:v>27.265565959484118</c:v>
                </c:pt>
                <c:pt idx="323">
                  <c:v>27.373633173274563</c:v>
                </c:pt>
                <c:pt idx="324">
                  <c:v>27.481688374738624</c:v>
                </c:pt>
                <c:pt idx="325">
                  <c:v>27.589731565276431</c:v>
                </c:pt>
                <c:pt idx="326">
                  <c:v>27.697762746286326</c:v>
                </c:pt>
                <c:pt idx="327">
                  <c:v>27.805781919164918</c:v>
                </c:pt>
                <c:pt idx="328">
                  <c:v>27.913789085307119</c:v>
                </c:pt>
                <c:pt idx="329">
                  <c:v>28.021784246106183</c:v>
                </c:pt>
                <c:pt idx="330">
                  <c:v>28.129767402953753</c:v>
                </c:pt>
                <c:pt idx="331">
                  <c:v>28.237738557239897</c:v>
                </c:pt>
                <c:pt idx="332">
                  <c:v>28.345697710353139</c:v>
                </c:pt>
                <c:pt idx="333">
                  <c:v>28.453644863680513</c:v>
                </c:pt>
                <c:pt idx="334">
                  <c:v>28.561580018607579</c:v>
                </c:pt>
                <c:pt idx="335">
                  <c:v>28.669503176518475</c:v>
                </c:pt>
                <c:pt idx="336">
                  <c:v>28.777414338795939</c:v>
                </c:pt>
                <c:pt idx="337">
                  <c:v>28.885313506821351</c:v>
                </c:pt>
                <c:pt idx="338">
                  <c:v>28.993200681974759</c:v>
                </c:pt>
                <c:pt idx="339">
                  <c:v>29.101075865634915</c:v>
                </c:pt>
                <c:pt idx="340">
                  <c:v>29.208939059179301</c:v>
                </c:pt>
                <c:pt idx="341">
                  <c:v>29.316790263984164</c:v>
                </c:pt>
                <c:pt idx="342">
                  <c:v>29.424629481424539</c:v>
                </c:pt>
                <c:pt idx="343">
                  <c:v>29.532456712874286</c:v>
                </c:pt>
                <c:pt idx="344">
                  <c:v>29.640271959706109</c:v>
                </c:pt>
                <c:pt idx="345">
                  <c:v>29.748075223291586</c:v>
                </c:pt>
                <c:pt idx="346">
                  <c:v>29.855866505001199</c:v>
                </c:pt>
                <c:pt idx="347">
                  <c:v>29.963645806204351</c:v>
                </c:pt>
                <c:pt idx="348">
                  <c:v>30.071413128269395</c:v>
                </c:pt>
                <c:pt idx="349">
                  <c:v>30.17916847256366</c:v>
                </c:pt>
                <c:pt idx="350">
                  <c:v>30.28691184045347</c:v>
                </c:pt>
                <c:pt idx="351">
                  <c:v>30.394643233304176</c:v>
                </c:pt>
                <c:pt idx="352">
                  <c:v>30.502362652480166</c:v>
                </c:pt>
                <c:pt idx="353">
                  <c:v>30.610070099344888</c:v>
                </c:pt>
                <c:pt idx="354">
                  <c:v>30.717765575260884</c:v>
                </c:pt>
                <c:pt idx="355">
                  <c:v>30.825449081589795</c:v>
                </c:pt>
                <c:pt idx="356">
                  <c:v>30.933120619692389</c:v>
                </c:pt>
                <c:pt idx="357">
                  <c:v>31.040780190928576</c:v>
                </c:pt>
                <c:pt idx="358">
                  <c:v>31.148427796657433</c:v>
                </c:pt>
                <c:pt idx="359">
                  <c:v>31.25606343823722</c:v>
                </c:pt>
                <c:pt idx="360">
                  <c:v>31.363687117025393</c:v>
                </c:pt>
                <c:pt idx="361">
                  <c:v>31.471298834378622</c:v>
                </c:pt>
                <c:pt idx="362">
                  <c:v>31.578898591652816</c:v>
                </c:pt>
                <c:pt idx="363">
                  <c:v>31.686486390203132</c:v>
                </c:pt>
                <c:pt idx="364">
                  <c:v>31.794062231383993</c:v>
                </c:pt>
                <c:pt idx="365">
                  <c:v>31.9102000034013</c:v>
                </c:pt>
                <c:pt idx="366">
                  <c:v>32.026323839400675</c:v>
                </c:pt>
                <c:pt idx="367">
                  <c:v>32.142433741079998</c:v>
                </c:pt>
                <c:pt idx="368">
                  <c:v>32.258529710136379</c:v>
                </c:pt>
                <c:pt idx="369">
                  <c:v>32.374611748266176</c:v>
                </c:pt>
                <c:pt idx="370">
                  <c:v>32.490679857165006</c:v>
                </c:pt>
                <c:pt idx="371">
                  <c:v>32.606734038527762</c:v>
                </c:pt>
                <c:pt idx="372">
                  <c:v>32.722774294048619</c:v>
                </c:pt>
                <c:pt idx="373">
                  <c:v>32.838800625421058</c:v>
                </c:pt>
                <c:pt idx="374">
                  <c:v>32.954813034337867</c:v>
                </c:pt>
                <c:pt idx="375">
                  <c:v>33.070811522491169</c:v>
                </c:pt>
                <c:pt idx="376">
                  <c:v>33.186796091572425</c:v>
                </c:pt>
                <c:pt idx="377">
                  <c:v>33.30276674327245</c:v>
                </c:pt>
                <c:pt idx="378">
                  <c:v>33.418723479281411</c:v>
                </c:pt>
                <c:pt idx="379">
                  <c:v>33.534666301288865</c:v>
                </c:pt>
                <c:pt idx="380">
                  <c:v>33.650595210983745</c:v>
                </c:pt>
                <c:pt idx="381">
                  <c:v>33.766510210054385</c:v>
                </c:pt>
                <c:pt idx="382">
                  <c:v>33.882411300188529</c:v>
                </c:pt>
                <c:pt idx="383">
                  <c:v>33.998298483073341</c:v>
                </c:pt>
                <c:pt idx="384">
                  <c:v>34.114171760395408</c:v>
                </c:pt>
                <c:pt idx="385">
                  <c:v>34.230031133840761</c:v>
                </c:pt>
                <c:pt idx="386">
                  <c:v>34.345876605094873</c:v>
                </c:pt>
                <c:pt idx="387">
                  <c:v>34.461708175842674</c:v>
                </c:pt>
                <c:pt idx="388">
                  <c:v>34.577525847768563</c:v>
                </c:pt>
                <c:pt idx="389">
                  <c:v>34.693329622556419</c:v>
                </c:pt>
                <c:pt idx="390">
                  <c:v>34.809119501889597</c:v>
                </c:pt>
                <c:pt idx="391">
                  <c:v>34.924895487450947</c:v>
                </c:pt>
                <c:pt idx="392">
                  <c:v>35.040657580922812</c:v>
                </c:pt>
                <c:pt idx="393">
                  <c:v>35.156405783987054</c:v>
                </c:pt>
                <c:pt idx="394">
                  <c:v>35.272140098325046</c:v>
                </c:pt>
                <c:pt idx="395">
                  <c:v>35.387860525617683</c:v>
                </c:pt>
                <c:pt idx="396">
                  <c:v>35.50356706754539</c:v>
                </c:pt>
                <c:pt idx="397">
                  <c:v>35.619259725788126</c:v>
                </c:pt>
                <c:pt idx="398">
                  <c:v>35.734938502025408</c:v>
                </c:pt>
                <c:pt idx="399">
                  <c:v>35.850603397936283</c:v>
                </c:pt>
                <c:pt idx="400">
                  <c:v>35.966254415199373</c:v>
                </c:pt>
                <c:pt idx="401">
                  <c:v>36.081891555492859</c:v>
                </c:pt>
                <c:pt idx="402">
                  <c:v>36.19751482049449</c:v>
                </c:pt>
                <c:pt idx="403">
                  <c:v>36.313124211881593</c:v>
                </c:pt>
                <c:pt idx="404">
                  <c:v>36.428719731331078</c:v>
                </c:pt>
                <c:pt idx="405">
                  <c:v>36.544301380519435</c:v>
                </c:pt>
                <c:pt idx="406">
                  <c:v>36.659869161122764</c:v>
                </c:pt>
                <c:pt idx="407">
                  <c:v>36.775423074816743</c:v>
                </c:pt>
                <c:pt idx="408">
                  <c:v>36.890963123276663</c:v>
                </c:pt>
                <c:pt idx="409">
                  <c:v>37.006489308177429</c:v>
                </c:pt>
                <c:pt idx="410">
                  <c:v>37.122001631193555</c:v>
                </c:pt>
                <c:pt idx="411">
                  <c:v>37.237500093999174</c:v>
                </c:pt>
                <c:pt idx="412">
                  <c:v>37.352984698268045</c:v>
                </c:pt>
                <c:pt idx="413">
                  <c:v>37.468455445673555</c:v>
                </c:pt>
                <c:pt idx="414">
                  <c:v>37.583912337888719</c:v>
                </c:pt>
                <c:pt idx="415">
                  <c:v>37.699355376586198</c:v>
                </c:pt>
                <c:pt idx="416">
                  <c:v>37.81478456343828</c:v>
                </c:pt>
                <c:pt idx="417">
                  <c:v>37.939655636355717</c:v>
                </c:pt>
                <c:pt idx="418">
                  <c:v>38.064510499038441</c:v>
                </c:pt>
                <c:pt idx="419">
                  <c:v>38.189349153601235</c:v>
                </c:pt>
                <c:pt idx="420">
                  <c:v>38.314171602158446</c:v>
                </c:pt>
                <c:pt idx="421">
                  <c:v>38.438977846824002</c:v>
                </c:pt>
                <c:pt idx="422">
                  <c:v>38.563767889711414</c:v>
                </c:pt>
                <c:pt idx="423">
                  <c:v>38.688541732933757</c:v>
                </c:pt>
                <c:pt idx="424">
                  <c:v>38.813299378603716</c:v>
                </c:pt>
                <c:pt idx="425">
                  <c:v>38.938040828833543</c:v>
                </c:pt>
                <c:pt idx="426">
                  <c:v>39.062766085735099</c:v>
                </c:pt>
                <c:pt idx="427">
                  <c:v>39.187475151419839</c:v>
                </c:pt>
                <c:pt idx="428">
                  <c:v>39.312168027998815</c:v>
                </c:pt>
                <c:pt idx="429">
                  <c:v>39.436844717582687</c:v>
                </c:pt>
                <c:pt idx="430">
                  <c:v>39.561505222281717</c:v>
                </c:pt>
                <c:pt idx="431">
                  <c:v>39.686149544205776</c:v>
                </c:pt>
                <c:pt idx="432">
                  <c:v>39.810777685464352</c:v>
                </c:pt>
                <c:pt idx="433">
                  <c:v>39.935389648166549</c:v>
                </c:pt>
                <c:pt idx="434">
                  <c:v>40.059985434421087</c:v>
                </c:pt>
                <c:pt idx="435">
                  <c:v>40.184565046336303</c:v>
                </c:pt>
                <c:pt idx="436">
                  <c:v>40.309128486020171</c:v>
                </c:pt>
                <c:pt idx="437">
                  <c:v>40.433675755580282</c:v>
                </c:pt>
                <c:pt idx="438">
                  <c:v>40.558206857123857</c:v>
                </c:pt>
                <c:pt idx="439">
                  <c:v>40.682721792757746</c:v>
                </c:pt>
                <c:pt idx="440">
                  <c:v>40.807220564588441</c:v>
                </c:pt>
                <c:pt idx="441">
                  <c:v>40.931703174722067</c:v>
                </c:pt>
                <c:pt idx="442">
                  <c:v>41.056169625264388</c:v>
                </c:pt>
                <c:pt idx="443">
                  <c:v>41.180619918320808</c:v>
                </c:pt>
                <c:pt idx="444">
                  <c:v>41.305054055996372</c:v>
                </c:pt>
                <c:pt idx="445">
                  <c:v>41.42947204039578</c:v>
                </c:pt>
                <c:pt idx="446">
                  <c:v>41.553873873623367</c:v>
                </c:pt>
                <c:pt idx="447">
                  <c:v>41.678259557783129</c:v>
                </c:pt>
                <c:pt idx="448">
                  <c:v>41.802629094978705</c:v>
                </c:pt>
                <c:pt idx="449">
                  <c:v>41.926982487313389</c:v>
                </c:pt>
                <c:pt idx="450">
                  <c:v>42.051319736890136</c:v>
                </c:pt>
                <c:pt idx="451">
                  <c:v>42.17564084581155</c:v>
                </c:pt>
                <c:pt idx="452">
                  <c:v>42.2999458161799</c:v>
                </c:pt>
                <c:pt idx="453">
                  <c:v>42.424234650097105</c:v>
                </c:pt>
                <c:pt idx="454">
                  <c:v>42.548507349664767</c:v>
                </c:pt>
                <c:pt idx="455">
                  <c:v>42.672763916984131</c:v>
                </c:pt>
                <c:pt idx="456">
                  <c:v>42.797004354156115</c:v>
                </c:pt>
                <c:pt idx="457">
                  <c:v>42.921228663281312</c:v>
                </c:pt>
                <c:pt idx="458">
                  <c:v>43.045436846459971</c:v>
                </c:pt>
                <c:pt idx="459">
                  <c:v>43.169628905792017</c:v>
                </c:pt>
                <c:pt idx="460">
                  <c:v>43.293804843377046</c:v>
                </c:pt>
                <c:pt idx="461">
                  <c:v>43.417964661314322</c:v>
                </c:pt>
                <c:pt idx="462">
                  <c:v>43.542108361702795</c:v>
                </c:pt>
                <c:pt idx="463">
                  <c:v>43.666235946641081</c:v>
                </c:pt>
                <c:pt idx="464">
                  <c:v>43.790347418227469</c:v>
                </c:pt>
                <c:pt idx="465">
                  <c:v>43.914442778559938</c:v>
                </c:pt>
                <c:pt idx="466">
                  <c:v>44.038522029736136</c:v>
                </c:pt>
                <c:pt idx="467">
                  <c:v>44.162585173853401</c:v>
                </c:pt>
                <c:pt idx="468">
                  <c:v>44.286632213008744</c:v>
                </c:pt>
                <c:pt idx="469">
                  <c:v>44.421355797457267</c:v>
                </c:pt>
                <c:pt idx="470">
                  <c:v>44.556060385789962</c:v>
                </c:pt>
                <c:pt idx="471">
                  <c:v>44.690745980691858</c:v>
                </c:pt>
                <c:pt idx="472">
                  <c:v>44.825412584847577</c:v>
                </c:pt>
                <c:pt idx="473">
                  <c:v>44.960060200941307</c:v>
                </c:pt>
                <c:pt idx="474">
                  <c:v>45.094688831656811</c:v>
                </c:pt>
                <c:pt idx="475">
                  <c:v>45.229298479677432</c:v>
                </c:pt>
                <c:pt idx="476">
                  <c:v>45.363889147686102</c:v>
                </c:pt>
                <c:pt idx="477">
                  <c:v>45.498460838365318</c:v>
                </c:pt>
                <c:pt idx="478">
                  <c:v>45.633013554397174</c:v>
                </c:pt>
                <c:pt idx="479">
                  <c:v>45.767547298463327</c:v>
                </c:pt>
                <c:pt idx="480">
                  <c:v>45.902062073245041</c:v>
                </c:pt>
                <c:pt idx="481">
                  <c:v>46.03655788142315</c:v>
                </c:pt>
                <c:pt idx="482">
                  <c:v>46.171034725678069</c:v>
                </c:pt>
                <c:pt idx="483">
                  <c:v>46.305492608689811</c:v>
                </c:pt>
                <c:pt idx="484">
                  <c:v>46.439931533137973</c:v>
                </c:pt>
                <c:pt idx="485">
                  <c:v>46.574351501701734</c:v>
                </c:pt>
                <c:pt idx="486">
                  <c:v>46.708752517059864</c:v>
                </c:pt>
                <c:pt idx="487">
                  <c:v>46.843134581890723</c:v>
                </c:pt>
                <c:pt idx="488">
                  <c:v>46.97749769887227</c:v>
                </c:pt>
                <c:pt idx="489">
                  <c:v>47.111841870682035</c:v>
                </c:pt>
                <c:pt idx="490">
                  <c:v>47.246167099997159</c:v>
                </c:pt>
                <c:pt idx="491">
                  <c:v>47.380473389494369</c:v>
                </c:pt>
                <c:pt idx="492">
                  <c:v>47.514760741849983</c:v>
                </c:pt>
                <c:pt idx="493">
                  <c:v>47.649029159739911</c:v>
                </c:pt>
                <c:pt idx="494">
                  <c:v>47.783278645839658</c:v>
                </c:pt>
                <c:pt idx="495">
                  <c:v>47.917509202824334</c:v>
                </c:pt>
                <c:pt idx="496">
                  <c:v>48.051720833368627</c:v>
                </c:pt>
                <c:pt idx="497">
                  <c:v>48.185913540146842</c:v>
                </c:pt>
                <c:pt idx="498">
                  <c:v>48.320087325832866</c:v>
                </c:pt>
                <c:pt idx="499">
                  <c:v>48.454242193100185</c:v>
                </c:pt>
                <c:pt idx="500">
                  <c:v>48.588378144621892</c:v>
                </c:pt>
                <c:pt idx="501">
                  <c:v>48.72249518307067</c:v>
                </c:pt>
                <c:pt idx="502">
                  <c:v>48.8565933111188</c:v>
                </c:pt>
                <c:pt idx="503">
                  <c:v>48.990672531438172</c:v>
                </c:pt>
                <c:pt idx="504">
                  <c:v>49.124732846700269</c:v>
                </c:pt>
                <c:pt idx="505">
                  <c:v>49.258774259576185</c:v>
                </c:pt>
                <c:pt idx="506">
                  <c:v>49.392796772736602</c:v>
                </c:pt>
                <c:pt idx="507">
                  <c:v>49.526800388851804</c:v>
                </c:pt>
                <c:pt idx="508">
                  <c:v>49.660785110591689</c:v>
                </c:pt>
                <c:pt idx="509">
                  <c:v>49.794750940625754</c:v>
                </c:pt>
                <c:pt idx="510">
                  <c:v>49.928697881623087</c:v>
                </c:pt>
                <c:pt idx="511">
                  <c:v>50.062625936252395</c:v>
                </c:pt>
                <c:pt idx="512">
                  <c:v>50.196535107181987</c:v>
                </c:pt>
                <c:pt idx="513">
                  <c:v>50.330425397079772</c:v>
                </c:pt>
                <c:pt idx="514">
                  <c:v>50.464296808613263</c:v>
                </c:pt>
                <c:pt idx="515">
                  <c:v>50.598149344449581</c:v>
                </c:pt>
                <c:pt idx="516">
                  <c:v>50.731983007255451</c:v>
                </c:pt>
                <c:pt idx="517">
                  <c:v>50.865797799697205</c:v>
                </c:pt>
                <c:pt idx="518">
                  <c:v>50.999593724440778</c:v>
                </c:pt>
                <c:pt idx="519">
                  <c:v>51.133370784151722</c:v>
                </c:pt>
              </c:numCache>
            </c:numRef>
          </c:val>
          <c:smooth val="0"/>
          <c:extLst>
            <c:ext xmlns:c16="http://schemas.microsoft.com/office/drawing/2014/chart" uri="{C3380CC4-5D6E-409C-BE32-E72D297353CC}">
              <c16:uniqueId val="{00000009-050E-4C76-B86D-B3269E11B822}"/>
            </c:ext>
          </c:extLst>
        </c:ser>
        <c:ser>
          <c:idx val="10"/>
          <c:order val="10"/>
          <c:tx>
            <c:strRef>
              <c:f>Ig!$M$534</c:f>
              <c:strCache>
                <c:ptCount val="1"/>
                <c:pt idx="0">
                  <c:v>Disabled</c:v>
                </c:pt>
              </c:strCache>
            </c:strRef>
          </c:tx>
          <c:spPr>
            <a:ln w="28575" cap="rnd">
              <a:solidFill>
                <a:schemeClr val="accent5">
                  <a:lumMod val="60000"/>
                </a:schemeClr>
              </a:solidFill>
              <a:round/>
            </a:ln>
            <a:effectLst/>
          </c:spPr>
          <c:marker>
            <c:symbol val="none"/>
          </c:marker>
          <c:cat>
            <c:numRef>
              <c:f>Ig!$B$535:$B$1054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Ig!$M$535:$M$1054</c:f>
              <c:numCache>
                <c:formatCode>0</c:formatCode>
                <c:ptCount val="5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5.5829328073063221E-3</c:v>
                </c:pt>
                <c:pt idx="24">
                  <c:v>1.8659337901003891E-2</c:v>
                </c:pt>
                <c:pt idx="25">
                  <c:v>3.9904832116355218E-2</c:v>
                </c:pt>
                <c:pt idx="26">
                  <c:v>6.9578548609674745E-2</c:v>
                </c:pt>
                <c:pt idx="27">
                  <c:v>0.10779797797159024</c:v>
                </c:pt>
                <c:pt idx="28">
                  <c:v>0.15463129294427042</c:v>
                </c:pt>
                <c:pt idx="29">
                  <c:v>0.21012839138274397</c:v>
                </c:pt>
                <c:pt idx="30">
                  <c:v>0.27433136252673407</c:v>
                </c:pt>
                <c:pt idx="31">
                  <c:v>0.34727804350700853</c:v>
                </c:pt>
                <c:pt idx="32">
                  <c:v>0.42900325483995483</c:v>
                </c:pt>
                <c:pt idx="33">
                  <c:v>0.51953925562968883</c:v>
                </c:pt>
                <c:pt idx="34">
                  <c:v>0.6189159358060109</c:v>
                </c:pt>
                <c:pt idx="35">
                  <c:v>0.72716091911804626</c:v>
                </c:pt>
                <c:pt idx="36">
                  <c:v>0.84429963523478091</c:v>
                </c:pt>
                <c:pt idx="37">
                  <c:v>0.97035538056757165</c:v>
                </c:pt>
                <c:pt idx="38">
                  <c:v>1.1053493744232885</c:v>
                </c:pt>
                <c:pt idx="39">
                  <c:v>1.2493008127291856</c:v>
                </c:pt>
                <c:pt idx="40">
                  <c:v>1.402226920103596</c:v>
                </c:pt>
                <c:pt idx="41">
                  <c:v>1.5641430005534276</c:v>
                </c:pt>
                <c:pt idx="42">
                  <c:v>1.7350624869133284</c:v>
                </c:pt>
                <c:pt idx="43">
                  <c:v>1.9149969890850753</c:v>
                </c:pt>
                <c:pt idx="44">
                  <c:v>2.1039563411163211</c:v>
                </c:pt>
                <c:pt idx="45">
                  <c:v>2.3019486471508053</c:v>
                </c:pt>
                <c:pt idx="46">
                  <c:v>2.5089803262792802</c:v>
                </c:pt>
                <c:pt idx="47">
                  <c:v>2.7250561563189706</c:v>
                </c:pt>
                <c:pt idx="48">
                  <c:v>2.95017931654843</c:v>
                </c:pt>
                <c:pt idx="49">
                  <c:v>3.1843514294238942</c:v>
                </c:pt>
                <c:pt idx="50">
                  <c:v>3.4275726013025132</c:v>
                </c:pt>
                <c:pt idx="51">
                  <c:v>3.6798414621971975</c:v>
                </c:pt>
                <c:pt idx="52">
                  <c:v>3.9411552045871536</c:v>
                </c:pt>
                <c:pt idx="53">
                  <c:v>4.2114861632303979</c:v>
                </c:pt>
                <c:pt idx="54">
                  <c:v>4.4908491140727111</c:v>
                </c:pt>
                <c:pt idx="55">
                  <c:v>4.7792370098685808</c:v>
                </c:pt>
                <c:pt idx="56">
                  <c:v>5.0766009229178293</c:v>
                </c:pt>
                <c:pt idx="57">
                  <c:v>5.3828773623086663</c:v>
                </c:pt>
                <c:pt idx="58">
                  <c:v>5.6979974770380055</c:v>
                </c:pt>
                <c:pt idx="59">
                  <c:v>6.0218901762713708</c:v>
                </c:pt>
                <c:pt idx="60">
                  <c:v>6.3544832062948506</c:v>
                </c:pt>
                <c:pt idx="61">
                  <c:v>6.6957035404757059</c:v>
                </c:pt>
                <c:pt idx="62">
                  <c:v>7.0454775376447882</c:v>
                </c:pt>
                <c:pt idx="63">
                  <c:v>7.4037310218328169</c:v>
                </c:pt>
                <c:pt idx="64">
                  <c:v>7.7703893347330988</c:v>
                </c:pt>
                <c:pt idx="65">
                  <c:v>8.1453773781637633</c:v>
                </c:pt>
                <c:pt idx="66">
                  <c:v>8.5286196523529298</c:v>
                </c:pt>
                <c:pt idx="67">
                  <c:v>8.9200402920253268</c:v>
                </c:pt>
                <c:pt idx="68">
                  <c:v>9.3195631009772999</c:v>
                </c:pt>
                <c:pt idx="69">
                  <c:v>9.7271115853928869</c:v>
                </c:pt>
                <c:pt idx="70">
                  <c:v>10.142608986007238</c:v>
                </c:pt>
                <c:pt idx="71">
                  <c:v>10.56597830917392</c:v>
                </c:pt>
                <c:pt idx="72">
                  <c:v>10.997142356875337</c:v>
                </c:pt>
                <c:pt idx="73">
                  <c:v>11.436023755709211</c:v>
                </c:pt>
                <c:pt idx="74">
                  <c:v>11.882544984881344</c:v>
                </c:pt>
                <c:pt idx="75">
                  <c:v>12.336628403233467</c:v>
                </c:pt>
                <c:pt idx="76">
                  <c:v>12.798196275334037</c:v>
                </c:pt>
                <c:pt idx="77">
                  <c:v>13.26717079665894</c:v>
                </c:pt>
                <c:pt idx="78">
                  <c:v>13.743474117888374</c:v>
                </c:pt>
                <c:pt idx="79">
                  <c:v>14.227028368345415</c:v>
                </c:pt>
                <c:pt idx="80">
                  <c:v>14.717755678601069</c:v>
                </c:pt>
                <c:pt idx="81">
                  <c:v>15.215578202269944</c:v>
                </c:pt>
                <c:pt idx="82">
                  <c:v>15.720418137020033</c:v>
                </c:pt>
                <c:pt idx="83">
                  <c:v>16.232197744819409</c:v>
                </c:pt>
                <c:pt idx="84">
                  <c:v>16.750839371442044</c:v>
                </c:pt>
                <c:pt idx="85">
                  <c:v>17.276265465254337</c:v>
                </c:pt>
                <c:pt idx="86">
                  <c:v>17.808398595303355</c:v>
                </c:pt>
                <c:pt idx="87">
                  <c:v>18.347161468727222</c:v>
                </c:pt>
                <c:pt idx="88">
                  <c:v>18.892476947507461</c:v>
                </c:pt>
                <c:pt idx="89">
                  <c:v>19.44426806458268</c:v>
                </c:pt>
                <c:pt idx="90">
                  <c:v>20.002458039342333</c:v>
                </c:pt>
                <c:pt idx="91">
                  <c:v>20.566970292518828</c:v>
                </c:pt>
                <c:pt idx="92">
                  <c:v>21.137728460495751</c:v>
                </c:pt>
                <c:pt idx="93">
                  <c:v>21.714656409049471</c:v>
                </c:pt>
                <c:pt idx="94">
                  <c:v>22.297678246540951</c:v>
                </c:pt>
                <c:pt idx="95">
                  <c:v>22.886718336574031</c:v>
                </c:pt>
                <c:pt idx="96">
                  <c:v>23.481701310136163</c:v>
                </c:pt>
                <c:pt idx="97">
                  <c:v>24.082552077236919</c:v>
                </c:pt>
                <c:pt idx="98">
                  <c:v>24.689195838059405</c:v>
                </c:pt>
                <c:pt idx="99">
                  <c:v>25.301558093639102</c:v>
                </c:pt>
                <c:pt idx="100">
                  <c:v>25.919564656084361</c:v>
                </c:pt>
                <c:pt idx="101">
                  <c:v>26.543141658352361</c:v>
                </c:pt>
                <c:pt idx="102">
                  <c:v>27.17221556359392</c:v>
                </c:pt>
                <c:pt idx="103">
                  <c:v>27.80671317408023</c:v>
                </c:pt>
                <c:pt idx="104">
                  <c:v>28.446561639724212</c:v>
                </c:pt>
                <c:pt idx="105">
                  <c:v>29.091509524789462</c:v>
                </c:pt>
                <c:pt idx="106">
                  <c:v>29.741655640597944</c:v>
                </c:pt>
                <c:pt idx="107">
                  <c:v>30.396928132481865</c:v>
                </c:pt>
                <c:pt idx="108">
                  <c:v>31.057255525448795</c:v>
                </c:pt>
                <c:pt idx="109">
                  <c:v>31.722566730842388</c:v>
                </c:pt>
                <c:pt idx="110">
                  <c:v>32.392791052666475</c:v>
                </c:pt>
                <c:pt idx="111">
                  <c:v>33.067858193583035</c:v>
                </c:pt>
                <c:pt idx="112">
                  <c:v>33.747698260594106</c:v>
                </c:pt>
                <c:pt idx="113">
                  <c:v>34.432241770417498</c:v>
                </c:pt>
                <c:pt idx="114">
                  <c:v>35.121419654565933</c:v>
                </c:pt>
                <c:pt idx="115">
                  <c:v>35.815163264138874</c:v>
                </c:pt>
                <c:pt idx="116">
                  <c:v>36.513404374336048</c:v>
                </c:pt>
                <c:pt idx="117">
                  <c:v>37.216075188701552</c:v>
                </c:pt>
                <c:pt idx="118">
                  <c:v>37.923108343107025</c:v>
                </c:pt>
                <c:pt idx="119">
                  <c:v>38.634436909482162</c:v>
                </c:pt>
                <c:pt idx="120">
                  <c:v>39.349994399300712</c:v>
                </c:pt>
                <c:pt idx="121">
                  <c:v>40.069714766829762</c:v>
                </c:pt>
                <c:pt idx="122">
                  <c:v>40.793532412149894</c:v>
                </c:pt>
                <c:pt idx="123">
                  <c:v>41.521382183953719</c:v>
                </c:pt>
                <c:pt idx="124">
                  <c:v>42.253199382129878</c:v>
                </c:pt>
                <c:pt idx="125">
                  <c:v>42.988919760139559</c:v>
                </c:pt>
                <c:pt idx="126">
                  <c:v>43.728479527192313</c:v>
                </c:pt>
                <c:pt idx="127">
                  <c:v>44.471815350227779</c:v>
                </c:pt>
                <c:pt idx="128">
                  <c:v>45.218864355709748</c:v>
                </c:pt>
                <c:pt idx="129">
                  <c:v>45.96956413123872</c:v>
                </c:pt>
                <c:pt idx="130">
                  <c:v>46.723852726989129</c:v>
                </c:pt>
                <c:pt idx="131">
                  <c:v>47.481668656977007</c:v>
                </c:pt>
                <c:pt idx="132">
                  <c:v>48.242950900163876</c:v>
                </c:pt>
                <c:pt idx="133">
                  <c:v>49.00763890140238</c:v>
                </c:pt>
                <c:pt idx="134">
                  <c:v>49.775672572229091</c:v>
                </c:pt>
                <c:pt idx="135">
                  <c:v>50.546992291509639</c:v>
                </c:pt>
                <c:pt idx="136">
                  <c:v>51.321538905941395</c:v>
                </c:pt>
                <c:pt idx="137">
                  <c:v>52.099253730418496</c:v>
                </c:pt>
                <c:pt idx="138">
                  <c:v>52.880078548264116</c:v>
                </c:pt>
                <c:pt idx="139">
                  <c:v>53.663955611334615</c:v>
                </c:pt>
                <c:pt idx="140">
                  <c:v>54.450827640000071</c:v>
                </c:pt>
                <c:pt idx="141">
                  <c:v>55.240637823005642</c:v>
                </c:pt>
                <c:pt idx="142">
                  <c:v>56.033329817217947</c:v>
                </c:pt>
                <c:pt idx="143">
                  <c:v>56.828847747260703</c:v>
                </c:pt>
                <c:pt idx="144">
                  <c:v>57.627136205043584</c:v>
                </c:pt>
                <c:pt idx="145">
                  <c:v>58.428140249188196</c:v>
                </c:pt>
                <c:pt idx="146">
                  <c:v>59.231805404355057</c:v>
                </c:pt>
                <c:pt idx="147">
                  <c:v>60.038077660475125</c:v>
                </c:pt>
                <c:pt idx="148">
                  <c:v>60.846903471889568</c:v>
                </c:pt>
                <c:pt idx="149">
                  <c:v>61.658229756401205</c:v>
                </c:pt>
                <c:pt idx="150">
                  <c:v>62.472003894240949</c:v>
                </c:pt>
                <c:pt idx="151">
                  <c:v>63.288173726952607</c:v>
                </c:pt>
                <c:pt idx="152">
                  <c:v>64.10668755619912</c:v>
                </c:pt>
                <c:pt idx="153">
                  <c:v>64.927494142493401</c:v>
                </c:pt>
                <c:pt idx="154">
                  <c:v>65.750542703856709</c:v>
                </c:pt>
                <c:pt idx="155">
                  <c:v>66.575782914407441</c:v>
                </c:pt>
                <c:pt idx="156">
                  <c:v>67.403164902883276</c:v>
                </c:pt>
                <c:pt idx="157">
                  <c:v>68.232166907176563</c:v>
                </c:pt>
                <c:pt idx="158">
                  <c:v>69.063200795260357</c:v>
                </c:pt>
                <c:pt idx="159">
                  <c:v>69.896218008830076</c:v>
                </c:pt>
                <c:pt idx="160">
                  <c:v>70.731170439010143</c:v>
                </c:pt>
                <c:pt idx="161">
                  <c:v>71.568010424566211</c:v>
                </c:pt>
                <c:pt idx="162">
                  <c:v>72.406690750065977</c:v>
                </c:pt>
                <c:pt idx="163">
                  <c:v>73.2471646439908</c:v>
                </c:pt>
                <c:pt idx="164">
                  <c:v>74.089385776800313</c:v>
                </c:pt>
                <c:pt idx="165">
                  <c:v>74.93330825895228</c:v>
                </c:pt>
                <c:pt idx="166">
                  <c:v>75.778886638879683</c:v>
                </c:pt>
                <c:pt idx="167">
                  <c:v>76.626075900927134</c:v>
                </c:pt>
                <c:pt idx="168">
                  <c:v>77.474831463248407</c:v>
                </c:pt>
                <c:pt idx="169">
                  <c:v>78.32510917566718</c:v>
                </c:pt>
                <c:pt idx="170">
                  <c:v>79.176865317502688</c:v>
                </c:pt>
                <c:pt idx="171">
                  <c:v>80.030056595362097</c:v>
                </c:pt>
                <c:pt idx="172">
                  <c:v>80.88464014090134</c:v>
                </c:pt>
                <c:pt idx="173">
                  <c:v>81.740573508556068</c:v>
                </c:pt>
                <c:pt idx="174">
                  <c:v>82.597814673244315</c:v>
                </c:pt>
                <c:pt idx="175">
                  <c:v>83.456322028042493</c:v>
                </c:pt>
                <c:pt idx="176">
                  <c:v>84.316054381836196</c:v>
                </c:pt>
                <c:pt idx="177">
                  <c:v>85.176970956947244</c:v>
                </c:pt>
                <c:pt idx="178">
                  <c:v>86.039031386738515</c:v>
                </c:pt>
                <c:pt idx="179">
                  <c:v>86.902195713197784</c:v>
                </c:pt>
                <c:pt idx="180">
                  <c:v>87.766424384502045</c:v>
                </c:pt>
                <c:pt idx="181">
                  <c:v>88.631678252563532</c:v>
                </c:pt>
                <c:pt idx="182">
                  <c:v>89.497918570558653</c:v>
                </c:pt>
                <c:pt idx="183">
                  <c:v>90.365106990441149</c:v>
                </c:pt>
                <c:pt idx="184">
                  <c:v>91.233205560440581</c:v>
                </c:pt>
                <c:pt idx="185">
                  <c:v>92.102176722547313</c:v>
                </c:pt>
                <c:pt idx="186">
                  <c:v>92.971983309984992</c:v>
                </c:pt>
                <c:pt idx="187">
                  <c:v>93.842588544671784</c:v>
                </c:pt>
                <c:pt idx="188">
                  <c:v>94.713956034671142</c:v>
                </c:pt>
                <c:pt idx="189">
                  <c:v>95.586049771633327</c:v>
                </c:pt>
                <c:pt idx="190">
                  <c:v>96.45883412822846</c:v>
                </c:pt>
                <c:pt idx="191">
                  <c:v>97.332273855572126</c:v>
                </c:pt>
                <c:pt idx="192">
                  <c:v>98.206334080644467</c:v>
                </c:pt>
                <c:pt idx="193">
                  <c:v>99.080980303703498</c:v>
                </c:pt>
                <c:pt idx="194">
                  <c:v>99.95617839569357</c:v>
                </c:pt>
                <c:pt idx="195">
                  <c:v>100.83189459564983</c:v>
                </c:pt>
                <c:pt idx="196">
                  <c:v>101.70809550809936</c:v>
                </c:pt>
                <c:pt idx="197">
                  <c:v>102.58474810045972</c:v>
                </c:pt>
                <c:pt idx="198">
                  <c:v>103.46181970043584</c:v>
                </c:pt>
                <c:pt idx="199">
                  <c:v>104.33927799341571</c:v>
                </c:pt>
                <c:pt idx="200">
                  <c:v>105.21709101986563</c:v>
                </c:pt>
                <c:pt idx="201">
                  <c:v>106.09522717272587</c:v>
                </c:pt>
                <c:pt idx="202">
                  <c:v>106.97365519480691</c:v>
                </c:pt>
                <c:pt idx="203">
                  <c:v>107.85234417618743</c:v>
                </c:pt>
                <c:pt idx="204">
                  <c:v>108.73126355161418</c:v>
                </c:pt>
                <c:pt idx="205">
                  <c:v>109.61038309790457</c:v>
                </c:pt>
                <c:pt idx="206">
                  <c:v>110.48967293135236</c:v>
                </c:pt>
                <c:pt idx="207">
                  <c:v>111.36910350513705</c:v>
                </c:pt>
                <c:pt idx="208">
                  <c:v>112.24864560673754</c:v>
                </c:pt>
                <c:pt idx="209">
                  <c:v>113.12744356124621</c:v>
                </c:pt>
                <c:pt idx="210">
                  <c:v>114.0062827588976</c:v>
                </c:pt>
                <c:pt idx="211">
                  <c:v>114.88513497408546</c:v>
                </c:pt>
                <c:pt idx="212">
                  <c:v>115.7639723060279</c:v>
                </c:pt>
                <c:pt idx="213">
                  <c:v>116.64276717619693</c:v>
                </c:pt>
                <c:pt idx="214">
                  <c:v>117.52149232575512</c:v>
                </c:pt>
                <c:pt idx="215">
                  <c:v>118.40012081299959</c:v>
                </c:pt>
                <c:pt idx="216">
                  <c:v>119.27862601081362</c:v>
                </c:pt>
                <c:pt idx="217">
                  <c:v>120.15698160412643</c:v>
                </c:pt>
                <c:pt idx="218">
                  <c:v>121.03516158738127</c:v>
                </c:pt>
                <c:pt idx="219">
                  <c:v>121.91314026201235</c:v>
                </c:pt>
                <c:pt idx="220">
                  <c:v>122.79089223393068</c:v>
                </c:pt>
                <c:pt idx="221">
                  <c:v>123.66839241101937</c:v>
                </c:pt>
                <c:pt idx="222">
                  <c:v>124.54561600063846</c:v>
                </c:pt>
                <c:pt idx="223">
                  <c:v>125.42253850713969</c:v>
                </c:pt>
                <c:pt idx="224">
                  <c:v>126.29913572939139</c:v>
                </c:pt>
                <c:pt idx="225">
                  <c:v>127.17538375831384</c:v>
                </c:pt>
                <c:pt idx="226">
                  <c:v>128.05125897442522</c:v>
                </c:pt>
                <c:pt idx="227">
                  <c:v>128.92673804539842</c:v>
                </c:pt>
                <c:pt idx="228">
                  <c:v>129.80179792362895</c:v>
                </c:pt>
                <c:pt idx="229">
                  <c:v>130.67641584381414</c:v>
                </c:pt>
                <c:pt idx="230">
                  <c:v>131.55056932054387</c:v>
                </c:pt>
                <c:pt idx="231">
                  <c:v>132.42423614590291</c:v>
                </c:pt>
                <c:pt idx="232">
                  <c:v>133.29739438708509</c:v>
                </c:pt>
                <c:pt idx="233">
                  <c:v>134.17002238401955</c:v>
                </c:pt>
                <c:pt idx="234">
                  <c:v>135.04209874700913</c:v>
                </c:pt>
                <c:pt idx="235">
                  <c:v>135.91360235438117</c:v>
                </c:pt>
                <c:pt idx="236">
                  <c:v>136.78451235015058</c:v>
                </c:pt>
                <c:pt idx="237">
                  <c:v>137.65480814169567</c:v>
                </c:pt>
                <c:pt idx="238">
                  <c:v>138.52446939744672</c:v>
                </c:pt>
                <c:pt idx="239">
                  <c:v>139.39347604458729</c:v>
                </c:pt>
                <c:pt idx="240">
                  <c:v>140.26180826676855</c:v>
                </c:pt>
                <c:pt idx="241">
                  <c:v>141.1294465018367</c:v>
                </c:pt>
                <c:pt idx="242">
                  <c:v>141.99637143957341</c:v>
                </c:pt>
                <c:pt idx="243">
                  <c:v>142.86256401944974</c:v>
                </c:pt>
                <c:pt idx="244">
                  <c:v>143.72800542839315</c:v>
                </c:pt>
                <c:pt idx="245">
                  <c:v>144.59267709856812</c:v>
                </c:pt>
                <c:pt idx="246">
                  <c:v>145.45656070517009</c:v>
                </c:pt>
                <c:pt idx="247">
                  <c:v>146.31963816423306</c:v>
                </c:pt>
                <c:pt idx="248">
                  <c:v>147.18189163045082</c:v>
                </c:pt>
                <c:pt idx="249">
                  <c:v>148.04330349501177</c:v>
                </c:pt>
                <c:pt idx="250">
                  <c:v>148.90385638344742</c:v>
                </c:pt>
                <c:pt idx="251">
                  <c:v>149.76353315349485</c:v>
                </c:pt>
                <c:pt idx="252">
                  <c:v>150.62231689297269</c:v>
                </c:pt>
                <c:pt idx="253">
                  <c:v>151.48019091767119</c:v>
                </c:pt>
                <c:pt idx="254">
                  <c:v>152.33713876925611</c:v>
                </c:pt>
                <c:pt idx="255">
                  <c:v>153.19314421318629</c:v>
                </c:pt>
                <c:pt idx="256">
                  <c:v>154.04819123664547</c:v>
                </c:pt>
                <c:pt idx="257">
                  <c:v>154.90226404648774</c:v>
                </c:pt>
                <c:pt idx="258">
                  <c:v>155.75534706719725</c:v>
                </c:pt>
                <c:pt idx="259">
                  <c:v>156.6074249388615</c:v>
                </c:pt>
                <c:pt idx="260">
                  <c:v>157.45848251515903</c:v>
                </c:pt>
                <c:pt idx="261">
                  <c:v>158.3072565887243</c:v>
                </c:pt>
                <c:pt idx="262">
                  <c:v>159.15196112647848</c:v>
                </c:pt>
                <c:pt idx="263">
                  <c:v>159.99160968295593</c:v>
                </c:pt>
                <c:pt idx="264">
                  <c:v>160.8258987125231</c:v>
                </c:pt>
                <c:pt idx="265">
                  <c:v>161.65475379281864</c:v>
                </c:pt>
                <c:pt idx="266">
                  <c:v>162.47817727161868</c:v>
                </c:pt>
                <c:pt idx="267">
                  <c:v>163.29619711452386</c:v>
                </c:pt>
                <c:pt idx="268">
                  <c:v>164.10884973016303</c:v>
                </c:pt>
                <c:pt idx="269">
                  <c:v>164.91617420316848</c:v>
                </c:pt>
                <c:pt idx="270">
                  <c:v>165.71821035729104</c:v>
                </c:pt>
                <c:pt idx="271">
                  <c:v>166.51499810451685</c:v>
                </c:pt>
                <c:pt idx="272">
                  <c:v>167.30657722600864</c:v>
                </c:pt>
                <c:pt idx="273">
                  <c:v>168.09298729808458</c:v>
                </c:pt>
                <c:pt idx="274">
                  <c:v>168.8742676669473</c:v>
                </c:pt>
                <c:pt idx="275">
                  <c:v>169.65045743983254</c:v>
                </c:pt>
                <c:pt idx="276">
                  <c:v>170.42159548172145</c:v>
                </c:pt>
                <c:pt idx="277">
                  <c:v>171.18772041396991</c:v>
                </c:pt>
                <c:pt idx="278">
                  <c:v>171.94887061362866</c:v>
                </c:pt>
                <c:pt idx="279">
                  <c:v>172.7050842130414</c:v>
                </c:pt>
                <c:pt idx="280">
                  <c:v>173.4563990995799</c:v>
                </c:pt>
                <c:pt idx="281">
                  <c:v>174.20285291546821</c:v>
                </c:pt>
                <c:pt idx="282">
                  <c:v>174.94448305767776</c:v>
                </c:pt>
                <c:pt idx="283">
                  <c:v>175.68132667788575</c:v>
                </c:pt>
                <c:pt idx="284">
                  <c:v>176.41342068249338</c:v>
                </c:pt>
                <c:pt idx="285">
                  <c:v>177.14080173270116</c:v>
                </c:pt>
                <c:pt idx="286">
                  <c:v>177.86350624463867</c:v>
                </c:pt>
                <c:pt idx="287">
                  <c:v>178.58157038954727</c:v>
                </c:pt>
                <c:pt idx="288">
                  <c:v>179.29503009401355</c:v>
                </c:pt>
                <c:pt idx="289">
                  <c:v>180.00392104025181</c:v>
                </c:pt>
                <c:pt idx="290">
                  <c:v>180.70827866643353</c:v>
                </c:pt>
                <c:pt idx="291">
                  <c:v>181.40813816706242</c:v>
                </c:pt>
                <c:pt idx="292">
                  <c:v>182.1035344933932</c:v>
                </c:pt>
                <c:pt idx="293">
                  <c:v>182.79450235389231</c:v>
                </c:pt>
                <c:pt idx="294">
                  <c:v>183.48107621473929</c:v>
                </c:pt>
                <c:pt idx="295">
                  <c:v>184.16329030036698</c:v>
                </c:pt>
                <c:pt idx="296">
                  <c:v>184.84117859403932</c:v>
                </c:pt>
                <c:pt idx="297">
                  <c:v>185.51477483846497</c:v>
                </c:pt>
                <c:pt idx="298">
                  <c:v>186.18411253644567</c:v>
                </c:pt>
                <c:pt idx="299">
                  <c:v>186.84922495155763</c:v>
                </c:pt>
                <c:pt idx="300">
                  <c:v>187.510145108865</c:v>
                </c:pt>
                <c:pt idx="301">
                  <c:v>188.16690579566384</c:v>
                </c:pt>
                <c:pt idx="302">
                  <c:v>188.8195395622553</c:v>
                </c:pt>
                <c:pt idx="303">
                  <c:v>189.46807872274718</c:v>
                </c:pt>
                <c:pt idx="304">
                  <c:v>190.11255535588219</c:v>
                </c:pt>
                <c:pt idx="305">
                  <c:v>190.75300130589216</c:v>
                </c:pt>
                <c:pt idx="306">
                  <c:v>191.38944818337683</c:v>
                </c:pt>
                <c:pt idx="307">
                  <c:v>192.0219273662064</c:v>
                </c:pt>
                <c:pt idx="308">
                  <c:v>192.65047000044638</c:v>
                </c:pt>
                <c:pt idx="309">
                  <c:v>193.27510700130432</c:v>
                </c:pt>
                <c:pt idx="310">
                  <c:v>193.89586905409689</c:v>
                </c:pt>
                <c:pt idx="311">
                  <c:v>194.51278661523665</c:v>
                </c:pt>
                <c:pt idx="312">
                  <c:v>195.12588991323744</c:v>
                </c:pt>
                <c:pt idx="313">
                  <c:v>195.73360844661744</c:v>
                </c:pt>
                <c:pt idx="314">
                  <c:v>196.33756260409609</c:v>
                </c:pt>
                <c:pt idx="315">
                  <c:v>196.93778202812061</c:v>
                </c:pt>
                <c:pt idx="316">
                  <c:v>197.53429613647285</c:v>
                </c:pt>
                <c:pt idx="317">
                  <c:v>198.12713412336458</c:v>
                </c:pt>
                <c:pt idx="318">
                  <c:v>198.71632496054613</c:v>
                </c:pt>
                <c:pt idx="319">
                  <c:v>199.30189739842814</c:v>
                </c:pt>
                <c:pt idx="320">
                  <c:v>199.88387996721553</c:v>
                </c:pt>
                <c:pt idx="321">
                  <c:v>200.46230097805284</c:v>
                </c:pt>
                <c:pt idx="322">
                  <c:v>201.03718852418058</c:v>
                </c:pt>
                <c:pt idx="323">
                  <c:v>201.60857048210173</c:v>
                </c:pt>
                <c:pt idx="324">
                  <c:v>202.17647451275764</c:v>
                </c:pt>
                <c:pt idx="325">
                  <c:v>202.74092806271318</c:v>
                </c:pt>
                <c:pt idx="326">
                  <c:v>203.3019583653498</c:v>
                </c:pt>
                <c:pt idx="327">
                  <c:v>203.85959244206688</c:v>
                </c:pt>
                <c:pt idx="328">
                  <c:v>204.41385710348987</c:v>
                </c:pt>
                <c:pt idx="329">
                  <c:v>204.96477895068531</c:v>
                </c:pt>
                <c:pt idx="330">
                  <c:v>205.51238437638204</c:v>
                </c:pt>
                <c:pt idx="331">
                  <c:v>206.05669956619798</c:v>
                </c:pt>
                <c:pt idx="332">
                  <c:v>206.59775049987203</c:v>
                </c:pt>
                <c:pt idx="333">
                  <c:v>207.13556295250092</c:v>
                </c:pt>
                <c:pt idx="334">
                  <c:v>207.67016249577995</c:v>
                </c:pt>
                <c:pt idx="335">
                  <c:v>208.20157449924784</c:v>
                </c:pt>
                <c:pt idx="336">
                  <c:v>208.72982413153477</c:v>
                </c:pt>
                <c:pt idx="337">
                  <c:v>209.25493636161349</c:v>
                </c:pt>
                <c:pt idx="338">
                  <c:v>209.77693596005292</c:v>
                </c:pt>
                <c:pt idx="339">
                  <c:v>210.29584750027405</c:v>
                </c:pt>
                <c:pt idx="340">
                  <c:v>210.81169535980752</c:v>
                </c:pt>
                <c:pt idx="341">
                  <c:v>211.32450372155267</c:v>
                </c:pt>
                <c:pt idx="342">
                  <c:v>211.83429657503788</c:v>
                </c:pt>
                <c:pt idx="343">
                  <c:v>212.34109771768138</c:v>
                </c:pt>
                <c:pt idx="344">
                  <c:v>212.84493075605278</c:v>
                </c:pt>
                <c:pt idx="345">
                  <c:v>213.34581910713464</c:v>
                </c:pt>
                <c:pt idx="346">
                  <c:v>213.84378599958387</c:v>
                </c:pt>
                <c:pt idx="347">
                  <c:v>214.33885447499259</c:v>
                </c:pt>
                <c:pt idx="348">
                  <c:v>214.83104738914844</c:v>
                </c:pt>
                <c:pt idx="349">
                  <c:v>215.32038741329387</c:v>
                </c:pt>
                <c:pt idx="350">
                  <c:v>215.80689703538397</c:v>
                </c:pt>
                <c:pt idx="351">
                  <c:v>216.29059856134302</c:v>
                </c:pt>
                <c:pt idx="352">
                  <c:v>216.77151411631917</c:v>
                </c:pt>
                <c:pt idx="353">
                  <c:v>217.24966564593714</c:v>
                </c:pt>
                <c:pt idx="354">
                  <c:v>217.72507491754882</c:v>
                </c:pt>
                <c:pt idx="355">
                  <c:v>218.19776352148128</c:v>
                </c:pt>
                <c:pt idx="356">
                  <c:v>218.66775287228228</c:v>
                </c:pt>
                <c:pt idx="357">
                  <c:v>219.13506420996291</c:v>
                </c:pt>
                <c:pt idx="358">
                  <c:v>219.59971860123727</c:v>
                </c:pt>
                <c:pt idx="359">
                  <c:v>220.06173694075881</c:v>
                </c:pt>
                <c:pt idx="360">
                  <c:v>220.52113995235337</c:v>
                </c:pt>
                <c:pt idx="361">
                  <c:v>220.97794819024881</c:v>
                </c:pt>
                <c:pt idx="362">
                  <c:v>221.43218204030063</c:v>
                </c:pt>
                <c:pt idx="363">
                  <c:v>221.88386172121398</c:v>
                </c:pt>
                <c:pt idx="364">
                  <c:v>222.33300728576151</c:v>
                </c:pt>
                <c:pt idx="365">
                  <c:v>222.77766566769631</c:v>
                </c:pt>
                <c:pt idx="366">
                  <c:v>223.21982169667274</c:v>
                </c:pt>
                <c:pt idx="367">
                  <c:v>223.65949500071656</c:v>
                </c:pt>
                <c:pt idx="368">
                  <c:v>224.09670504606399</c:v>
                </c:pt>
                <c:pt idx="369">
                  <c:v>224.53147113836459</c:v>
                </c:pt>
                <c:pt idx="370">
                  <c:v>224.96381242387909</c:v>
                </c:pt>
                <c:pt idx="371">
                  <c:v>225.3937478906725</c:v>
                </c:pt>
                <c:pt idx="372">
                  <c:v>225.8212963698019</c:v>
                </c:pt>
                <c:pt idx="373">
                  <c:v>226.24647653649927</c:v>
                </c:pt>
                <c:pt idx="374">
                  <c:v>226.66930691134897</c:v>
                </c:pt>
                <c:pt idx="375">
                  <c:v>227.08980586145984</c:v>
                </c:pt>
                <c:pt idx="376">
                  <c:v>227.50799160163194</c:v>
                </c:pt>
                <c:pt idx="377">
                  <c:v>227.92388219551773</c:v>
                </c:pt>
                <c:pt idx="378">
                  <c:v>228.33749555677758</c:v>
                </c:pt>
                <c:pt idx="379">
                  <c:v>228.74884945022978</c:v>
                </c:pt>
                <c:pt idx="380">
                  <c:v>229.15796149299464</c:v>
                </c:pt>
                <c:pt idx="381">
                  <c:v>229.56484915563291</c:v>
                </c:pt>
                <c:pt idx="382">
                  <c:v>229.96952976327822</c:v>
                </c:pt>
                <c:pt idx="383">
                  <c:v>230.37202049676367</c:v>
                </c:pt>
                <c:pt idx="384">
                  <c:v>230.77233839374247</c:v>
                </c:pt>
                <c:pt idx="385">
                  <c:v>231.17050034980247</c:v>
                </c:pt>
                <c:pt idx="386">
                  <c:v>231.56652311957453</c:v>
                </c:pt>
                <c:pt idx="387">
                  <c:v>231.96042331783502</c:v>
                </c:pt>
                <c:pt idx="388">
                  <c:v>232.35221742060202</c:v>
                </c:pt>
                <c:pt idx="389">
                  <c:v>232.74192176622509</c:v>
                </c:pt>
                <c:pt idx="390">
                  <c:v>233.12955255646918</c:v>
                </c:pt>
                <c:pt idx="391">
                  <c:v>233.51512585759204</c:v>
                </c:pt>
                <c:pt idx="392">
                  <c:v>233.89865760141529</c:v>
                </c:pt>
                <c:pt idx="393">
                  <c:v>234.28016358638934</c:v>
                </c:pt>
                <c:pt idx="394">
                  <c:v>234.65965947865169</c:v>
                </c:pt>
                <c:pt idx="395">
                  <c:v>235.03716081307911</c:v>
                </c:pt>
                <c:pt idx="396">
                  <c:v>235.41268299433318</c:v>
                </c:pt>
                <c:pt idx="397">
                  <c:v>235.78624129789961</c:v>
                </c:pt>
                <c:pt idx="398">
                  <c:v>236.15785087112087</c:v>
                </c:pt>
                <c:pt idx="399">
                  <c:v>236.52752673422262</c:v>
                </c:pt>
                <c:pt idx="400">
                  <c:v>236.89528378133349</c:v>
                </c:pt>
                <c:pt idx="401">
                  <c:v>237.26113678149846</c:v>
                </c:pt>
                <c:pt idx="402">
                  <c:v>237.62510037968573</c:v>
                </c:pt>
                <c:pt idx="403">
                  <c:v>237.98718909778702</c:v>
                </c:pt>
                <c:pt idx="404">
                  <c:v>238.34741733561154</c:v>
                </c:pt>
                <c:pt idx="405">
                  <c:v>238.70579937187321</c:v>
                </c:pt>
                <c:pt idx="406">
                  <c:v>239.06234936517166</c:v>
                </c:pt>
                <c:pt idx="407">
                  <c:v>239.41708135496646</c:v>
                </c:pt>
                <c:pt idx="408">
                  <c:v>239.77000926254496</c:v>
                </c:pt>
                <c:pt idx="409">
                  <c:v>240.12114689198367</c:v>
                </c:pt>
                <c:pt idx="410">
                  <c:v>240.47050793110299</c:v>
                </c:pt>
                <c:pt idx="411">
                  <c:v>240.81810595241561</c:v>
                </c:pt>
                <c:pt idx="412">
                  <c:v>241.16395441406831</c:v>
                </c:pt>
                <c:pt idx="413">
                  <c:v>241.50806666077739</c:v>
                </c:pt>
                <c:pt idx="414">
                  <c:v>241.85045592475748</c:v>
                </c:pt>
                <c:pt idx="415">
                  <c:v>242.19113532664394</c:v>
                </c:pt>
                <c:pt idx="416">
                  <c:v>242.53011787640898</c:v>
                </c:pt>
                <c:pt idx="417">
                  <c:v>242.86502953047065</c:v>
                </c:pt>
                <c:pt idx="418">
                  <c:v>243.19826345019823</c:v>
                </c:pt>
                <c:pt idx="419">
                  <c:v>243.52983236792528</c:v>
                </c:pt>
                <c:pt idx="420">
                  <c:v>243.85974890842922</c:v>
                </c:pt>
                <c:pt idx="421">
                  <c:v>244.18802558982054</c:v>
                </c:pt>
                <c:pt idx="422">
                  <c:v>244.51467482442538</c:v>
                </c:pt>
                <c:pt idx="423">
                  <c:v>244.83970891966197</c:v>
                </c:pt>
                <c:pt idx="424">
                  <c:v>245.16314007891043</c:v>
                </c:pt>
                <c:pt idx="425">
                  <c:v>245.48498040237646</c:v>
                </c:pt>
                <c:pt idx="426">
                  <c:v>245.80524188794851</c:v>
                </c:pt>
                <c:pt idx="427">
                  <c:v>246.12393643204882</c:v>
                </c:pt>
                <c:pt idx="428">
                  <c:v>246.44107583047807</c:v>
                </c:pt>
                <c:pt idx="429">
                  <c:v>246.75667177925371</c:v>
                </c:pt>
                <c:pt idx="430">
                  <c:v>247.07073587544232</c:v>
                </c:pt>
                <c:pt idx="431">
                  <c:v>247.38327961798549</c:v>
                </c:pt>
                <c:pt idx="432">
                  <c:v>247.6943144085196</c:v>
                </c:pt>
                <c:pt idx="433">
                  <c:v>248.00385155218947</c:v>
                </c:pt>
                <c:pt idx="434">
                  <c:v>248.31190225845589</c:v>
                </c:pt>
                <c:pt idx="435">
                  <c:v>248.61847764189704</c:v>
                </c:pt>
                <c:pt idx="436">
                  <c:v>248.92358872300375</c:v>
                </c:pt>
                <c:pt idx="437">
                  <c:v>249.22724642896887</c:v>
                </c:pt>
                <c:pt idx="438">
                  <c:v>249.52946159447043</c:v>
                </c:pt>
                <c:pt idx="439">
                  <c:v>249.83024496244906</c:v>
                </c:pt>
                <c:pt idx="440">
                  <c:v>250.12960718487903</c:v>
                </c:pt>
                <c:pt idx="441">
                  <c:v>250.42755882353393</c:v>
                </c:pt>
                <c:pt idx="442">
                  <c:v>250.72411035074592</c:v>
                </c:pt>
                <c:pt idx="443">
                  <c:v>251.01927215015942</c:v>
                </c:pt>
                <c:pt idx="444">
                  <c:v>251.31305451747883</c:v>
                </c:pt>
                <c:pt idx="445">
                  <c:v>251.6054676612105</c:v>
                </c:pt>
                <c:pt idx="446">
                  <c:v>251.8965217033988</c:v>
                </c:pt>
                <c:pt idx="447">
                  <c:v>252.1862266803567</c:v>
                </c:pt>
                <c:pt idx="448">
                  <c:v>252.47459254339029</c:v>
                </c:pt>
                <c:pt idx="449">
                  <c:v>252.76162915951784</c:v>
                </c:pt>
                <c:pt idx="450">
                  <c:v>253.04734631218324</c:v>
                </c:pt>
                <c:pt idx="451">
                  <c:v>253.33175370196361</c:v>
                </c:pt>
                <c:pt idx="452">
                  <c:v>253.61486094727144</c:v>
                </c:pt>
                <c:pt idx="453">
                  <c:v>253.89667758505132</c:v>
                </c:pt>
                <c:pt idx="454">
                  <c:v>254.17721307147085</c:v>
                </c:pt>
                <c:pt idx="455">
                  <c:v>254.45647678260622</c:v>
                </c:pt>
                <c:pt idx="456">
                  <c:v>254.73447801512236</c:v>
                </c:pt>
                <c:pt idx="457">
                  <c:v>255.01122598694764</c:v>
                </c:pt>
                <c:pt idx="458">
                  <c:v>255.28672983794311</c:v>
                </c:pt>
                <c:pt idx="459">
                  <c:v>255.56099863056647</c:v>
                </c:pt>
                <c:pt idx="460">
                  <c:v>255.83404135053064</c:v>
                </c:pt>
                <c:pt idx="461">
                  <c:v>256.10586690745708</c:v>
                </c:pt>
                <c:pt idx="462">
                  <c:v>256.37648413552387</c:v>
                </c:pt>
                <c:pt idx="463">
                  <c:v>256.64590179410845</c:v>
                </c:pt>
                <c:pt idx="464">
                  <c:v>256.91412856842544</c:v>
                </c:pt>
                <c:pt idx="465">
                  <c:v>257.18117307015899</c:v>
                </c:pt>
                <c:pt idx="466">
                  <c:v>257.44704383809005</c:v>
                </c:pt>
                <c:pt idx="467">
                  <c:v>257.7117493387189</c:v>
                </c:pt>
                <c:pt idx="468">
                  <c:v>257.97529796688201</c:v>
                </c:pt>
                <c:pt idx="469">
                  <c:v>258.23480857367753</c:v>
                </c:pt>
                <c:pt idx="470">
                  <c:v>258.4931730708368</c:v>
                </c:pt>
                <c:pt idx="471">
                  <c:v>258.75039967987624</c:v>
                </c:pt>
                <c:pt idx="472">
                  <c:v>259.00649655270655</c:v>
                </c:pt>
                <c:pt idx="473">
                  <c:v>259.2614717722289</c:v>
                </c:pt>
                <c:pt idx="474">
                  <c:v>259.5153333529264</c:v>
                </c:pt>
                <c:pt idx="475">
                  <c:v>259.76808924145035</c:v>
                </c:pt>
                <c:pt idx="476">
                  <c:v>260.01974731720196</c:v>
                </c:pt>
                <c:pt idx="477">
                  <c:v>260.27031539290914</c:v>
                </c:pt>
                <c:pt idx="478">
                  <c:v>260.51980121519853</c:v>
                </c:pt>
                <c:pt idx="479">
                  <c:v>260.76821246516289</c:v>
                </c:pt>
                <c:pt idx="480">
                  <c:v>261.01555675892376</c:v>
                </c:pt>
                <c:pt idx="481">
                  <c:v>261.26184164818943</c:v>
                </c:pt>
                <c:pt idx="482">
                  <c:v>261.50707462080828</c:v>
                </c:pt>
                <c:pt idx="483">
                  <c:v>261.75126310131759</c:v>
                </c:pt>
                <c:pt idx="484">
                  <c:v>261.99441445148784</c:v>
                </c:pt>
                <c:pt idx="485">
                  <c:v>262.23653597086229</c:v>
                </c:pt>
                <c:pt idx="486">
                  <c:v>262.47763489729226</c:v>
                </c:pt>
                <c:pt idx="487">
                  <c:v>262.71771840746777</c:v>
                </c:pt>
                <c:pt idx="488">
                  <c:v>262.95679361744402</c:v>
                </c:pt>
                <c:pt idx="489">
                  <c:v>263.19486758316322</c:v>
                </c:pt>
                <c:pt idx="490">
                  <c:v>263.4319473009723</c:v>
                </c:pt>
                <c:pt idx="491">
                  <c:v>263.66803970813589</c:v>
                </c:pt>
                <c:pt idx="492">
                  <c:v>263.90315168334553</c:v>
                </c:pt>
                <c:pt idx="493">
                  <c:v>264.13729004722421</c:v>
                </c:pt>
                <c:pt idx="494">
                  <c:v>264.37046156282685</c:v>
                </c:pt>
                <c:pt idx="495">
                  <c:v>264.60267293613663</c:v>
                </c:pt>
                <c:pt idx="496">
                  <c:v>264.83393081655692</c:v>
                </c:pt>
                <c:pt idx="497">
                  <c:v>265.06424179739929</c:v>
                </c:pt>
                <c:pt idx="498">
                  <c:v>265.29361241636758</c:v>
                </c:pt>
                <c:pt idx="499">
                  <c:v>265.52204915603727</c:v>
                </c:pt>
                <c:pt idx="500">
                  <c:v>265.74955844433146</c:v>
                </c:pt>
                <c:pt idx="501">
                  <c:v>265.97614665499248</c:v>
                </c:pt>
                <c:pt idx="502">
                  <c:v>266.20182010804979</c:v>
                </c:pt>
                <c:pt idx="503">
                  <c:v>266.42658507028358</c:v>
                </c:pt>
                <c:pt idx="504">
                  <c:v>266.6504477556847</c:v>
                </c:pt>
                <c:pt idx="505">
                  <c:v>266.87341432591069</c:v>
                </c:pt>
                <c:pt idx="506">
                  <c:v>267.09549089073778</c:v>
                </c:pt>
                <c:pt idx="507">
                  <c:v>267.31668350850924</c:v>
                </c:pt>
                <c:pt idx="508">
                  <c:v>267.53699818657998</c:v>
                </c:pt>
                <c:pt idx="509">
                  <c:v>267.75644088175699</c:v>
                </c:pt>
                <c:pt idx="510">
                  <c:v>267.97501750073661</c:v>
                </c:pt>
                <c:pt idx="511">
                  <c:v>268.19273390053763</c:v>
                </c:pt>
                <c:pt idx="512">
                  <c:v>268.40959588893099</c:v>
                </c:pt>
                <c:pt idx="513">
                  <c:v>268.62560922486551</c:v>
                </c:pt>
                <c:pt idx="514">
                  <c:v>268.84077961889045</c:v>
                </c:pt>
                <c:pt idx="515">
                  <c:v>269.05511273357416</c:v>
                </c:pt>
                <c:pt idx="516">
                  <c:v>269.26861418391911</c:v>
                </c:pt>
                <c:pt idx="517">
                  <c:v>269.48128953777359</c:v>
                </c:pt>
                <c:pt idx="518">
                  <c:v>269.69314431623985</c:v>
                </c:pt>
                <c:pt idx="519">
                  <c:v>269.90418399407866</c:v>
                </c:pt>
              </c:numCache>
            </c:numRef>
          </c:val>
          <c:smooth val="0"/>
          <c:extLst>
            <c:ext xmlns:c16="http://schemas.microsoft.com/office/drawing/2014/chart" uri="{C3380CC4-5D6E-409C-BE32-E72D297353CC}">
              <c16:uniqueId val="{0000000A-050E-4C76-B86D-B3269E11B822}"/>
            </c:ext>
          </c:extLst>
        </c:ser>
        <c:dLbls>
          <c:showLegendKey val="0"/>
          <c:showVal val="0"/>
          <c:showCatName val="0"/>
          <c:showSerName val="0"/>
          <c:showPercent val="0"/>
          <c:showBubbleSize val="0"/>
        </c:dLbls>
        <c:smooth val="0"/>
        <c:axId val="270772616"/>
        <c:axId val="270773272"/>
      </c:lineChart>
      <c:catAx>
        <c:axId val="270772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Weeks</a:t>
                </a:r>
              </a:p>
            </c:rich>
          </c:tx>
          <c:layout>
            <c:manualLayout>
              <c:xMode val="edge"/>
              <c:yMode val="edge"/>
              <c:x val="0.49364237694248714"/>
              <c:y val="0.705855365446025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773272"/>
        <c:crosses val="autoZero"/>
        <c:auto val="1"/>
        <c:lblAlgn val="ctr"/>
        <c:lblOffset val="100"/>
        <c:noMultiLvlLbl val="0"/>
      </c:catAx>
      <c:valAx>
        <c:axId val="270773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Ig arm 1,000 cohort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772616"/>
        <c:crosses val="autoZero"/>
        <c:crossBetween val="between"/>
      </c:valAx>
      <c:spPr>
        <a:noFill/>
        <a:ln>
          <a:noFill/>
        </a:ln>
        <a:effectLst/>
      </c:spPr>
    </c:plotArea>
    <c:legend>
      <c:legendPos val="b"/>
      <c:layout>
        <c:manualLayout>
          <c:xMode val="edge"/>
          <c:yMode val="edge"/>
          <c:x val="0.21811288226504069"/>
          <c:y val="0.70735027088096614"/>
          <c:w val="0.71917305573385237"/>
          <c:h val="0.242493564281239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04199475065615"/>
          <c:y val="4.1314553990610327E-2"/>
          <c:w val="0.83053917220486084"/>
          <c:h val="0.55251280913829426"/>
        </c:manualLayout>
      </c:layout>
      <c:lineChart>
        <c:grouping val="standard"/>
        <c:varyColors val="0"/>
        <c:ser>
          <c:idx val="2"/>
          <c:order val="2"/>
          <c:tx>
            <c:strRef>
              <c:f>Steroid!$E$534</c:f>
              <c:strCache>
                <c:ptCount val="1"/>
                <c:pt idx="0">
                  <c:v>Steroids no AE</c:v>
                </c:pt>
              </c:strCache>
            </c:strRef>
          </c:tx>
          <c:spPr>
            <a:ln w="28575" cap="rnd">
              <a:solidFill>
                <a:schemeClr val="accent3"/>
              </a:solidFill>
              <a:round/>
            </a:ln>
            <a:effectLst/>
          </c:spPr>
          <c:marker>
            <c:symbol val="none"/>
          </c:marker>
          <c:cat>
            <c:numRef>
              <c:f>Steroid!$B$535:$B$1054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Steroid!$E$535:$E$1054</c:f>
              <c:numCache>
                <c:formatCode>#,##0</c:formatCode>
                <c:ptCount val="520"/>
                <c:pt idx="0">
                  <c:v>1000</c:v>
                </c:pt>
                <c:pt idx="1">
                  <c:v>996.49376920294583</c:v>
                </c:pt>
                <c:pt idx="2">
                  <c:v>992.99983206029367</c:v>
                </c:pt>
                <c:pt idx="3">
                  <c:v>989.51814546765411</c:v>
                </c:pt>
                <c:pt idx="4">
                  <c:v>986.04866647177141</c:v>
                </c:pt>
                <c:pt idx="5">
                  <c:v>982.59135226999365</c:v>
                </c:pt>
                <c:pt idx="6">
                  <c:v>979.14616020974529</c:v>
                </c:pt>
                <c:pt idx="7">
                  <c:v>975.71304778800038</c:v>
                </c:pt>
                <c:pt idx="8">
                  <c:v>972.29197265075823</c:v>
                </c:pt>
                <c:pt idx="9">
                  <c:v>968.88289259252133</c:v>
                </c:pt>
                <c:pt idx="10">
                  <c:v>965.48576555577426</c:v>
                </c:pt>
                <c:pt idx="11">
                  <c:v>962.10054963046514</c:v>
                </c:pt>
                <c:pt idx="12">
                  <c:v>958.72720305348798</c:v>
                </c:pt>
                <c:pt idx="13">
                  <c:v>955.3656842081682</c:v>
                </c:pt>
                <c:pt idx="14">
                  <c:v>952.01595162374861</c:v>
                </c:pt>
                <c:pt idx="15">
                  <c:v>948.67796397487837</c:v>
                </c:pt>
                <c:pt idx="16">
                  <c:v>945.35168008110281</c:v>
                </c:pt>
                <c:pt idx="17">
                  <c:v>942.03705890635547</c:v>
                </c:pt>
                <c:pt idx="18">
                  <c:v>938.73405955845135</c:v>
                </c:pt>
                <c:pt idx="19">
                  <c:v>935.44264128858367</c:v>
                </c:pt>
                <c:pt idx="20">
                  <c:v>932.16276349081966</c:v>
                </c:pt>
                <c:pt idx="21">
                  <c:v>928.89438570160087</c:v>
                </c:pt>
                <c:pt idx="22">
                  <c:v>925.637467599243</c:v>
                </c:pt>
                <c:pt idx="23">
                  <c:v>922.39196900343904</c:v>
                </c:pt>
                <c:pt idx="24">
                  <c:v>919.15784987476366</c:v>
                </c:pt>
                <c:pt idx="25">
                  <c:v>915.93507031417846</c:v>
                </c:pt>
                <c:pt idx="26">
                  <c:v>912.72359056254072</c:v>
                </c:pt>
                <c:pt idx="27">
                  <c:v>909.52337100011221</c:v>
                </c:pt>
                <c:pt idx="28">
                  <c:v>906.3343721460709</c:v>
                </c:pt>
                <c:pt idx="29">
                  <c:v>903.15655465802354</c:v>
                </c:pt>
                <c:pt idx="30">
                  <c:v>899.98987933152011</c:v>
                </c:pt>
                <c:pt idx="31">
                  <c:v>896.83430709957065</c:v>
                </c:pt>
                <c:pt idx="32">
                  <c:v>893.68979903216302</c:v>
                </c:pt>
                <c:pt idx="33">
                  <c:v>890.55631633578309</c:v>
                </c:pt>
                <c:pt idx="34">
                  <c:v>887.4338203529353</c:v>
                </c:pt>
                <c:pt idx="35">
                  <c:v>884.3222725616663</c:v>
                </c:pt>
                <c:pt idx="36">
                  <c:v>881.22163457508941</c:v>
                </c:pt>
                <c:pt idx="37">
                  <c:v>878.13186814091148</c:v>
                </c:pt>
                <c:pt idx="38">
                  <c:v>875.05293514096104</c:v>
                </c:pt>
                <c:pt idx="39">
                  <c:v>871.98479759071699</c:v>
                </c:pt>
                <c:pt idx="40">
                  <c:v>868.92741763884123</c:v>
                </c:pt>
                <c:pt idx="41">
                  <c:v>865.88075756671117</c:v>
                </c:pt>
                <c:pt idx="42">
                  <c:v>862.84477978795405</c:v>
                </c:pt>
                <c:pt idx="43">
                  <c:v>859.81944684798384</c:v>
                </c:pt>
                <c:pt idx="44">
                  <c:v>856.80472142353938</c:v>
                </c:pt>
                <c:pt idx="45">
                  <c:v>853.80056632222261</c:v>
                </c:pt>
                <c:pt idx="46">
                  <c:v>850.80694448204099</c:v>
                </c:pt>
                <c:pt idx="47">
                  <c:v>847.82381897095036</c:v>
                </c:pt>
                <c:pt idx="48">
                  <c:v>844.85115298639812</c:v>
                </c:pt>
                <c:pt idx="49">
                  <c:v>841.88890985487035</c:v>
                </c:pt>
                <c:pt idx="50">
                  <c:v>838.93705303143872</c:v>
                </c:pt>
                <c:pt idx="51">
                  <c:v>835.99554609930976</c:v>
                </c:pt>
                <c:pt idx="52">
                  <c:v>833.06435276937611</c:v>
                </c:pt>
                <c:pt idx="53">
                  <c:v>830.13881298701767</c:v>
                </c:pt>
                <c:pt idx="54">
                  <c:v>827.22354706044212</c:v>
                </c:pt>
                <c:pt idx="55">
                  <c:v>824.31851891011524</c:v>
                </c:pt>
                <c:pt idx="56">
                  <c:v>821.42369258320628</c:v>
                </c:pt>
                <c:pt idx="57">
                  <c:v>818.53903225314264</c:v>
                </c:pt>
                <c:pt idx="58">
                  <c:v>815.6645022191675</c:v>
                </c:pt>
                <c:pt idx="59">
                  <c:v>812.80006690589664</c:v>
                </c:pt>
                <c:pt idx="60">
                  <c:v>809.94569086287925</c:v>
                </c:pt>
                <c:pt idx="61">
                  <c:v>807.10133876415853</c:v>
                </c:pt>
                <c:pt idx="62">
                  <c:v>804.26697540783448</c:v>
                </c:pt>
                <c:pt idx="63">
                  <c:v>801.44256571562892</c:v>
                </c:pt>
                <c:pt idx="64">
                  <c:v>798.62807473245084</c:v>
                </c:pt>
                <c:pt idx="65">
                  <c:v>795.82346762596364</c:v>
                </c:pt>
                <c:pt idx="66">
                  <c:v>793.02870968615457</c:v>
                </c:pt>
                <c:pt idx="67">
                  <c:v>790.24376632490453</c:v>
                </c:pt>
                <c:pt idx="68">
                  <c:v>787.4686030755604</c:v>
                </c:pt>
                <c:pt idx="69">
                  <c:v>784.70318559250859</c:v>
                </c:pt>
                <c:pt idx="70">
                  <c:v>781.94747965074953</c:v>
                </c:pt>
                <c:pt idx="71">
                  <c:v>779.20145114547472</c:v>
                </c:pt>
                <c:pt idx="72">
                  <c:v>776.46506609164385</c:v>
                </c:pt>
                <c:pt idx="73">
                  <c:v>773.73829062356481</c:v>
                </c:pt>
                <c:pt idx="74">
                  <c:v>771.02109099447466</c:v>
                </c:pt>
                <c:pt idx="75">
                  <c:v>768.31343357612138</c:v>
                </c:pt>
                <c:pt idx="76">
                  <c:v>765.61528485834799</c:v>
                </c:pt>
                <c:pt idx="77">
                  <c:v>762.92661144867816</c:v>
                </c:pt>
                <c:pt idx="78">
                  <c:v>760.24738007190263</c:v>
                </c:pt>
                <c:pt idx="79">
                  <c:v>757.57755756966708</c:v>
                </c:pt>
                <c:pt idx="80">
                  <c:v>754.91711090006208</c:v>
                </c:pt>
                <c:pt idx="81">
                  <c:v>752.26600713721427</c:v>
                </c:pt>
                <c:pt idx="82">
                  <c:v>749.624213470879</c:v>
                </c:pt>
                <c:pt idx="83">
                  <c:v>746.99169720603379</c:v>
                </c:pt>
                <c:pt idx="84">
                  <c:v>744.36842576247386</c:v>
                </c:pt>
                <c:pt idx="85">
                  <c:v>741.7543666744092</c:v>
                </c:pt>
                <c:pt idx="86">
                  <c:v>739.14948759006234</c:v>
                </c:pt>
                <c:pt idx="87">
                  <c:v>736.55375627126807</c:v>
                </c:pt>
                <c:pt idx="88">
                  <c:v>733.96714059307499</c:v>
                </c:pt>
                <c:pt idx="89">
                  <c:v>731.38960854334721</c:v>
                </c:pt>
                <c:pt idx="90">
                  <c:v>728.82112822236843</c:v>
                </c:pt>
                <c:pt idx="91">
                  <c:v>726.2616678424472</c:v>
                </c:pt>
                <c:pt idx="92">
                  <c:v>723.71119572752366</c:v>
                </c:pt>
                <c:pt idx="93">
                  <c:v>721.16968031277736</c:v>
                </c:pt>
                <c:pt idx="94">
                  <c:v>718.63709014423637</c:v>
                </c:pt>
                <c:pt idx="95">
                  <c:v>716.11339387838825</c:v>
                </c:pt>
                <c:pt idx="96">
                  <c:v>713.5985602817924</c:v>
                </c:pt>
                <c:pt idx="97">
                  <c:v>711.09255823069282</c:v>
                </c:pt>
                <c:pt idx="98">
                  <c:v>708.59535671063361</c:v>
                </c:pt>
                <c:pt idx="99">
                  <c:v>706.10692481607464</c:v>
                </c:pt>
                <c:pt idx="100">
                  <c:v>703.62723175000974</c:v>
                </c:pt>
                <c:pt idx="101">
                  <c:v>701.15624682358441</c:v>
                </c:pt>
                <c:pt idx="102">
                  <c:v>698.69393945571733</c:v>
                </c:pt>
                <c:pt idx="103">
                  <c:v>696.24027917272076</c:v>
                </c:pt>
                <c:pt idx="104">
                  <c:v>693.79523560792427</c:v>
                </c:pt>
                <c:pt idx="105">
                  <c:v>691.35452599043981</c:v>
                </c:pt>
                <c:pt idx="106">
                  <c:v>688.92240257120397</c:v>
                </c:pt>
                <c:pt idx="107">
                  <c:v>686.49883514473868</c:v>
                </c:pt>
                <c:pt idx="108">
                  <c:v>684.08379361182665</c:v>
                </c:pt>
                <c:pt idx="109">
                  <c:v>681.67724797913627</c:v>
                </c:pt>
                <c:pt idx="110">
                  <c:v>679.27916835885003</c:v>
                </c:pt>
                <c:pt idx="111">
                  <c:v>676.88952496829324</c:v>
                </c:pt>
                <c:pt idx="112">
                  <c:v>674.50828812956377</c:v>
                </c:pt>
                <c:pt idx="113">
                  <c:v>672.13542826916375</c:v>
                </c:pt>
                <c:pt idx="114">
                  <c:v>669.77091591763224</c:v>
                </c:pt>
                <c:pt idx="115">
                  <c:v>667.41472170917939</c:v>
                </c:pt>
                <c:pt idx="116">
                  <c:v>665.06681638132136</c:v>
                </c:pt>
                <c:pt idx="117">
                  <c:v>662.72717077451728</c:v>
                </c:pt>
                <c:pt idx="118">
                  <c:v>660.39575583180692</c:v>
                </c:pt>
                <c:pt idx="119">
                  <c:v>658.07254259844944</c:v>
                </c:pt>
                <c:pt idx="120">
                  <c:v>655.75750222156478</c:v>
                </c:pt>
                <c:pt idx="121">
                  <c:v>653.45060594977451</c:v>
                </c:pt>
                <c:pt idx="122">
                  <c:v>651.15182513284492</c:v>
                </c:pt>
                <c:pt idx="123">
                  <c:v>648.86113122133122</c:v>
                </c:pt>
                <c:pt idx="124">
                  <c:v>646.57849576622311</c:v>
                </c:pt>
                <c:pt idx="125">
                  <c:v>644.30389041859132</c:v>
                </c:pt>
                <c:pt idx="126">
                  <c:v>642.03728692923573</c:v>
                </c:pt>
                <c:pt idx="127">
                  <c:v>639.77865714833399</c:v>
                </c:pt>
                <c:pt idx="128">
                  <c:v>637.52797302509282</c:v>
                </c:pt>
                <c:pt idx="129">
                  <c:v>635.28520660739855</c:v>
                </c:pt>
                <c:pt idx="130">
                  <c:v>633.05033004147094</c:v>
                </c:pt>
                <c:pt idx="131">
                  <c:v>630.82331557151701</c:v>
                </c:pt>
                <c:pt idx="132">
                  <c:v>628.60413553938588</c:v>
                </c:pt>
                <c:pt idx="133">
                  <c:v>626.39276238422553</c:v>
                </c:pt>
                <c:pt idx="134">
                  <c:v>624.18916864214066</c:v>
                </c:pt>
                <c:pt idx="135">
                  <c:v>621.99332694585178</c:v>
                </c:pt>
                <c:pt idx="136">
                  <c:v>619.80521002435466</c:v>
                </c:pt>
                <c:pt idx="137">
                  <c:v>617.62479070258212</c:v>
                </c:pt>
                <c:pt idx="138">
                  <c:v>615.45204190106608</c:v>
                </c:pt>
                <c:pt idx="139">
                  <c:v>613.28693663560227</c:v>
                </c:pt>
                <c:pt idx="140">
                  <c:v>611.12944801691413</c:v>
                </c:pt>
                <c:pt idx="141">
                  <c:v>608.97954925031911</c:v>
                </c:pt>
                <c:pt idx="142">
                  <c:v>606.83721363539644</c:v>
                </c:pt>
                <c:pt idx="143">
                  <c:v>604.70241456565407</c:v>
                </c:pt>
                <c:pt idx="144">
                  <c:v>602.57512552820026</c:v>
                </c:pt>
                <c:pt idx="145">
                  <c:v>600.45532010341253</c:v>
                </c:pt>
                <c:pt idx="146">
                  <c:v>598.34297196461034</c:v>
                </c:pt>
                <c:pt idx="147">
                  <c:v>596.2380548777287</c:v>
                </c:pt>
                <c:pt idx="148">
                  <c:v>594.14054270099098</c:v>
                </c:pt>
                <c:pt idx="149">
                  <c:v>592.05040938458512</c:v>
                </c:pt>
                <c:pt idx="150">
                  <c:v>589.96762897034012</c:v>
                </c:pt>
                <c:pt idx="151">
                  <c:v>587.89217559140388</c:v>
                </c:pt>
                <c:pt idx="152">
                  <c:v>585.82402347192078</c:v>
                </c:pt>
                <c:pt idx="153">
                  <c:v>583.76314692671292</c:v>
                </c:pt>
                <c:pt idx="154">
                  <c:v>581.70952036096014</c:v>
                </c:pt>
                <c:pt idx="155">
                  <c:v>579.66311826988317</c:v>
                </c:pt>
                <c:pt idx="156">
                  <c:v>577.62391523842598</c:v>
                </c:pt>
                <c:pt idx="157">
                  <c:v>575.58790137677477</c:v>
                </c:pt>
                <c:pt idx="158">
                  <c:v>573.55906407470763</c:v>
                </c:pt>
                <c:pt idx="159">
                  <c:v>571.53737803622403</c:v>
                </c:pt>
                <c:pt idx="160">
                  <c:v>569.52281805448706</c:v>
                </c:pt>
                <c:pt idx="161">
                  <c:v>567.51535901150919</c:v>
                </c:pt>
                <c:pt idx="162">
                  <c:v>565.51497587783911</c:v>
                </c:pt>
                <c:pt idx="163">
                  <c:v>563.52164371224922</c:v>
                </c:pt>
                <c:pt idx="164">
                  <c:v>561.53533766142539</c:v>
                </c:pt>
                <c:pt idx="165">
                  <c:v>559.55603295965636</c:v>
                </c:pt>
                <c:pt idx="166">
                  <c:v>557.58370492852532</c:v>
                </c:pt>
                <c:pt idx="167">
                  <c:v>555.61832897660202</c:v>
                </c:pt>
                <c:pt idx="168">
                  <c:v>553.65988059913673</c:v>
                </c:pt>
                <c:pt idx="169">
                  <c:v>551.70833537775388</c:v>
                </c:pt>
                <c:pt idx="170">
                  <c:v>549.76366898014817</c:v>
                </c:pt>
                <c:pt idx="171">
                  <c:v>547.82585715978098</c:v>
                </c:pt>
                <c:pt idx="172">
                  <c:v>545.89487575557791</c:v>
                </c:pt>
                <c:pt idx="173">
                  <c:v>543.97070069162817</c:v>
                </c:pt>
                <c:pt idx="174">
                  <c:v>542.05330797688373</c:v>
                </c:pt>
                <c:pt idx="175">
                  <c:v>540.14267370486039</c:v>
                </c:pt>
                <c:pt idx="176">
                  <c:v>538.23877405333974</c:v>
                </c:pt>
                <c:pt idx="177">
                  <c:v>536.34158528407215</c:v>
                </c:pt>
                <c:pt idx="178">
                  <c:v>534.45108374248059</c:v>
                </c:pt>
                <c:pt idx="179">
                  <c:v>532.56724585736606</c:v>
                </c:pt>
                <c:pt idx="180">
                  <c:v>530.69004814061384</c:v>
                </c:pt>
                <c:pt idx="181">
                  <c:v>528.81946718689994</c:v>
                </c:pt>
                <c:pt idx="182">
                  <c:v>526.95547967339962</c:v>
                </c:pt>
                <c:pt idx="183">
                  <c:v>525.09806235949679</c:v>
                </c:pt>
                <c:pt idx="184">
                  <c:v>523.24719208649424</c:v>
                </c:pt>
                <c:pt idx="185">
                  <c:v>521.40284577732439</c:v>
                </c:pt>
                <c:pt idx="186">
                  <c:v>519.56500043626238</c:v>
                </c:pt>
                <c:pt idx="187">
                  <c:v>517.73363314863821</c:v>
                </c:pt>
                <c:pt idx="188">
                  <c:v>515.90872108055225</c:v>
                </c:pt>
                <c:pt idx="189">
                  <c:v>514.09024147858975</c:v>
                </c:pt>
                <c:pt idx="190">
                  <c:v>512.27817166953776</c:v>
                </c:pt>
                <c:pt idx="191">
                  <c:v>510.47248906010145</c:v>
                </c:pt>
                <c:pt idx="192">
                  <c:v>508.67317113662358</c:v>
                </c:pt>
                <c:pt idx="193">
                  <c:v>506.88019546480297</c:v>
                </c:pt>
                <c:pt idx="194">
                  <c:v>505.09353968941525</c:v>
                </c:pt>
                <c:pt idx="195">
                  <c:v>503.31318153403367</c:v>
                </c:pt>
                <c:pt idx="196">
                  <c:v>501.5390988007519</c:v>
                </c:pt>
                <c:pt idx="197">
                  <c:v>499.77126936990686</c:v>
                </c:pt>
                <c:pt idx="198">
                  <c:v>498.00967119980311</c:v>
                </c:pt>
                <c:pt idx="199">
                  <c:v>496.25428232643787</c:v>
                </c:pt>
                <c:pt idx="200">
                  <c:v>494.50508086322748</c:v>
                </c:pt>
                <c:pt idx="201">
                  <c:v>492.76204500073391</c:v>
                </c:pt>
                <c:pt idx="202">
                  <c:v>491.02515300639357</c:v>
                </c:pt>
                <c:pt idx="203">
                  <c:v>489.29438322424596</c:v>
                </c:pt>
                <c:pt idx="204">
                  <c:v>487.56971407466364</c:v>
                </c:pt>
                <c:pt idx="205">
                  <c:v>485.8511240540833</c:v>
                </c:pt>
                <c:pt idx="206">
                  <c:v>484.13859173473719</c:v>
                </c:pt>
                <c:pt idx="207">
                  <c:v>482.43209576438704</c:v>
                </c:pt>
                <c:pt idx="208">
                  <c:v>480.73161486605665</c:v>
                </c:pt>
                <c:pt idx="209">
                  <c:v>479.03362681126214</c:v>
                </c:pt>
                <c:pt idx="210">
                  <c:v>477.34163620565772</c:v>
                </c:pt>
                <c:pt idx="211">
                  <c:v>475.65562186570401</c:v>
                </c:pt>
                <c:pt idx="212">
                  <c:v>473.97556268268397</c:v>
                </c:pt>
                <c:pt idx="213">
                  <c:v>472.30143762243824</c:v>
                </c:pt>
                <c:pt idx="214">
                  <c:v>470.63322572510208</c:v>
                </c:pt>
                <c:pt idx="215">
                  <c:v>468.97090610484315</c:v>
                </c:pt>
                <c:pt idx="216">
                  <c:v>467.3144579495995</c:v>
                </c:pt>
                <c:pt idx="217">
                  <c:v>465.66386052081947</c:v>
                </c:pt>
                <c:pt idx="218">
                  <c:v>464.01909315320177</c:v>
                </c:pt>
                <c:pt idx="219">
                  <c:v>462.38013525443699</c:v>
                </c:pt>
                <c:pt idx="220">
                  <c:v>460.74696630494935</c:v>
                </c:pt>
                <c:pt idx="221">
                  <c:v>459.11956585764034</c:v>
                </c:pt>
                <c:pt idx="222">
                  <c:v>457.49791353763254</c:v>
                </c:pt>
                <c:pt idx="223">
                  <c:v>455.88198904201403</c:v>
                </c:pt>
                <c:pt idx="224">
                  <c:v>454.27177213958504</c:v>
                </c:pt>
                <c:pt idx="225">
                  <c:v>452.6672426706042</c:v>
                </c:pt>
                <c:pt idx="226">
                  <c:v>451.06838054653605</c:v>
                </c:pt>
                <c:pt idx="227">
                  <c:v>449.47516574979977</c:v>
                </c:pt>
                <c:pt idx="228">
                  <c:v>447.88757833351843</c:v>
                </c:pt>
                <c:pt idx="229">
                  <c:v>446.30559842126939</c:v>
                </c:pt>
                <c:pt idx="230">
                  <c:v>444.72920620683527</c:v>
                </c:pt>
                <c:pt idx="231">
                  <c:v>443.158381953956</c:v>
                </c:pt>
                <c:pt idx="232">
                  <c:v>441.59310599608182</c:v>
                </c:pt>
                <c:pt idx="233">
                  <c:v>440.03335873612713</c:v>
                </c:pt>
                <c:pt idx="234">
                  <c:v>438.47912064622489</c:v>
                </c:pt>
                <c:pt idx="235">
                  <c:v>436.93037226748237</c:v>
                </c:pt>
                <c:pt idx="236">
                  <c:v>435.38709420973737</c:v>
                </c:pt>
                <c:pt idx="237">
                  <c:v>433.84926715131564</c:v>
                </c:pt>
                <c:pt idx="238">
                  <c:v>432.31687183878876</c:v>
                </c:pt>
                <c:pt idx="239">
                  <c:v>430.78988908673301</c:v>
                </c:pt>
                <c:pt idx="240">
                  <c:v>429.26829977748963</c:v>
                </c:pt>
                <c:pt idx="241">
                  <c:v>427.75208486092504</c:v>
                </c:pt>
                <c:pt idx="242">
                  <c:v>426.24122535419247</c:v>
                </c:pt>
                <c:pt idx="243">
                  <c:v>424.73570234149429</c:v>
                </c:pt>
                <c:pt idx="244">
                  <c:v>423.23549697384533</c:v>
                </c:pt>
                <c:pt idx="245">
                  <c:v>421.74059046883673</c:v>
                </c:pt>
                <c:pt idx="246">
                  <c:v>420.25096411040062</c:v>
                </c:pt>
                <c:pt idx="247">
                  <c:v>418.76659924857609</c:v>
                </c:pt>
                <c:pt idx="248">
                  <c:v>417.28747729927568</c:v>
                </c:pt>
                <c:pt idx="249">
                  <c:v>415.81357974405267</c:v>
                </c:pt>
                <c:pt idx="250">
                  <c:v>414.34488812986905</c:v>
                </c:pt>
                <c:pt idx="251">
                  <c:v>412.88138406886463</c:v>
                </c:pt>
                <c:pt idx="252">
                  <c:v>411.42304923812696</c:v>
                </c:pt>
                <c:pt idx="253">
                  <c:v>409.96986537946168</c:v>
                </c:pt>
                <c:pt idx="254">
                  <c:v>408.52181429916408</c:v>
                </c:pt>
                <c:pt idx="255">
                  <c:v>407.07887786779122</c:v>
                </c:pt>
                <c:pt idx="256">
                  <c:v>405.64103801993514</c:v>
                </c:pt>
                <c:pt idx="257">
                  <c:v>404.20827675399642</c:v>
                </c:pt>
                <c:pt idx="258">
                  <c:v>402.78057613195892</c:v>
                </c:pt>
                <c:pt idx="259">
                  <c:v>401.35791827916546</c:v>
                </c:pt>
                <c:pt idx="260">
                  <c:v>400.92686346298927</c:v>
                </c:pt>
                <c:pt idx="261">
                  <c:v>400.49311365724094</c:v>
                </c:pt>
                <c:pt idx="262">
                  <c:v>400.05983311137788</c:v>
                </c:pt>
                <c:pt idx="263">
                  <c:v>399.62702131772318</c:v>
                </c:pt>
                <c:pt idx="264">
                  <c:v>399.19467776914894</c:v>
                </c:pt>
                <c:pt idx="265">
                  <c:v>398.76280195907589</c:v>
                </c:pt>
                <c:pt idx="266">
                  <c:v>398.33139338147276</c:v>
                </c:pt>
                <c:pt idx="267">
                  <c:v>397.90045153085606</c:v>
                </c:pt>
                <c:pt idx="268">
                  <c:v>397.46997590228887</c:v>
                </c:pt>
                <c:pt idx="269">
                  <c:v>397.03996599138065</c:v>
                </c:pt>
                <c:pt idx="270">
                  <c:v>396.61042129428665</c:v>
                </c:pt>
                <c:pt idx="271">
                  <c:v>396.18134130770687</c:v>
                </c:pt>
                <c:pt idx="272">
                  <c:v>395.75272552888617</c:v>
                </c:pt>
                <c:pt idx="273">
                  <c:v>395.32457345561323</c:v>
                </c:pt>
                <c:pt idx="274">
                  <c:v>394.89688458621993</c:v>
                </c:pt>
                <c:pt idx="275">
                  <c:v>394.46965841958092</c:v>
                </c:pt>
                <c:pt idx="276">
                  <c:v>394.04289445511313</c:v>
                </c:pt>
                <c:pt idx="277">
                  <c:v>393.61659219277499</c:v>
                </c:pt>
                <c:pt idx="278">
                  <c:v>393.19075113306587</c:v>
                </c:pt>
                <c:pt idx="279">
                  <c:v>392.76537077702557</c:v>
                </c:pt>
                <c:pt idx="280">
                  <c:v>392.34045062623369</c:v>
                </c:pt>
                <c:pt idx="281">
                  <c:v>391.91599018280914</c:v>
                </c:pt>
                <c:pt idx="282">
                  <c:v>391.49198894940929</c:v>
                </c:pt>
                <c:pt idx="283">
                  <c:v>391.06844642922965</c:v>
                </c:pt>
                <c:pt idx="284">
                  <c:v>390.64536212600336</c:v>
                </c:pt>
                <c:pt idx="285">
                  <c:v>390.2227355440001</c:v>
                </c:pt>
                <c:pt idx="286">
                  <c:v>389.80056618802638</c:v>
                </c:pt>
                <c:pt idx="287">
                  <c:v>389.37885356342383</c:v>
                </c:pt>
                <c:pt idx="288">
                  <c:v>388.95759717606978</c:v>
                </c:pt>
                <c:pt idx="289">
                  <c:v>388.53679653237577</c:v>
                </c:pt>
                <c:pt idx="290">
                  <c:v>388.11645113928756</c:v>
                </c:pt>
                <c:pt idx="291">
                  <c:v>387.69656050428415</c:v>
                </c:pt>
                <c:pt idx="292">
                  <c:v>387.27712413537751</c:v>
                </c:pt>
                <c:pt idx="293">
                  <c:v>386.85814154111193</c:v>
                </c:pt>
                <c:pt idx="294">
                  <c:v>386.43961223056323</c:v>
                </c:pt>
                <c:pt idx="295">
                  <c:v>386.02153571333849</c:v>
                </c:pt>
                <c:pt idx="296">
                  <c:v>385.60391149957519</c:v>
                </c:pt>
                <c:pt idx="297">
                  <c:v>385.18673909994078</c:v>
                </c:pt>
                <c:pt idx="298">
                  <c:v>384.77001802563234</c:v>
                </c:pt>
                <c:pt idx="299">
                  <c:v>384.35374778837547</c:v>
                </c:pt>
                <c:pt idx="300">
                  <c:v>383.93792790042414</c:v>
                </c:pt>
                <c:pt idx="301">
                  <c:v>383.52255787456005</c:v>
                </c:pt>
                <c:pt idx="302">
                  <c:v>383.10763722409195</c:v>
                </c:pt>
                <c:pt idx="303">
                  <c:v>382.69316546285512</c:v>
                </c:pt>
                <c:pt idx="304">
                  <c:v>382.27914210521084</c:v>
                </c:pt>
                <c:pt idx="305">
                  <c:v>381.86556666604577</c:v>
                </c:pt>
                <c:pt idx="306">
                  <c:v>381.45243866077141</c:v>
                </c:pt>
                <c:pt idx="307">
                  <c:v>381.03975760532347</c:v>
                </c:pt>
                <c:pt idx="308">
                  <c:v>380.62752301616143</c:v>
                </c:pt>
                <c:pt idx="309">
                  <c:v>380.21573441026783</c:v>
                </c:pt>
                <c:pt idx="310">
                  <c:v>379.8043913051477</c:v>
                </c:pt>
                <c:pt idx="311">
                  <c:v>379.39349321882838</c:v>
                </c:pt>
                <c:pt idx="312">
                  <c:v>378.98303966985833</c:v>
                </c:pt>
                <c:pt idx="313">
                  <c:v>378.56993463144499</c:v>
                </c:pt>
                <c:pt idx="314">
                  <c:v>378.15727989226644</c:v>
                </c:pt>
                <c:pt idx="315">
                  <c:v>377.7450749614805</c:v>
                </c:pt>
                <c:pt idx="316">
                  <c:v>377.33331934877981</c:v>
                </c:pt>
                <c:pt idx="317">
                  <c:v>376.92201256439182</c:v>
                </c:pt>
                <c:pt idx="318">
                  <c:v>376.5111541190775</c:v>
                </c:pt>
                <c:pt idx="319">
                  <c:v>376.10074352413136</c:v>
                </c:pt>
                <c:pt idx="320">
                  <c:v>375.69078029138046</c:v>
                </c:pt>
                <c:pt idx="321">
                  <c:v>375.28126393318405</c:v>
                </c:pt>
                <c:pt idx="322">
                  <c:v>374.8721939624329</c:v>
                </c:pt>
                <c:pt idx="323">
                  <c:v>374.46356989254883</c:v>
                </c:pt>
                <c:pt idx="324">
                  <c:v>374.05539123748395</c:v>
                </c:pt>
                <c:pt idx="325">
                  <c:v>373.64765751172013</c:v>
                </c:pt>
                <c:pt idx="326">
                  <c:v>373.24036823026864</c:v>
                </c:pt>
                <c:pt idx="327">
                  <c:v>372.83352290866935</c:v>
                </c:pt>
                <c:pt idx="328">
                  <c:v>372.42712106299012</c:v>
                </c:pt>
                <c:pt idx="329">
                  <c:v>372.02116220982634</c:v>
                </c:pt>
                <c:pt idx="330">
                  <c:v>371.61564586630038</c:v>
                </c:pt>
                <c:pt idx="331">
                  <c:v>371.21057155006105</c:v>
                </c:pt>
                <c:pt idx="332">
                  <c:v>370.80593877928266</c:v>
                </c:pt>
                <c:pt idx="333">
                  <c:v>370.40174707266493</c:v>
                </c:pt>
                <c:pt idx="334">
                  <c:v>369.99799594943232</c:v>
                </c:pt>
                <c:pt idx="335">
                  <c:v>369.59468492933314</c:v>
                </c:pt>
                <c:pt idx="336">
                  <c:v>369.19181353263923</c:v>
                </c:pt>
                <c:pt idx="337">
                  <c:v>368.78938128014551</c:v>
                </c:pt>
                <c:pt idx="338">
                  <c:v>368.38738769316899</c:v>
                </c:pt>
                <c:pt idx="339">
                  <c:v>367.98583229354864</c:v>
                </c:pt>
                <c:pt idx="340">
                  <c:v>367.58471460364461</c:v>
                </c:pt>
                <c:pt idx="341">
                  <c:v>367.18403414633764</c:v>
                </c:pt>
                <c:pt idx="342">
                  <c:v>366.78379044502867</c:v>
                </c:pt>
                <c:pt idx="343">
                  <c:v>366.38398302363811</c:v>
                </c:pt>
                <c:pt idx="344">
                  <c:v>365.98461140660521</c:v>
                </c:pt>
                <c:pt idx="345">
                  <c:v>365.58567511888765</c:v>
                </c:pt>
                <c:pt idx="346">
                  <c:v>365.18717368596094</c:v>
                </c:pt>
                <c:pt idx="347">
                  <c:v>364.78910663381794</c:v>
                </c:pt>
                <c:pt idx="348">
                  <c:v>364.39147348896802</c:v>
                </c:pt>
                <c:pt idx="349">
                  <c:v>363.99427377843671</c:v>
                </c:pt>
                <c:pt idx="350">
                  <c:v>363.59750702976521</c:v>
                </c:pt>
                <c:pt idx="351">
                  <c:v>363.20117277100951</c:v>
                </c:pt>
                <c:pt idx="352">
                  <c:v>362.80527053074036</c:v>
                </c:pt>
                <c:pt idx="353">
                  <c:v>362.40979983804203</c:v>
                </c:pt>
                <c:pt idx="354">
                  <c:v>362.01476022251228</c:v>
                </c:pt>
                <c:pt idx="355">
                  <c:v>361.62015121426168</c:v>
                </c:pt>
                <c:pt idx="356">
                  <c:v>361.22597234391287</c:v>
                </c:pt>
                <c:pt idx="357">
                  <c:v>360.83222314260036</c:v>
                </c:pt>
                <c:pt idx="358">
                  <c:v>360.43890314196932</c:v>
                </c:pt>
                <c:pt idx="359">
                  <c:v>360.04601187417586</c:v>
                </c:pt>
                <c:pt idx="360">
                  <c:v>359.65354887188579</c:v>
                </c:pt>
                <c:pt idx="361">
                  <c:v>359.26151366827446</c:v>
                </c:pt>
                <c:pt idx="362">
                  <c:v>358.86990579702609</c:v>
                </c:pt>
                <c:pt idx="363">
                  <c:v>358.47872479233303</c:v>
                </c:pt>
                <c:pt idx="364">
                  <c:v>358.08797018889561</c:v>
                </c:pt>
                <c:pt idx="365">
                  <c:v>357.69447372299385</c:v>
                </c:pt>
                <c:pt idx="366">
                  <c:v>357.30140966332061</c:v>
                </c:pt>
                <c:pt idx="367">
                  <c:v>356.90877753471239</c:v>
                </c:pt>
                <c:pt idx="368">
                  <c:v>356.51657686252798</c:v>
                </c:pt>
                <c:pt idx="369">
                  <c:v>356.12480717264754</c:v>
                </c:pt>
                <c:pt idx="370">
                  <c:v>355.73346799147242</c:v>
                </c:pt>
                <c:pt idx="371">
                  <c:v>355.34255884592426</c:v>
                </c:pt>
                <c:pt idx="372">
                  <c:v>354.95207926344455</c:v>
                </c:pt>
                <c:pt idx="373">
                  <c:v>354.56202877199411</c:v>
                </c:pt>
                <c:pt idx="374">
                  <c:v>354.17240690005252</c:v>
                </c:pt>
                <c:pt idx="375">
                  <c:v>353.78321317661749</c:v>
                </c:pt>
                <c:pt idx="376">
                  <c:v>353.39444713120423</c:v>
                </c:pt>
                <c:pt idx="377">
                  <c:v>353.00610829384516</c:v>
                </c:pt>
                <c:pt idx="378">
                  <c:v>352.61819619508884</c:v>
                </c:pt>
                <c:pt idx="379">
                  <c:v>352.23071036599987</c:v>
                </c:pt>
                <c:pt idx="380">
                  <c:v>351.84365033815817</c:v>
                </c:pt>
                <c:pt idx="381">
                  <c:v>351.45701564365834</c:v>
                </c:pt>
                <c:pt idx="382">
                  <c:v>351.07080581510917</c:v>
                </c:pt>
                <c:pt idx="383">
                  <c:v>350.68502038563309</c:v>
                </c:pt>
                <c:pt idx="384">
                  <c:v>350.29965888886557</c:v>
                </c:pt>
                <c:pt idx="385">
                  <c:v>349.91472085895447</c:v>
                </c:pt>
                <c:pt idx="386">
                  <c:v>349.53020583055974</c:v>
                </c:pt>
                <c:pt idx="387">
                  <c:v>349.14611333885244</c:v>
                </c:pt>
                <c:pt idx="388">
                  <c:v>348.76244291951468</c:v>
                </c:pt>
                <c:pt idx="389">
                  <c:v>348.3791941087386</c:v>
                </c:pt>
                <c:pt idx="390">
                  <c:v>347.99636644322618</c:v>
                </c:pt>
                <c:pt idx="391">
                  <c:v>347.61395946018843</c:v>
                </c:pt>
                <c:pt idx="392">
                  <c:v>347.23197269734476</c:v>
                </c:pt>
                <c:pt idx="393">
                  <c:v>346.85040569292278</c:v>
                </c:pt>
                <c:pt idx="394">
                  <c:v>346.46925798565758</c:v>
                </c:pt>
                <c:pt idx="395">
                  <c:v>346.08852911479084</c:v>
                </c:pt>
                <c:pt idx="396">
                  <c:v>345.7082186200708</c:v>
                </c:pt>
                <c:pt idx="397">
                  <c:v>345.32832604175144</c:v>
                </c:pt>
                <c:pt idx="398">
                  <c:v>344.94885092059195</c:v>
                </c:pt>
                <c:pt idx="399">
                  <c:v>344.56979279785588</c:v>
                </c:pt>
                <c:pt idx="400">
                  <c:v>344.19115121531138</c:v>
                </c:pt>
                <c:pt idx="401">
                  <c:v>343.81292571522977</c:v>
                </c:pt>
                <c:pt idx="402">
                  <c:v>343.43511584038555</c:v>
                </c:pt>
                <c:pt idx="403">
                  <c:v>343.05772113405538</c:v>
                </c:pt>
                <c:pt idx="404">
                  <c:v>342.68074114001826</c:v>
                </c:pt>
                <c:pt idx="405">
                  <c:v>342.30417540255411</c:v>
                </c:pt>
                <c:pt idx="406">
                  <c:v>341.92802346644385</c:v>
                </c:pt>
                <c:pt idx="407">
                  <c:v>341.5522848769686</c:v>
                </c:pt>
                <c:pt idx="408">
                  <c:v>341.17695917990915</c:v>
                </c:pt>
                <c:pt idx="409">
                  <c:v>340.80204592154524</c:v>
                </c:pt>
                <c:pt idx="410">
                  <c:v>340.42754464865556</c:v>
                </c:pt>
                <c:pt idx="411">
                  <c:v>340.05345490851658</c:v>
                </c:pt>
                <c:pt idx="412">
                  <c:v>339.67977624890227</c:v>
                </c:pt>
                <c:pt idx="413">
                  <c:v>339.30650821808359</c:v>
                </c:pt>
                <c:pt idx="414">
                  <c:v>338.933650364828</c:v>
                </c:pt>
                <c:pt idx="415">
                  <c:v>338.56120223839855</c:v>
                </c:pt>
                <c:pt idx="416">
                  <c:v>338.18916338855394</c:v>
                </c:pt>
                <c:pt idx="417">
                  <c:v>337.81421323525308</c:v>
                </c:pt>
                <c:pt idx="418">
                  <c:v>337.43967878899628</c:v>
                </c:pt>
                <c:pt idx="419">
                  <c:v>337.06555958888947</c:v>
                </c:pt>
                <c:pt idx="420">
                  <c:v>336.69185517454929</c:v>
                </c:pt>
                <c:pt idx="421">
                  <c:v>336.31856508610309</c:v>
                </c:pt>
                <c:pt idx="422">
                  <c:v>335.94568886418801</c:v>
                </c:pt>
                <c:pt idx="423">
                  <c:v>335.57322604995034</c:v>
                </c:pt>
                <c:pt idx="424">
                  <c:v>335.20117618504526</c:v>
                </c:pt>
                <c:pt idx="425">
                  <c:v>334.82953881163598</c:v>
                </c:pt>
                <c:pt idx="426">
                  <c:v>334.45831347239346</c:v>
                </c:pt>
                <c:pt idx="427">
                  <c:v>334.08749971049559</c:v>
                </c:pt>
                <c:pt idx="428">
                  <c:v>333.71709706962667</c:v>
                </c:pt>
                <c:pt idx="429">
                  <c:v>333.34710509397723</c:v>
                </c:pt>
                <c:pt idx="430">
                  <c:v>332.9775233282428</c:v>
                </c:pt>
                <c:pt idx="431">
                  <c:v>332.60835131762394</c:v>
                </c:pt>
                <c:pt idx="432">
                  <c:v>332.23958860782534</c:v>
                </c:pt>
                <c:pt idx="433">
                  <c:v>331.87123474505535</c:v>
                </c:pt>
                <c:pt idx="434">
                  <c:v>331.50328927602544</c:v>
                </c:pt>
                <c:pt idx="435">
                  <c:v>331.13575174794983</c:v>
                </c:pt>
                <c:pt idx="436">
                  <c:v>330.76862170854452</c:v>
                </c:pt>
                <c:pt idx="437">
                  <c:v>330.40189870602705</c:v>
                </c:pt>
                <c:pt idx="438">
                  <c:v>330.03558228911578</c:v>
                </c:pt>
                <c:pt idx="439">
                  <c:v>329.66967200702942</c:v>
                </c:pt>
                <c:pt idx="440">
                  <c:v>329.30416740948658</c:v>
                </c:pt>
                <c:pt idx="441">
                  <c:v>328.93906804670502</c:v>
                </c:pt>
                <c:pt idx="442">
                  <c:v>328.57437346940111</c:v>
                </c:pt>
                <c:pt idx="443">
                  <c:v>328.21008322878941</c:v>
                </c:pt>
                <c:pt idx="444">
                  <c:v>327.84619687658198</c:v>
                </c:pt>
                <c:pt idx="445">
                  <c:v>327.48271396498808</c:v>
                </c:pt>
                <c:pt idx="446">
                  <c:v>327.11963404671326</c:v>
                </c:pt>
                <c:pt idx="447">
                  <c:v>326.75695667495899</c:v>
                </c:pt>
                <c:pt idx="448">
                  <c:v>326.39468140342211</c:v>
                </c:pt>
                <c:pt idx="449">
                  <c:v>326.03280778629448</c:v>
                </c:pt>
                <c:pt idx="450">
                  <c:v>325.67133537826192</c:v>
                </c:pt>
                <c:pt idx="451">
                  <c:v>325.31026373450413</c:v>
                </c:pt>
                <c:pt idx="452">
                  <c:v>324.94959241069398</c:v>
                </c:pt>
                <c:pt idx="453">
                  <c:v>324.58932096299691</c:v>
                </c:pt>
                <c:pt idx="454">
                  <c:v>324.22944894807057</c:v>
                </c:pt>
                <c:pt idx="455">
                  <c:v>323.86997592306403</c:v>
                </c:pt>
                <c:pt idx="456">
                  <c:v>323.51090144561738</c:v>
                </c:pt>
                <c:pt idx="457">
                  <c:v>323.15222507386108</c:v>
                </c:pt>
                <c:pt idx="458">
                  <c:v>322.79394636641547</c:v>
                </c:pt>
                <c:pt idx="459">
                  <c:v>322.43606488239038</c:v>
                </c:pt>
                <c:pt idx="460">
                  <c:v>322.07858018138455</c:v>
                </c:pt>
                <c:pt idx="461">
                  <c:v>321.72149182348471</c:v>
                </c:pt>
                <c:pt idx="462">
                  <c:v>321.36479936926554</c:v>
                </c:pt>
                <c:pt idx="463">
                  <c:v>321.00850237978881</c:v>
                </c:pt>
                <c:pt idx="464">
                  <c:v>320.65260041660292</c:v>
                </c:pt>
                <c:pt idx="465">
                  <c:v>320.29709304174247</c:v>
                </c:pt>
                <c:pt idx="466">
                  <c:v>319.94197981772754</c:v>
                </c:pt>
                <c:pt idx="467">
                  <c:v>319.58726030756333</c:v>
                </c:pt>
                <c:pt idx="468">
                  <c:v>319.23293407473943</c:v>
                </c:pt>
                <c:pt idx="469">
                  <c:v>318.87543268301152</c:v>
                </c:pt>
                <c:pt idx="470">
                  <c:v>318.51833164861347</c:v>
                </c:pt>
                <c:pt idx="471">
                  <c:v>318.16163052319445</c:v>
                </c:pt>
                <c:pt idx="472">
                  <c:v>317.80532885890614</c:v>
                </c:pt>
                <c:pt idx="473">
                  <c:v>317.44942620840141</c:v>
                </c:pt>
                <c:pt idx="474">
                  <c:v>317.09392212483408</c:v>
                </c:pt>
                <c:pt idx="475">
                  <c:v>316.73881616185855</c:v>
                </c:pt>
                <c:pt idx="476">
                  <c:v>316.38410787362903</c:v>
                </c:pt>
                <c:pt idx="477">
                  <c:v>316.029796814799</c:v>
                </c:pt>
                <c:pt idx="478">
                  <c:v>315.67588254052072</c:v>
                </c:pt>
                <c:pt idx="479">
                  <c:v>315.32236460644452</c:v>
                </c:pt>
                <c:pt idx="480">
                  <c:v>314.96924256871847</c:v>
                </c:pt>
                <c:pt idx="481">
                  <c:v>314.61651598398754</c:v>
                </c:pt>
                <c:pt idx="482">
                  <c:v>314.26418440939335</c:v>
                </c:pt>
                <c:pt idx="483">
                  <c:v>313.91224740257331</c:v>
                </c:pt>
                <c:pt idx="484">
                  <c:v>313.56070452166057</c:v>
                </c:pt>
                <c:pt idx="485">
                  <c:v>313.20955532528268</c:v>
                </c:pt>
                <c:pt idx="486">
                  <c:v>312.8587993725618</c:v>
                </c:pt>
                <c:pt idx="487">
                  <c:v>312.50843622311356</c:v>
                </c:pt>
                <c:pt idx="488">
                  <c:v>312.15846543704697</c:v>
                </c:pt>
                <c:pt idx="489">
                  <c:v>311.80888657496348</c:v>
                </c:pt>
                <c:pt idx="490">
                  <c:v>311.45969919795675</c:v>
                </c:pt>
                <c:pt idx="491">
                  <c:v>311.11090286761197</c:v>
                </c:pt>
                <c:pt idx="492">
                  <c:v>310.76249714600533</c:v>
                </c:pt>
                <c:pt idx="493">
                  <c:v>310.41448159570331</c:v>
                </c:pt>
                <c:pt idx="494">
                  <c:v>310.06685577976231</c:v>
                </c:pt>
                <c:pt idx="495">
                  <c:v>309.71961926172804</c:v>
                </c:pt>
                <c:pt idx="496">
                  <c:v>309.37277160563502</c:v>
                </c:pt>
                <c:pt idx="497">
                  <c:v>309.02631237600593</c:v>
                </c:pt>
                <c:pt idx="498">
                  <c:v>308.68024113785128</c:v>
                </c:pt>
                <c:pt idx="499">
                  <c:v>308.33455745666862</c:v>
                </c:pt>
                <c:pt idx="500">
                  <c:v>307.98926089844201</c:v>
                </c:pt>
                <c:pt idx="501">
                  <c:v>307.64435102964165</c:v>
                </c:pt>
                <c:pt idx="502">
                  <c:v>307.2998274172233</c:v>
                </c:pt>
                <c:pt idx="503">
                  <c:v>306.95568962862757</c:v>
                </c:pt>
                <c:pt idx="504">
                  <c:v>306.61193723177939</c:v>
                </c:pt>
                <c:pt idx="505">
                  <c:v>306.26856979508779</c:v>
                </c:pt>
                <c:pt idx="506">
                  <c:v>305.92558688744504</c:v>
                </c:pt>
                <c:pt idx="507">
                  <c:v>305.58298807822621</c:v>
                </c:pt>
                <c:pt idx="508">
                  <c:v>305.24077293728845</c:v>
                </c:pt>
                <c:pt idx="509">
                  <c:v>304.89894103497085</c:v>
                </c:pt>
                <c:pt idx="510">
                  <c:v>304.55749194209352</c:v>
                </c:pt>
                <c:pt idx="511">
                  <c:v>304.21642522995728</c:v>
                </c:pt>
                <c:pt idx="512">
                  <c:v>303.87574047034298</c:v>
                </c:pt>
                <c:pt idx="513">
                  <c:v>303.53543723551104</c:v>
                </c:pt>
                <c:pt idx="514">
                  <c:v>303.19551509820093</c:v>
                </c:pt>
                <c:pt idx="515">
                  <c:v>302.8559736316306</c:v>
                </c:pt>
                <c:pt idx="516">
                  <c:v>302.51681240949591</c:v>
                </c:pt>
                <c:pt idx="517">
                  <c:v>302.17803100597007</c:v>
                </c:pt>
                <c:pt idx="518">
                  <c:v>301.83962899570332</c:v>
                </c:pt>
                <c:pt idx="519">
                  <c:v>301.50160595382209</c:v>
                </c:pt>
              </c:numCache>
            </c:numRef>
          </c:val>
          <c:smooth val="0"/>
          <c:extLst>
            <c:ext xmlns:c16="http://schemas.microsoft.com/office/drawing/2014/chart" uri="{C3380CC4-5D6E-409C-BE32-E72D297353CC}">
              <c16:uniqueId val="{00000000-907F-4589-BC87-CB41FF02749B}"/>
            </c:ext>
          </c:extLst>
        </c:ser>
        <c:ser>
          <c:idx val="3"/>
          <c:order val="3"/>
          <c:tx>
            <c:strRef>
              <c:f>Steroid!$F$534</c:f>
              <c:strCache>
                <c:ptCount val="1"/>
                <c:pt idx="0">
                  <c:v>Fracture</c:v>
                </c:pt>
              </c:strCache>
            </c:strRef>
          </c:tx>
          <c:spPr>
            <a:ln w="28575" cap="rnd">
              <a:solidFill>
                <a:schemeClr val="accent4"/>
              </a:solidFill>
              <a:round/>
            </a:ln>
            <a:effectLst/>
          </c:spPr>
          <c:marker>
            <c:symbol val="none"/>
          </c:marker>
          <c:cat>
            <c:numRef>
              <c:f>Steroid!$B$535:$B$1054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Steroid!$F$535:$F$1054</c:f>
              <c:numCache>
                <c:formatCode>#,##0</c:formatCode>
                <c:ptCount val="520"/>
                <c:pt idx="0">
                  <c:v>0</c:v>
                </c:pt>
                <c:pt idx="1">
                  <c:v>0.22825678001030647</c:v>
                </c:pt>
                <c:pt idx="2">
                  <c:v>0.44961245956942592</c:v>
                </c:pt>
                <c:pt idx="3">
                  <c:v>0.66425429535284575</c:v>
                </c:pt>
                <c:pt idx="4">
                  <c:v>0.87236452925631491</c:v>
                </c:pt>
                <c:pt idx="5">
                  <c:v>1.0741205224638863</c:v>
                </c:pt>
                <c:pt idx="6">
                  <c:v>1.2696948859325077</c:v>
                </c:pt>
                <c:pt idx="7">
                  <c:v>1.4592556073889382</c:v>
                </c:pt>
                <c:pt idx="8">
                  <c:v>1.6429661749322089</c:v>
                </c:pt>
                <c:pt idx="9">
                  <c:v>1.8209856973323539</c:v>
                </c:pt>
                <c:pt idx="10">
                  <c:v>1.9934690211137136</c:v>
                </c:pt>
                <c:pt idx="11">
                  <c:v>2.1605668445087507</c:v>
                </c:pt>
                <c:pt idx="12">
                  <c:v>2.3224258283660246</c:v>
                </c:pt>
                <c:pt idx="13">
                  <c:v>2.4791887040937324</c:v>
                </c:pt>
                <c:pt idx="14">
                  <c:v>2.6309943787180483</c:v>
                </c:pt>
                <c:pt idx="15">
                  <c:v>2.7779780371333787</c:v>
                </c:pt>
                <c:pt idx="16">
                  <c:v>2.9202712416195871</c:v>
                </c:pt>
                <c:pt idx="17">
                  <c:v>3.0580020286992311</c:v>
                </c:pt>
                <c:pt idx="18">
                  <c:v>3.1912950034059193</c:v>
                </c:pt>
                <c:pt idx="19">
                  <c:v>3.3202714310329688</c:v>
                </c:pt>
                <c:pt idx="20">
                  <c:v>3.4450493264297215</c:v>
                </c:pt>
                <c:pt idx="21">
                  <c:v>3.5657435409110581</c:v>
                </c:pt>
                <c:pt idx="22">
                  <c:v>3.6824658468439062</c:v>
                </c:pt>
                <c:pt idx="23">
                  <c:v>3.7953250199728319</c:v>
                </c:pt>
                <c:pt idx="24">
                  <c:v>3.9044269195451431</c:v>
                </c:pt>
                <c:pt idx="25">
                  <c:v>4.0098745662943207</c:v>
                </c:pt>
                <c:pt idx="26">
                  <c:v>4.1117682183390176</c:v>
                </c:pt>
                <c:pt idx="27">
                  <c:v>4.2102054450533419</c:v>
                </c:pt>
                <c:pt idx="28">
                  <c:v>4.3052811989626418</c:v>
                </c:pt>
                <c:pt idx="29">
                  <c:v>4.3970878857175721</c:v>
                </c:pt>
                <c:pt idx="30">
                  <c:v>4.4857154321978028</c:v>
                </c:pt>
                <c:pt idx="31">
                  <c:v>4.5712513527953611</c:v>
                </c:pt>
                <c:pt idx="32">
                  <c:v>4.6537808139262618</c:v>
                </c:pt>
                <c:pt idx="33">
                  <c:v>4.7333866968177789</c:v>
                </c:pt>
                <c:pt idx="34">
                  <c:v>4.8101496586174495</c:v>
                </c:pt>
                <c:pt idx="35">
                  <c:v>4.8841481918686647</c:v>
                </c:pt>
                <c:pt idx="36">
                  <c:v>4.9554586823965048</c:v>
                </c:pt>
                <c:pt idx="37">
                  <c:v>5.0241554656463121</c:v>
                </c:pt>
                <c:pt idx="38">
                  <c:v>5.0903108815163529</c:v>
                </c:pt>
                <c:pt idx="39">
                  <c:v>5.1539953277248234</c:v>
                </c:pt>
                <c:pt idx="40">
                  <c:v>5.2152773117503672</c:v>
                </c:pt>
                <c:pt idx="41">
                  <c:v>5.2742235013842373</c:v>
                </c:pt>
                <c:pt idx="42">
                  <c:v>5.330898773931211</c:v>
                </c:pt>
                <c:pt idx="43">
                  <c:v>5.3853662640953663</c:v>
                </c:pt>
                <c:pt idx="44">
                  <c:v>5.437687410585875</c:v>
                </c:pt>
                <c:pt idx="45">
                  <c:v>5.4879220014770329</c:v>
                </c:pt>
                <c:pt idx="46">
                  <c:v>5.5361282183558016</c:v>
                </c:pt>
                <c:pt idx="47">
                  <c:v>5.582362679289302</c:v>
                </c:pt>
                <c:pt idx="48">
                  <c:v>5.6266804806437598</c:v>
                </c:pt>
                <c:pt idx="49">
                  <c:v>5.669135237785639</c:v>
                </c:pt>
                <c:pt idx="50">
                  <c:v>5.7097791246948164</c:v>
                </c:pt>
                <c:pt idx="51">
                  <c:v>5.7486629125188857</c:v>
                </c:pt>
                <c:pt idx="52">
                  <c:v>5.7858360070968891</c:v>
                </c:pt>
                <c:pt idx="53">
                  <c:v>5.8213136135403385</c:v>
                </c:pt>
                <c:pt idx="54">
                  <c:v>5.8551750194030792</c:v>
                </c:pt>
                <c:pt idx="55">
                  <c:v>5.8874657759654365</c:v>
                </c:pt>
                <c:pt idx="56">
                  <c:v>5.9182302085408178</c:v>
                </c:pt>
                <c:pt idx="57">
                  <c:v>5.9475114492786547</c:v>
                </c:pt>
                <c:pt idx="58">
                  <c:v>5.9753514690903149</c:v>
                </c:pt>
                <c:pt idx="59">
                  <c:v>6.0017911087214308</c:v>
                </c:pt>
                <c:pt idx="60">
                  <c:v>6.0268701089934655</c:v>
                </c:pt>
                <c:pt idx="61">
                  <c:v>6.0506271402367258</c:v>
                </c:pt>
                <c:pt idx="62">
                  <c:v>6.0730998309364344</c:v>
                </c:pt>
                <c:pt idx="63">
                  <c:v>6.0943247956128968</c:v>
                </c:pt>
                <c:pt idx="64">
                  <c:v>6.1143376619562551</c:v>
                </c:pt>
                <c:pt idx="65">
                  <c:v>6.1331730972357281</c:v>
                </c:pt>
                <c:pt idx="66">
                  <c:v>6.1508648340027641</c:v>
                </c:pt>
                <c:pt idx="67">
                  <c:v>6.1674456951069541</c:v>
                </c:pt>
                <c:pt idx="68">
                  <c:v>6.1829476180431042</c:v>
                </c:pt>
                <c:pt idx="69">
                  <c:v>6.1974016786473243</c:v>
                </c:pt>
                <c:pt idx="70">
                  <c:v>6.2108381141595537</c:v>
                </c:pt>
                <c:pt idx="71">
                  <c:v>6.2232863456694512</c:v>
                </c:pt>
                <c:pt idx="72">
                  <c:v>6.2347749999621414</c:v>
                </c:pt>
                <c:pt idx="73">
                  <c:v>6.2453319307798552</c:v>
                </c:pt>
                <c:pt idx="74">
                  <c:v>6.254984239515081</c:v>
                </c:pt>
                <c:pt idx="75">
                  <c:v>6.2637582953504332</c:v>
                </c:pt>
                <c:pt idx="76">
                  <c:v>6.2716797548600125</c:v>
                </c:pt>
                <c:pt idx="77">
                  <c:v>6.2787735810866714</c:v>
                </c:pt>
                <c:pt idx="78">
                  <c:v>6.2850640621091838</c:v>
                </c:pt>
                <c:pt idx="79">
                  <c:v>6.2905748291129671</c:v>
                </c:pt>
                <c:pt idx="80">
                  <c:v>6.2953288739776134</c:v>
                </c:pt>
                <c:pt idx="81">
                  <c:v>6.2993485663941637</c:v>
                </c:pt>
                <c:pt idx="82">
                  <c:v>6.3026556705246808</c:v>
                </c:pt>
                <c:pt idx="83">
                  <c:v>6.3052713612163744</c:v>
                </c:pt>
                <c:pt idx="84">
                  <c:v>6.3072162397821767</c:v>
                </c:pt>
                <c:pt idx="85">
                  <c:v>6.3085103493593495</c:v>
                </c:pt>
                <c:pt idx="86">
                  <c:v>6.3091731898574315</c:v>
                </c:pt>
                <c:pt idx="87">
                  <c:v>6.3092237325064717</c:v>
                </c:pt>
                <c:pt idx="88">
                  <c:v>6.3086804340162628</c:v>
                </c:pt>
                <c:pt idx="89">
                  <c:v>6.3075612503569536</c:v>
                </c:pt>
                <c:pt idx="90">
                  <c:v>6.3058836501711752</c:v>
                </c:pt>
                <c:pt idx="91">
                  <c:v>6.3036646278275228</c:v>
                </c:pt>
                <c:pt idx="92">
                  <c:v>6.3009207161249945</c:v>
                </c:pt>
                <c:pt idx="93">
                  <c:v>6.297667998657702</c:v>
                </c:pt>
                <c:pt idx="94">
                  <c:v>6.2939221218489472</c:v>
                </c:pt>
                <c:pt idx="95">
                  <c:v>6.2896983066634977</c:v>
                </c:pt>
                <c:pt idx="96">
                  <c:v>6.2850113600066724</c:v>
                </c:pt>
                <c:pt idx="97">
                  <c:v>6.279875685818598</c:v>
                </c:pt>
                <c:pt idx="98">
                  <c:v>6.2743052958717955</c:v>
                </c:pt>
                <c:pt idx="99">
                  <c:v>6.2683138202800235</c:v>
                </c:pt>
                <c:pt idx="100">
                  <c:v>6.2619145177261002</c:v>
                </c:pt>
                <c:pt idx="101">
                  <c:v>6.255120285416214</c:v>
                </c:pt>
                <c:pt idx="102">
                  <c:v>6.2479436687680421</c:v>
                </c:pt>
                <c:pt idx="103">
                  <c:v>6.2403968708397777</c:v>
                </c:pt>
                <c:pt idx="104">
                  <c:v>6.2324917615070099</c:v>
                </c:pt>
                <c:pt idx="105">
                  <c:v>6.224201069438311</c:v>
                </c:pt>
                <c:pt idx="106">
                  <c:v>6.2155749624646939</c:v>
                </c:pt>
                <c:pt idx="107">
                  <c:v>6.2066243691720633</c:v>
                </c:pt>
                <c:pt idx="108">
                  <c:v>6.1973599190293465</c:v>
                </c:pt>
                <c:pt idx="109">
                  <c:v>6.1877919504109284</c:v>
                </c:pt>
                <c:pt idx="110">
                  <c:v>6.1779305184044677</c:v>
                </c:pt>
                <c:pt idx="111">
                  <c:v>6.1677854024098675</c:v>
                </c:pt>
                <c:pt idx="112">
                  <c:v>6.1573661135349651</c:v>
                </c:pt>
                <c:pt idx="113">
                  <c:v>6.1466819017933787</c:v>
                </c:pt>
                <c:pt idx="114">
                  <c:v>6.1357417631098086</c:v>
                </c:pt>
                <c:pt idx="115">
                  <c:v>6.1245544461379398</c:v>
                </c:pt>
                <c:pt idx="116">
                  <c:v>6.1131284588959494</c:v>
                </c:pt>
                <c:pt idx="117">
                  <c:v>6.1014720752245069</c:v>
                </c:pt>
                <c:pt idx="118">
                  <c:v>6.0895933410720078</c:v>
                </c:pt>
                <c:pt idx="119">
                  <c:v>6.0775000806116619</c:v>
                </c:pt>
                <c:pt idx="120">
                  <c:v>6.0651999021949319</c:v>
                </c:pt>
                <c:pt idx="121">
                  <c:v>6.0527002041457019</c:v>
                </c:pt>
                <c:pt idx="122">
                  <c:v>6.0400081803994281</c:v>
                </c:pt>
                <c:pt idx="123">
                  <c:v>6.0271308259914242</c:v>
                </c:pt>
                <c:pt idx="124">
                  <c:v>6.0140749423983157</c:v>
                </c:pt>
                <c:pt idx="125">
                  <c:v>6.0008471427365784</c:v>
                </c:pt>
                <c:pt idx="126">
                  <c:v>5.9874538568219986</c:v>
                </c:pt>
                <c:pt idx="127">
                  <c:v>5.9739013360937641</c:v>
                </c:pt>
                <c:pt idx="128">
                  <c:v>5.9601956584068052</c:v>
                </c:pt>
                <c:pt idx="129">
                  <c:v>5.9463427326959186</c:v>
                </c:pt>
                <c:pt idx="130">
                  <c:v>5.9323483035150932</c:v>
                </c:pt>
                <c:pt idx="131">
                  <c:v>5.9182179554553764</c:v>
                </c:pt>
                <c:pt idx="132">
                  <c:v>5.9039571174445342</c:v>
                </c:pt>
                <c:pt idx="133">
                  <c:v>5.8895710669316612</c:v>
                </c:pt>
                <c:pt idx="134">
                  <c:v>5.8750649339598189</c:v>
                </c:pt>
                <c:pt idx="135">
                  <c:v>5.8604437051296978</c:v>
                </c:pt>
                <c:pt idx="136">
                  <c:v>5.8457122274572146</c:v>
                </c:pt>
                <c:pt idx="137">
                  <c:v>5.8308752121278822</c:v>
                </c:pt>
                <c:pt idx="138">
                  <c:v>5.8159372381507124</c:v>
                </c:pt>
                <c:pt idx="139">
                  <c:v>5.8009027559143451</c:v>
                </c:pt>
                <c:pt idx="140">
                  <c:v>5.7857760906480058</c:v>
                </c:pt>
                <c:pt idx="141">
                  <c:v>5.7705614457898431</c:v>
                </c:pt>
                <c:pt idx="142">
                  <c:v>5.755262906265127</c:v>
                </c:pt>
                <c:pt idx="143">
                  <c:v>5.739884441676713</c:v>
                </c:pt>
                <c:pt idx="144">
                  <c:v>5.7244299094101185</c:v>
                </c:pt>
                <c:pt idx="145">
                  <c:v>5.7089030576554967</c:v>
                </c:pt>
                <c:pt idx="146">
                  <c:v>5.6933075283487327</c:v>
                </c:pt>
                <c:pt idx="147">
                  <c:v>5.6776468600338195</c:v>
                </c:pt>
                <c:pt idx="148">
                  <c:v>5.6619244906486186</c:v>
                </c:pt>
                <c:pt idx="149">
                  <c:v>5.6461437602360656</c:v>
                </c:pt>
                <c:pt idx="150">
                  <c:v>5.6303079135827954</c:v>
                </c:pt>
                <c:pt idx="151">
                  <c:v>5.6144201027871485</c:v>
                </c:pt>
                <c:pt idx="152">
                  <c:v>5.5984833897584272</c:v>
                </c:pt>
                <c:pt idx="153">
                  <c:v>5.5825007486492604</c:v>
                </c:pt>
                <c:pt idx="154">
                  <c:v>5.5664750682228492</c:v>
                </c:pt>
                <c:pt idx="155">
                  <c:v>5.5504091541568412</c:v>
                </c:pt>
                <c:pt idx="156">
                  <c:v>5.5343057312855315</c:v>
                </c:pt>
                <c:pt idx="157">
                  <c:v>5.5181287141534892</c:v>
                </c:pt>
                <c:pt idx="158">
                  <c:v>5.501919643950905</c:v>
                </c:pt>
                <c:pt idx="159">
                  <c:v>5.4856810160404805</c:v>
                </c:pt>
                <c:pt idx="160">
                  <c:v>5.469415253269803</c:v>
                </c:pt>
                <c:pt idx="161">
                  <c:v>5.4531247079311935</c:v>
                </c:pt>
                <c:pt idx="162">
                  <c:v>5.4368116636690687</c:v>
                </c:pt>
                <c:pt idx="163">
                  <c:v>5.4204783373362098</c:v>
                </c:pt>
                <c:pt idx="164">
                  <c:v>5.4041268808003178</c:v>
                </c:pt>
                <c:pt idx="165">
                  <c:v>5.3877593827021792</c:v>
                </c:pt>
                <c:pt idx="166">
                  <c:v>5.3713778701667332</c:v>
                </c:pt>
                <c:pt idx="167">
                  <c:v>5.354984310468307</c:v>
                </c:pt>
                <c:pt idx="168">
                  <c:v>5.338580612651243</c:v>
                </c:pt>
                <c:pt idx="169">
                  <c:v>5.3221686291071064</c:v>
                </c:pt>
                <c:pt idx="170">
                  <c:v>5.305750157109645</c:v>
                </c:pt>
                <c:pt idx="171">
                  <c:v>5.2893269403086194</c:v>
                </c:pt>
                <c:pt idx="172">
                  <c:v>5.2729006701836134</c:v>
                </c:pt>
                <c:pt idx="173">
                  <c:v>5.2564729874588902</c:v>
                </c:pt>
                <c:pt idx="174">
                  <c:v>5.2400454834803396</c:v>
                </c:pt>
                <c:pt idx="175">
                  <c:v>5.223619701555525</c:v>
                </c:pt>
                <c:pt idx="176">
                  <c:v>5.2071971382578255</c:v>
                </c:pt>
                <c:pt idx="177">
                  <c:v>5.1907792446956265</c:v>
                </c:pt>
                <c:pt idx="178">
                  <c:v>5.1743674277474998</c:v>
                </c:pt>
                <c:pt idx="179">
                  <c:v>5.1579630512642725</c:v>
                </c:pt>
                <c:pt idx="180">
                  <c:v>5.1415674372388871</c:v>
                </c:pt>
                <c:pt idx="181">
                  <c:v>5.1251818669448985</c:v>
                </c:pt>
                <c:pt idx="182">
                  <c:v>5.1088075820444594</c:v>
                </c:pt>
                <c:pt idx="183">
                  <c:v>5.0924457856665981</c:v>
                </c:pt>
                <c:pt idx="184">
                  <c:v>5.0760976434565981</c:v>
                </c:pt>
                <c:pt idx="185">
                  <c:v>5.0597642845972359</c:v>
                </c:pt>
                <c:pt idx="186">
                  <c:v>5.0434468028026451</c:v>
                </c:pt>
                <c:pt idx="187">
                  <c:v>5.0271462572855343</c:v>
                </c:pt>
                <c:pt idx="188">
                  <c:v>5.0108636736984611</c:v>
                </c:pt>
                <c:pt idx="189">
                  <c:v>4.9946000450498786</c:v>
                </c:pt>
                <c:pt idx="190">
                  <c:v>4.9783563325956024</c:v>
                </c:pt>
                <c:pt idx="191">
                  <c:v>4.9621334667063781</c:v>
                </c:pt>
                <c:pt idx="192">
                  <c:v>4.9459323477121808</c:v>
                </c:pt>
                <c:pt idx="193">
                  <c:v>4.9297538467238642</c:v>
                </c:pt>
                <c:pt idx="194">
                  <c:v>4.9135988064327725</c:v>
                </c:pt>
                <c:pt idx="195">
                  <c:v>4.8974680418888994</c:v>
                </c:pt>
                <c:pt idx="196">
                  <c:v>4.881362341258173</c:v>
                </c:pt>
                <c:pt idx="197">
                  <c:v>4.8652824665594245</c:v>
                </c:pt>
                <c:pt idx="198">
                  <c:v>4.849229154381578</c:v>
                </c:pt>
                <c:pt idx="199">
                  <c:v>4.8332031165815987</c:v>
                </c:pt>
                <c:pt idx="200">
                  <c:v>4.817205040963711</c:v>
                </c:pt>
                <c:pt idx="201">
                  <c:v>4.801235591940384</c:v>
                </c:pt>
                <c:pt idx="202">
                  <c:v>4.785295411175583</c:v>
                </c:pt>
                <c:pt idx="203">
                  <c:v>4.769385118210745</c:v>
                </c:pt>
                <c:pt idx="204">
                  <c:v>4.7535053110739591</c:v>
                </c:pt>
                <c:pt idx="205">
                  <c:v>4.7376565668727864</c:v>
                </c:pt>
                <c:pt idx="206">
                  <c:v>4.7218394423711647</c:v>
                </c:pt>
                <c:pt idx="207">
                  <c:v>4.7060544745508217</c:v>
                </c:pt>
                <c:pt idx="208">
                  <c:v>4.6903021811576124</c:v>
                </c:pt>
                <c:pt idx="209">
                  <c:v>4.6745484211738031</c:v>
                </c:pt>
                <c:pt idx="210">
                  <c:v>4.6588285593699972</c:v>
                </c:pt>
                <c:pt idx="211">
                  <c:v>4.6431430577801986</c:v>
                </c:pt>
                <c:pt idx="212">
                  <c:v>4.6274923612423029</c:v>
                </c:pt>
                <c:pt idx="213">
                  <c:v>4.6118768978752325</c:v>
                </c:pt>
                <c:pt idx="214">
                  <c:v>4.5962970795432412</c:v>
                </c:pt>
                <c:pt idx="215">
                  <c:v>4.5807533023077394</c:v>
                </c:pt>
                <c:pt idx="216">
                  <c:v>4.5652459468669697</c:v>
                </c:pt>
                <c:pt idx="217">
                  <c:v>4.5497753789838624</c:v>
                </c:pt>
                <c:pt idx="218">
                  <c:v>4.5343419499023803</c:v>
                </c:pt>
                <c:pt idx="219">
                  <c:v>4.5189459967526719</c:v>
                </c:pt>
                <c:pt idx="220">
                  <c:v>4.5035878429453211</c:v>
                </c:pt>
                <c:pt idx="221">
                  <c:v>4.4882677985549968</c:v>
                </c:pt>
                <c:pt idx="222">
                  <c:v>4.4729861606937691</c:v>
                </c:pt>
                <c:pt idx="223">
                  <c:v>4.4577432138743918</c:v>
                </c:pt>
                <c:pt idx="224">
                  <c:v>4.4425392303638001</c:v>
                </c:pt>
                <c:pt idx="225">
                  <c:v>4.4273744705270976</c:v>
                </c:pt>
                <c:pt idx="226">
                  <c:v>4.4122491831622748</c:v>
                </c:pt>
                <c:pt idx="227">
                  <c:v>4.3971636058259271</c:v>
                </c:pt>
                <c:pt idx="228">
                  <c:v>4.3821179651501891</c:v>
                </c:pt>
                <c:pt idx="229">
                  <c:v>4.367112477151144</c:v>
                </c:pt>
                <c:pt idx="230">
                  <c:v>4.3521473475289163</c:v>
                </c:pt>
                <c:pt idx="231">
                  <c:v>4.3372227719596799</c:v>
                </c:pt>
                <c:pt idx="232">
                  <c:v>4.3223389363798077</c:v>
                </c:pt>
                <c:pt idx="233">
                  <c:v>4.3074960172623467</c:v>
                </c:pt>
                <c:pt idx="234">
                  <c:v>4.2926941818860529</c:v>
                </c:pt>
                <c:pt idx="235">
                  <c:v>4.2779335885971674</c:v>
                </c:pt>
                <c:pt idx="236">
                  <c:v>4.2632143870641359</c:v>
                </c:pt>
                <c:pt idx="237">
                  <c:v>4.2485367185254521</c:v>
                </c:pt>
                <c:pt idx="238">
                  <c:v>4.2339007160308251</c:v>
                </c:pt>
                <c:pt idx="239">
                  <c:v>4.2193065046758296</c:v>
                </c:pt>
                <c:pt idx="240">
                  <c:v>4.2047542018302275</c:v>
                </c:pt>
                <c:pt idx="241">
                  <c:v>4.1902439173601307</c:v>
                </c:pt>
                <c:pt idx="242">
                  <c:v>4.1757757538441558</c:v>
                </c:pt>
                <c:pt idx="243">
                  <c:v>4.1613498067837495</c:v>
                </c:pt>
                <c:pt idx="244">
                  <c:v>4.1469661648078331</c:v>
                </c:pt>
                <c:pt idx="245">
                  <c:v>4.132624909871911</c:v>
                </c:pt>
                <c:pt idx="246">
                  <c:v>4.1183261174518035</c:v>
                </c:pt>
                <c:pt idx="247">
                  <c:v>4.1040698567321474</c:v>
                </c:pt>
                <c:pt idx="248">
                  <c:v>4.0898561907897877</c:v>
                </c:pt>
                <c:pt idx="249">
                  <c:v>4.0756851767722209</c:v>
                </c:pt>
                <c:pt idx="250">
                  <c:v>4.0615568660712071</c:v>
                </c:pt>
                <c:pt idx="251">
                  <c:v>4.0474713044916859</c:v>
                </c:pt>
                <c:pt idx="252">
                  <c:v>4.0334285324161163</c:v>
                </c:pt>
                <c:pt idx="253">
                  <c:v>4.0194285849643707</c:v>
                </c:pt>
                <c:pt idx="254">
                  <c:v>4.0054714921493035</c:v>
                </c:pt>
                <c:pt idx="255">
                  <c:v>3.9915572790280924</c:v>
                </c:pt>
                <c:pt idx="256">
                  <c:v>3.9776859658494947</c:v>
                </c:pt>
                <c:pt idx="257">
                  <c:v>3.9638575681971</c:v>
                </c:pt>
                <c:pt idx="258">
                  <c:v>3.9500720971287051</c:v>
                </c:pt>
                <c:pt idx="259">
                  <c:v>3.9363295593119059</c:v>
                </c:pt>
                <c:pt idx="260">
                  <c:v>3.9226299571560133</c:v>
                </c:pt>
                <c:pt idx="261">
                  <c:v>3.9091672222590872</c:v>
                </c:pt>
                <c:pt idx="262">
                  <c:v>3.8959657620440842</c:v>
                </c:pt>
                <c:pt idx="263">
                  <c:v>3.8830186916198608</c:v>
                </c:pt>
                <c:pt idx="264">
                  <c:v>3.8703193102266948</c:v>
                </c:pt>
                <c:pt idx="265">
                  <c:v>3.8578610963088478</c:v>
                </c:pt>
                <c:pt idx="266">
                  <c:v>3.8456377027189954</c:v>
                </c:pt>
                <c:pt idx="267">
                  <c:v>3.8336429520509903</c:v>
                </c:pt>
                <c:pt idx="268">
                  <c:v>3.8218708320975234</c:v>
                </c:pt>
                <c:pt idx="269">
                  <c:v>3.8103154914293498</c:v>
                </c:pt>
                <c:pt idx="270">
                  <c:v>3.7989712350928091</c:v>
                </c:pt>
                <c:pt idx="271">
                  <c:v>3.7878325204224952</c:v>
                </c:pt>
                <c:pt idx="272">
                  <c:v>3.7768939529659762</c:v>
                </c:pt>
                <c:pt idx="273">
                  <c:v>3.7661502825175752</c:v>
                </c:pt>
                <c:pt idx="274">
                  <c:v>3.7555963992582946</c:v>
                </c:pt>
                <c:pt idx="275">
                  <c:v>3.7452273299990351</c:v>
                </c:pt>
                <c:pt idx="276">
                  <c:v>3.7350382345243522</c:v>
                </c:pt>
                <c:pt idx="277">
                  <c:v>3.7250244020340593</c:v>
                </c:pt>
                <c:pt idx="278">
                  <c:v>3.7151812476800563</c:v>
                </c:pt>
                <c:pt idx="279">
                  <c:v>3.7055043091958342</c:v>
                </c:pt>
                <c:pt idx="280">
                  <c:v>3.6959892436161819</c:v>
                </c:pt>
                <c:pt idx="281">
                  <c:v>3.6866318240846714</c:v>
                </c:pt>
                <c:pt idx="282">
                  <c:v>3.6774279367465854</c:v>
                </c:pt>
                <c:pt idx="283">
                  <c:v>3.6683735777249877</c:v>
                </c:pt>
                <c:pt idx="284">
                  <c:v>3.6594648501777183</c:v>
                </c:pt>
                <c:pt idx="285">
                  <c:v>3.6506979614331492</c:v>
                </c:pt>
                <c:pt idx="286">
                  <c:v>3.6420692202025853</c:v>
                </c:pt>
                <c:pt idx="287">
                  <c:v>3.6335750338672712</c:v>
                </c:pt>
                <c:pt idx="288">
                  <c:v>3.625211905837995</c:v>
                </c:pt>
                <c:pt idx="289">
                  <c:v>3.6169764329853522</c:v>
                </c:pt>
                <c:pt idx="290">
                  <c:v>3.6088653031387827</c:v>
                </c:pt>
                <c:pt idx="291">
                  <c:v>3.6008752926525318</c:v>
                </c:pt>
                <c:pt idx="292">
                  <c:v>3.5930032640367506</c:v>
                </c:pt>
                <c:pt idx="293">
                  <c:v>3.5852461636519912</c:v>
                </c:pt>
                <c:pt idx="294">
                  <c:v>3.5776010194653973</c:v>
                </c:pt>
                <c:pt idx="295">
                  <c:v>3.5700649388669454</c:v>
                </c:pt>
                <c:pt idx="296">
                  <c:v>3.5626351065441195</c:v>
                </c:pt>
                <c:pt idx="297">
                  <c:v>3.5553087824134688</c:v>
                </c:pt>
                <c:pt idx="298">
                  <c:v>3.5480832996075145</c:v>
                </c:pt>
                <c:pt idx="299">
                  <c:v>3.5409560625155296</c:v>
                </c:pt>
                <c:pt idx="300">
                  <c:v>3.533924544876752</c:v>
                </c:pt>
                <c:pt idx="301">
                  <c:v>3.5269862879246205</c:v>
                </c:pt>
                <c:pt idx="302">
                  <c:v>3.5201388985806794</c:v>
                </c:pt>
                <c:pt idx="303">
                  <c:v>3.5133800476968098</c:v>
                </c:pt>
                <c:pt idx="304">
                  <c:v>3.5067074683445045</c:v>
                </c:pt>
                <c:pt idx="305">
                  <c:v>3.5001189541499218</c:v>
                </c:pt>
                <c:pt idx="306">
                  <c:v>3.4936123576734963</c:v>
                </c:pt>
                <c:pt idx="307">
                  <c:v>3.4871855888329115</c:v>
                </c:pt>
                <c:pt idx="308">
                  <c:v>3.4808366133682775</c:v>
                </c:pt>
                <c:pt idx="309">
                  <c:v>3.4745634513483785</c:v>
                </c:pt>
                <c:pt idx="310">
                  <c:v>3.4683641757168995</c:v>
                </c:pt>
                <c:pt idx="311">
                  <c:v>3.4622369108775528</c:v>
                </c:pt>
                <c:pt idx="312">
                  <c:v>3.4561798313170708</c:v>
                </c:pt>
                <c:pt idx="313">
                  <c:v>3.450162555697001</c:v>
                </c:pt>
                <c:pt idx="314">
                  <c:v>3.4442120675286354</c:v>
                </c:pt>
                <c:pt idx="315">
                  <c:v>3.4383266817463944</c:v>
                </c:pt>
                <c:pt idx="316">
                  <c:v>3.4325047582804844</c:v>
                </c:pt>
                <c:pt idx="317">
                  <c:v>3.426744700852518</c:v>
                </c:pt>
                <c:pt idx="318">
                  <c:v>3.4210449558033789</c:v>
                </c:pt>
                <c:pt idx="319">
                  <c:v>3.4154040109524577</c:v>
                </c:pt>
                <c:pt idx="320">
                  <c:v>3.4098203944874301</c:v>
                </c:pt>
                <c:pt idx="321">
                  <c:v>3.4042926738837531</c:v>
                </c:pt>
                <c:pt idx="322">
                  <c:v>3.3988194548530828</c:v>
                </c:pt>
                <c:pt idx="323">
                  <c:v>3.3933993803198463</c:v>
                </c:pt>
                <c:pt idx="324">
                  <c:v>3.3880311294252063</c:v>
                </c:pt>
                <c:pt idx="325">
                  <c:v>3.3827134165576909</c:v>
                </c:pt>
                <c:pt idx="326">
                  <c:v>3.3774449904097703</c:v>
                </c:pt>
                <c:pt idx="327">
                  <c:v>3.372224633059691</c:v>
                </c:pt>
                <c:pt idx="328">
                  <c:v>3.3670511590778855</c:v>
                </c:pt>
                <c:pt idx="329">
                  <c:v>3.3619234146573036</c:v>
                </c:pt>
                <c:pt idx="330">
                  <c:v>3.3568402767670253</c:v>
                </c:pt>
                <c:pt idx="331">
                  <c:v>3.351800652328528</c:v>
                </c:pt>
                <c:pt idx="332">
                  <c:v>3.3468034774140056</c:v>
                </c:pt>
                <c:pt idx="333">
                  <c:v>3.3418477164661491</c:v>
                </c:pt>
                <c:pt idx="334">
                  <c:v>3.3369323615388118</c:v>
                </c:pt>
                <c:pt idx="335">
                  <c:v>3.3320564315579984</c:v>
                </c:pt>
                <c:pt idx="336">
                  <c:v>3.3272189716026426</c:v>
                </c:pt>
                <c:pt idx="337">
                  <c:v>3.3224190522046313</c:v>
                </c:pt>
                <c:pt idx="338">
                  <c:v>3.3176557686675707</c:v>
                </c:pt>
                <c:pt idx="339">
                  <c:v>3.312928240403787</c:v>
                </c:pt>
                <c:pt idx="340">
                  <c:v>3.3082356102890751</c:v>
                </c:pt>
                <c:pt idx="341">
                  <c:v>3.3035770440347192</c:v>
                </c:pt>
                <c:pt idx="342">
                  <c:v>3.2989517295763249</c:v>
                </c:pt>
                <c:pt idx="343">
                  <c:v>3.2943588764790102</c:v>
                </c:pt>
                <c:pt idx="344">
                  <c:v>3.2897977153585214</c:v>
                </c:pt>
                <c:pt idx="345">
                  <c:v>3.2852674973178422</c:v>
                </c:pt>
                <c:pt idx="346">
                  <c:v>3.2807674933988862</c:v>
                </c:pt>
                <c:pt idx="347">
                  <c:v>3.2762969940488658</c:v>
                </c:pt>
                <c:pt idx="348">
                  <c:v>3.2718553086009461</c:v>
                </c:pt>
                <c:pt idx="349">
                  <c:v>3.2674417647688041</c:v>
                </c:pt>
                <c:pt idx="350">
                  <c:v>3.2630557081547114</c:v>
                </c:pt>
                <c:pt idx="351">
                  <c:v>3.2586965017707916</c:v>
                </c:pt>
                <c:pt idx="352">
                  <c:v>3.2543635255730896</c:v>
                </c:pt>
                <c:pt idx="353">
                  <c:v>3.2500561760081137</c:v>
                </c:pt>
                <c:pt idx="354">
                  <c:v>3.2457738655715178</c:v>
                </c:pt>
                <c:pt idx="355">
                  <c:v>3.2415160223785957</c:v>
                </c:pt>
                <c:pt idx="356">
                  <c:v>3.2372820897462726</c:v>
                </c:pt>
                <c:pt idx="357">
                  <c:v>3.2330715257862881</c:v>
                </c:pt>
                <c:pt idx="358">
                  <c:v>3.2288838030092668</c:v>
                </c:pt>
                <c:pt idx="359">
                  <c:v>3.2247184079393891</c:v>
                </c:pt>
                <c:pt idx="360">
                  <c:v>3.2205748407393759</c:v>
                </c:pt>
                <c:pt idx="361">
                  <c:v>3.2164526148455148</c:v>
                </c:pt>
                <c:pt idx="362">
                  <c:v>3.2123512566124499</c:v>
                </c:pt>
                <c:pt idx="363">
                  <c:v>3.2082703049674883</c:v>
                </c:pt>
                <c:pt idx="364">
                  <c:v>3.2042093110741527</c:v>
                </c:pt>
                <c:pt idx="365">
                  <c:v>3.2001391025044392</c:v>
                </c:pt>
                <c:pt idx="366">
                  <c:v>3.196088071983322</c:v>
                </c:pt>
                <c:pt idx="367">
                  <c:v>3.1920558046571994</c:v>
                </c:pt>
                <c:pt idx="368">
                  <c:v>3.188041896672932</c:v>
                </c:pt>
                <c:pt idx="369">
                  <c:v>3.184045954883393</c:v>
                </c:pt>
                <c:pt idx="370">
                  <c:v>3.1800675965609013</c:v>
                </c:pt>
                <c:pt idx="371">
                  <c:v>3.1761064491183308</c:v>
                </c:pt>
                <c:pt idx="372">
                  <c:v>3.1721621498376851</c:v>
                </c:pt>
                <c:pt idx="373">
                  <c:v>3.1682343456059421</c:v>
                </c:pt>
                <c:pt idx="374">
                  <c:v>3.1643226926579708</c:v>
                </c:pt>
                <c:pt idx="375">
                  <c:v>3.1604268563263327</c:v>
                </c:pt>
                <c:pt idx="376">
                  <c:v>3.1565465107977828</c:v>
                </c:pt>
                <c:pt idx="377">
                  <c:v>3.1526813388762909</c:v>
                </c:pt>
                <c:pt idx="378">
                  <c:v>3.1488310317524091</c:v>
                </c:pt>
                <c:pt idx="379">
                  <c:v>3.144995288778814</c:v>
                </c:pt>
                <c:pt idx="380">
                  <c:v>3.1411738172518588</c:v>
                </c:pt>
                <c:pt idx="381">
                  <c:v>3.1373663321989778</c:v>
                </c:pt>
                <c:pt idx="382">
                  <c:v>3.1335725561717789</c:v>
                </c:pt>
                <c:pt idx="383">
                  <c:v>3.1297922190446825</c:v>
                </c:pt>
                <c:pt idx="384">
                  <c:v>3.1260250578189468</c:v>
                </c:pt>
                <c:pt idx="385">
                  <c:v>3.1222708164319428</c:v>
                </c:pt>
                <c:pt idx="386">
                  <c:v>3.1185292455715388</c:v>
                </c:pt>
                <c:pt idx="387">
                  <c:v>3.1148001024954501</c:v>
                </c:pt>
                <c:pt idx="388">
                  <c:v>3.1110831508554315</c:v>
                </c:pt>
                <c:pt idx="389">
                  <c:v>3.1073781605261726</c:v>
                </c:pt>
                <c:pt idx="390">
                  <c:v>3.1036849074387791</c:v>
                </c:pt>
                <c:pt idx="391">
                  <c:v>3.1000031734187088</c:v>
                </c:pt>
                <c:pt idx="392">
                  <c:v>3.0963327460280516</c:v>
                </c:pt>
                <c:pt idx="393">
                  <c:v>3.0926734184120286</c:v>
                </c:pt>
                <c:pt idx="394">
                  <c:v>3.0890249891496038</c:v>
                </c:pt>
                <c:pt idx="395">
                  <c:v>3.0853872621080964</c:v>
                </c:pt>
                <c:pt idx="396">
                  <c:v>3.0817600463016852</c:v>
                </c:pt>
                <c:pt idx="397">
                  <c:v>3.0781431557537005</c:v>
                </c:pt>
                <c:pt idx="398">
                  <c:v>3.0745364093626071</c:v>
                </c:pt>
                <c:pt idx="399">
                  <c:v>3.0709396307715719</c:v>
                </c:pt>
                <c:pt idx="400">
                  <c:v>3.0673526482415272</c:v>
                </c:pt>
                <c:pt idx="401">
                  <c:v>3.0637752945276295</c:v>
                </c:pt>
                <c:pt idx="402">
                  <c:v>3.060207406759031</c:v>
                </c:pt>
                <c:pt idx="403">
                  <c:v>3.056648826321867</c:v>
                </c:pt>
                <c:pt idx="404">
                  <c:v>3.0530993987453767</c:v>
                </c:pt>
                <c:pt idx="405">
                  <c:v>3.0495589735910742</c:v>
                </c:pt>
                <c:pt idx="406">
                  <c:v>3.0460274043448878</c:v>
                </c:pt>
                <c:pt idx="407">
                  <c:v>3.042504548312186</c:v>
                </c:pt>
                <c:pt idx="408">
                  <c:v>3.0389902665156159</c:v>
                </c:pt>
                <c:pt idx="409">
                  <c:v>3.0354844235956739</c:v>
                </c:pt>
                <c:pt idx="410">
                  <c:v>3.0319868877139449</c:v>
                </c:pt>
                <c:pt idx="411">
                  <c:v>3.028497530458925</c:v>
                </c:pt>
                <c:pt idx="412">
                  <c:v>3.0250162267543721</c:v>
                </c:pt>
                <c:pt idx="413">
                  <c:v>3.0215428547701064</c:v>
                </c:pt>
                <c:pt idx="414">
                  <c:v>3.0180772958352029</c:v>
                </c:pt>
                <c:pt idx="415">
                  <c:v>3.0146194343535044</c:v>
                </c:pt>
                <c:pt idx="416">
                  <c:v>3.0111691577214006</c:v>
                </c:pt>
                <c:pt idx="417">
                  <c:v>3.007696384096509</c:v>
                </c:pt>
                <c:pt idx="418">
                  <c:v>3.0042310580948013</c:v>
                </c:pt>
                <c:pt idx="419">
                  <c:v>3.0007730750943638</c:v>
                </c:pt>
                <c:pt idx="420">
                  <c:v>2.9973223331706587</c:v>
                </c:pt>
                <c:pt idx="421">
                  <c:v>2.9938787330243848</c:v>
                </c:pt>
                <c:pt idx="422">
                  <c:v>2.9904421779112709</c:v>
                </c:pt>
                <c:pt idx="423">
                  <c:v>2.9870125735737467</c:v>
                </c:pt>
                <c:pt idx="424">
                  <c:v>2.9835898281744497</c:v>
                </c:pt>
                <c:pt idx="425">
                  <c:v>2.9801738522315069</c:v>
                </c:pt>
                <c:pt idx="426">
                  <c:v>2.976764558555554</c:v>
                </c:pt>
                <c:pt idx="427">
                  <c:v>2.9733618621884403</c:v>
                </c:pt>
                <c:pt idx="428">
                  <c:v>2.9699656803435754</c:v>
                </c:pt>
                <c:pt idx="429">
                  <c:v>2.9665759323478733</c:v>
                </c:pt>
                <c:pt idx="430">
                  <c:v>2.9631925395852536</c:v>
                </c:pt>
                <c:pt idx="431">
                  <c:v>2.9598154254416533</c:v>
                </c:pt>
                <c:pt idx="432">
                  <c:v>2.9564445152515129</c:v>
                </c:pt>
                <c:pt idx="433">
                  <c:v>2.9530797362456958</c:v>
                </c:pt>
                <c:pt idx="434">
                  <c:v>2.9497210175008033</c:v>
                </c:pt>
                <c:pt idx="435">
                  <c:v>2.9463682898898451</c:v>
                </c:pt>
                <c:pt idx="436">
                  <c:v>2.9430214860342345</c:v>
                </c:pt>
                <c:pt idx="437">
                  <c:v>2.9396805402570654</c:v>
                </c:pt>
                <c:pt idx="438">
                  <c:v>2.9363453885376436</c:v>
                </c:pt>
                <c:pt idx="439">
                  <c:v>2.9330159684672354</c:v>
                </c:pt>
                <c:pt idx="440">
                  <c:v>2.9296922192060002</c:v>
                </c:pt>
                <c:pt idx="441">
                  <c:v>2.9263740814410801</c:v>
                </c:pt>
                <c:pt idx="442">
                  <c:v>2.9230614973458069</c:v>
                </c:pt>
                <c:pt idx="443">
                  <c:v>2.9197544105400048</c:v>
                </c:pt>
                <c:pt idx="444">
                  <c:v>2.9164527660513575</c:v>
                </c:pt>
                <c:pt idx="445">
                  <c:v>2.9131565102778079</c:v>
                </c:pt>
                <c:pt idx="446">
                  <c:v>2.9098655909509645</c:v>
                </c:pt>
                <c:pt idx="447">
                  <c:v>2.9065799571004911</c:v>
                </c:pt>
                <c:pt idx="448">
                  <c:v>2.9032995590194464</c:v>
                </c:pt>
                <c:pt idx="449">
                  <c:v>2.9000243482305539</c:v>
                </c:pt>
                <c:pt idx="450">
                  <c:v>2.8967542774533754</c:v>
                </c:pt>
                <c:pt idx="451">
                  <c:v>2.8934893005723636</c:v>
                </c:pt>
                <c:pt idx="452">
                  <c:v>2.8902293726057704</c:v>
                </c:pt>
                <c:pt idx="453">
                  <c:v>2.8869744496753862</c:v>
                </c:pt>
                <c:pt idx="454">
                  <c:v>2.883724488977093</c:v>
                </c:pt>
                <c:pt idx="455">
                  <c:v>2.8804794487522032</c:v>
                </c:pt>
                <c:pt idx="456">
                  <c:v>2.8772392882595672</c:v>
                </c:pt>
                <c:pt idx="457">
                  <c:v>2.874003967748429</c:v>
                </c:pt>
                <c:pt idx="458">
                  <c:v>2.8707734484320064</c:v>
                </c:pt>
                <c:pt idx="459">
                  <c:v>2.8675476924617822</c:v>
                </c:pt>
                <c:pt idx="460">
                  <c:v>2.8643266629024793</c:v>
                </c:pt>
                <c:pt idx="461">
                  <c:v>2.8611103237077118</c:v>
                </c:pt>
                <c:pt idx="462">
                  <c:v>2.8578986396962822</c:v>
                </c:pt>
                <c:pt idx="463">
                  <c:v>2.8546915765291194</c:v>
                </c:pt>
                <c:pt idx="464">
                  <c:v>2.8514891006868286</c:v>
                </c:pt>
                <c:pt idx="465">
                  <c:v>2.8482911794478465</c:v>
                </c:pt>
                <c:pt idx="466">
                  <c:v>2.8450977808671811</c:v>
                </c:pt>
                <c:pt idx="467">
                  <c:v>2.8419088737557181</c:v>
                </c:pt>
                <c:pt idx="468">
                  <c:v>2.8387244276600843</c:v>
                </c:pt>
                <c:pt idx="469">
                  <c:v>2.835512243279759</c:v>
                </c:pt>
                <c:pt idx="470">
                  <c:v>2.8323045449053654</c:v>
                </c:pt>
                <c:pt idx="471">
                  <c:v>2.8291013036956345</c:v>
                </c:pt>
                <c:pt idx="472">
                  <c:v>2.8259024914798725</c:v>
                </c:pt>
                <c:pt idx="473">
                  <c:v>2.8227080807401066</c:v>
                </c:pt>
                <c:pt idx="474">
                  <c:v>2.819518044593706</c:v>
                </c:pt>
                <c:pt idx="475">
                  <c:v>2.8163323567764693</c:v>
                </c:pt>
                <c:pt idx="476">
                  <c:v>2.8131509916261677</c:v>
                </c:pt>
                <c:pt idx="477">
                  <c:v>2.8099739240665258</c:v>
                </c:pt>
                <c:pt idx="478">
                  <c:v>2.8068011295916322</c:v>
                </c:pt>
                <c:pt idx="479">
                  <c:v>2.8036325842507686</c:v>
                </c:pt>
                <c:pt idx="480">
                  <c:v>2.800468264633647</c:v>
                </c:pt>
                <c:pt idx="481">
                  <c:v>2.7973081478560387</c:v>
                </c:pt>
                <c:pt idx="482">
                  <c:v>2.7941522115457889</c:v>
                </c:pt>
                <c:pt idx="483">
                  <c:v>2.7910004338292094</c:v>
                </c:pt>
                <c:pt idx="484">
                  <c:v>2.7878527933178328</c:v>
                </c:pt>
                <c:pt idx="485">
                  <c:v>2.7847092690955226</c:v>
                </c:pt>
                <c:pt idx="486">
                  <c:v>2.7815698407059268</c:v>
                </c:pt>
                <c:pt idx="487">
                  <c:v>2.7784344881402712</c:v>
                </c:pt>
                <c:pt idx="488">
                  <c:v>2.7753031918254756</c:v>
                </c:pt>
                <c:pt idx="489">
                  <c:v>2.7721759326125923</c:v>
                </c:pt>
                <c:pt idx="490">
                  <c:v>2.7690526917655509</c:v>
                </c:pt>
                <c:pt idx="491">
                  <c:v>2.7659334509502065</c:v>
                </c:pt>
                <c:pt idx="492">
                  <c:v>2.7628181922236812</c:v>
                </c:pt>
                <c:pt idx="493">
                  <c:v>2.7597068980239903</c:v>
                </c:pt>
                <c:pt idx="494">
                  <c:v>2.7565995511599457</c:v>
                </c:pt>
                <c:pt idx="495">
                  <c:v>2.7534961348013343</c:v>
                </c:pt>
                <c:pt idx="496">
                  <c:v>2.7503966324693518</c:v>
                </c:pt>
                <c:pt idx="497">
                  <c:v>2.7473010280273003</c:v>
                </c:pt>
                <c:pt idx="498">
                  <c:v>2.7442093056715295</c:v>
                </c:pt>
                <c:pt idx="499">
                  <c:v>2.7411214499226237</c:v>
                </c:pt>
                <c:pt idx="500">
                  <c:v>2.738037445616825</c:v>
                </c:pt>
                <c:pt idx="501">
                  <c:v>2.7349572778976827</c:v>
                </c:pt>
                <c:pt idx="502">
                  <c:v>2.7318809322079303</c:v>
                </c:pt>
                <c:pt idx="503">
                  <c:v>2.7288083942815793</c:v>
                </c:pt>
                <c:pt idx="504">
                  <c:v>2.7257396501362221</c:v>
                </c:pt>
                <c:pt idx="505">
                  <c:v>2.7226746860655453</c:v>
                </c:pt>
                <c:pt idx="506">
                  <c:v>2.7196134886320387</c:v>
                </c:pt>
                <c:pt idx="507">
                  <c:v>2.7165560446599035</c:v>
                </c:pt>
                <c:pt idx="508">
                  <c:v>2.7135023412281494</c:v>
                </c:pt>
                <c:pt idx="509">
                  <c:v>2.7104523656638748</c:v>
                </c:pt>
                <c:pt idx="510">
                  <c:v>2.7074061055357292</c:v>
                </c:pt>
                <c:pt idx="511">
                  <c:v>2.7043635486475495</c:v>
                </c:pt>
                <c:pt idx="512">
                  <c:v>2.7013246830321673</c:v>
                </c:pt>
                <c:pt idx="513">
                  <c:v>2.6982894969453808</c:v>
                </c:pt>
                <c:pt idx="514">
                  <c:v>2.6952579788600906</c:v>
                </c:pt>
                <c:pt idx="515">
                  <c:v>2.6922301174605892</c:v>
                </c:pt>
                <c:pt idx="516">
                  <c:v>2.6892059016370067</c:v>
                </c:pt>
                <c:pt idx="517">
                  <c:v>2.6861853204799027</c:v>
                </c:pt>
                <c:pt idx="518">
                  <c:v>2.6831683632750045</c:v>
                </c:pt>
                <c:pt idx="519">
                  <c:v>2.6801550194980859</c:v>
                </c:pt>
              </c:numCache>
            </c:numRef>
          </c:val>
          <c:smooth val="0"/>
          <c:extLst>
            <c:ext xmlns:c16="http://schemas.microsoft.com/office/drawing/2014/chart" uri="{C3380CC4-5D6E-409C-BE32-E72D297353CC}">
              <c16:uniqueId val="{00000001-907F-4589-BC87-CB41FF02749B}"/>
            </c:ext>
          </c:extLst>
        </c:ser>
        <c:ser>
          <c:idx val="4"/>
          <c:order val="4"/>
          <c:tx>
            <c:strRef>
              <c:f>Steroid!$G$534</c:f>
              <c:strCache>
                <c:ptCount val="1"/>
                <c:pt idx="0">
                  <c:v>Diabetes</c:v>
                </c:pt>
              </c:strCache>
            </c:strRef>
          </c:tx>
          <c:spPr>
            <a:ln w="28575" cap="rnd">
              <a:solidFill>
                <a:schemeClr val="accent5"/>
              </a:solidFill>
              <a:round/>
            </a:ln>
            <a:effectLst/>
          </c:spPr>
          <c:marker>
            <c:symbol val="none"/>
          </c:marker>
          <c:cat>
            <c:numRef>
              <c:f>Steroid!$B$535:$B$1054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Steroid!$G$535:$G$1054</c:f>
              <c:numCache>
                <c:formatCode>#,##0</c:formatCode>
                <c:ptCount val="520"/>
                <c:pt idx="0">
                  <c:v>0</c:v>
                </c:pt>
                <c:pt idx="1">
                  <c:v>0.44744268281686722</c:v>
                </c:pt>
                <c:pt idx="2">
                  <c:v>0.8813578060591245</c:v>
                </c:pt>
                <c:pt idx="3">
                  <c:v>1.3021124191492726</c:v>
                </c:pt>
                <c:pt idx="4">
                  <c:v>1.7100637421574041</c:v>
                </c:pt>
                <c:pt idx="5">
                  <c:v>2.1055594285762087</c:v>
                </c:pt>
                <c:pt idx="6">
                  <c:v>2.4889378210725996</c:v>
                </c:pt>
                <c:pt idx="7">
                  <c:v>2.8605282004036741</c:v>
                </c:pt>
                <c:pt idx="8">
                  <c:v>3.2206510276797058</c:v>
                </c:pt>
                <c:pt idx="9">
                  <c:v>3.5696181801519824</c:v>
                </c:pt>
                <c:pt idx="10">
                  <c:v>3.907733180698548</c:v>
                </c:pt>
                <c:pt idx="11">
                  <c:v>4.2352914211762904</c:v>
                </c:pt>
                <c:pt idx="12">
                  <c:v>4.5525803798032971</c:v>
                </c:pt>
                <c:pt idx="13">
                  <c:v>4.8598798327310488</c:v>
                </c:pt>
                <c:pt idx="14">
                  <c:v>5.1574620599617207</c:v>
                </c:pt>
                <c:pt idx="15">
                  <c:v>5.4455920457617468</c:v>
                </c:pt>
                <c:pt idx="16">
                  <c:v>5.7245276737187307</c:v>
                </c:pt>
                <c:pt idx="17">
                  <c:v>5.9945199165848786</c:v>
                </c:pt>
                <c:pt idx="18">
                  <c:v>6.2558130210462908</c:v>
                </c:pt>
                <c:pt idx="19">
                  <c:v>6.5086446875537369</c:v>
                </c:pt>
                <c:pt idx="20">
                  <c:v>6.753246245346892</c:v>
                </c:pt>
                <c:pt idx="21">
                  <c:v>6.9898428228005063</c:v>
                </c:pt>
                <c:pt idx="22">
                  <c:v>7.2186535132175429</c:v>
                </c:pt>
                <c:pt idx="23">
                  <c:v>7.4398915361909665</c:v>
                </c:pt>
                <c:pt idx="24">
                  <c:v>7.6537643946526197</c:v>
                </c:pt>
                <c:pt idx="25">
                  <c:v>7.8604740277244609</c:v>
                </c:pt>
                <c:pt idx="26">
                  <c:v>8.060216959484352</c:v>
                </c:pt>
                <c:pt idx="27">
                  <c:v>8.2531844437555897</c:v>
                </c:pt>
                <c:pt idx="28">
                  <c:v>8.4395626050264489</c:v>
                </c:pt>
                <c:pt idx="29">
                  <c:v>8.6195325756031842</c:v>
                </c:pt>
                <c:pt idx="30">
                  <c:v>8.7932706290971439</c:v>
                </c:pt>
                <c:pt idx="31">
                  <c:v>8.9609483103439729</c:v>
                </c:pt>
                <c:pt idx="32">
                  <c:v>9.1227325618502881</c:v>
                </c:pt>
                <c:pt idx="33">
                  <c:v>9.2787858468606021</c:v>
                </c:pt>
                <c:pt idx="34">
                  <c:v>9.4292662691348568</c:v>
                </c:pt>
                <c:pt idx="35">
                  <c:v>9.5743276895244662</c:v>
                </c:pt>
                <c:pt idx="36">
                  <c:v>9.7141198394324331</c:v>
                </c:pt>
                <c:pt idx="37">
                  <c:v>9.8487884312408323</c:v>
                </c:pt>
                <c:pt idx="38">
                  <c:v>9.9784752657866989</c:v>
                </c:pt>
                <c:pt idx="39">
                  <c:v>10.103318336965222</c:v>
                </c:pt>
                <c:pt idx="40">
                  <c:v>10.223451933537016</c:v>
                </c:pt>
                <c:pt idx="41">
                  <c:v>10.339006738214186</c:v>
                </c:pt>
                <c:pt idx="42">
                  <c:v>10.450109924097953</c:v>
                </c:pt>
                <c:pt idx="43">
                  <c:v>10.556885248538572</c:v>
                </c:pt>
                <c:pt idx="44">
                  <c:v>10.659453144486479</c:v>
                </c:pt>
                <c:pt idx="45">
                  <c:v>10.757930809401708</c:v>
                </c:pt>
                <c:pt idx="46">
                  <c:v>10.852432291786824</c:v>
                </c:pt>
                <c:pt idx="47">
                  <c:v>10.943068575406913</c:v>
                </c:pt>
                <c:pt idx="48">
                  <c:v>11.029947661258424</c:v>
                </c:pt>
                <c:pt idx="49">
                  <c:v>11.113174647347048</c:v>
                </c:pt>
                <c:pt idx="50">
                  <c:v>11.192851806333179</c:v>
                </c:pt>
                <c:pt idx="51">
                  <c:v>11.269078661101959</c:v>
                </c:pt>
                <c:pt idx="52">
                  <c:v>11.341952058313369</c:v>
                </c:pt>
                <c:pt idx="53">
                  <c:v>11.411502606056475</c:v>
                </c:pt>
                <c:pt idx="54">
                  <c:v>11.477884906925762</c:v>
                </c:pt>
                <c:pt idx="55">
                  <c:v>11.541188252232281</c:v>
                </c:pt>
                <c:pt idx="56">
                  <c:v>11.601499530185789</c:v>
                </c:pt>
                <c:pt idx="57">
                  <c:v>11.658903290191748</c:v>
                </c:pt>
                <c:pt idx="58">
                  <c:v>11.713481805429325</c:v>
                </c:pt>
                <c:pt idx="59">
                  <c:v>11.765315133756339</c:v>
                </c:pt>
                <c:pt idx="60">
                  <c:v>11.814481176985897</c:v>
                </c:pt>
                <c:pt idx="61">
                  <c:v>11.861055738578221</c:v>
                </c:pt>
                <c:pt idx="62">
                  <c:v>11.905112579790044</c:v>
                </c:pt>
                <c:pt idx="63">
                  <c:v>11.946723474322827</c:v>
                </c:pt>
                <c:pt idx="64">
                  <c:v>11.985958261509891</c:v>
                </c:pt>
                <c:pt idx="65">
                  <c:v>12.022884898081569</c:v>
                </c:pt>
                <c:pt idx="66">
                  <c:v>12.057569508546331</c:v>
                </c:pt>
                <c:pt idx="67">
                  <c:v>12.090076434224949</c:v>
                </c:pt>
                <c:pt idx="68">
                  <c:v>12.12046828097365</c:v>
                </c:pt>
                <c:pt idx="69">
                  <c:v>12.148805965631349</c:v>
                </c:pt>
                <c:pt idx="70">
                  <c:v>12.175148761225037</c:v>
                </c:pt>
                <c:pt idx="71">
                  <c:v>12.199554340966548</c:v>
                </c:pt>
                <c:pt idx="72">
                  <c:v>12.222078821073001</c:v>
                </c:pt>
                <c:pt idx="73">
                  <c:v>12.242776802442362</c:v>
                </c:pt>
                <c:pt idx="74">
                  <c:v>12.261701411214741</c:v>
                </c:pt>
                <c:pt idx="75">
                  <c:v>12.278904338249202</c:v>
                </c:pt>
                <c:pt idx="76">
                  <c:v>12.294435877545089</c:v>
                </c:pt>
                <c:pt idx="77">
                  <c:v>12.308344963636069</c:v>
                </c:pt>
                <c:pt idx="78">
                  <c:v>12.320679207984368</c:v>
                </c:pt>
                <c:pt idx="79">
                  <c:v>12.331484934401924</c:v>
                </c:pt>
                <c:pt idx="80">
                  <c:v>12.34080721352446</c:v>
                </c:pt>
                <c:pt idx="81">
                  <c:v>12.348689896363814</c:v>
                </c:pt>
                <c:pt idx="82">
                  <c:v>12.355175646963144</c:v>
                </c:pt>
                <c:pt idx="83">
                  <c:v>12.360305974179019</c:v>
                </c:pt>
                <c:pt idx="84">
                  <c:v>12.364121262613713</c:v>
                </c:pt>
                <c:pt idx="85">
                  <c:v>12.366660802720423</c:v>
                </c:pt>
                <c:pt idx="86">
                  <c:v>12.367962820103536</c:v>
                </c:pt>
                <c:pt idx="87">
                  <c:v>12.368064504035454</c:v>
                </c:pt>
                <c:pt idx="88">
                  <c:v>12.367002035210904</c:v>
                </c:pt>
                <c:pt idx="89">
                  <c:v>12.364810612759159</c:v>
                </c:pt>
                <c:pt idx="90">
                  <c:v>12.361524480533969</c:v>
                </c:pt>
                <c:pt idx="91">
                  <c:v>12.357176952700529</c:v>
                </c:pt>
                <c:pt idx="92">
                  <c:v>12.35180043863827</c:v>
                </c:pt>
                <c:pt idx="93">
                  <c:v>12.345426467177768</c:v>
                </c:pt>
                <c:pt idx="94">
                  <c:v>12.338085710189574</c:v>
                </c:pt>
                <c:pt idx="95">
                  <c:v>12.329808005542285</c:v>
                </c:pt>
                <c:pt idx="96">
                  <c:v>12.320622379446712</c:v>
                </c:pt>
                <c:pt idx="97">
                  <c:v>12.310557068202586</c:v>
                </c:pt>
                <c:pt idx="98">
                  <c:v>12.299639539363717</c:v>
                </c:pt>
                <c:pt idx="99">
                  <c:v>12.287896512337225</c:v>
                </c:pt>
                <c:pt idx="100">
                  <c:v>12.275353978431914</c:v>
                </c:pt>
                <c:pt idx="101">
                  <c:v>12.262037220370543</c:v>
                </c:pt>
                <c:pt idx="102">
                  <c:v>12.247970831280316</c:v>
                </c:pt>
                <c:pt idx="103">
                  <c:v>12.233178733175551</c:v>
                </c:pt>
                <c:pt idx="104">
                  <c:v>12.21768419494609</c:v>
                </c:pt>
                <c:pt idx="105">
                  <c:v>12.201434713842595</c:v>
                </c:pt>
                <c:pt idx="106">
                  <c:v>12.184527650501179</c:v>
                </c:pt>
                <c:pt idx="107">
                  <c:v>12.166984429303957</c:v>
                </c:pt>
                <c:pt idx="108">
                  <c:v>12.148825888267583</c:v>
                </c:pt>
                <c:pt idx="109">
                  <c:v>12.13007229476918</c:v>
                </c:pt>
                <c:pt idx="110">
                  <c:v>12.110743360851624</c:v>
                </c:pt>
                <c:pt idx="111">
                  <c:v>12.090858258119409</c:v>
                </c:pt>
                <c:pt idx="112">
                  <c:v>12.070435632236073</c:v>
                </c:pt>
                <c:pt idx="113">
                  <c:v>12.049493617033812</c:v>
                </c:pt>
                <c:pt idx="114">
                  <c:v>12.028049848245669</c:v>
                </c:pt>
                <c:pt idx="115">
                  <c:v>12.006121476870376</c:v>
                </c:pt>
                <c:pt idx="116">
                  <c:v>11.983725182179697</c:v>
                </c:pt>
                <c:pt idx="117">
                  <c:v>11.960877184377789</c:v>
                </c:pt>
                <c:pt idx="118">
                  <c:v>11.937593256921938</c:v>
                </c:pt>
                <c:pt idx="119">
                  <c:v>11.913888738513672</c:v>
                </c:pt>
                <c:pt idx="120">
                  <c:v>11.889778544769117</c:v>
                </c:pt>
                <c:pt idx="121">
                  <c:v>11.865277179577127</c:v>
                </c:pt>
                <c:pt idx="122">
                  <c:v>11.840398746153566</c:v>
                </c:pt>
                <c:pt idx="123">
                  <c:v>11.815156957799857</c:v>
                </c:pt>
                <c:pt idx="124">
                  <c:v>11.789565148373708</c:v>
                </c:pt>
                <c:pt idx="125">
                  <c:v>11.763636282479705</c:v>
                </c:pt>
                <c:pt idx="126">
                  <c:v>11.737382965387283</c:v>
                </c:pt>
                <c:pt idx="127">
                  <c:v>11.710817452683333</c:v>
                </c:pt>
                <c:pt idx="128">
                  <c:v>11.683951659666562</c:v>
                </c:pt>
                <c:pt idx="129">
                  <c:v>11.656797170490515</c:v>
                </c:pt>
                <c:pt idx="130">
                  <c:v>11.629365247061971</c:v>
                </c:pt>
                <c:pt idx="131">
                  <c:v>11.601666837701256</c:v>
                </c:pt>
                <c:pt idx="132">
                  <c:v>11.573712585570828</c:v>
                </c:pt>
                <c:pt idx="133">
                  <c:v>11.545512836878361</c:v>
                </c:pt>
                <c:pt idx="134">
                  <c:v>11.517077648860328</c:v>
                </c:pt>
                <c:pt idx="135">
                  <c:v>11.488416797551963</c:v>
                </c:pt>
                <c:pt idx="136">
                  <c:v>11.459539785349325</c:v>
                </c:pt>
                <c:pt idx="137">
                  <c:v>11.430455848368995</c:v>
                </c:pt>
                <c:pt idx="138">
                  <c:v>11.401173963610864</c:v>
                </c:pt>
                <c:pt idx="139">
                  <c:v>11.37170285592922</c:v>
                </c:pt>
                <c:pt idx="140">
                  <c:v>11.342051004817307</c:v>
                </c:pt>
                <c:pt idx="141">
                  <c:v>11.312226651010329</c:v>
                </c:pt>
                <c:pt idx="142">
                  <c:v>11.282237802911739</c:v>
                </c:pt>
                <c:pt idx="143">
                  <c:v>11.252092242847564</c:v>
                </c:pt>
                <c:pt idx="144">
                  <c:v>11.221797533153342</c:v>
                </c:pt>
                <c:pt idx="145">
                  <c:v>11.191361022098162</c:v>
                </c:pt>
                <c:pt idx="146">
                  <c:v>11.160789849650161</c:v>
                </c:pt>
                <c:pt idx="147">
                  <c:v>11.130090953087711</c:v>
                </c:pt>
                <c:pt idx="148">
                  <c:v>11.099271072460422</c:v>
                </c:pt>
                <c:pt idx="149">
                  <c:v>11.068336755903996</c:v>
                </c:pt>
                <c:pt idx="150">
                  <c:v>11.037294364812805</c:v>
                </c:pt>
                <c:pt idx="151">
                  <c:v>11.006150078874043</c:v>
                </c:pt>
                <c:pt idx="152">
                  <c:v>10.974909900967109</c:v>
                </c:pt>
                <c:pt idx="153">
                  <c:v>10.94357966193185</c:v>
                </c:pt>
                <c:pt idx="154">
                  <c:v>10.912165025209177</c:v>
                </c:pt>
                <c:pt idx="155">
                  <c:v>10.880671491357443</c:v>
                </c:pt>
                <c:pt idx="156">
                  <c:v>10.849104402447928</c:v>
                </c:pt>
                <c:pt idx="157">
                  <c:v>10.817393976699465</c:v>
                </c:pt>
                <c:pt idx="158">
                  <c:v>10.785620663487672</c:v>
                </c:pt>
                <c:pt idx="159">
                  <c:v>10.75378935577641</c:v>
                </c:pt>
                <c:pt idx="160">
                  <c:v>10.721904804348963</c:v>
                </c:pt>
                <c:pt idx="161">
                  <c:v>10.689971621650557</c:v>
                </c:pt>
                <c:pt idx="162">
                  <c:v>10.657994285527957</c:v>
                </c:pt>
                <c:pt idx="163">
                  <c:v>10.625977142868924</c:v>
                </c:pt>
                <c:pt idx="164">
                  <c:v>10.59392441314418</c:v>
                </c:pt>
                <c:pt idx="165">
                  <c:v>10.561840191854513</c:v>
                </c:pt>
                <c:pt idx="166">
                  <c:v>10.529728453885548</c:v>
                </c:pt>
                <c:pt idx="167">
                  <c:v>10.497593056772663</c:v>
                </c:pt>
                <c:pt idx="168">
                  <c:v>10.465437743878429</c:v>
                </c:pt>
                <c:pt idx="169">
                  <c:v>10.433266147484956</c:v>
                </c:pt>
                <c:pt idx="170">
                  <c:v>10.401081791803378</c:v>
                </c:pt>
                <c:pt idx="171">
                  <c:v>10.368888095902729</c:v>
                </c:pt>
                <c:pt idx="172">
                  <c:v>10.336688376560335</c:v>
                </c:pt>
                <c:pt idx="173">
                  <c:v>10.304485851035848</c:v>
                </c:pt>
                <c:pt idx="174">
                  <c:v>10.272283639770944</c:v>
                </c:pt>
                <c:pt idx="175">
                  <c:v>10.240084769016704</c:v>
                </c:pt>
                <c:pt idx="176">
                  <c:v>10.207892173390565</c:v>
                </c:pt>
                <c:pt idx="177">
                  <c:v>10.175708698364767</c:v>
                </c:pt>
                <c:pt idx="178">
                  <c:v>10.143537102688112</c:v>
                </c:pt>
                <c:pt idx="179">
                  <c:v>10.111380060742823</c:v>
                </c:pt>
                <c:pt idx="180">
                  <c:v>10.079240164838223</c:v>
                </c:pt>
                <c:pt idx="181">
                  <c:v>10.04711992744296</c:v>
                </c:pt>
                <c:pt idx="182">
                  <c:v>10.015021783357389</c:v>
                </c:pt>
                <c:pt idx="183">
                  <c:v>9.9829480918277103</c:v>
                </c:pt>
                <c:pt idx="184">
                  <c:v>9.9509011386034594</c:v>
                </c:pt>
                <c:pt idx="185">
                  <c:v>9.9188831379398259</c:v>
                </c:pt>
                <c:pt idx="186">
                  <c:v>9.8868962345462865</c:v>
                </c:pt>
                <c:pt idx="187">
                  <c:v>9.8549425054830095</c:v>
                </c:pt>
                <c:pt idx="188">
                  <c:v>9.8230239620063955</c:v>
                </c:pt>
                <c:pt idx="189">
                  <c:v>9.7911425513651373</c:v>
                </c:pt>
                <c:pt idx="190">
                  <c:v>9.7593001585481254</c:v>
                </c:pt>
                <c:pt idx="191">
                  <c:v>9.72749860798546</c:v>
                </c:pt>
                <c:pt idx="192">
                  <c:v>9.6957396652038561</c:v>
                </c:pt>
                <c:pt idx="193">
                  <c:v>9.6640250384376536</c:v>
                </c:pt>
                <c:pt idx="194">
                  <c:v>9.6323563801966046</c:v>
                </c:pt>
                <c:pt idx="195">
                  <c:v>9.6007352887915989</c:v>
                </c:pt>
                <c:pt idx="196">
                  <c:v>9.5691633098194888</c:v>
                </c:pt>
                <c:pt idx="197">
                  <c:v>9.5376419376080399</c:v>
                </c:pt>
                <c:pt idx="198">
                  <c:v>9.5061726166221359</c:v>
                </c:pt>
                <c:pt idx="199">
                  <c:v>9.4747567428322537</c:v>
                </c:pt>
                <c:pt idx="200">
                  <c:v>9.4433956650462019</c:v>
                </c:pt>
                <c:pt idx="201">
                  <c:v>9.4120906862051257</c:v>
                </c:pt>
                <c:pt idx="202">
                  <c:v>9.3808430646447292</c:v>
                </c:pt>
                <c:pt idx="203">
                  <c:v>9.3496540153226437</c:v>
                </c:pt>
                <c:pt idx="204">
                  <c:v>9.3185247110128522</c:v>
                </c:pt>
                <c:pt idx="205">
                  <c:v>9.287456283468039</c:v>
                </c:pt>
                <c:pt idx="206">
                  <c:v>9.2564498245507387</c:v>
                </c:pt>
                <c:pt idx="207">
                  <c:v>9.2255063873341143</c:v>
                </c:pt>
                <c:pt idx="208">
                  <c:v>9.1946269871731712</c:v>
                </c:pt>
                <c:pt idx="209">
                  <c:v>9.1637455531083329</c:v>
                </c:pt>
                <c:pt idx="210">
                  <c:v>9.1329305300272292</c:v>
                </c:pt>
                <c:pt idx="211">
                  <c:v>9.1021828247408685</c:v>
                </c:pt>
                <c:pt idx="212">
                  <c:v>9.0715033103229761</c:v>
                </c:pt>
                <c:pt idx="213">
                  <c:v>9.0408928270460134</c:v>
                </c:pt>
                <c:pt idx="214">
                  <c:v>9.0103521832920386</c:v>
                </c:pt>
                <c:pt idx="215">
                  <c:v>8.9798821564390927</c:v>
                </c:pt>
                <c:pt idx="216">
                  <c:v>8.94948349372374</c:v>
                </c:pt>
                <c:pt idx="217">
                  <c:v>8.9191569130804229</c:v>
                </c:pt>
                <c:pt idx="218">
                  <c:v>8.8889031039582509</c:v>
                </c:pt>
                <c:pt idx="219">
                  <c:v>8.858722728115815</c:v>
                </c:pt>
                <c:pt idx="220">
                  <c:v>8.828616420394626</c:v>
                </c:pt>
                <c:pt idx="221">
                  <c:v>8.7985847894717484</c:v>
                </c:pt>
                <c:pt idx="222">
                  <c:v>8.7686284185921828</c:v>
                </c:pt>
                <c:pt idx="223">
                  <c:v>8.738747866281539</c:v>
                </c:pt>
                <c:pt idx="224">
                  <c:v>8.7089436670395344</c:v>
                </c:pt>
                <c:pt idx="225">
                  <c:v>8.679216332014823</c:v>
                </c:pt>
                <c:pt idx="226">
                  <c:v>8.6495663496616526</c:v>
                </c:pt>
                <c:pt idx="227">
                  <c:v>8.6199941863788627</c:v>
                </c:pt>
                <c:pt idx="228">
                  <c:v>8.5905002871316416</c:v>
                </c:pt>
                <c:pt idx="229">
                  <c:v>8.5610850760565711</c:v>
                </c:pt>
                <c:pt idx="230">
                  <c:v>8.5317489570503557</c:v>
                </c:pt>
                <c:pt idx="231">
                  <c:v>8.5024923143426889</c:v>
                </c:pt>
                <c:pt idx="232">
                  <c:v>8.4733155130536968</c:v>
                </c:pt>
                <c:pt idx="233">
                  <c:v>8.4442188997363399</c:v>
                </c:pt>
                <c:pt idx="234">
                  <c:v>8.415202802904215</c:v>
                </c:pt>
                <c:pt idx="235">
                  <c:v>8.3862675335451069</c:v>
                </c:pt>
                <c:pt idx="236">
                  <c:v>8.3574133856207116</c:v>
                </c:pt>
                <c:pt idx="237">
                  <c:v>8.3286406365528656</c:v>
                </c:pt>
                <c:pt idx="238">
                  <c:v>8.2999495476966665</c:v>
                </c:pt>
                <c:pt idx="239">
                  <c:v>8.2713403648008317</c:v>
                </c:pt>
                <c:pt idx="240">
                  <c:v>8.2428133184556245</c:v>
                </c:pt>
                <c:pt idx="241">
                  <c:v>8.2143686245286993</c:v>
                </c:pt>
                <c:pt idx="242">
                  <c:v>8.1860064845891678</c:v>
                </c:pt>
                <c:pt idx="243">
                  <c:v>8.157727086320234</c:v>
                </c:pt>
                <c:pt idx="244">
                  <c:v>8.1295306039206583</c:v>
                </c:pt>
                <c:pt idx="245">
                  <c:v>8.1014171984953975</c:v>
                </c:pt>
                <c:pt idx="246">
                  <c:v>8.0733870184356764</c:v>
                </c:pt>
                <c:pt idx="247">
                  <c:v>8.045440199788791</c:v>
                </c:pt>
                <c:pt idx="248">
                  <c:v>8.0175768666179117</c:v>
                </c:pt>
                <c:pt idx="249">
                  <c:v>7.9897971313521614</c:v>
                </c:pt>
                <c:pt idx="250">
                  <c:v>7.9621010951272142</c:v>
                </c:pt>
                <c:pt idx="251">
                  <c:v>7.9344888481166924</c:v>
                </c:pt>
                <c:pt idx="252">
                  <c:v>7.9069604698545808</c:v>
                </c:pt>
                <c:pt idx="253">
                  <c:v>7.8795160295489239</c:v>
                </c:pt>
                <c:pt idx="254">
                  <c:v>7.8521555863870205</c:v>
                </c:pt>
                <c:pt idx="255">
                  <c:v>7.8248791898323544</c:v>
                </c:pt>
                <c:pt idx="256">
                  <c:v>7.7976868799134813</c:v>
                </c:pt>
                <c:pt idx="257">
                  <c:v>7.7705786875050835</c:v>
                </c:pt>
                <c:pt idx="258">
                  <c:v>7.7435546346014075</c:v>
                </c:pt>
                <c:pt idx="259">
                  <c:v>7.7166147345822775</c:v>
                </c:pt>
                <c:pt idx="260">
                  <c:v>7.6897589924719041</c:v>
                </c:pt>
                <c:pt idx="261">
                  <c:v>7.6633683354455133</c:v>
                </c:pt>
                <c:pt idx="262">
                  <c:v>7.6374898153956199</c:v>
                </c:pt>
                <c:pt idx="263">
                  <c:v>7.6121099376012396</c:v>
                </c:pt>
                <c:pt idx="264">
                  <c:v>7.5872155682302136</c:v>
                </c:pt>
                <c:pt idx="265">
                  <c:v>7.5627939246821434</c:v>
                </c:pt>
                <c:pt idx="266">
                  <c:v>7.538832566189746</c:v>
                </c:pt>
                <c:pt idx="267">
                  <c:v>7.5153193846717175</c:v>
                </c:pt>
                <c:pt idx="268">
                  <c:v>7.492242595830362</c:v>
                </c:pt>
                <c:pt idx="269">
                  <c:v>7.4695907304874618</c:v>
                </c:pt>
                <c:pt idx="270">
                  <c:v>7.447352626151984</c:v>
                </c:pt>
                <c:pt idx="271">
                  <c:v>7.4255174188134401</c:v>
                </c:pt>
                <c:pt idx="272">
                  <c:v>7.4040745349548489</c:v>
                </c:pt>
                <c:pt idx="273">
                  <c:v>7.3830136837794385</c:v>
                </c:pt>
                <c:pt idx="274">
                  <c:v>7.3623248496453471</c:v>
                </c:pt>
                <c:pt idx="275">
                  <c:v>7.3419982847027843</c:v>
                </c:pt>
                <c:pt idx="276">
                  <c:v>7.32202450172821</c:v>
                </c:pt>
                <c:pt idx="277">
                  <c:v>7.3023942671502704</c:v>
                </c:pt>
                <c:pt idx="278">
                  <c:v>7.2830985942623609</c:v>
                </c:pt>
                <c:pt idx="279">
                  <c:v>7.2641287366168186</c:v>
                </c:pt>
                <c:pt idx="280">
                  <c:v>7.2454761815958832</c:v>
                </c:pt>
                <c:pt idx="281">
                  <c:v>7.2271326441546977</c:v>
                </c:pt>
                <c:pt idx="282">
                  <c:v>7.2090900607317456</c:v>
                </c:pt>
                <c:pt idx="283">
                  <c:v>7.1913405833222441</c:v>
                </c:pt>
                <c:pt idx="284">
                  <c:v>7.1738765737101291</c:v>
                </c:pt>
                <c:pt idx="285">
                  <c:v>7.1566905978543947</c:v>
                </c:pt>
                <c:pt idx="286">
                  <c:v>7.1397754204256465</c:v>
                </c:pt>
                <c:pt idx="287">
                  <c:v>7.1231239994888638</c:v>
                </c:pt>
                <c:pt idx="288">
                  <c:v>7.1067294813284434</c:v>
                </c:pt>
                <c:pt idx="289">
                  <c:v>7.0905851954117267</c:v>
                </c:pt>
                <c:pt idx="290">
                  <c:v>7.074684649487299</c:v>
                </c:pt>
                <c:pt idx="291">
                  <c:v>7.0590215248144599</c:v>
                </c:pt>
                <c:pt idx="292">
                  <c:v>7.0435896715203512</c:v>
                </c:pt>
                <c:pt idx="293">
                  <c:v>7.0283831040813274</c:v>
                </c:pt>
                <c:pt idx="294">
                  <c:v>7.0133959969252402</c:v>
                </c:pt>
                <c:pt idx="295">
                  <c:v>6.9986226801514055</c:v>
                </c:pt>
                <c:pt idx="296">
                  <c:v>6.9840576353651116</c:v>
                </c:pt>
                <c:pt idx="297">
                  <c:v>6.9696954916235807</c:v>
                </c:pt>
                <c:pt idx="298">
                  <c:v>6.9555310214904233</c:v>
                </c:pt>
                <c:pt idx="299">
                  <c:v>6.9415591371956769</c:v>
                </c:pt>
                <c:pt idx="300">
                  <c:v>6.9277748868985958</c:v>
                </c:pt>
                <c:pt idx="301">
                  <c:v>6.9141734510504467</c:v>
                </c:pt>
                <c:pt idx="302">
                  <c:v>6.9007501388546437</c:v>
                </c:pt>
                <c:pt idx="303">
                  <c:v>6.887500384821597</c:v>
                </c:pt>
                <c:pt idx="304">
                  <c:v>6.8744197454157616</c:v>
                </c:pt>
                <c:pt idx="305">
                  <c:v>6.8615038957924073</c:v>
                </c:pt>
                <c:pt idx="306">
                  <c:v>6.8487486266217124</c:v>
                </c:pt>
                <c:pt idx="307">
                  <c:v>6.836149840997841</c:v>
                </c:pt>
                <c:pt idx="308">
                  <c:v>6.8237035514307367</c:v>
                </c:pt>
                <c:pt idx="309">
                  <c:v>6.8114058769184131</c:v>
                </c:pt>
                <c:pt idx="310">
                  <c:v>6.7992530400975868</c:v>
                </c:pt>
                <c:pt idx="311">
                  <c:v>6.7872413644705611</c:v>
                </c:pt>
                <c:pt idx="312">
                  <c:v>6.7753672717063216</c:v>
                </c:pt>
                <c:pt idx="313">
                  <c:v>6.7635719107569576</c:v>
                </c:pt>
                <c:pt idx="314">
                  <c:v>6.7519074521718219</c:v>
                </c:pt>
                <c:pt idx="315">
                  <c:v>6.7403705934620977</c:v>
                </c:pt>
                <c:pt idx="316">
                  <c:v>6.7289581203195938</c:v>
                </c:pt>
                <c:pt idx="317">
                  <c:v>6.7176669042565829</c:v>
                </c:pt>
                <c:pt idx="318">
                  <c:v>6.7064939003088178</c:v>
                </c:pt>
                <c:pt idx="319">
                  <c:v>6.6954361448000368</c:v>
                </c:pt>
                <c:pt idx="320">
                  <c:v>6.6844907531663029</c:v>
                </c:pt>
                <c:pt idx="321">
                  <c:v>6.6736549178385802</c:v>
                </c:pt>
                <c:pt idx="322">
                  <c:v>6.6629259061819965</c:v>
                </c:pt>
                <c:pt idx="323">
                  <c:v>6.6523010584902549</c:v>
                </c:pt>
                <c:pt idx="324">
                  <c:v>6.6417777860337406</c:v>
                </c:pt>
                <c:pt idx="325">
                  <c:v>6.6313535691598702</c:v>
                </c:pt>
                <c:pt idx="326">
                  <c:v>6.6210259554442894</c:v>
                </c:pt>
                <c:pt idx="327">
                  <c:v>6.6107925578915623</c:v>
                </c:pt>
                <c:pt idx="328">
                  <c:v>6.6006510531840235</c:v>
                </c:pt>
                <c:pt idx="329">
                  <c:v>6.5905991799774997</c:v>
                </c:pt>
                <c:pt idx="330">
                  <c:v>6.5806347372426552</c:v>
                </c:pt>
                <c:pt idx="331">
                  <c:v>6.5707555826507367</c:v>
                </c:pt>
                <c:pt idx="332">
                  <c:v>6.5609596310025218</c:v>
                </c:pt>
                <c:pt idx="333">
                  <c:v>6.5512448526993259</c:v>
                </c:pt>
                <c:pt idx="334">
                  <c:v>6.5416092722549362</c:v>
                </c:pt>
                <c:pt idx="335">
                  <c:v>6.5320509668473754</c:v>
                </c:pt>
                <c:pt idx="336">
                  <c:v>6.522568064909434</c:v>
                </c:pt>
                <c:pt idx="337">
                  <c:v>6.513158744756927</c:v>
                </c:pt>
                <c:pt idx="338">
                  <c:v>6.5038212332536736</c:v>
                </c:pt>
                <c:pt idx="339">
                  <c:v>6.4945538045122042</c:v>
                </c:pt>
                <c:pt idx="340">
                  <c:v>6.4853547786292598</c:v>
                </c:pt>
                <c:pt idx="341">
                  <c:v>6.4762225204551216</c:v>
                </c:pt>
                <c:pt idx="342">
                  <c:v>6.4671554383958991</c:v>
                </c:pt>
                <c:pt idx="343">
                  <c:v>6.458151983247868</c:v>
                </c:pt>
                <c:pt idx="344">
                  <c:v>6.4492106470630102</c:v>
                </c:pt>
                <c:pt idx="345">
                  <c:v>6.4403299620449257</c:v>
                </c:pt>
                <c:pt idx="346">
                  <c:v>6.4315084994742975</c:v>
                </c:pt>
                <c:pt idx="347">
                  <c:v>6.4227448686631146</c:v>
                </c:pt>
                <c:pt idx="348">
                  <c:v>6.4140377159368898</c:v>
                </c:pt>
                <c:pt idx="349">
                  <c:v>6.4053857236441205</c:v>
                </c:pt>
                <c:pt idx="350">
                  <c:v>6.3967876091922706</c:v>
                </c:pt>
                <c:pt idx="351">
                  <c:v>6.3882421241095457</c:v>
                </c:pt>
                <c:pt idx="352">
                  <c:v>6.3797480531317907</c:v>
                </c:pt>
                <c:pt idx="353">
                  <c:v>6.3713042133138238</c:v>
                </c:pt>
                <c:pt idx="354">
                  <c:v>6.3629094531645594</c:v>
                </c:pt>
                <c:pt idx="355">
                  <c:v>6.354562651805284</c:v>
                </c:pt>
                <c:pt idx="356">
                  <c:v>6.3462627181504603</c:v>
                </c:pt>
                <c:pt idx="357">
                  <c:v>6.3380085901104586</c:v>
                </c:pt>
                <c:pt idx="358">
                  <c:v>6.3297992338156313</c:v>
                </c:pt>
                <c:pt idx="359">
                  <c:v>6.3216336428611557</c:v>
                </c:pt>
                <c:pt idx="360">
                  <c:v>6.313510837572089</c:v>
                </c:pt>
                <c:pt idx="361">
                  <c:v>6.3054298642880999</c:v>
                </c:pt>
                <c:pt idx="362">
                  <c:v>6.2973897946673425</c:v>
                </c:pt>
                <c:pt idx="363">
                  <c:v>6.2893897250089621</c:v>
                </c:pt>
                <c:pt idx="364">
                  <c:v>6.281428775593743</c:v>
                </c:pt>
                <c:pt idx="365">
                  <c:v>6.2734504681898997</c:v>
                </c:pt>
                <c:pt idx="366">
                  <c:v>6.2655097329143592</c:v>
                </c:pt>
                <c:pt idx="367">
                  <c:v>6.257605757188248</c:v>
                </c:pt>
                <c:pt idx="368">
                  <c:v>6.2497377499780242</c:v>
                </c:pt>
                <c:pt idx="369">
                  <c:v>6.2419049412188059</c:v>
                </c:pt>
                <c:pt idx="370">
                  <c:v>6.234106581253144</c:v>
                </c:pt>
                <c:pt idx="371">
                  <c:v>6.2263419402848079</c:v>
                </c:pt>
                <c:pt idx="372">
                  <c:v>6.2186103078472152</c:v>
                </c:pt>
                <c:pt idx="373">
                  <c:v>6.2109109922860837</c:v>
                </c:pt>
                <c:pt idx="374">
                  <c:v>6.2032433202559352</c:v>
                </c:pt>
                <c:pt idx="375">
                  <c:v>6.1956066362300888</c:v>
                </c:pt>
                <c:pt idx="376">
                  <c:v>6.1880003020237666</c:v>
                </c:pt>
                <c:pt idx="377">
                  <c:v>6.1804236963299708</c:v>
                </c:pt>
                <c:pt idx="378">
                  <c:v>6.1728762142677907</c:v>
                </c:pt>
                <c:pt idx="379">
                  <c:v>6.1653572669428032</c:v>
                </c:pt>
                <c:pt idx="380">
                  <c:v>6.1578662810192419</c:v>
                </c:pt>
                <c:pt idx="381">
                  <c:v>6.1504026983036226</c:v>
                </c:pt>
                <c:pt idx="382">
                  <c:v>6.1429659753395205</c:v>
                </c:pt>
                <c:pt idx="383">
                  <c:v>6.1355555830131889</c:v>
                </c:pt>
                <c:pt idx="384">
                  <c:v>6.1281710061697501</c:v>
                </c:pt>
                <c:pt idx="385">
                  <c:v>6.1208117432396554</c:v>
                </c:pt>
                <c:pt idx="386">
                  <c:v>6.113477305875147</c:v>
                </c:pt>
                <c:pt idx="387">
                  <c:v>6.1061672185964531</c:v>
                </c:pt>
                <c:pt idx="388">
                  <c:v>6.0988810184474653</c:v>
                </c:pt>
                <c:pt idx="389">
                  <c:v>6.091618254660621</c:v>
                </c:pt>
                <c:pt idx="390">
                  <c:v>6.0843784883307697</c:v>
                </c:pt>
                <c:pt idx="391">
                  <c:v>6.0771612920977702</c:v>
                </c:pt>
                <c:pt idx="392">
                  <c:v>6.0699662498375835</c:v>
                </c:pt>
                <c:pt idx="393">
                  <c:v>6.0627929563616343</c:v>
                </c:pt>
                <c:pt idx="394">
                  <c:v>6.0556410171242323</c:v>
                </c:pt>
                <c:pt idx="395">
                  <c:v>6.0485100479378158</c:v>
                </c:pt>
                <c:pt idx="396">
                  <c:v>6.0413996746958292</c:v>
                </c:pt>
                <c:pt idx="397">
                  <c:v>6.0343095331030145</c:v>
                </c:pt>
                <c:pt idx="398">
                  <c:v>6.0272392684129263</c:v>
                </c:pt>
                <c:pt idx="399">
                  <c:v>6.0201885351724762</c:v>
                </c:pt>
                <c:pt idx="400">
                  <c:v>6.0131569969733141</c:v>
                </c:pt>
                <c:pt idx="401">
                  <c:v>6.0061443262098706</c:v>
                </c:pt>
                <c:pt idx="402">
                  <c:v>5.9991502038438744</c:v>
                </c:pt>
                <c:pt idx="403">
                  <c:v>5.9921743191751773</c:v>
                </c:pt>
                <c:pt idx="404">
                  <c:v>5.9852163696187111</c:v>
                </c:pt>
                <c:pt idx="405">
                  <c:v>5.9782760604874223</c:v>
                </c:pt>
                <c:pt idx="406">
                  <c:v>5.9713531047810156</c:v>
                </c:pt>
                <c:pt idx="407">
                  <c:v>5.9644472229803522</c:v>
                </c:pt>
                <c:pt idx="408">
                  <c:v>5.9575581428473612</c:v>
                </c:pt>
                <c:pt idx="409">
                  <c:v>5.9506855992302929</c:v>
                </c:pt>
                <c:pt idx="410">
                  <c:v>5.9438293338742048</c:v>
                </c:pt>
                <c:pt idx="411">
                  <c:v>5.9369890952365099</c:v>
                </c:pt>
                <c:pt idx="412">
                  <c:v>5.9301646383074642</c:v>
                </c:pt>
                <c:pt idx="413">
                  <c:v>5.923355724435468</c:v>
                </c:pt>
                <c:pt idx="414">
                  <c:v>5.9165621211570372</c:v>
                </c:pt>
                <c:pt idx="415">
                  <c:v>5.9097836020313288</c:v>
                </c:pt>
                <c:pt idx="416">
                  <c:v>5.9030199464791036</c:v>
                </c:pt>
                <c:pt idx="417">
                  <c:v>5.896212924112052</c:v>
                </c:pt>
                <c:pt idx="418">
                  <c:v>5.8894204759098336</c:v>
                </c:pt>
                <c:pt idx="419">
                  <c:v>5.8826423974831163</c:v>
                </c:pt>
                <c:pt idx="420">
                  <c:v>5.8758784897111278</c:v>
                </c:pt>
                <c:pt idx="421">
                  <c:v>5.8691285586007504</c:v>
                </c:pt>
                <c:pt idx="422">
                  <c:v>5.8623924151494107</c:v>
                </c:pt>
                <c:pt idx="423">
                  <c:v>5.8556698752116212</c:v>
                </c:pt>
                <c:pt idx="424">
                  <c:v>5.8489607593691169</c:v>
                </c:pt>
                <c:pt idx="425">
                  <c:v>5.8422648928044492</c:v>
                </c:pt>
                <c:pt idx="426">
                  <c:v>5.8355821051779833</c:v>
                </c:pt>
                <c:pt idx="427">
                  <c:v>5.8289122305081804</c:v>
                </c:pt>
                <c:pt idx="428">
                  <c:v>5.8222551070550885</c:v>
                </c:pt>
                <c:pt idx="429">
                  <c:v>5.815610577206952</c:v>
                </c:pt>
                <c:pt idx="430">
                  <c:v>5.808978487369866</c:v>
                </c:pt>
                <c:pt idx="431">
                  <c:v>5.802358687860373</c:v>
                </c:pt>
                <c:pt idx="432">
                  <c:v>5.7957510328009505</c:v>
                </c:pt>
                <c:pt idx="433">
                  <c:v>5.789155380018288</c:v>
                </c:pt>
                <c:pt idx="434">
                  <c:v>5.782571590944289</c:v>
                </c:pt>
                <c:pt idx="435">
                  <c:v>5.7759995305197291</c:v>
                </c:pt>
                <c:pt idx="436">
                  <c:v>5.769439067100496</c:v>
                </c:pt>
                <c:pt idx="437">
                  <c:v>5.7628900723663312</c:v>
                </c:pt>
                <c:pt idx="438">
                  <c:v>5.756352421232025</c:v>
                </c:pt>
                <c:pt idx="439">
                  <c:v>5.7498259917609831</c:v>
                </c:pt>
                <c:pt idx="440">
                  <c:v>5.7433106650811165</c:v>
                </c:pt>
                <c:pt idx="441">
                  <c:v>5.7368063253029788</c:v>
                </c:pt>
                <c:pt idx="442">
                  <c:v>5.7303128594400921</c:v>
                </c:pt>
                <c:pt idx="443">
                  <c:v>5.7238301573314168</c:v>
                </c:pt>
                <c:pt idx="444">
                  <c:v>5.717358111565888</c:v>
                </c:pt>
                <c:pt idx="445">
                  <c:v>5.7108966174089799</c:v>
                </c:pt>
                <c:pt idx="446">
                  <c:v>5.7044455727312338</c:v>
                </c:pt>
                <c:pt idx="447">
                  <c:v>5.6980048779387014</c:v>
                </c:pt>
                <c:pt idx="448">
                  <c:v>5.6915744359052471</c:v>
                </c:pt>
                <c:pt idx="449">
                  <c:v>5.6851541519066755</c:v>
                </c:pt>
                <c:pt idx="450">
                  <c:v>5.6787439335566043</c:v>
                </c:pt>
                <c:pt idx="451">
                  <c:v>5.6723436907440723</c:v>
                </c:pt>
                <c:pt idx="452">
                  <c:v>5.6659533355728051</c:v>
                </c:pt>
                <c:pt idx="453">
                  <c:v>5.6595727823021189</c:v>
                </c:pt>
                <c:pt idx="454">
                  <c:v>5.6532019472893973</c:v>
                </c:pt>
                <c:pt idx="455">
                  <c:v>5.6468407489341148</c:v>
                </c:pt>
                <c:pt idx="456">
                  <c:v>5.640489107623357</c:v>
                </c:pt>
                <c:pt idx="457">
                  <c:v>5.6341469456787996</c:v>
                </c:pt>
                <c:pt idx="458">
                  <c:v>5.6278141873051055</c:v>
                </c:pt>
                <c:pt idx="459">
                  <c:v>5.6214907585397134</c:v>
                </c:pt>
                <c:pt idx="460">
                  <c:v>5.6151765872039565</c:v>
                </c:pt>
                <c:pt idx="461">
                  <c:v>5.6088716028555021</c:v>
                </c:pt>
                <c:pt idx="462">
                  <c:v>5.6025757367420601</c:v>
                </c:pt>
                <c:pt idx="463">
                  <c:v>5.5962889217563294</c:v>
                </c:pt>
                <c:pt idx="464">
                  <c:v>5.5900110923921575</c:v>
                </c:pt>
                <c:pt idx="465">
                  <c:v>5.5837421847018671</c:v>
                </c:pt>
                <c:pt idx="466">
                  <c:v>5.5774821362547273</c:v>
                </c:pt>
                <c:pt idx="467">
                  <c:v>5.5712308860965409</c:v>
                </c:pt>
                <c:pt idx="468">
                  <c:v>5.5649883747103104</c:v>
                </c:pt>
                <c:pt idx="469">
                  <c:v>5.5586922751811345</c:v>
                </c:pt>
                <c:pt idx="470">
                  <c:v>5.5524049415318384</c:v>
                </c:pt>
                <c:pt idx="471">
                  <c:v>5.5461263179883558</c:v>
                </c:pt>
                <c:pt idx="472">
                  <c:v>5.5398563500705951</c:v>
                </c:pt>
                <c:pt idx="473">
                  <c:v>5.5335949845579862</c:v>
                </c:pt>
                <c:pt idx="474">
                  <c:v>5.5273421694559577</c:v>
                </c:pt>
                <c:pt idx="475">
                  <c:v>5.5210978539633047</c:v>
                </c:pt>
                <c:pt idx="476">
                  <c:v>5.5148619884404377</c:v>
                </c:pt>
                <c:pt idx="477">
                  <c:v>5.5086345243784764</c:v>
                </c:pt>
                <c:pt idx="478">
                  <c:v>5.5024154143691746</c:v>
                </c:pt>
                <c:pt idx="479">
                  <c:v>5.4962046120756467</c:v>
                </c:pt>
                <c:pt idx="480">
                  <c:v>5.4900020722038851</c:v>
                </c:pt>
                <c:pt idx="481">
                  <c:v>5.4838077504750373</c:v>
                </c:pt>
                <c:pt idx="482">
                  <c:v>5.4776216035984211</c:v>
                </c:pt>
                <c:pt idx="483">
                  <c:v>5.471443589245272</c:v>
                </c:pt>
                <c:pt idx="484">
                  <c:v>5.4652736660231858</c:v>
                </c:pt>
                <c:pt idx="485">
                  <c:v>5.4591117934512479</c:v>
                </c:pt>
                <c:pt idx="486">
                  <c:v>5.4529579319358321</c:v>
                </c:pt>
                <c:pt idx="487">
                  <c:v>5.4468120427470437</c:v>
                </c:pt>
                <c:pt idx="488">
                  <c:v>5.4406740879957951</c:v>
                </c:pt>
                <c:pt idx="489">
                  <c:v>5.4345440306114972</c:v>
                </c:pt>
                <c:pt idx="490">
                  <c:v>5.4284218343203428</c:v>
                </c:pt>
                <c:pt idx="491">
                  <c:v>5.4223074636241799</c:v>
                </c:pt>
                <c:pt idx="492">
                  <c:v>5.4162008837799434</c:v>
                </c:pt>
                <c:pt idx="493">
                  <c:v>5.4101020607796411</c:v>
                </c:pt>
                <c:pt idx="494">
                  <c:v>5.4040109613308793</c:v>
                </c:pt>
                <c:pt idx="495">
                  <c:v>5.3979275528379</c:v>
                </c:pt>
                <c:pt idx="496">
                  <c:v>5.3918518033831377</c:v>
                </c:pt>
                <c:pt idx="497">
                  <c:v>5.3857836817092597</c:v>
                </c:pt>
                <c:pt idx="498">
                  <c:v>5.3797231572016964</c:v>
                </c:pt>
                <c:pt idx="499">
                  <c:v>5.3736701998716327</c:v>
                </c:pt>
                <c:pt idx="500">
                  <c:v>5.3676247803394608</c:v>
                </c:pt>
                <c:pt idx="501">
                  <c:v>5.3615868698186704</c:v>
                </c:pt>
                <c:pt idx="502">
                  <c:v>5.3555564401001741</c:v>
                </c:pt>
                <c:pt idx="503">
                  <c:v>5.3495334635370497</c:v>
                </c:pt>
                <c:pt idx="504">
                  <c:v>5.3435179130296957</c:v>
                </c:pt>
                <c:pt idx="505">
                  <c:v>5.3375097620113801</c:v>
                </c:pt>
                <c:pt idx="506">
                  <c:v>5.3315089844341763</c:v>
                </c:pt>
                <c:pt idx="507">
                  <c:v>5.3255155547552819</c:v>
                </c:pt>
                <c:pt idx="508">
                  <c:v>5.3195294479236921</c:v>
                </c:pt>
                <c:pt idx="509">
                  <c:v>5.3135506393672411</c:v>
                </c:pt>
                <c:pt idx="510">
                  <c:v>5.307579104979987</c:v>
                </c:pt>
                <c:pt idx="511">
                  <c:v>5.301614821109931</c:v>
                </c:pt>
                <c:pt idx="512">
                  <c:v>5.2956577645470677</c:v>
                </c:pt>
                <c:pt idx="513">
                  <c:v>5.2897079125117603</c:v>
                </c:pt>
                <c:pt idx="514">
                  <c:v>5.2837652426434172</c:v>
                </c:pt>
                <c:pt idx="515">
                  <c:v>5.277829732989483</c:v>
                </c:pt>
                <c:pt idx="516">
                  <c:v>5.271901361994713</c:v>
                </c:pt>
                <c:pt idx="517">
                  <c:v>5.2659801084907425</c:v>
                </c:pt>
                <c:pt idx="518">
                  <c:v>5.2600659516859336</c:v>
                </c:pt>
                <c:pt idx="519">
                  <c:v>5.2541588711554947</c:v>
                </c:pt>
              </c:numCache>
            </c:numRef>
          </c:val>
          <c:smooth val="0"/>
          <c:extLst>
            <c:ext xmlns:c16="http://schemas.microsoft.com/office/drawing/2014/chart" uri="{C3380CC4-5D6E-409C-BE32-E72D297353CC}">
              <c16:uniqueId val="{00000002-907F-4589-BC87-CB41FF02749B}"/>
            </c:ext>
          </c:extLst>
        </c:ser>
        <c:ser>
          <c:idx val="5"/>
          <c:order val="5"/>
          <c:tx>
            <c:strRef>
              <c:f>Steroid!$H$534</c:f>
              <c:strCache>
                <c:ptCount val="1"/>
                <c:pt idx="0">
                  <c:v>Cataract</c:v>
                </c:pt>
              </c:strCache>
            </c:strRef>
          </c:tx>
          <c:spPr>
            <a:ln w="28575" cap="rnd">
              <a:solidFill>
                <a:schemeClr val="accent6"/>
              </a:solidFill>
              <a:round/>
            </a:ln>
            <a:effectLst/>
          </c:spPr>
          <c:marker>
            <c:symbol val="none"/>
          </c:marker>
          <c:cat>
            <c:numRef>
              <c:f>Steroid!$B$535:$B$1054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Steroid!$H$535:$H$1054</c:f>
              <c:numCache>
                <c:formatCode>#,##0</c:formatCode>
                <c:ptCount val="520"/>
                <c:pt idx="0">
                  <c:v>0</c:v>
                </c:pt>
                <c:pt idx="1">
                  <c:v>0.2204747318509292</c:v>
                </c:pt>
                <c:pt idx="2">
                  <c:v>0.43428385606931369</c:v>
                </c:pt>
                <c:pt idx="3">
                  <c:v>0.64160823310288873</c:v>
                </c:pt>
                <c:pt idx="4">
                  <c:v>0.8426238800845649</c:v>
                </c:pt>
                <c:pt idx="5">
                  <c:v>1.0375021003117986</c:v>
                </c:pt>
                <c:pt idx="6">
                  <c:v>1.2264096092652825</c:v>
                </c:pt>
                <c:pt idx="7">
                  <c:v>1.4095086572594517</c:v>
                </c:pt>
                <c:pt idx="8">
                  <c:v>1.5869571488148231</c:v>
                </c:pt>
                <c:pt idx="9">
                  <c:v>1.7589087588397851</c:v>
                </c:pt>
                <c:pt idx="10">
                  <c:v>1.9255130457071123</c:v>
                </c:pt>
                <c:pt idx="11">
                  <c:v>2.0869155613081958</c:v>
                </c:pt>
                <c:pt idx="12">
                  <c:v>2.2432579581657697</c:v>
                </c:pt>
                <c:pt idx="13">
                  <c:v>2.3946780936837468</c:v>
                </c:pt>
                <c:pt idx="14">
                  <c:v>2.5413101316106843</c:v>
                </c:pt>
                <c:pt idx="15">
                  <c:v>2.6832846407913449</c:v>
                </c:pt>
                <c:pt idx="16">
                  <c:v>2.8207286912788403</c:v>
                </c:pt>
                <c:pt idx="17">
                  <c:v>2.9537659478778937</c:v>
                </c:pt>
                <c:pt idx="18">
                  <c:v>3.082516761187887</c:v>
                </c:pt>
                <c:pt idx="19">
                  <c:v>3.207098256212511</c:v>
                </c:pt>
                <c:pt idx="20">
                  <c:v>3.3276244186010522</c:v>
                </c:pt>
                <c:pt idx="21">
                  <c:v>3.4442061785846274</c:v>
                </c:pt>
                <c:pt idx="22">
                  <c:v>3.5569514926689596</c:v>
                </c:pt>
                <c:pt idx="23">
                  <c:v>3.6659654231436631</c:v>
                </c:pt>
                <c:pt idx="24">
                  <c:v>3.7713502154663954</c:v>
                </c:pt>
                <c:pt idx="25">
                  <c:v>3.8732053735786729</c:v>
                </c:pt>
                <c:pt idx="26">
                  <c:v>3.9716277332086283</c:v>
                </c:pt>
                <c:pt idx="27">
                  <c:v>4.0667115332145221</c:v>
                </c:pt>
                <c:pt idx="28">
                  <c:v>4.158548485021357</c:v>
                </c:pt>
                <c:pt idx="29">
                  <c:v>4.2472278402015746</c:v>
                </c:pt>
                <c:pt idx="30">
                  <c:v>4.3328364562494341</c:v>
                </c:pt>
                <c:pt idx="31">
                  <c:v>4.4154588605973473</c:v>
                </c:pt>
                <c:pt idx="32">
                  <c:v>4.4951773129211539</c:v>
                </c:pt>
                <c:pt idx="33">
                  <c:v>4.5720718657800834</c:v>
                </c:pt>
                <c:pt idx="34">
                  <c:v>4.6462204236358913</c:v>
                </c:pt>
                <c:pt idx="35">
                  <c:v>4.7176988002945075</c:v>
                </c:pt>
                <c:pt idx="36">
                  <c:v>4.7865807748123474</c:v>
                </c:pt>
                <c:pt idx="37">
                  <c:v>4.8529381459083272</c:v>
                </c:pt>
                <c:pt idx="38">
                  <c:v>4.9168407849215159</c:v>
                </c:pt>
                <c:pt idx="39">
                  <c:v>4.9783566873533003</c:v>
                </c:pt>
                <c:pt idx="40">
                  <c:v>5.0375520230318918</c:v>
                </c:pt>
                <c:pt idx="41">
                  <c:v>5.0944911849359888</c:v>
                </c:pt>
                <c:pt idx="42">
                  <c:v>5.1492368367134516</c:v>
                </c:pt>
                <c:pt idx="43">
                  <c:v>5.2018499589298424</c:v>
                </c:pt>
                <c:pt idx="44">
                  <c:v>5.252389894080796</c:v>
                </c:pt>
                <c:pt idx="45">
                  <c:v>5.3009143904012577</c:v>
                </c:pt>
                <c:pt idx="46">
                  <c:v>5.3474796445037311</c:v>
                </c:pt>
                <c:pt idx="47">
                  <c:v>5.3921403428768544</c:v>
                </c:pt>
                <c:pt idx="48">
                  <c:v>5.4349497022747473</c:v>
                </c:pt>
                <c:pt idx="49">
                  <c:v>5.4759595090267821</c:v>
                </c:pt>
                <c:pt idx="50">
                  <c:v>5.5152201572966355</c:v>
                </c:pt>
                <c:pt idx="51">
                  <c:v>5.5527806863186946</c:v>
                </c:pt>
                <c:pt idx="52">
                  <c:v>5.5886888166391646</c:v>
                </c:pt>
                <c:pt idx="53">
                  <c:v>5.6229596653706233</c:v>
                </c:pt>
                <c:pt idx="54">
                  <c:v>5.6556693760119341</c:v>
                </c:pt>
                <c:pt idx="55">
                  <c:v>5.6868619462816854</c:v>
                </c:pt>
                <c:pt idx="56">
                  <c:v>5.7165801897894815</c:v>
                </c:pt>
                <c:pt idx="57">
                  <c:v>5.7448657677176787</c:v>
                </c:pt>
                <c:pt idx="58">
                  <c:v>5.7717592196560998</c:v>
                </c:pt>
                <c:pt idx="59">
                  <c:v>5.7972999936123726</c:v>
                </c:pt>
                <c:pt idx="60">
                  <c:v>5.8215264752199314</c:v>
                </c:pt>
                <c:pt idx="61">
                  <c:v>5.8444760161651255</c:v>
                </c:pt>
                <c:pt idx="62">
                  <c:v>5.8661849618543132</c:v>
                </c:pt>
                <c:pt idx="63">
                  <c:v>5.8866886783412617</c:v>
                </c:pt>
                <c:pt idx="64">
                  <c:v>5.9060215785346166</c:v>
                </c:pt>
                <c:pt idx="65">
                  <c:v>5.9242171477047005</c:v>
                </c:pt>
                <c:pt idx="66">
                  <c:v>5.9413079683083589</c:v>
                </c:pt>
                <c:pt idx="67">
                  <c:v>5.9573257441500891</c:v>
                </c:pt>
                <c:pt idx="68">
                  <c:v>5.9723013238971996</c:v>
                </c:pt>
                <c:pt idx="69">
                  <c:v>5.9862647239662614</c:v>
                </c:pt>
                <c:pt idx="70">
                  <c:v>5.9992451507976545</c:v>
                </c:pt>
                <c:pt idx="71">
                  <c:v>6.0112710225345891</c:v>
                </c:pt>
                <c:pt idx="72">
                  <c:v>6.0223699901224892</c:v>
                </c:pt>
                <c:pt idx="73">
                  <c:v>6.0325689578442603</c:v>
                </c:pt>
                <c:pt idx="74">
                  <c:v>6.0418941033065128</c:v>
                </c:pt>
                <c:pt idx="75">
                  <c:v>6.0503708968914136</c:v>
                </c:pt>
                <c:pt idx="76">
                  <c:v>6.058024120688458</c:v>
                </c:pt>
                <c:pt idx="77">
                  <c:v>6.0648778869200584</c:v>
                </c:pt>
                <c:pt idx="78">
                  <c:v>6.0709556558744948</c:v>
                </c:pt>
                <c:pt idx="79">
                  <c:v>6.0762802533593785</c:v>
                </c:pt>
                <c:pt idx="80">
                  <c:v>6.08087388768846</c:v>
                </c:pt>
                <c:pt idx="81">
                  <c:v>6.0847581662142494</c:v>
                </c:pt>
                <c:pt idx="82">
                  <c:v>6.0879541114186004</c:v>
                </c:pt>
                <c:pt idx="83">
                  <c:v>6.090482176573059</c:v>
                </c:pt>
                <c:pt idx="84">
                  <c:v>6.0923622609804982</c:v>
                </c:pt>
                <c:pt idx="85">
                  <c:v>6.0936137248092104</c:v>
                </c:pt>
                <c:pt idx="86">
                  <c:v>6.0942554035303731</c:v>
                </c:pt>
                <c:pt idx="87">
                  <c:v>6.0943056219694736</c:v>
                </c:pt>
                <c:pt idx="88">
                  <c:v>6.0937822079820272</c:v>
                </c:pt>
                <c:pt idx="89">
                  <c:v>6.0927025057636195</c:v>
                </c:pt>
                <c:pt idx="90">
                  <c:v>6.0910833888040594</c:v>
                </c:pt>
                <c:pt idx="91">
                  <c:v>6.0889412724951519</c:v>
                </c:pt>
                <c:pt idx="92">
                  <c:v>6.0862921264013439</c:v>
                </c:pt>
                <c:pt idx="93">
                  <c:v>6.0831514862022757</c:v>
                </c:pt>
                <c:pt idx="94">
                  <c:v>6.0795344653159828</c:v>
                </c:pt>
                <c:pt idx="95">
                  <c:v>6.0754557662113031</c:v>
                </c:pt>
                <c:pt idx="96">
                  <c:v>6.0709296914177946</c:v>
                </c:pt>
                <c:pt idx="97">
                  <c:v>6.0659701542412474</c:v>
                </c:pt>
                <c:pt idx="98">
                  <c:v>6.0605906891926606</c:v>
                </c:pt>
                <c:pt idx="99">
                  <c:v>6.054804462138347</c:v>
                </c:pt>
                <c:pt idx="100">
                  <c:v>6.0486242801786174</c:v>
                </c:pt>
                <c:pt idx="101">
                  <c:v>6.0420626012623035</c:v>
                </c:pt>
                <c:pt idx="102">
                  <c:v>6.0351315435441748</c:v>
                </c:pt>
                <c:pt idx="103">
                  <c:v>6.0278428944921343</c:v>
                </c:pt>
                <c:pt idx="104">
                  <c:v>6.0202081197508752</c:v>
                </c:pt>
                <c:pt idx="105">
                  <c:v>6.0122013908119367</c:v>
                </c:pt>
                <c:pt idx="106">
                  <c:v>6.0038706385368403</c:v>
                </c:pt>
                <c:pt idx="107">
                  <c:v>5.9952264197291658</c:v>
                </c:pt>
                <c:pt idx="108">
                  <c:v>5.986279002263581</c:v>
                </c:pt>
                <c:pt idx="109">
                  <c:v>5.977038372834695</c:v>
                </c:pt>
                <c:pt idx="110">
                  <c:v>5.9675142444986413</c:v>
                </c:pt>
                <c:pt idx="111">
                  <c:v>5.9577160640129252</c:v>
                </c:pt>
                <c:pt idx="112">
                  <c:v>5.9476530189799428</c:v>
                </c:pt>
                <c:pt idx="113">
                  <c:v>5.937334044799405</c:v>
                </c:pt>
                <c:pt idx="114">
                  <c:v>5.9267678314347938</c:v>
                </c:pt>
                <c:pt idx="115">
                  <c:v>5.9159628299988105</c:v>
                </c:pt>
                <c:pt idx="116">
                  <c:v>5.9049272591626591</c:v>
                </c:pt>
                <c:pt idx="117">
                  <c:v>5.8936691113938817</c:v>
                </c:pt>
                <c:pt idx="118">
                  <c:v>5.8821961590273233</c:v>
                </c:pt>
                <c:pt idx="119">
                  <c:v>5.8705159601736865</c:v>
                </c:pt>
                <c:pt idx="120">
                  <c:v>5.8586358644700303</c:v>
                </c:pt>
                <c:pt idx="121">
                  <c:v>5.8465630186764246</c:v>
                </c:pt>
                <c:pt idx="122">
                  <c:v>5.8343043721228902</c:v>
                </c:pt>
                <c:pt idx="123">
                  <c:v>5.8218666820106053</c:v>
                </c:pt>
                <c:pt idx="124">
                  <c:v>5.8092565185713063</c:v>
                </c:pt>
                <c:pt idx="125">
                  <c:v>5.7964802700886411</c:v>
                </c:pt>
                <c:pt idx="126">
                  <c:v>5.7835441477851939</c:v>
                </c:pt>
                <c:pt idx="127">
                  <c:v>5.770454190578759</c:v>
                </c:pt>
                <c:pt idx="128">
                  <c:v>5.7572162697113622</c:v>
                </c:pt>
                <c:pt idx="129">
                  <c:v>5.7438360932544326</c:v>
                </c:pt>
                <c:pt idx="130">
                  <c:v>5.7303192104934437</c:v>
                </c:pt>
                <c:pt idx="131">
                  <c:v>5.7166710161952317</c:v>
                </c:pt>
                <c:pt idx="132">
                  <c:v>5.7028967547611478</c:v>
                </c:pt>
                <c:pt idx="133">
                  <c:v>5.6890015242690746</c:v>
                </c:pt>
                <c:pt idx="134">
                  <c:v>5.674990280407302</c:v>
                </c:pt>
                <c:pt idx="135">
                  <c:v>5.6608678403031378</c:v>
                </c:pt>
                <c:pt idx="136">
                  <c:v>5.6466388862490726</c:v>
                </c:pt>
                <c:pt idx="137">
                  <c:v>5.6323079693292382</c:v>
                </c:pt>
                <c:pt idx="138">
                  <c:v>5.617879512948833</c:v>
                </c:pt>
                <c:pt idx="139">
                  <c:v>5.603357816269094</c:v>
                </c:pt>
                <c:pt idx="140">
                  <c:v>5.5887470575503562</c:v>
                </c:pt>
                <c:pt idx="141">
                  <c:v>5.5740512974056484</c:v>
                </c:pt>
                <c:pt idx="142">
                  <c:v>5.5592744819672184</c:v>
                </c:pt>
                <c:pt idx="143">
                  <c:v>5.5444204459683224</c:v>
                </c:pt>
                <c:pt idx="144">
                  <c:v>5.5294929157425363</c:v>
                </c:pt>
                <c:pt idx="145">
                  <c:v>5.5144955121427968</c:v>
                </c:pt>
                <c:pt idx="146">
                  <c:v>5.4994317533823285</c:v>
                </c:pt>
                <c:pt idx="147">
                  <c:v>5.4843050577995234</c:v>
                </c:pt>
                <c:pt idx="148">
                  <c:v>5.4691187465488351</c:v>
                </c:pt>
                <c:pt idx="149">
                  <c:v>5.4538760462196443</c:v>
                </c:pt>
                <c:pt idx="150">
                  <c:v>5.4385800913850249</c:v>
                </c:pt>
                <c:pt idx="151">
                  <c:v>5.4232339270823005</c:v>
                </c:pt>
                <c:pt idx="152">
                  <c:v>5.4078405112271959</c:v>
                </c:pt>
                <c:pt idx="153">
                  <c:v>5.3924027169633693</c:v>
                </c:pt>
                <c:pt idx="154">
                  <c:v>5.3769233349490531</c:v>
                </c:pt>
                <c:pt idx="155">
                  <c:v>5.3614050755824865</c:v>
                </c:pt>
                <c:pt idx="156">
                  <c:v>5.3458505711677642</c:v>
                </c:pt>
                <c:pt idx="157">
                  <c:v>5.3302254790097523</c:v>
                </c:pt>
                <c:pt idx="158">
                  <c:v>5.3145693970112928</c:v>
                </c:pt>
                <c:pt idx="159">
                  <c:v>5.2988847362128704</c:v>
                </c:pt>
                <c:pt idx="160">
                  <c:v>5.2831738375949282</c:v>
                </c:pt>
                <c:pt idx="161">
                  <c:v>5.2674389739712728</c:v>
                </c:pt>
                <c:pt idx="162">
                  <c:v>5.2516823518317715</c:v>
                </c:pt>
                <c:pt idx="163">
                  <c:v>5.2359061131357034</c:v>
                </c:pt>
                <c:pt idx="164">
                  <c:v>5.220112337057067</c:v>
                </c:pt>
                <c:pt idx="165">
                  <c:v>5.2043030416831524</c:v>
                </c:pt>
                <c:pt idx="166">
                  <c:v>5.1884801856676122</c:v>
                </c:pt>
                <c:pt idx="167">
                  <c:v>5.1726456698392509</c:v>
                </c:pt>
                <c:pt idx="168">
                  <c:v>5.1568013387677256</c:v>
                </c:pt>
                <c:pt idx="169">
                  <c:v>5.140948982287302</c:v>
                </c:pt>
                <c:pt idx="170">
                  <c:v>5.1250903369797829</c:v>
                </c:pt>
                <c:pt idx="171">
                  <c:v>5.1092270876177244</c:v>
                </c:pt>
                <c:pt idx="172">
                  <c:v>5.0933608685689693</c:v>
                </c:pt>
                <c:pt idx="173">
                  <c:v>5.0774932651635645</c:v>
                </c:pt>
                <c:pt idx="174">
                  <c:v>5.061625815024045</c:v>
                </c:pt>
                <c:pt idx="175">
                  <c:v>5.0457600093600741</c:v>
                </c:pt>
                <c:pt idx="176">
                  <c:v>5.029897294228399</c:v>
                </c:pt>
                <c:pt idx="177">
                  <c:v>5.0140390717590346</c:v>
                </c:pt>
                <c:pt idx="178">
                  <c:v>4.9981867013485939</c:v>
                </c:pt>
                <c:pt idx="179">
                  <c:v>4.9823415008216339</c:v>
                </c:pt>
                <c:pt idx="180">
                  <c:v>4.9665047475608821</c:v>
                </c:pt>
                <c:pt idx="181">
                  <c:v>4.9506776796071623</c:v>
                </c:pt>
                <c:pt idx="182">
                  <c:v>4.9348614967298428</c:v>
                </c:pt>
                <c:pt idx="183">
                  <c:v>4.9190573614685942</c:v>
                </c:pt>
                <c:pt idx="184">
                  <c:v>4.9032664001472144</c:v>
                </c:pt>
                <c:pt idx="185">
                  <c:v>4.8874897038602816</c:v>
                </c:pt>
                <c:pt idx="186">
                  <c:v>4.8717283294333527</c:v>
                </c:pt>
                <c:pt idx="187">
                  <c:v>4.8559833003574164</c:v>
                </c:pt>
                <c:pt idx="188">
                  <c:v>4.8402556076982934</c:v>
                </c:pt>
                <c:pt idx="189">
                  <c:v>4.8245462109816541</c:v>
                </c:pt>
                <c:pt idx="190">
                  <c:v>4.8088560390542989</c:v>
                </c:pt>
                <c:pt idx="191">
                  <c:v>4.7931859909223409</c:v>
                </c:pt>
                <c:pt idx="192">
                  <c:v>4.777536936566916</c:v>
                </c:pt>
                <c:pt idx="193">
                  <c:v>4.7619097177380096</c:v>
                </c:pt>
                <c:pt idx="194">
                  <c:v>4.7463051487269885</c:v>
                </c:pt>
                <c:pt idx="195">
                  <c:v>4.7307240171184164</c:v>
                </c:pt>
                <c:pt idx="196">
                  <c:v>4.7151670845216946</c:v>
                </c:pt>
                <c:pt idx="197">
                  <c:v>4.6996350872830774</c:v>
                </c:pt>
                <c:pt idx="198">
                  <c:v>4.6841287371785798</c:v>
                </c:pt>
                <c:pt idx="199">
                  <c:v>4.6686487220883013</c:v>
                </c:pt>
                <c:pt idx="200">
                  <c:v>4.6531957066526441</c:v>
                </c:pt>
                <c:pt idx="201">
                  <c:v>4.6377703329109252</c:v>
                </c:pt>
                <c:pt idx="202">
                  <c:v>4.6223732209228494</c:v>
                </c:pt>
                <c:pt idx="203">
                  <c:v>4.6070049693733006</c:v>
                </c:pt>
                <c:pt idx="204">
                  <c:v>4.5916661561608958</c:v>
                </c:pt>
                <c:pt idx="205">
                  <c:v>4.5763573389707437</c:v>
                </c:pt>
                <c:pt idx="206">
                  <c:v>4.5610790558318195</c:v>
                </c:pt>
                <c:pt idx="207">
                  <c:v>4.5458318256593797</c:v>
                </c:pt>
                <c:pt idx="208">
                  <c:v>4.5306161487828058</c:v>
                </c:pt>
                <c:pt idx="209">
                  <c:v>4.5153995065748536</c:v>
                </c:pt>
                <c:pt idx="210">
                  <c:v>4.5002155863083679</c:v>
                </c:pt>
                <c:pt idx="211">
                  <c:v>4.4850648348574964</c:v>
                </c:pt>
                <c:pt idx="212">
                  <c:v>4.4699476824712923</c:v>
                </c:pt>
                <c:pt idx="213">
                  <c:v>4.4548645432349678</c:v>
                </c:pt>
                <c:pt idx="214">
                  <c:v>4.4398158155187435</c:v>
                </c:pt>
                <c:pt idx="215">
                  <c:v>4.4248018824146387</c:v>
                </c:pt>
                <c:pt idx="216">
                  <c:v>4.4098231121615132</c:v>
                </c:pt>
                <c:pt idx="217">
                  <c:v>4.394879858558685</c:v>
                </c:pt>
                <c:pt idx="218">
                  <c:v>4.379972461368423</c:v>
                </c:pt>
                <c:pt idx="219">
                  <c:v>4.3651012467076153</c:v>
                </c:pt>
                <c:pt idx="220">
                  <c:v>4.3502665274289036</c:v>
                </c:pt>
                <c:pt idx="221">
                  <c:v>4.3354686034915639</c:v>
                </c:pt>
                <c:pt idx="222">
                  <c:v>4.3207077623224075</c:v>
                </c:pt>
                <c:pt idx="223">
                  <c:v>4.3059842791669745</c:v>
                </c:pt>
                <c:pt idx="224">
                  <c:v>4.291298417431272</c:v>
                </c:pt>
                <c:pt idx="225">
                  <c:v>4.2766504290143148</c:v>
                </c:pt>
                <c:pt idx="226">
                  <c:v>4.2620405546317155</c:v>
                </c:pt>
                <c:pt idx="227">
                  <c:v>4.2474690241305648</c:v>
                </c:pt>
                <c:pt idx="228">
                  <c:v>4.2329360567958227</c:v>
                </c:pt>
                <c:pt idx="229">
                  <c:v>4.2184418616484711</c:v>
                </c:pt>
                <c:pt idx="230">
                  <c:v>4.2039866377356265</c:v>
                </c:pt>
                <c:pt idx="231">
                  <c:v>4.1895705744128362</c:v>
                </c:pt>
                <c:pt idx="232">
                  <c:v>4.1751938516187757</c:v>
                </c:pt>
                <c:pt idx="233">
                  <c:v>4.1608566401425353</c:v>
                </c:pt>
                <c:pt idx="234">
                  <c:v>4.146559101883704</c:v>
                </c:pt>
                <c:pt idx="235">
                  <c:v>4.1323013901054431</c:v>
                </c:pt>
                <c:pt idx="236">
                  <c:v>4.1180836496807345</c:v>
                </c:pt>
                <c:pt idx="237">
                  <c:v>4.1039060173319859</c:v>
                </c:pt>
                <c:pt idx="238">
                  <c:v>4.0897686218641773</c:v>
                </c:pt>
                <c:pt idx="239">
                  <c:v>4.0756715843917126</c:v>
                </c:pt>
                <c:pt idx="240">
                  <c:v>4.0616150185591531</c:v>
                </c:pt>
                <c:pt idx="241">
                  <c:v>4.0475990307559853</c:v>
                </c:pt>
                <c:pt idx="242">
                  <c:v>4.0336237203256022</c:v>
                </c:pt>
                <c:pt idx="243">
                  <c:v>4.0196891797686316</c:v>
                </c:pt>
                <c:pt idx="244">
                  <c:v>4.0057954949407772</c:v>
                </c:pt>
                <c:pt idx="245">
                  <c:v>3.9919427452453138</c:v>
                </c:pt>
                <c:pt idx="246">
                  <c:v>3.9781310038203785</c:v>
                </c:pt>
                <c:pt idx="247">
                  <c:v>3.9643603377212053</c:v>
                </c:pt>
                <c:pt idx="248">
                  <c:v>3.9506308080974275</c:v>
                </c:pt>
                <c:pt idx="249">
                  <c:v>3.9369424703655875</c:v>
                </c:pt>
                <c:pt idx="250">
                  <c:v>3.9232953743769809</c:v>
                </c:pt>
                <c:pt idx="251">
                  <c:v>3.9096895645809568</c:v>
                </c:pt>
                <c:pt idx="252">
                  <c:v>3.8961250801838041</c:v>
                </c:pt>
                <c:pt idx="253">
                  <c:v>3.8826019553033282</c:v>
                </c:pt>
                <c:pt idx="254">
                  <c:v>3.8691202191192504</c:v>
                </c:pt>
                <c:pt idx="255">
                  <c:v>3.8556798960195264</c:v>
                </c:pt>
                <c:pt idx="256">
                  <c:v>3.8422810057427061</c:v>
                </c:pt>
                <c:pt idx="257">
                  <c:v>3.8289235635164309</c:v>
                </c:pt>
                <c:pt idx="258">
                  <c:v>3.8156075801921774</c:v>
                </c:pt>
                <c:pt idx="259">
                  <c:v>3.8023330623763458</c:v>
                </c:pt>
                <c:pt idx="260">
                  <c:v>3.7891000125577947</c:v>
                </c:pt>
                <c:pt idx="261">
                  <c:v>3.7760961641310464</c:v>
                </c:pt>
                <c:pt idx="262">
                  <c:v>3.7633446668781785</c:v>
                </c:pt>
                <c:pt idx="263">
                  <c:v>3.7508388714192198</c:v>
                </c:pt>
                <c:pt idx="264">
                  <c:v>3.738572306197546</c:v>
                </c:pt>
                <c:pt idx="265">
                  <c:v>3.7265386727215062</c:v>
                </c:pt>
                <c:pt idx="266">
                  <c:v>3.7147318409333812</c:v>
                </c:pt>
                <c:pt idx="267">
                  <c:v>3.7031458447022647</c:v>
                </c:pt>
                <c:pt idx="268">
                  <c:v>3.6917748774375552</c:v>
                </c:pt>
                <c:pt idx="269">
                  <c:v>3.6806132878198317</c:v>
                </c:pt>
                <c:pt idx="270">
                  <c:v>3.6696555756459639</c:v>
                </c:pt>
                <c:pt idx="271">
                  <c:v>3.6588963877854117</c:v>
                </c:pt>
                <c:pt idx="272">
                  <c:v>3.6483305142447287</c:v>
                </c:pt>
                <c:pt idx="273">
                  <c:v>3.6379528843373796</c:v>
                </c:pt>
                <c:pt idx="274">
                  <c:v>3.627758562956052</c:v>
                </c:pt>
                <c:pt idx="275">
                  <c:v>3.6177427469447201</c:v>
                </c:pt>
                <c:pt idx="276">
                  <c:v>3.60790076156779</c:v>
                </c:pt>
                <c:pt idx="277">
                  <c:v>3.5982280570737299</c:v>
                </c:pt>
                <c:pt idx="278">
                  <c:v>3.5887202053506551</c:v>
                </c:pt>
                <c:pt idx="279">
                  <c:v>3.5793728966714107</c:v>
                </c:pt>
                <c:pt idx="280">
                  <c:v>3.5701819365257532</c:v>
                </c:pt>
                <c:pt idx="281">
                  <c:v>3.5611432425373004</c:v>
                </c:pt>
                <c:pt idx="282">
                  <c:v>3.5522528414629866</c:v>
                </c:pt>
                <c:pt idx="283">
                  <c:v>3.5435068662728071</c:v>
                </c:pt>
                <c:pt idx="284">
                  <c:v>3.5349015533077095</c:v>
                </c:pt>
                <c:pt idx="285">
                  <c:v>3.5264332395135396</c:v>
                </c:pt>
                <c:pt idx="286">
                  <c:v>3.5180983597490032</c:v>
                </c:pt>
                <c:pt idx="287">
                  <c:v>3.5098934441656708</c:v>
                </c:pt>
                <c:pt idx="288">
                  <c:v>3.501815115658085</c:v>
                </c:pt>
                <c:pt idx="289">
                  <c:v>3.4938600873821106</c:v>
                </c:pt>
                <c:pt idx="290">
                  <c:v>3.4860251603396852</c:v>
                </c:pt>
                <c:pt idx="291">
                  <c:v>3.4783072210282056</c:v>
                </c:pt>
                <c:pt idx="292">
                  <c:v>3.4707032391528143</c:v>
                </c:pt>
                <c:pt idx="293">
                  <c:v>3.4632102653999053</c:v>
                </c:pt>
                <c:pt idx="294">
                  <c:v>3.4558254292702073</c:v>
                </c:pt>
                <c:pt idx="295">
                  <c:v>3.4485459369698548</c:v>
                </c:pt>
                <c:pt idx="296">
                  <c:v>3.4413690693578949</c:v>
                </c:pt>
                <c:pt idx="297">
                  <c:v>3.4342921799487147</c:v>
                </c:pt>
                <c:pt idx="298">
                  <c:v>3.4273126929679254</c:v>
                </c:pt>
                <c:pt idx="299">
                  <c:v>3.4204281014602689</c:v>
                </c:pt>
                <c:pt idx="300">
                  <c:v>3.4136359654481567</c:v>
                </c:pt>
                <c:pt idx="301">
                  <c:v>3.4069339101394855</c:v>
                </c:pt>
                <c:pt idx="302">
                  <c:v>3.4003196241834104</c:v>
                </c:pt>
                <c:pt idx="303">
                  <c:v>3.3937908579727938</c:v>
                </c:pt>
                <c:pt idx="304">
                  <c:v>3.3873454219920802</c:v>
                </c:pt>
                <c:pt idx="305">
                  <c:v>3.3809811852093801</c:v>
                </c:pt>
                <c:pt idx="306">
                  <c:v>3.3746960735115805</c:v>
                </c:pt>
                <c:pt idx="307">
                  <c:v>3.3684880681813358</c:v>
                </c:pt>
                <c:pt idx="308">
                  <c:v>3.3623552044148068</c:v>
                </c:pt>
                <c:pt idx="309">
                  <c:v>3.3562955698790695</c:v>
                </c:pt>
                <c:pt idx="310">
                  <c:v>3.3503073033081265</c:v>
                </c:pt>
                <c:pt idx="311">
                  <c:v>3.3443885931364865</c:v>
                </c:pt>
                <c:pt idx="312">
                  <c:v>3.3385376761693095</c:v>
                </c:pt>
                <c:pt idx="313">
                  <c:v>3.3327255847714481</c:v>
                </c:pt>
                <c:pt idx="314">
                  <c:v>3.3269779939309161</c:v>
                </c:pt>
                <c:pt idx="315">
                  <c:v>3.3212932763956338</c:v>
                </c:pt>
                <c:pt idx="316">
                  <c:v>3.3156698483630005</c:v>
                </c:pt>
                <c:pt idx="317">
                  <c:v>3.310106168316973</c:v>
                </c:pt>
                <c:pt idx="318">
                  <c:v>3.304600735896273</c:v>
                </c:pt>
                <c:pt idx="319">
                  <c:v>3.2991520907928877</c:v>
                </c:pt>
                <c:pt idx="320">
                  <c:v>3.2937588116800556</c:v>
                </c:pt>
                <c:pt idx="321">
                  <c:v>3.2884195151689504</c:v>
                </c:pt>
                <c:pt idx="322">
                  <c:v>3.2831328547932865</c:v>
                </c:pt>
                <c:pt idx="323">
                  <c:v>3.2778975200211091</c:v>
                </c:pt>
                <c:pt idx="324">
                  <c:v>3.2727122352930342</c:v>
                </c:pt>
                <c:pt idx="325">
                  <c:v>3.2675757590862302</c:v>
                </c:pt>
                <c:pt idx="326">
                  <c:v>3.2624868830034597</c:v>
                </c:pt>
                <c:pt idx="327">
                  <c:v>3.2574444308865007</c:v>
                </c:pt>
                <c:pt idx="328">
                  <c:v>3.2524472579532993</c:v>
                </c:pt>
                <c:pt idx="329">
                  <c:v>3.2474942499582231</c:v>
                </c:pt>
                <c:pt idx="330">
                  <c:v>3.2425843223747881</c:v>
                </c:pt>
                <c:pt idx="331">
                  <c:v>3.2377164196002641</c:v>
                </c:pt>
                <c:pt idx="332">
                  <c:v>3.2328895141815699</c:v>
                </c:pt>
                <c:pt idx="333">
                  <c:v>3.2281026060618885</c:v>
                </c:pt>
                <c:pt idx="334">
                  <c:v>3.223354721847453</c:v>
                </c:pt>
                <c:pt idx="335">
                  <c:v>3.218644914093951</c:v>
                </c:pt>
                <c:pt idx="336">
                  <c:v>3.2139722606120378</c:v>
                </c:pt>
                <c:pt idx="337">
                  <c:v>3.2093358637914347</c:v>
                </c:pt>
                <c:pt idx="338">
                  <c:v>3.2047348499431214</c:v>
                </c:pt>
                <c:pt idx="339">
                  <c:v>3.200168368659134</c:v>
                </c:pt>
                <c:pt idx="340">
                  <c:v>3.1956355921895043</c:v>
                </c:pt>
                <c:pt idx="341">
                  <c:v>3.1911357148358701</c:v>
                </c:pt>
                <c:pt idx="342">
                  <c:v>3.1866679523613231</c:v>
                </c:pt>
                <c:pt idx="343">
                  <c:v>3.1822315414160496</c:v>
                </c:pt>
                <c:pt idx="344">
                  <c:v>3.1778257389783486</c:v>
                </c:pt>
                <c:pt idx="345">
                  <c:v>3.1734498218106091</c:v>
                </c:pt>
                <c:pt idx="346">
                  <c:v>3.169103085929851</c:v>
                </c:pt>
                <c:pt idx="347">
                  <c:v>3.1647848460924406</c:v>
                </c:pt>
                <c:pt idx="348">
                  <c:v>3.1604944352925934</c:v>
                </c:pt>
                <c:pt idx="349">
                  <c:v>3.1562312042743046</c:v>
                </c:pt>
                <c:pt idx="350">
                  <c:v>3.1519945210563463</c:v>
                </c:pt>
                <c:pt idx="351">
                  <c:v>3.1477837704699723</c:v>
                </c:pt>
                <c:pt idx="352">
                  <c:v>3.1435983537090029</c:v>
                </c:pt>
                <c:pt idx="353">
                  <c:v>3.1394376878919519</c:v>
                </c:pt>
                <c:pt idx="354">
                  <c:v>3.1353012056358724</c:v>
                </c:pt>
                <c:pt idx="355">
                  <c:v>3.1311883546416102</c:v>
                </c:pt>
                <c:pt idx="356">
                  <c:v>3.1270985972901597</c:v>
                </c:pt>
                <c:pt idx="357">
                  <c:v>3.1230314102498253</c:v>
                </c:pt>
                <c:pt idx="358">
                  <c:v>3.118986284093896</c:v>
                </c:pt>
                <c:pt idx="359">
                  <c:v>3.1149627229285524</c:v>
                </c:pt>
                <c:pt idx="360">
                  <c:v>3.1109602440307382</c:v>
                </c:pt>
                <c:pt idx="361">
                  <c:v>3.106978377495722</c:v>
                </c:pt>
                <c:pt idx="362">
                  <c:v>3.1030166658940939</c:v>
                </c:pt>
                <c:pt idx="363">
                  <c:v>3.0990746639379396</c:v>
                </c:pt>
                <c:pt idx="364">
                  <c:v>3.0951519381559573</c:v>
                </c:pt>
                <c:pt idx="365">
                  <c:v>3.0912206902371024</c:v>
                </c:pt>
                <c:pt idx="366">
                  <c:v>3.0873079548048152</c:v>
                </c:pt>
                <c:pt idx="367">
                  <c:v>3.0834133314938112</c:v>
                </c:pt>
                <c:pt idx="368">
                  <c:v>3.0795364305543336</c:v>
                </c:pt>
                <c:pt idx="369">
                  <c:v>3.0756768725680237</c:v>
                </c:pt>
                <c:pt idx="370">
                  <c:v>3.0718342881713991</c:v>
                </c:pt>
                <c:pt idx="371">
                  <c:v>3.0680083177867385</c:v>
                </c:pt>
                <c:pt idx="372">
                  <c:v>3.0641986113601689</c:v>
                </c:pt>
                <c:pt idx="373">
                  <c:v>3.0604048281067673</c:v>
                </c:pt>
                <c:pt idx="374">
                  <c:v>3.0566266362624881</c:v>
                </c:pt>
                <c:pt idx="375">
                  <c:v>3.0528637128427305</c:v>
                </c:pt>
                <c:pt idx="376">
                  <c:v>3.0491157434073743</c:v>
                </c:pt>
                <c:pt idx="377">
                  <c:v>3.0453824218321044</c:v>
                </c:pt>
                <c:pt idx="378">
                  <c:v>3.0416634500858568</c:v>
                </c:pt>
                <c:pt idx="379">
                  <c:v>3.0379585380142267</c:v>
                </c:pt>
                <c:pt idx="380">
                  <c:v>3.034267403128676</c:v>
                </c:pt>
                <c:pt idx="381">
                  <c:v>3.0305897704013818</c:v>
                </c:pt>
                <c:pt idx="382">
                  <c:v>3.0269253720655804</c:v>
                </c:pt>
                <c:pt idx="383">
                  <c:v>3.0232739474212571</c:v>
                </c:pt>
                <c:pt idx="384">
                  <c:v>3.0196352426460376</c:v>
                </c:pt>
                <c:pt idx="385">
                  <c:v>3.0160090106111448</c:v>
                </c:pt>
                <c:pt idx="386">
                  <c:v>3.012395010702281</c:v>
                </c:pt>
                <c:pt idx="387">
                  <c:v>3.0087930086453092</c:v>
                </c:pt>
                <c:pt idx="388">
                  <c:v>3.0052027763365974</c:v>
                </c:pt>
                <c:pt idx="389">
                  <c:v>3.0016240916779102</c:v>
                </c:pt>
                <c:pt idx="390">
                  <c:v>2.9980567384157197</c:v>
                </c:pt>
                <c:pt idx="391">
                  <c:v>2.9945005059848162</c:v>
                </c:pt>
                <c:pt idx="392">
                  <c:v>2.9909551893561108</c:v>
                </c:pt>
                <c:pt idx="393">
                  <c:v>2.9874205888885101</c:v>
                </c:pt>
                <c:pt idx="394">
                  <c:v>2.9838965101847568</c:v>
                </c:pt>
                <c:pt idx="395">
                  <c:v>2.9803827639511327</c:v>
                </c:pt>
                <c:pt idx="396">
                  <c:v>2.9768791658609168</c:v>
                </c:pt>
                <c:pt idx="397">
                  <c:v>2.9733855364214983</c:v>
                </c:pt>
                <c:pt idx="398">
                  <c:v>2.9699017008450497</c:v>
                </c:pt>
                <c:pt idx="399">
                  <c:v>2.9664274889226609</c:v>
                </c:pt>
                <c:pt idx="400">
                  <c:v>2.9629627349018444</c:v>
                </c:pt>
                <c:pt idx="401">
                  <c:v>2.959507277367321</c:v>
                </c:pt>
                <c:pt idx="402">
                  <c:v>2.9560609591249958</c:v>
                </c:pt>
                <c:pt idx="403">
                  <c:v>2.9526236270890407</c:v>
                </c:pt>
                <c:pt idx="404">
                  <c:v>2.9491951321720036</c:v>
                </c:pt>
                <c:pt idx="405">
                  <c:v>2.945775329177855</c:v>
                </c:pt>
                <c:pt idx="406">
                  <c:v>2.9423640766979022</c:v>
                </c:pt>
                <c:pt idx="407">
                  <c:v>2.9389612370094884</c:v>
                </c:pt>
                <c:pt idx="408">
                  <c:v>2.9355666759774062</c:v>
                </c:pt>
                <c:pt idx="409">
                  <c:v>2.9321802629579463</c:v>
                </c:pt>
                <c:pt idx="410">
                  <c:v>2.928801870705521</c:v>
                </c:pt>
                <c:pt idx="411">
                  <c:v>2.9254313752817849</c:v>
                </c:pt>
                <c:pt idx="412">
                  <c:v>2.9220686559671876</c:v>
                </c:pt>
                <c:pt idx="413">
                  <c:v>2.9187135951748968</c:v>
                </c:pt>
                <c:pt idx="414">
                  <c:v>2.9153660783670259</c:v>
                </c:pt>
                <c:pt idx="415">
                  <c:v>2.9120259939731041</c:v>
                </c:pt>
                <c:pt idx="416">
                  <c:v>2.9086932333107285</c:v>
                </c:pt>
                <c:pt idx="417">
                  <c:v>2.9053391360422993</c:v>
                </c:pt>
                <c:pt idx="418">
                  <c:v>2.9019922190065053</c:v>
                </c:pt>
                <c:pt idx="419">
                  <c:v>2.8986523815222549</c:v>
                </c:pt>
                <c:pt idx="420">
                  <c:v>2.8953195255036732</c:v>
                </c:pt>
                <c:pt idx="421">
                  <c:v>2.8919935553906999</c:v>
                </c:pt>
                <c:pt idx="422">
                  <c:v>2.8886743780815447</c:v>
                </c:pt>
                <c:pt idx="423">
                  <c:v>2.8853619028669533</c:v>
                </c:pt>
                <c:pt idx="424">
                  <c:v>2.8820560413662344</c:v>
                </c:pt>
                <c:pt idx="425">
                  <c:v>2.8787567074649982</c:v>
                </c:pt>
                <c:pt idx="426">
                  <c:v>2.8754638172545643</c:v>
                </c:pt>
                <c:pt idx="427">
                  <c:v>2.872177288972992</c:v>
                </c:pt>
                <c:pt idx="428">
                  <c:v>2.8688970429476894</c:v>
                </c:pt>
                <c:pt idx="429">
                  <c:v>2.8656230015395607</c:v>
                </c:pt>
                <c:pt idx="430">
                  <c:v>2.8623550890886484</c:v>
                </c:pt>
                <c:pt idx="431">
                  <c:v>2.859093231861233</c:v>
                </c:pt>
                <c:pt idx="432">
                  <c:v>2.8558373579983458</c:v>
                </c:pt>
                <c:pt idx="433">
                  <c:v>2.8525873974656673</c:v>
                </c:pt>
                <c:pt idx="434">
                  <c:v>2.8493432820047588</c:v>
                </c:pt>
                <c:pt idx="435">
                  <c:v>2.8461049450856089</c:v>
                </c:pt>
                <c:pt idx="436">
                  <c:v>2.8428723218604448</c:v>
                </c:pt>
                <c:pt idx="437">
                  <c:v>2.8396453491187836</c:v>
                </c:pt>
                <c:pt idx="438">
                  <c:v>2.8364239652436871</c:v>
                </c:pt>
                <c:pt idx="439">
                  <c:v>2.8332081101691857</c:v>
                </c:pt>
                <c:pt idx="440">
                  <c:v>2.8299977253388477</c:v>
                </c:pt>
                <c:pt idx="441">
                  <c:v>2.8267927536654534</c:v>
                </c:pt>
                <c:pt idx="442">
                  <c:v>2.8235931394917517</c:v>
                </c:pt>
                <c:pt idx="443">
                  <c:v>2.8203988285522668</c:v>
                </c:pt>
                <c:pt idx="444">
                  <c:v>2.8172097679361281</c:v>
                </c:pt>
                <c:pt idx="445">
                  <c:v>2.8140259060508961</c:v>
                </c:pt>
                <c:pt idx="446">
                  <c:v>2.8108471925873575</c:v>
                </c:pt>
                <c:pt idx="447">
                  <c:v>2.80767357848526</c:v>
                </c:pt>
                <c:pt idx="448">
                  <c:v>2.80450501589997</c:v>
                </c:pt>
                <c:pt idx="449">
                  <c:v>2.8013414581700178</c:v>
                </c:pt>
                <c:pt idx="450">
                  <c:v>2.7981828597855172</c:v>
                </c:pt>
                <c:pt idx="451">
                  <c:v>2.7950291763574264</c:v>
                </c:pt>
                <c:pt idx="452">
                  <c:v>2.7918803645876351</c:v>
                </c:pt>
                <c:pt idx="453">
                  <c:v>2.788736382239851</c:v>
                </c:pt>
                <c:pt idx="454">
                  <c:v>2.7855971881112684</c:v>
                </c:pt>
                <c:pt idx="455">
                  <c:v>2.782462742004991</c:v>
                </c:pt>
                <c:pt idx="456">
                  <c:v>2.779333004703199</c:v>
                </c:pt>
                <c:pt idx="457">
                  <c:v>2.7762079379410314</c:v>
                </c:pt>
                <c:pt idx="458">
                  <c:v>2.7730875043811665</c:v>
                </c:pt>
                <c:pt idx="459">
                  <c:v>2.7699716675890871</c:v>
                </c:pt>
                <c:pt idx="460">
                  <c:v>2.7668603920090042</c:v>
                </c:pt>
                <c:pt idx="461">
                  <c:v>2.7637536429404297</c:v>
                </c:pt>
                <c:pt idx="462">
                  <c:v>2.7606513865153719</c:v>
                </c:pt>
                <c:pt idx="463">
                  <c:v>2.7575535896761445</c:v>
                </c:pt>
                <c:pt idx="464">
                  <c:v>2.7544602201537711</c:v>
                </c:pt>
                <c:pt idx="465">
                  <c:v>2.7513712464469626</c:v>
                </c:pt>
                <c:pt idx="466">
                  <c:v>2.7482866378016646</c:v>
                </c:pt>
                <c:pt idx="467">
                  <c:v>2.7452063641911471</c:v>
                </c:pt>
                <c:pt idx="468">
                  <c:v>2.7421303962966319</c:v>
                </c:pt>
                <c:pt idx="469">
                  <c:v>2.7390280576187465</c:v>
                </c:pt>
                <c:pt idx="470">
                  <c:v>2.7359300370551991</c:v>
                </c:pt>
                <c:pt idx="471">
                  <c:v>2.7328363071570592</c:v>
                </c:pt>
                <c:pt idx="472">
                  <c:v>2.7297468411120946</c:v>
                </c:pt>
                <c:pt idx="473">
                  <c:v>2.7266616127278192</c:v>
                </c:pt>
                <c:pt idx="474">
                  <c:v>2.7235805964149997</c:v>
                </c:pt>
                <c:pt idx="475">
                  <c:v>2.7205037671715977</c:v>
                </c:pt>
                <c:pt idx="476">
                  <c:v>2.717431100567147</c:v>
                </c:pt>
                <c:pt idx="477">
                  <c:v>2.7143625727275458</c:v>
                </c:pt>
                <c:pt idx="478">
                  <c:v>2.7112981603202599</c:v>
                </c:pt>
                <c:pt idx="479">
                  <c:v>2.7082378405399194</c:v>
                </c:pt>
                <c:pt idx="480">
                  <c:v>2.7051815910943029</c:v>
                </c:pt>
                <c:pt idx="481">
                  <c:v>2.7021293901906955</c:v>
                </c:pt>
                <c:pt idx="482">
                  <c:v>2.6990812165226146</c:v>
                </c:pt>
                <c:pt idx="483">
                  <c:v>2.6960370492568879</c:v>
                </c:pt>
                <c:pt idx="484">
                  <c:v>2.6929968680210825</c:v>
                </c:pt>
                <c:pt idx="485">
                  <c:v>2.6899606528912647</c:v>
                </c:pt>
                <c:pt idx="486">
                  <c:v>2.6869283843800931</c:v>
                </c:pt>
                <c:pt idx="487">
                  <c:v>2.6839000434252269</c:v>
                </c:pt>
                <c:pt idx="488">
                  <c:v>2.6808756113780468</c:v>
                </c:pt>
                <c:pt idx="489">
                  <c:v>2.677855069992678</c:v>
                </c:pt>
                <c:pt idx="490">
                  <c:v>2.6748384014153057</c:v>
                </c:pt>
                <c:pt idx="491">
                  <c:v>2.6718255881737769</c:v>
                </c:pt>
                <c:pt idx="492">
                  <c:v>2.6688166131674831</c:v>
                </c:pt>
                <c:pt idx="493">
                  <c:v>2.6658114596575109</c:v>
                </c:pt>
                <c:pt idx="494">
                  <c:v>2.6628101112570595</c:v>
                </c:pt>
                <c:pt idx="495">
                  <c:v>2.6598125519221121</c:v>
                </c:pt>
                <c:pt idx="496">
                  <c:v>2.6568187659423592</c:v>
                </c:pt>
                <c:pt idx="497">
                  <c:v>2.6538287379323617</c:v>
                </c:pt>
                <c:pt idx="498">
                  <c:v>2.6508424528229564</c:v>
                </c:pt>
                <c:pt idx="499">
                  <c:v>2.6478598958528865</c:v>
                </c:pt>
                <c:pt idx="500">
                  <c:v>2.6448810525606579</c:v>
                </c:pt>
                <c:pt idx="501">
                  <c:v>2.6419059087766144</c:v>
                </c:pt>
                <c:pt idx="502">
                  <c:v>2.638934450615225</c:v>
                </c:pt>
                <c:pt idx="503">
                  <c:v>2.6359666644675759</c:v>
                </c:pt>
                <c:pt idx="504">
                  <c:v>2.6330025369940673</c:v>
                </c:pt>
                <c:pt idx="505">
                  <c:v>2.6300420551173005</c:v>
                </c:pt>
                <c:pt idx="506">
                  <c:v>2.6270852060151606</c:v>
                </c:pt>
                <c:pt idx="507">
                  <c:v>2.6241319771140823</c:v>
                </c:pt>
                <c:pt idx="508">
                  <c:v>2.6211823560824943</c:v>
                </c:pt>
                <c:pt idx="509">
                  <c:v>2.6182363308244425</c:v>
                </c:pt>
                <c:pt idx="510">
                  <c:v>2.6152938894733824</c:v>
                </c:pt>
                <c:pt idx="511">
                  <c:v>2.6123550203861372</c:v>
                </c:pt>
                <c:pt idx="512">
                  <c:v>2.6094197121370182</c:v>
                </c:pt>
                <c:pt idx="513">
                  <c:v>2.6064879535121022</c:v>
                </c:pt>
                <c:pt idx="514">
                  <c:v>2.6035597335036647</c:v>
                </c:pt>
                <c:pt idx="515">
                  <c:v>2.6006350413047574</c:v>
                </c:pt>
                <c:pt idx="516">
                  <c:v>2.5977138663039354</c:v>
                </c:pt>
                <c:pt idx="517">
                  <c:v>2.5947961980801226</c:v>
                </c:pt>
                <c:pt idx="518">
                  <c:v>2.591882026397617</c:v>
                </c:pt>
                <c:pt idx="519">
                  <c:v>2.5889713412012272</c:v>
                </c:pt>
              </c:numCache>
            </c:numRef>
          </c:val>
          <c:smooth val="0"/>
          <c:extLst>
            <c:ext xmlns:c16="http://schemas.microsoft.com/office/drawing/2014/chart" uri="{C3380CC4-5D6E-409C-BE32-E72D297353CC}">
              <c16:uniqueId val="{00000003-907F-4589-BC87-CB41FF02749B}"/>
            </c:ext>
          </c:extLst>
        </c:ser>
        <c:ser>
          <c:idx val="6"/>
          <c:order val="6"/>
          <c:tx>
            <c:strRef>
              <c:f>Steroid!$I$534</c:f>
              <c:strCache>
                <c:ptCount val="1"/>
                <c:pt idx="0">
                  <c:v>Glaucoma</c:v>
                </c:pt>
              </c:strCache>
            </c:strRef>
          </c:tx>
          <c:spPr>
            <a:ln w="28575" cap="rnd">
              <a:solidFill>
                <a:schemeClr val="accent1">
                  <a:lumMod val="60000"/>
                </a:schemeClr>
              </a:solidFill>
              <a:round/>
            </a:ln>
            <a:effectLst/>
          </c:spPr>
          <c:marker>
            <c:symbol val="none"/>
          </c:marker>
          <c:cat>
            <c:numRef>
              <c:f>Steroid!$B$535:$B$1054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Steroid!$I$535:$I$1054</c:f>
              <c:numCache>
                <c:formatCode>#,##0</c:formatCode>
                <c:ptCount val="520"/>
                <c:pt idx="0">
                  <c:v>0</c:v>
                </c:pt>
                <c:pt idx="1">
                  <c:v>1.5389709296329488E-2</c:v>
                </c:pt>
                <c:pt idx="2">
                  <c:v>3.0314141856014085E-2</c:v>
                </c:pt>
                <c:pt idx="3">
                  <c:v>4.4785922208361445E-2</c:v>
                </c:pt>
                <c:pt idx="4">
                  <c:v>5.8817336806716691E-2</c:v>
                </c:pt>
                <c:pt idx="5">
                  <c:v>7.2420343066459017E-2</c:v>
                </c:pt>
                <c:pt idx="6">
                  <c:v>8.5606578161433813E-2</c:v>
                </c:pt>
                <c:pt idx="7">
                  <c:v>9.8387367585276678E-2</c:v>
                </c:pt>
                <c:pt idx="8">
                  <c:v>0.11077373348391303</c:v>
                </c:pt>
                <c:pt idx="9">
                  <c:v>0.122776402765349</c:v>
                </c:pt>
                <c:pt idx="10">
                  <c:v>0.13440581499270601</c:v>
                </c:pt>
                <c:pt idx="11">
                  <c:v>0.14567213006629204</c:v>
                </c:pt>
                <c:pt idx="12">
                  <c:v>0.15658523570034838</c:v>
                </c:pt>
                <c:pt idx="13">
                  <c:v>0.16715475469995916</c:v>
                </c:pt>
                <c:pt idx="14">
                  <c:v>0.17739005204346478</c:v>
                </c:pt>
                <c:pt idx="15">
                  <c:v>0.18730024177557772</c:v>
                </c:pt>
                <c:pt idx="16">
                  <c:v>0.1968941937162598</c:v>
                </c:pt>
                <c:pt idx="17">
                  <c:v>0.20618053999028518</c:v>
                </c:pt>
                <c:pt idx="18">
                  <c:v>0.21516768138228157</c:v>
                </c:pt>
                <c:pt idx="19">
                  <c:v>0.22386379352191402</c:v>
                </c:pt>
                <c:pt idx="20">
                  <c:v>0.23227683290375117</c:v>
                </c:pt>
                <c:pt idx="21">
                  <c:v>0.24041454274623228</c:v>
                </c:pt>
                <c:pt idx="22">
                  <c:v>0.24828445869403537</c:v>
                </c:pt>
                <c:pt idx="23">
                  <c:v>0.2558939143680321</c:v>
                </c:pt>
                <c:pt idx="24">
                  <c:v>0.26325004676690261</c:v>
                </c:pt>
                <c:pt idx="25">
                  <c:v>0.27035980152437517</c:v>
                </c:pt>
                <c:pt idx="26">
                  <c:v>0.27722993802594925</c:v>
                </c:pt>
                <c:pt idx="27">
                  <c:v>0.28386703438885774</c:v>
                </c:pt>
                <c:pt idx="28">
                  <c:v>0.29027749230892363</c:v>
                </c:pt>
                <c:pt idx="29">
                  <c:v>0.29646754177786799</c:v>
                </c:pt>
                <c:pt idx="30">
                  <c:v>0.30244324567453246</c:v>
                </c:pt>
                <c:pt idx="31">
                  <c:v>0.30821050423338575</c:v>
                </c:pt>
                <c:pt idx="32">
                  <c:v>0.31377505939359435</c:v>
                </c:pt>
                <c:pt idx="33">
                  <c:v>0.31914249903184866</c:v>
                </c:pt>
                <c:pt idx="34">
                  <c:v>0.32431826108205275</c:v>
                </c:pt>
                <c:pt idx="35">
                  <c:v>0.32930763754490028</c:v>
                </c:pt>
                <c:pt idx="36">
                  <c:v>0.33411577839028056</c:v>
                </c:pt>
                <c:pt idx="37">
                  <c:v>0.33874769535537869</c:v>
                </c:pt>
                <c:pt idx="38">
                  <c:v>0.34320826564125706</c:v>
                </c:pt>
                <c:pt idx="39">
                  <c:v>0.34750223551063264</c:v>
                </c:pt>
                <c:pt idx="40">
                  <c:v>0.3516342237894895</c:v>
                </c:pt>
                <c:pt idx="41">
                  <c:v>0.35560872527509818</c:v>
                </c:pt>
                <c:pt idx="42">
                  <c:v>0.35943011405294184</c:v>
                </c:pt>
                <c:pt idx="43">
                  <c:v>0.36310264672498505</c:v>
                </c:pt>
                <c:pt idx="44">
                  <c:v>0.36663046555165413</c:v>
                </c:pt>
                <c:pt idx="45">
                  <c:v>0.37001760150983559</c:v>
                </c:pt>
                <c:pt idx="46">
                  <c:v>0.37326797726913719</c:v>
                </c:pt>
                <c:pt idx="47">
                  <c:v>0.37638541008859577</c:v>
                </c:pt>
                <c:pt idx="48">
                  <c:v>0.37937361463595914</c:v>
                </c:pt>
                <c:pt idx="49">
                  <c:v>0.38223620573160993</c:v>
                </c:pt>
                <c:pt idx="50">
                  <c:v>0.38497670101914699</c:v>
                </c:pt>
                <c:pt idx="51">
                  <c:v>0.38759852356458352</c:v>
                </c:pt>
                <c:pt idx="52">
                  <c:v>0.39010500438607015</c:v>
                </c:pt>
                <c:pt idx="53">
                  <c:v>0.392497198697354</c:v>
                </c:pt>
                <c:pt idx="54">
                  <c:v>0.39478042151255255</c:v>
                </c:pt>
                <c:pt idx="55">
                  <c:v>0.39695774398677319</c:v>
                </c:pt>
                <c:pt idx="56">
                  <c:v>0.39903215462123881</c:v>
                </c:pt>
                <c:pt idx="57">
                  <c:v>0.40100656147475505</c:v>
                </c:pt>
                <c:pt idx="58">
                  <c:v>0.40288379431605381</c:v>
                </c:pt>
                <c:pt idx="59">
                  <c:v>0.40466660671859284</c:v>
                </c:pt>
                <c:pt idx="60">
                  <c:v>0.40635767809934997</c:v>
                </c:pt>
                <c:pt idx="61">
                  <c:v>0.40795961570310924</c:v>
                </c:pt>
                <c:pt idx="62">
                  <c:v>0.40947495653369609</c:v>
                </c:pt>
                <c:pt idx="63">
                  <c:v>0.4109061692335797</c:v>
                </c:pt>
                <c:pt idx="64">
                  <c:v>0.41225565591322266</c:v>
                </c:pt>
                <c:pt idx="65">
                  <c:v>0.41352575393152158</c:v>
                </c:pt>
                <c:pt idx="66">
                  <c:v>0.41471873762864592</c:v>
                </c:pt>
                <c:pt idx="67">
                  <c:v>0.41583682001254774</c:v>
                </c:pt>
                <c:pt idx="68">
                  <c:v>0.41688215440038073</c:v>
                </c:pt>
                <c:pt idx="69">
                  <c:v>0.41785683601603407</c:v>
                </c:pt>
                <c:pt idx="70">
                  <c:v>0.41876290354495393</c:v>
                </c:pt>
                <c:pt idx="71">
                  <c:v>0.41960234064739482</c:v>
                </c:pt>
                <c:pt idx="72">
                  <c:v>0.42037707743121205</c:v>
                </c:pt>
                <c:pt idx="73">
                  <c:v>0.42108899188527671</c:v>
                </c:pt>
                <c:pt idx="74">
                  <c:v>0.42173991127456573</c:v>
                </c:pt>
                <c:pt idx="75">
                  <c:v>0.42233161349795173</c:v>
                </c:pt>
                <c:pt idx="76">
                  <c:v>0.42286582840968995</c:v>
                </c:pt>
                <c:pt idx="77">
                  <c:v>0.42334423910557256</c:v>
                </c:pt>
                <c:pt idx="78">
                  <c:v>0.42376848317469468</c:v>
                </c:pt>
                <c:pt idx="79">
                  <c:v>0.42414015391775167</c:v>
                </c:pt>
                <c:pt idx="80">
                  <c:v>0.42446080153276267</c:v>
                </c:pt>
                <c:pt idx="81">
                  <c:v>0.42473193426909039</c:v>
                </c:pt>
                <c:pt idx="82">
                  <c:v>0.42495501955060555</c:v>
                </c:pt>
                <c:pt idx="83">
                  <c:v>0.4251314850688202</c:v>
                </c:pt>
                <c:pt idx="84">
                  <c:v>0.42526271984679292</c:v>
                </c:pt>
                <c:pt idx="85">
                  <c:v>0.42535007527458757</c:v>
                </c:pt>
                <c:pt idx="86">
                  <c:v>0.42539486611704569</c:v>
                </c:pt>
                <c:pt idx="87">
                  <c:v>0.42539837149461246</c:v>
                </c:pt>
                <c:pt idx="88">
                  <c:v>0.42536183583793735</c:v>
                </c:pt>
                <c:pt idx="89">
                  <c:v>0.42528646981694979</c:v>
                </c:pt>
                <c:pt idx="90">
                  <c:v>0.42517345124509259</c:v>
                </c:pt>
                <c:pt idx="91">
                  <c:v>0.42502392595937727</c:v>
                </c:pt>
                <c:pt idx="92">
                  <c:v>0.42483900867690721</c:v>
                </c:pt>
                <c:pt idx="93">
                  <c:v>0.4246197838284983</c:v>
                </c:pt>
                <c:pt idx="94">
                  <c:v>0.42436730637000913</c:v>
                </c:pt>
                <c:pt idx="95">
                  <c:v>0.42408260257197633</c:v>
                </c:pt>
                <c:pt idx="96">
                  <c:v>0.42376667078813524</c:v>
                </c:pt>
                <c:pt idx="97">
                  <c:v>0.42342048220339074</c:v>
                </c:pt>
                <c:pt idx="98">
                  <c:v>0.42304498156178666</c:v>
                </c:pt>
                <c:pt idx="99">
                  <c:v>0.4226410878750097</c:v>
                </c:pt>
                <c:pt idx="100">
                  <c:v>0.42220969511194717</c:v>
                </c:pt>
                <c:pt idx="101">
                  <c:v>0.42175167286980553</c:v>
                </c:pt>
                <c:pt idx="102">
                  <c:v>0.42126786702728292</c:v>
                </c:pt>
                <c:pt idx="103">
                  <c:v>0.42075910038027459</c:v>
                </c:pt>
                <c:pt idx="104">
                  <c:v>0.42022617326057921</c:v>
                </c:pt>
                <c:pt idx="105">
                  <c:v>0.41966728277117793</c:v>
                </c:pt>
                <c:pt idx="106">
                  <c:v>0.41908577461077723</c:v>
                </c:pt>
                <c:pt idx="107">
                  <c:v>0.41848238567170398</c:v>
                </c:pt>
                <c:pt idx="108">
                  <c:v>0.41785783267829629</c:v>
                </c:pt>
                <c:pt idx="109">
                  <c:v>0.4172128127277932</c:v>
                </c:pt>
                <c:pt idx="110">
                  <c:v>0.41654800381675705</c:v>
                </c:pt>
                <c:pt idx="111">
                  <c:v>0.41586406535341386</c:v>
                </c:pt>
                <c:pt idx="112">
                  <c:v>0.4151616386562893</c:v>
                </c:pt>
                <c:pt idx="113">
                  <c:v>0.41444134743950634</c:v>
                </c:pt>
                <c:pt idx="114">
                  <c:v>0.41370379828510123</c:v>
                </c:pt>
                <c:pt idx="115">
                  <c:v>0.41294958110270485</c:v>
                </c:pt>
                <c:pt idx="116">
                  <c:v>0.41217926957692758</c:v>
                </c:pt>
                <c:pt idx="117">
                  <c:v>0.41139342160277625</c:v>
                </c:pt>
                <c:pt idx="118">
                  <c:v>0.41059257970942331</c:v>
                </c:pt>
                <c:pt idx="119">
                  <c:v>0.40977727147263932</c:v>
                </c:pt>
                <c:pt idx="120">
                  <c:v>0.40894800991619273</c:v>
                </c:pt>
                <c:pt idx="121">
                  <c:v>0.40810529390251088</c:v>
                </c:pt>
                <c:pt idx="122">
                  <c:v>0.40724960851289033</c:v>
                </c:pt>
                <c:pt idx="123">
                  <c:v>0.40638142541753547</c:v>
                </c:pt>
                <c:pt idx="124">
                  <c:v>0.40550120323569727</c:v>
                </c:pt>
                <c:pt idx="125">
                  <c:v>0.40460938788617756</c:v>
                </c:pt>
                <c:pt idx="126">
                  <c:v>0.40370641292845577</c:v>
                </c:pt>
                <c:pt idx="127">
                  <c:v>0.40279269989468902</c:v>
                </c:pt>
                <c:pt idx="128">
                  <c:v>0.40186865861282994</c:v>
                </c:pt>
                <c:pt idx="129">
                  <c:v>0.40093468752109973</c:v>
                </c:pt>
                <c:pt idx="130">
                  <c:v>0.39999117397404688</c:v>
                </c:pt>
                <c:pt idx="131">
                  <c:v>0.39903849454041768</c:v>
                </c:pt>
                <c:pt idx="132">
                  <c:v>0.39807701529305645</c:v>
                </c:pt>
                <c:pt idx="133">
                  <c:v>0.39710709209104939</c:v>
                </c:pt>
                <c:pt idx="134">
                  <c:v>0.39612907085431898</c:v>
                </c:pt>
                <c:pt idx="135">
                  <c:v>0.39514328783087088</c:v>
                </c:pt>
                <c:pt idx="136">
                  <c:v>0.39415006985689027</c:v>
                </c:pt>
                <c:pt idx="137">
                  <c:v>0.39314973460987784</c:v>
                </c:pt>
                <c:pt idx="138">
                  <c:v>0.3921425908550128</c:v>
                </c:pt>
                <c:pt idx="139">
                  <c:v>0.39112893868492304</c:v>
                </c:pt>
                <c:pt idx="140">
                  <c:v>0.39010906975303927</c:v>
                </c:pt>
                <c:pt idx="141">
                  <c:v>0.38908326750070427</c:v>
                </c:pt>
                <c:pt idx="142">
                  <c:v>0.38805180737820505</c:v>
                </c:pt>
                <c:pt idx="143">
                  <c:v>0.38701495705988925</c:v>
                </c:pt>
                <c:pt idx="144">
                  <c:v>0.3859729766535252</c:v>
                </c:pt>
                <c:pt idx="145">
                  <c:v>0.38492611890405865</c:v>
                </c:pt>
                <c:pt idx="146">
                  <c:v>0.3838746293919163</c:v>
                </c:pt>
                <c:pt idx="147">
                  <c:v>0.3828187467260023</c:v>
                </c:pt>
                <c:pt idx="148">
                  <c:v>0.38175870273152906</c:v>
                </c:pt>
                <c:pt idx="149">
                  <c:v>0.38069472263282128</c:v>
                </c:pt>
                <c:pt idx="150">
                  <c:v>0.37962702523122638</c:v>
                </c:pt>
                <c:pt idx="151">
                  <c:v>0.37855582307826352</c:v>
                </c:pt>
                <c:pt idx="152">
                  <c:v>0.37748132264413781</c:v>
                </c:pt>
                <c:pt idx="153">
                  <c:v>0.37640372448174397</c:v>
                </c:pt>
                <c:pt idx="154">
                  <c:v>0.37532322338627955</c:v>
                </c:pt>
                <c:pt idx="155">
                  <c:v>0.37424000855058581</c:v>
                </c:pt>
                <c:pt idx="156">
                  <c:v>0.3731542637163302</c:v>
                </c:pt>
                <c:pt idx="157">
                  <c:v>0.37206359167413561</c:v>
                </c:pt>
                <c:pt idx="158">
                  <c:v>0.37097075646053529</c:v>
                </c:pt>
                <c:pt idx="159">
                  <c:v>0.36987592637242134</c:v>
                </c:pt>
                <c:pt idx="160">
                  <c:v>0.36877926481631285</c:v>
                </c:pt>
                <c:pt idx="161">
                  <c:v>0.36768093044052058</c:v>
                </c:pt>
                <c:pt idx="162">
                  <c:v>0.36658107726377204</c:v>
                </c:pt>
                <c:pt idx="163">
                  <c:v>0.36547985480039169</c:v>
                </c:pt>
                <c:pt idx="164">
                  <c:v>0.36437740818212849</c:v>
                </c:pt>
                <c:pt idx="165">
                  <c:v>0.36327387827672031</c:v>
                </c:pt>
                <c:pt idx="166">
                  <c:v>0.36216940180328255</c:v>
                </c:pt>
                <c:pt idx="167">
                  <c:v>0.3610641114446061</c:v>
                </c:pt>
                <c:pt idx="168">
                  <c:v>0.3599581359564471</c:v>
                </c:pt>
                <c:pt idx="169">
                  <c:v>0.3588516002738889</c:v>
                </c:pt>
                <c:pt idx="170">
                  <c:v>0.35774462561485487</c:v>
                </c:pt>
                <c:pt idx="171">
                  <c:v>0.35663732958084793</c:v>
                </c:pt>
                <c:pt idx="172">
                  <c:v>0.35552982625499141</c:v>
                </c:pt>
                <c:pt idx="173">
                  <c:v>0.3544222262974428</c:v>
                </c:pt>
                <c:pt idx="174">
                  <c:v>0.35331463703825128</c:v>
                </c:pt>
                <c:pt idx="175">
                  <c:v>0.35220716256772705</c:v>
                </c:pt>
                <c:pt idx="176">
                  <c:v>0.35109990382438938</c:v>
                </c:pt>
                <c:pt idx="177">
                  <c:v>0.34999295868055741</c:v>
                </c:pt>
                <c:pt idx="178">
                  <c:v>0.34888642202564779</c:v>
                </c:pt>
                <c:pt idx="179">
                  <c:v>0.34778038584723969</c:v>
                </c:pt>
                <c:pt idx="180">
                  <c:v>0.34667493930996729</c:v>
                </c:pt>
                <c:pt idx="181">
                  <c:v>0.3455701688322978</c:v>
                </c:pt>
                <c:pt idx="182">
                  <c:v>0.34446615816125137</c:v>
                </c:pt>
                <c:pt idx="183">
                  <c:v>0.34336298844511837</c:v>
                </c:pt>
                <c:pt idx="184">
                  <c:v>0.34226073830422726</c:v>
                </c:pt>
                <c:pt idx="185">
                  <c:v>0.34115948389981532</c:v>
                </c:pt>
                <c:pt idx="186">
                  <c:v>0.34005929900105314</c:v>
                </c:pt>
                <c:pt idx="187">
                  <c:v>0.33896025505027172</c:v>
                </c:pt>
                <c:pt idx="188">
                  <c:v>0.33786242122644122</c:v>
                </c:pt>
                <c:pt idx="189">
                  <c:v>0.33676586450694712</c:v>
                </c:pt>
                <c:pt idx="190">
                  <c:v>0.33567064972771021</c:v>
                </c:pt>
                <c:pt idx="191">
                  <c:v>0.33457683964169371</c:v>
                </c:pt>
                <c:pt idx="192">
                  <c:v>0.33348449497584204</c:v>
                </c:pt>
                <c:pt idx="193">
                  <c:v>0.33239367448649182</c:v>
                </c:pt>
                <c:pt idx="194">
                  <c:v>0.33130443501329682</c:v>
                </c:pt>
                <c:pt idx="195">
                  <c:v>0.3302168315317065</c:v>
                </c:pt>
                <c:pt idx="196">
                  <c:v>0.32913091720403648</c:v>
                </c:pt>
                <c:pt idx="197">
                  <c:v>0.32804674342916901</c:v>
                </c:pt>
                <c:pt idx="198">
                  <c:v>0.32696435989091999</c:v>
                </c:pt>
                <c:pt idx="199">
                  <c:v>0.32588381460510807</c:v>
                </c:pt>
                <c:pt idx="200">
                  <c:v>0.32480515396536069</c:v>
                </c:pt>
                <c:pt idx="201">
                  <c:v>0.32372842278769087</c:v>
                </c:pt>
                <c:pt idx="202">
                  <c:v>0.3226536643538776</c:v>
                </c:pt>
                <c:pt idx="203">
                  <c:v>0.32158092045368164</c:v>
                </c:pt>
                <c:pt idx="204">
                  <c:v>0.32051023142592849</c:v>
                </c:pt>
                <c:pt idx="205">
                  <c:v>0.31944163619848814</c:v>
                </c:pt>
                <c:pt idx="206">
                  <c:v>0.31837517232718138</c:v>
                </c:pt>
                <c:pt idx="207">
                  <c:v>0.31731087603364178</c:v>
                </c:pt>
                <c:pt idx="208">
                  <c:v>0.31624878224216058</c:v>
                </c:pt>
                <c:pt idx="209">
                  <c:v>0.31518662106804035</c:v>
                </c:pt>
                <c:pt idx="210">
                  <c:v>0.31412674397047868</c:v>
                </c:pt>
                <c:pt idx="211">
                  <c:v>0.31306918214245244</c:v>
                </c:pt>
                <c:pt idx="212">
                  <c:v>0.31201396561646394</c:v>
                </c:pt>
                <c:pt idx="213">
                  <c:v>0.31096112329673703</c:v>
                </c:pt>
                <c:pt idx="214">
                  <c:v>0.30991068299054858</c:v>
                </c:pt>
                <c:pt idx="215">
                  <c:v>0.30886267143871715</c:v>
                </c:pt>
                <c:pt idx="216">
                  <c:v>0.30781711434527226</c:v>
                </c:pt>
                <c:pt idx="217">
                  <c:v>0.30677403640632572</c:v>
                </c:pt>
                <c:pt idx="218">
                  <c:v>0.30573346133816698</c:v>
                </c:pt>
                <c:pt idx="219">
                  <c:v>0.30469541190460248</c:v>
                </c:pt>
                <c:pt idx="220">
                  <c:v>0.30365990994355962</c:v>
                </c:pt>
                <c:pt idx="221">
                  <c:v>0.30262697639297553</c:v>
                </c:pt>
                <c:pt idx="222">
                  <c:v>0.30159663131598863</c:v>
                </c:pt>
                <c:pt idx="223">
                  <c:v>0.30056889392545305</c:v>
                </c:pt>
                <c:pt idx="224">
                  <c:v>0.29954378260779252</c:v>
                </c:pt>
                <c:pt idx="225">
                  <c:v>0.29852131494621309</c:v>
                </c:pt>
                <c:pt idx="226">
                  <c:v>0.29750150774329015</c:v>
                </c:pt>
                <c:pt idx="227">
                  <c:v>0.29648437704294783</c:v>
                </c:pt>
                <c:pt idx="228">
                  <c:v>0.29546993815184641</c:v>
                </c:pt>
                <c:pt idx="229">
                  <c:v>0.29445820566019371</c:v>
                </c:pt>
                <c:pt idx="230">
                  <c:v>0.29344919346199555</c:v>
                </c:pt>
                <c:pt idx="231">
                  <c:v>0.29244291477476153</c:v>
                </c:pt>
                <c:pt idx="232">
                  <c:v>0.29143938215867882</c:v>
                </c:pt>
                <c:pt idx="233">
                  <c:v>0.29043860753526973</c:v>
                </c:pt>
                <c:pt idx="234">
                  <c:v>0.28944060220554635</c:v>
                </c:pt>
                <c:pt idx="235">
                  <c:v>0.28844537686767568</c:v>
                </c:pt>
                <c:pt idx="236">
                  <c:v>0.28745294163416835</c:v>
                </c:pt>
                <c:pt idx="237">
                  <c:v>0.28646330604860376</c:v>
                </c:pt>
                <c:pt idx="238">
                  <c:v>0.28547647910190438</c:v>
                </c:pt>
                <c:pt idx="239">
                  <c:v>0.28449246924817029</c:v>
                </c:pt>
                <c:pt idx="240">
                  <c:v>0.28351128442008722</c:v>
                </c:pt>
                <c:pt idx="241">
                  <c:v>0.28253293204391794</c:v>
                </c:pt>
                <c:pt idx="242">
                  <c:v>0.28155741905408943</c:v>
                </c:pt>
                <c:pt idx="243">
                  <c:v>0.28058475190738585</c:v>
                </c:pt>
                <c:pt idx="244">
                  <c:v>0.27961493659675846</c:v>
                </c:pt>
                <c:pt idx="245">
                  <c:v>0.27864797866476221</c:v>
                </c:pt>
                <c:pt idx="246">
                  <c:v>0.27768388321662923</c:v>
                </c:pt>
                <c:pt idx="247">
                  <c:v>0.27672265493298909</c:v>
                </c:pt>
                <c:pt idx="248">
                  <c:v>0.27576429808224512</c:v>
                </c:pt>
                <c:pt idx="249">
                  <c:v>0.27480881653261596</c:v>
                </c:pt>
                <c:pt idx="250">
                  <c:v>0.27385621376385166</c:v>
                </c:pt>
                <c:pt idx="251">
                  <c:v>0.27290649287863233</c:v>
                </c:pt>
                <c:pt idx="252">
                  <c:v>0.27195965661365878</c:v>
                </c:pt>
                <c:pt idx="253">
                  <c:v>0.27101570735044256</c:v>
                </c:pt>
                <c:pt idx="254">
                  <c:v>0.27007464712580398</c:v>
                </c:pt>
                <c:pt idx="255">
                  <c:v>0.26913647764208587</c:v>
                </c:pt>
                <c:pt idx="256">
                  <c:v>0.26820120027709016</c:v>
                </c:pt>
                <c:pt idx="257">
                  <c:v>0.26726881609374586</c:v>
                </c:pt>
                <c:pt idx="258">
                  <c:v>0.2663393258495142</c:v>
                </c:pt>
                <c:pt idx="259">
                  <c:v>0.26541273000553911</c:v>
                </c:pt>
                <c:pt idx="260">
                  <c:v>0.26448902873554936</c:v>
                </c:pt>
                <c:pt idx="261">
                  <c:v>0.26358132631840114</c:v>
                </c:pt>
                <c:pt idx="262">
                  <c:v>0.2626912386690497</c:v>
                </c:pt>
                <c:pt idx="263">
                  <c:v>0.26181830164349129</c:v>
                </c:pt>
                <c:pt idx="264">
                  <c:v>0.26096206351025403</c:v>
                </c:pt>
                <c:pt idx="265">
                  <c:v>0.26012208461825093</c:v>
                </c:pt>
                <c:pt idx="266">
                  <c:v>0.25929793707352111</c:v>
                </c:pt>
                <c:pt idx="267">
                  <c:v>0.25848920442462137</c:v>
                </c:pt>
                <c:pt idx="268">
                  <c:v>0.2576954813564365</c:v>
                </c:pt>
                <c:pt idx="269">
                  <c:v>0.25691637339218304</c:v>
                </c:pt>
                <c:pt idx="270">
                  <c:v>0.2561514966033876</c:v>
                </c:pt>
                <c:pt idx="271">
                  <c:v>0.25540047732762561</c:v>
                </c:pt>
                <c:pt idx="272">
                  <c:v>0.25466295189381383</c:v>
                </c:pt>
                <c:pt idx="273">
                  <c:v>0.25393856635485335</c:v>
                </c:pt>
                <c:pt idx="274">
                  <c:v>0.25322697622742751</c:v>
                </c:pt>
                <c:pt idx="275">
                  <c:v>0.25252784623876223</c:v>
                </c:pt>
                <c:pt idx="276">
                  <c:v>0.25184085008016344</c:v>
                </c:pt>
                <c:pt idx="277">
                  <c:v>0.25116567016714941</c:v>
                </c:pt>
                <c:pt idx="278">
                  <c:v>0.25050199740600204</c:v>
                </c:pt>
                <c:pt idx="279">
                  <c:v>0.2498495309665649</c:v>
                </c:pt>
                <c:pt idx="280">
                  <c:v>0.24920797806112147</c:v>
                </c:pt>
                <c:pt idx="281">
                  <c:v>0.24857705372919026</c:v>
                </c:pt>
                <c:pt idx="282">
                  <c:v>0.24795648062807876</c:v>
                </c:pt>
                <c:pt idx="283">
                  <c:v>0.24734598882904221</c:v>
                </c:pt>
                <c:pt idx="284">
                  <c:v>0.24674531561889709</c:v>
                </c:pt>
                <c:pt idx="285">
                  <c:v>0.24615420530694312</c:v>
                </c:pt>
                <c:pt idx="286">
                  <c:v>0.24557240903705221</c:v>
                </c:pt>
                <c:pt idx="287">
                  <c:v>0.2449996846047858</c:v>
                </c:pt>
                <c:pt idx="288">
                  <c:v>0.24443579627940593</c:v>
                </c:pt>
                <c:pt idx="289">
                  <c:v>0.24388051463064941</c:v>
                </c:pt>
                <c:pt idx="290">
                  <c:v>0.24333361636013737</c:v>
                </c:pt>
                <c:pt idx="291">
                  <c:v>0.24279488413729611</c:v>
                </c:pt>
                <c:pt idx="292">
                  <c:v>0.24226410643966884</c:v>
                </c:pt>
                <c:pt idx="293">
                  <c:v>0.24174107739750059</c:v>
                </c:pt>
                <c:pt idx="294">
                  <c:v>0.24122559664248178</c:v>
                </c:pt>
                <c:pt idx="295">
                  <c:v>0.24071746916053957</c:v>
                </c:pt>
                <c:pt idx="296">
                  <c:v>0.2402165051485684</c:v>
                </c:pt>
                <c:pt idx="297">
                  <c:v>0.23972251987499432</c:v>
                </c:pt>
                <c:pt idx="298">
                  <c:v>0.23923533354407053</c:v>
                </c:pt>
                <c:pt idx="299">
                  <c:v>0.23875477116380445</c:v>
                </c:pt>
                <c:pt idx="300">
                  <c:v>0.23828066241741888</c:v>
                </c:pt>
                <c:pt idx="301">
                  <c:v>0.23781284153825297</c:v>
                </c:pt>
                <c:pt idx="302">
                  <c:v>0.23735114718801054</c:v>
                </c:pt>
                <c:pt idx="303">
                  <c:v>0.23689542233826666</c:v>
                </c:pt>
                <c:pt idx="304">
                  <c:v>0.23644551415514503</c:v>
                </c:pt>
                <c:pt idx="305">
                  <c:v>0.23600127388708117</c:v>
                </c:pt>
                <c:pt idx="306">
                  <c:v>0.23556255675558924</c:v>
                </c:pt>
                <c:pt idx="307">
                  <c:v>0.2351292218489518</c:v>
                </c:pt>
                <c:pt idx="308">
                  <c:v>0.23470113201875442</c:v>
                </c:pt>
                <c:pt idx="309">
                  <c:v>0.23427815377918887</c:v>
                </c:pt>
                <c:pt idx="310">
                  <c:v>0.23386015720905107</c:v>
                </c:pt>
                <c:pt idx="311">
                  <c:v>0.23344701585636146</c:v>
                </c:pt>
                <c:pt idx="312">
                  <c:v>0.23303860664553772</c:v>
                </c:pt>
                <c:pt idx="313">
                  <c:v>0.2326329075603597</c:v>
                </c:pt>
                <c:pt idx="314">
                  <c:v>0.23223171078172003</c:v>
                </c:pt>
                <c:pt idx="315">
                  <c:v>0.23183490272319432</c:v>
                </c:pt>
                <c:pt idx="316">
                  <c:v>0.23144237283124472</c:v>
                </c:pt>
                <c:pt idx="317">
                  <c:v>0.23105401350404509</c:v>
                </c:pt>
                <c:pt idx="318">
                  <c:v>0.23066972001247868</c:v>
                </c:pt>
                <c:pt idx="319">
                  <c:v>0.23028939042325086</c:v>
                </c:pt>
                <c:pt idx="320">
                  <c:v>0.22991292552405973</c:v>
                </c:pt>
                <c:pt idx="321">
                  <c:v>0.22954022875076974</c:v>
                </c:pt>
                <c:pt idx="322">
                  <c:v>0.22917120611653471</c:v>
                </c:pt>
                <c:pt idx="323">
                  <c:v>0.22880576614281814</c:v>
                </c:pt>
                <c:pt idx="324">
                  <c:v>0.22844381979225981</c:v>
                </c:pt>
                <c:pt idx="325">
                  <c:v>0.22808528040333942</c:v>
                </c:pt>
                <c:pt idx="326">
                  <c:v>0.22773006362678913</c:v>
                </c:pt>
                <c:pt idx="327">
                  <c:v>0.22737808736370818</c:v>
                </c:pt>
                <c:pt idx="328">
                  <c:v>0.22702927170533396</c:v>
                </c:pt>
                <c:pt idx="329">
                  <c:v>0.22668353887442547</c:v>
                </c:pt>
                <c:pt idx="330">
                  <c:v>0.22634081316821536</c:v>
                </c:pt>
                <c:pt idx="331">
                  <c:v>0.22600102090288957</c:v>
                </c:pt>
                <c:pt idx="332">
                  <c:v>0.22566409035955268</c:v>
                </c:pt>
                <c:pt idx="333">
                  <c:v>0.22532995173163978</c:v>
                </c:pt>
                <c:pt idx="334">
                  <c:v>0.22499853707373602</c:v>
                </c:pt>
                <c:pt idx="335">
                  <c:v>0.22466978025176601</c:v>
                </c:pt>
                <c:pt idx="336">
                  <c:v>0.22434361689451676</c:v>
                </c:pt>
                <c:pt idx="337">
                  <c:v>0.22401998434645792</c:v>
                </c:pt>
                <c:pt idx="338">
                  <c:v>0.22369882162182511</c:v>
                </c:pt>
                <c:pt idx="339">
                  <c:v>0.22338006935993232</c:v>
                </c:pt>
                <c:pt idx="340">
                  <c:v>0.22306366978168035</c:v>
                </c:pt>
                <c:pt idx="341">
                  <c:v>0.22274956664722959</c:v>
                </c:pt>
                <c:pt idx="342">
                  <c:v>0.22243770521480558</c:v>
                </c:pt>
                <c:pt idx="343">
                  <c:v>0.22212803220060742</c:v>
                </c:pt>
                <c:pt idx="344">
                  <c:v>0.22182049573978924</c:v>
                </c:pt>
                <c:pt idx="345">
                  <c:v>0.22151504534848607</c:v>
                </c:pt>
                <c:pt idx="346">
                  <c:v>0.2212116318868563</c:v>
                </c:pt>
                <c:pt idx="347">
                  <c:v>0.2209102075231133</c:v>
                </c:pt>
                <c:pt idx="348">
                  <c:v>0.22061072569851975</c:v>
                </c:pt>
                <c:pt idx="349">
                  <c:v>0.2203131410933192</c:v>
                </c:pt>
                <c:pt idx="350">
                  <c:v>0.22001740959357935</c:v>
                </c:pt>
                <c:pt idx="351">
                  <c:v>0.21972348825892291</c:v>
                </c:pt>
                <c:pt idx="352">
                  <c:v>0.21943133529112227</c:v>
                </c:pt>
                <c:pt idx="353">
                  <c:v>0.21914091000353478</c:v>
                </c:pt>
                <c:pt idx="354">
                  <c:v>0.21885217279135605</c:v>
                </c:pt>
                <c:pt idx="355">
                  <c:v>0.21856508510266975</c:v>
                </c:pt>
                <c:pt idx="356">
                  <c:v>0.21827960941027202</c:v>
                </c:pt>
                <c:pt idx="357">
                  <c:v>0.21799570918425037</c:v>
                </c:pt>
                <c:pt idx="358">
                  <c:v>0.21771334886529634</c:v>
                </c:pt>
                <c:pt idx="359">
                  <c:v>0.21743249383873253</c:v>
                </c:pt>
                <c:pt idx="360">
                  <c:v>0.21715311040923502</c:v>
                </c:pt>
                <c:pt idx="361">
                  <c:v>0.21687516577623231</c:v>
                </c:pt>
                <c:pt idx="362">
                  <c:v>0.21659862800996263</c:v>
                </c:pt>
                <c:pt idx="363">
                  <c:v>0.21632346602817237</c:v>
                </c:pt>
                <c:pt idx="364">
                  <c:v>0.21604964957343806</c:v>
                </c:pt>
                <c:pt idx="365">
                  <c:v>0.21577523825140099</c:v>
                </c:pt>
                <c:pt idx="366">
                  <c:v>0.21550211914904024</c:v>
                </c:pt>
                <c:pt idx="367">
                  <c:v>0.21523026431981845</c:v>
                </c:pt>
                <c:pt idx="368">
                  <c:v>0.21495964655818958</c:v>
                </c:pt>
                <c:pt idx="369">
                  <c:v>0.21469023937976608</c:v>
                </c:pt>
                <c:pt idx="370">
                  <c:v>0.21442201700201693</c:v>
                </c:pt>
                <c:pt idx="371">
                  <c:v>0.21415495432548265</c:v>
                </c:pt>
                <c:pt idx="372">
                  <c:v>0.21388902691549308</c:v>
                </c:pt>
                <c:pt idx="373">
                  <c:v>0.2136242109843749</c:v>
                </c:pt>
                <c:pt idx="374">
                  <c:v>0.21336048337413546</c:v>
                </c:pt>
                <c:pt idx="375">
                  <c:v>0.21309782153961027</c:v>
                </c:pt>
                <c:pt idx="376">
                  <c:v>0.21283620353206165</c:v>
                </c:pt>
                <c:pt idx="377">
                  <c:v>0.21257560798321679</c:v>
                </c:pt>
                <c:pt idx="378">
                  <c:v>0.2123160140897328</c:v>
                </c:pt>
                <c:pt idx="379">
                  <c:v>0.21205740159807823</c:v>
                </c:pt>
                <c:pt idx="380">
                  <c:v>0.21179975078981886</c:v>
                </c:pt>
                <c:pt idx="381">
                  <c:v>0.21154304246729783</c:v>
                </c:pt>
                <c:pt idx="382">
                  <c:v>0.2112872579396991</c:v>
                </c:pt>
                <c:pt idx="383">
                  <c:v>0.21103237900948416</c:v>
                </c:pt>
                <c:pt idx="384">
                  <c:v>0.21077838795919157</c:v>
                </c:pt>
                <c:pt idx="385">
                  <c:v>0.21052526753859041</c:v>
                </c:pt>
                <c:pt idx="386">
                  <c:v>0.21027300095217732</c:v>
                </c:pt>
                <c:pt idx="387">
                  <c:v>0.21002157184700865</c:v>
                </c:pt>
                <c:pt idx="388">
                  <c:v>0.20977096430085806</c:v>
                </c:pt>
                <c:pt idx="389">
                  <c:v>0.20952116281069158</c:v>
                </c:pt>
                <c:pt idx="390">
                  <c:v>0.20927215228145077</c:v>
                </c:pt>
                <c:pt idx="391">
                  <c:v>0.20902391801513681</c:v>
                </c:pt>
                <c:pt idx="392">
                  <c:v>0.20877644570018641</c:v>
                </c:pt>
                <c:pt idx="393">
                  <c:v>0.20852972140113238</c:v>
                </c:pt>
                <c:pt idx="394">
                  <c:v>0.20828373154854093</c:v>
                </c:pt>
                <c:pt idx="395">
                  <c:v>0.2080384629292186</c:v>
                </c:pt>
                <c:pt idx="396">
                  <c:v>0.2077939026766811</c:v>
                </c:pt>
                <c:pt idx="397">
                  <c:v>0.20755003826187776</c:v>
                </c:pt>
                <c:pt idx="398">
                  <c:v>0.20730685748416394</c:v>
                </c:pt>
                <c:pt idx="399">
                  <c:v>0.20706434846251534</c:v>
                </c:pt>
                <c:pt idx="400">
                  <c:v>0.20682249962697755</c:v>
                </c:pt>
                <c:pt idx="401">
                  <c:v>0.20658129971034456</c:v>
                </c:pt>
                <c:pt idx="402">
                  <c:v>0.20634073774005995</c:v>
                </c:pt>
                <c:pt idx="403">
                  <c:v>0.20610080303033518</c:v>
                </c:pt>
                <c:pt idx="404">
                  <c:v>0.20586148517447847</c:v>
                </c:pt>
                <c:pt idx="405">
                  <c:v>0.20562277403742968</c:v>
                </c:pt>
                <c:pt idx="406">
                  <c:v>0.20538465974849451</c:v>
                </c:pt>
                <c:pt idx="407">
                  <c:v>0.20514713269427359</c:v>
                </c:pt>
                <c:pt idx="408">
                  <c:v>0.20491018351178078</c:v>
                </c:pt>
                <c:pt idx="409">
                  <c:v>0.20467380308174571</c:v>
                </c:pt>
                <c:pt idx="410">
                  <c:v>0.20443798252209558</c:v>
                </c:pt>
                <c:pt idx="411">
                  <c:v>0.20420271318161179</c:v>
                </c:pt>
                <c:pt idx="412">
                  <c:v>0.20396798663375595</c:v>
                </c:pt>
                <c:pt idx="413">
                  <c:v>0.20373379467066161</c:v>
                </c:pt>
                <c:pt idx="414">
                  <c:v>0.20350012929728659</c:v>
                </c:pt>
                <c:pt idx="415">
                  <c:v>0.203266982725722</c:v>
                </c:pt>
                <c:pt idx="416">
                  <c:v>0.20303434736965367</c:v>
                </c:pt>
                <c:pt idx="417">
                  <c:v>0.20280022266302908</c:v>
                </c:pt>
                <c:pt idx="418">
                  <c:v>0.20256659915530378</c:v>
                </c:pt>
                <c:pt idx="419">
                  <c:v>0.20233346981867598</c:v>
                </c:pt>
                <c:pt idx="420">
                  <c:v>0.20210082780649669</c:v>
                </c:pt>
                <c:pt idx="421">
                  <c:v>0.2018686664484253</c:v>
                </c:pt>
                <c:pt idx="422">
                  <c:v>0.20163697924571486</c:v>
                </c:pt>
                <c:pt idx="423">
                  <c:v>0.20140575986662371</c:v>
                </c:pt>
                <c:pt idx="424">
                  <c:v>0.20117500214194989</c:v>
                </c:pt>
                <c:pt idx="425">
                  <c:v>0.20094470006068516</c:v>
                </c:pt>
                <c:pt idx="426">
                  <c:v>0.20071484776578555</c:v>
                </c:pt>
                <c:pt idx="427">
                  <c:v>0.20048543955005513</c:v>
                </c:pt>
                <c:pt idx="428">
                  <c:v>0.20025646985213988</c:v>
                </c:pt>
                <c:pt idx="429">
                  <c:v>0.20002793325262919</c:v>
                </c:pt>
                <c:pt idx="430">
                  <c:v>0.19979982447026137</c:v>
                </c:pt>
                <c:pt idx="431">
                  <c:v>0.19957213835823109</c:v>
                </c:pt>
                <c:pt idx="432">
                  <c:v>0.19934486990059566</c:v>
                </c:pt>
                <c:pt idx="433">
                  <c:v>0.19911801420877748</c:v>
                </c:pt>
                <c:pt idx="434">
                  <c:v>0.1988915665181602</c:v>
                </c:pt>
                <c:pt idx="435">
                  <c:v>0.19866552218477607</c:v>
                </c:pt>
                <c:pt idx="436">
                  <c:v>0.19843987668208204</c:v>
                </c:pt>
                <c:pt idx="437">
                  <c:v>0.1982146255978221</c:v>
                </c:pt>
                <c:pt idx="438">
                  <c:v>0.19798976463097379</c:v>
                </c:pt>
                <c:pt idx="439">
                  <c:v>0.19776528958877637</c:v>
                </c:pt>
                <c:pt idx="440">
                  <c:v>0.19754119638383871</c:v>
                </c:pt>
                <c:pt idx="441">
                  <c:v>0.19731748103132449</c:v>
                </c:pt>
                <c:pt idx="442">
                  <c:v>0.19709413964621295</c:v>
                </c:pt>
                <c:pt idx="443">
                  <c:v>0.19687116844063282</c:v>
                </c:pt>
                <c:pt idx="444">
                  <c:v>0.19664856372126782</c:v>
                </c:pt>
                <c:pt idx="445">
                  <c:v>0.1964263218868316</c:v>
                </c:pt>
                <c:pt idx="446">
                  <c:v>0.19620443942561031</c:v>
                </c:pt>
                <c:pt idx="447">
                  <c:v>0.19598291291307082</c:v>
                </c:pt>
                <c:pt idx="448">
                  <c:v>0.19576173900953339</c:v>
                </c:pt>
                <c:pt idx="449">
                  <c:v>0.19554091445790614</c:v>
                </c:pt>
                <c:pt idx="450">
                  <c:v>0.19532043608148072</c:v>
                </c:pt>
                <c:pt idx="451">
                  <c:v>0.1951003007817867</c:v>
                </c:pt>
                <c:pt idx="452">
                  <c:v>0.19488050553650338</c:v>
                </c:pt>
                <c:pt idx="453">
                  <c:v>0.19466104739742782</c:v>
                </c:pt>
                <c:pt idx="454">
                  <c:v>0.19444192348849704</c:v>
                </c:pt>
                <c:pt idx="455">
                  <c:v>0.19422313100386332</c:v>
                </c:pt>
                <c:pt idx="456">
                  <c:v>0.19400466720602089</c:v>
                </c:pt>
                <c:pt idx="457">
                  <c:v>0.19378652942398292</c:v>
                </c:pt>
                <c:pt idx="458">
                  <c:v>0.19356871505150733</c:v>
                </c:pt>
                <c:pt idx="459">
                  <c:v>0.19335122154537016</c:v>
                </c:pt>
                <c:pt idx="460">
                  <c:v>0.19313404642368495</c:v>
                </c:pt>
                <c:pt idx="461">
                  <c:v>0.19291718726426738</c:v>
                </c:pt>
                <c:pt idx="462">
                  <c:v>0.19270064170304366</c:v>
                </c:pt>
                <c:pt idx="463">
                  <c:v>0.19248440743250136</c:v>
                </c:pt>
                <c:pt idx="464">
                  <c:v>0.19226848220018203</c:v>
                </c:pt>
                <c:pt idx="465">
                  <c:v>0.19205286380721381</c:v>
                </c:pt>
                <c:pt idx="466">
                  <c:v>0.19183755010688383</c:v>
                </c:pt>
                <c:pt idx="467">
                  <c:v>0.1916225390032483</c:v>
                </c:pt>
                <c:pt idx="468">
                  <c:v>0.19140782844978024</c:v>
                </c:pt>
                <c:pt idx="469">
                  <c:v>0.19119127714709538</c:v>
                </c:pt>
                <c:pt idx="470">
                  <c:v>0.19097502726001409</c:v>
                </c:pt>
                <c:pt idx="471">
                  <c:v>0.19075907687252966</c:v>
                </c:pt>
                <c:pt idx="472">
                  <c:v>0.19054342411307856</c:v>
                </c:pt>
                <c:pt idx="473">
                  <c:v>0.19032806715335732</c:v>
                </c:pt>
                <c:pt idx="474">
                  <c:v>0.19011300420717084</c:v>
                </c:pt>
                <c:pt idx="475">
                  <c:v>0.18989823352931184</c:v>
                </c:pt>
                <c:pt idx="476">
                  <c:v>0.1896837534144703</c:v>
                </c:pt>
                <c:pt idx="477">
                  <c:v>0.18946956219617195</c:v>
                </c:pt>
                <c:pt idx="478">
                  <c:v>0.18925565824574517</c:v>
                </c:pt>
                <c:pt idx="479">
                  <c:v>0.18904203997131594</c:v>
                </c:pt>
                <c:pt idx="480">
                  <c:v>0.18882870581682923</c:v>
                </c:pt>
                <c:pt idx="481">
                  <c:v>0.18861565426109689</c:v>
                </c:pt>
                <c:pt idx="482">
                  <c:v>0.18840288381687104</c:v>
                </c:pt>
                <c:pt idx="483">
                  <c:v>0.18819039302994217</c:v>
                </c:pt>
                <c:pt idx="484">
                  <c:v>0.18797818047826145</c:v>
                </c:pt>
                <c:pt idx="485">
                  <c:v>0.18776624477108661</c:v>
                </c:pt>
                <c:pt idx="486">
                  <c:v>0.18755458454815049</c:v>
                </c:pt>
                <c:pt idx="487">
                  <c:v>0.18734319847885222</c:v>
                </c:pt>
                <c:pt idx="488">
                  <c:v>0.18713208526146971</c:v>
                </c:pt>
                <c:pt idx="489">
                  <c:v>0.18692124362239343</c:v>
                </c:pt>
                <c:pt idx="490">
                  <c:v>0.18671067231538069</c:v>
                </c:pt>
                <c:pt idx="491">
                  <c:v>0.18650037012082984</c:v>
                </c:pt>
                <c:pt idx="492">
                  <c:v>0.18629033584507396</c:v>
                </c:pt>
                <c:pt idx="493">
                  <c:v>0.18608056831969336</c:v>
                </c:pt>
                <c:pt idx="494">
                  <c:v>0.1858710664008468</c:v>
                </c:pt>
                <c:pt idx="495">
                  <c:v>0.18566182896862021</c:v>
                </c:pt>
                <c:pt idx="496">
                  <c:v>0.1854528549263931</c:v>
                </c:pt>
                <c:pt idx="497">
                  <c:v>0.18524414320022189</c:v>
                </c:pt>
                <c:pt idx="498">
                  <c:v>0.18503569273823983</c:v>
                </c:pt>
                <c:pt idx="499">
                  <c:v>0.18482750251007274</c:v>
                </c:pt>
                <c:pt idx="500">
                  <c:v>0.18461957150627079</c:v>
                </c:pt>
                <c:pt idx="501">
                  <c:v>0.18441189873775518</c:v>
                </c:pt>
                <c:pt idx="502">
                  <c:v>0.18420448323527977</c:v>
                </c:pt>
                <c:pt idx="503">
                  <c:v>0.18399732404890703</c:v>
                </c:pt>
                <c:pt idx="504">
                  <c:v>0.18379042024749812</c:v>
                </c:pt>
                <c:pt idx="505">
                  <c:v>0.18358377091821668</c:v>
                </c:pt>
                <c:pt idx="506">
                  <c:v>0.1833773751660458</c:v>
                </c:pt>
                <c:pt idx="507">
                  <c:v>0.18317123211331787</c:v>
                </c:pt>
                <c:pt idx="508">
                  <c:v>0.18296534089925723</c:v>
                </c:pt>
                <c:pt idx="509">
                  <c:v>0.18275970067953484</c:v>
                </c:pt>
                <c:pt idx="510">
                  <c:v>0.18255431062583502</c:v>
                </c:pt>
                <c:pt idx="511">
                  <c:v>0.18234916992543376</c:v>
                </c:pt>
                <c:pt idx="512">
                  <c:v>0.18214427778078834</c:v>
                </c:pt>
                <c:pt idx="513">
                  <c:v>0.18193963340913777</c:v>
                </c:pt>
                <c:pt idx="514">
                  <c:v>0.18173523604211422</c:v>
                </c:pt>
                <c:pt idx="515">
                  <c:v>0.18153108492536466</c:v>
                </c:pt>
                <c:pt idx="516">
                  <c:v>0.18132717931818265</c:v>
                </c:pt>
                <c:pt idx="517">
                  <c:v>0.18112351849315003</c:v>
                </c:pt>
                <c:pt idx="518">
                  <c:v>0.18092010173578812</c:v>
                </c:pt>
                <c:pt idx="519">
                  <c:v>0.18071692834421843</c:v>
                </c:pt>
              </c:numCache>
            </c:numRef>
          </c:val>
          <c:smooth val="0"/>
          <c:extLst>
            <c:ext xmlns:c16="http://schemas.microsoft.com/office/drawing/2014/chart" uri="{C3380CC4-5D6E-409C-BE32-E72D297353CC}">
              <c16:uniqueId val="{00000004-907F-4589-BC87-CB41FF02749B}"/>
            </c:ext>
          </c:extLst>
        </c:ser>
        <c:ser>
          <c:idx val="7"/>
          <c:order val="7"/>
          <c:tx>
            <c:strRef>
              <c:f>Steroid!$J$534</c:f>
              <c:strCache>
                <c:ptCount val="1"/>
                <c:pt idx="0">
                  <c:v>Infection</c:v>
                </c:pt>
              </c:strCache>
            </c:strRef>
          </c:tx>
          <c:spPr>
            <a:ln w="28575" cap="rnd">
              <a:solidFill>
                <a:schemeClr val="accent2">
                  <a:lumMod val="60000"/>
                </a:schemeClr>
              </a:solidFill>
              <a:round/>
            </a:ln>
            <a:effectLst/>
          </c:spPr>
          <c:marker>
            <c:symbol val="none"/>
          </c:marker>
          <c:cat>
            <c:numRef>
              <c:f>Steroid!$B$535:$B$1054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Steroid!$J$535:$J$1054</c:f>
              <c:numCache>
                <c:formatCode>#,##0</c:formatCode>
                <c:ptCount val="520"/>
                <c:pt idx="0">
                  <c:v>0</c:v>
                </c:pt>
                <c:pt idx="1">
                  <c:v>6.7421098456516948E-2</c:v>
                </c:pt>
                <c:pt idx="2">
                  <c:v>0.1328037746052054</c:v>
                </c:pt>
                <c:pt idx="3">
                  <c:v>0.19620334016624541</c:v>
                </c:pt>
                <c:pt idx="4">
                  <c:v>0.25767362558426554</c:v>
                </c:pt>
                <c:pt idx="5">
                  <c:v>0.31726701963000514</c:v>
                </c:pt>
                <c:pt idx="6">
                  <c:v>0.37503450794346915</c:v>
                </c:pt>
                <c:pt idx="7">
                  <c:v>0.43102571054686767</c:v>
                </c:pt>
                <c:pt idx="8">
                  <c:v>0.48528891835487564</c:v>
                </c:pt>
                <c:pt idx="9">
                  <c:v>0.53787112870901232</c:v>
                </c:pt>
                <c:pt idx="10">
                  <c:v>0.58881807996222446</c:v>
                </c:pt>
                <c:pt idx="11">
                  <c:v>0.63817428513905838</c:v>
                </c:pt>
                <c:pt idx="12">
                  <c:v>0.6859830646961298</c:v>
                </c:pt>
                <c:pt idx="13">
                  <c:v>0.73228657840693845</c:v>
                </c:pt>
                <c:pt idx="14">
                  <c:v>0.77712585639443166</c:v>
                </c:pt>
                <c:pt idx="15">
                  <c:v>0.82054082933409633</c:v>
                </c:pt>
                <c:pt idx="16">
                  <c:v>0.86257035784974878</c:v>
                </c:pt>
                <c:pt idx="17">
                  <c:v>0.90325226112360235</c:v>
                </c:pt>
                <c:pt idx="18">
                  <c:v>0.94262334474161014</c:v>
                </c:pt>
                <c:pt idx="19">
                  <c:v>0.98071942779452559</c:v>
                </c:pt>
                <c:pt idx="20">
                  <c:v>1.0175753692545726</c:v>
                </c:pt>
                <c:pt idx="21">
                  <c:v>1.0532250936470877</c:v>
                </c:pt>
                <c:pt idx="22">
                  <c:v>1.0877016160359769</c:v>
                </c:pt>
                <c:pt idx="23">
                  <c:v>1.1210370663413294</c:v>
                </c:pt>
                <c:pt idx="24">
                  <c:v>1.153262713007037</c:v>
                </c:pt>
                <c:pt idx="25">
                  <c:v>1.184408986035794</c:v>
                </c:pt>
                <c:pt idx="26">
                  <c:v>1.2145054994083833</c:v>
                </c:pt>
                <c:pt idx="27">
                  <c:v>1.2435810729037098</c:v>
                </c:pt>
                <c:pt idx="28">
                  <c:v>1.2716637533355946</c:v>
                </c:pt>
                <c:pt idx="29">
                  <c:v>1.2987808352219192</c:v>
                </c:pt>
                <c:pt idx="30">
                  <c:v>1.3249588809012949</c:v>
                </c:pt>
                <c:pt idx="31">
                  <c:v>1.3502237401120203</c:v>
                </c:pt>
                <c:pt idx="32">
                  <c:v>1.3746005690477012</c:v>
                </c:pt>
                <c:pt idx="33">
                  <c:v>1.3981138489035201</c:v>
                </c:pt>
                <c:pt idx="34">
                  <c:v>1.4207874039267701</c:v>
                </c:pt>
                <c:pt idx="35">
                  <c:v>1.4426444189848999</c:v>
                </c:pt>
                <c:pt idx="36">
                  <c:v>1.4637074566639736</c:v>
                </c:pt>
                <c:pt idx="37">
                  <c:v>1.4839984739100867</c:v>
                </c:pt>
                <c:pt idx="38">
                  <c:v>1.5035388382259605</c:v>
                </c:pt>
                <c:pt idx="39">
                  <c:v>1.5223493434346045</c:v>
                </c:pt>
                <c:pt idx="40">
                  <c:v>1.5404502250216152</c:v>
                </c:pt>
                <c:pt idx="41">
                  <c:v>1.5578611750673743</c:v>
                </c:pt>
                <c:pt idx="42">
                  <c:v>1.5746013567801094</c:v>
                </c:pt>
                <c:pt idx="43">
                  <c:v>1.5906894186404839</c:v>
                </c:pt>
                <c:pt idx="44">
                  <c:v>1.6061435081680995</c:v>
                </c:pt>
                <c:pt idx="45">
                  <c:v>1.6209812853200174</c:v>
                </c:pt>
                <c:pt idx="46">
                  <c:v>1.6352199355311328</c:v>
                </c:pt>
                <c:pt idx="47">
                  <c:v>1.6488761824059754</c:v>
                </c:pt>
                <c:pt idx="48">
                  <c:v>1.6619663000712557</c:v>
                </c:pt>
                <c:pt idx="49">
                  <c:v>1.6745061251982178</c:v>
                </c:pt>
                <c:pt idx="50">
                  <c:v>1.686511068703634</c:v>
                </c:pt>
                <c:pt idx="51">
                  <c:v>1.69799612713802</c:v>
                </c:pt>
                <c:pt idx="52">
                  <c:v>1.7089758937694395</c:v>
                </c:pt>
                <c:pt idx="53">
                  <c:v>1.7194548245689323</c:v>
                </c:pt>
                <c:pt idx="54">
                  <c:v>1.7294563750914116</c:v>
                </c:pt>
                <c:pt idx="55">
                  <c:v>1.7389940000429749</c:v>
                </c:pt>
                <c:pt idx="56">
                  <c:v>1.7480807920061174</c:v>
                </c:pt>
                <c:pt idx="57">
                  <c:v>1.7567294911290967</c:v>
                </c:pt>
                <c:pt idx="58">
                  <c:v>1.7649524945562396</c:v>
                </c:pt>
                <c:pt idx="59">
                  <c:v>1.7727618656061117</c:v>
                </c:pt>
                <c:pt idx="60">
                  <c:v>1.7801693427042951</c:v>
                </c:pt>
                <c:pt idx="61">
                  <c:v>1.7871863480773293</c:v>
                </c:pt>
                <c:pt idx="62">
                  <c:v>1.7938239962142073</c:v>
                </c:pt>
                <c:pt idx="63">
                  <c:v>1.8000931021016326</c:v>
                </c:pt>
                <c:pt idx="64">
                  <c:v>1.8060041892390932</c:v>
                </c:pt>
                <c:pt idx="65">
                  <c:v>1.811567497439633</c:v>
                </c:pt>
                <c:pt idx="66">
                  <c:v>1.8167929904220543</c:v>
                </c:pt>
                <c:pt idx="67">
                  <c:v>1.821690363200124</c:v>
                </c:pt>
                <c:pt idx="68">
                  <c:v>1.8262690492742117</c:v>
                </c:pt>
                <c:pt idx="69">
                  <c:v>1.830538227630643</c:v>
                </c:pt>
                <c:pt idx="70">
                  <c:v>1.8345068295539044</c:v>
                </c:pt>
                <c:pt idx="71">
                  <c:v>1.8381835452567072</c:v>
                </c:pt>
                <c:pt idx="72">
                  <c:v>1.8415768303327793</c:v>
                </c:pt>
                <c:pt idx="73">
                  <c:v>1.8446949120371194</c:v>
                </c:pt>
                <c:pt idx="74">
                  <c:v>1.8475457953983339</c:v>
                </c:pt>
                <c:pt idx="75">
                  <c:v>1.850137269167538</c:v>
                </c:pt>
                <c:pt idx="76">
                  <c:v>1.8524769116081972</c:v>
                </c:pt>
                <c:pt idx="77">
                  <c:v>1.8545720961311551</c:v>
                </c:pt>
                <c:pt idx="78">
                  <c:v>1.856429996778991</c:v>
                </c:pt>
                <c:pt idx="79">
                  <c:v>1.8580575935637336</c:v>
                </c:pt>
                <c:pt idx="80">
                  <c:v>1.8594616776618509</c:v>
                </c:pt>
                <c:pt idx="81">
                  <c:v>1.8606488564703314</c:v>
                </c:pt>
                <c:pt idx="82">
                  <c:v>1.8616255585275738</c:v>
                </c:pt>
                <c:pt idx="83">
                  <c:v>1.8623980383026935</c:v>
                </c:pt>
                <c:pt idx="84">
                  <c:v>1.8629723808567691</c:v>
                </c:pt>
                <c:pt idx="85">
                  <c:v>1.8633545063794497</c:v>
                </c:pt>
                <c:pt idx="86">
                  <c:v>1.8635501746042553</c:v>
                </c:pt>
                <c:pt idx="87">
                  <c:v>1.8635649891058141</c:v>
                </c:pt>
                <c:pt idx="88">
                  <c:v>1.8634044014821929</c:v>
                </c:pt>
                <c:pt idx="89">
                  <c:v>1.8630737154253914</c:v>
                </c:pt>
                <c:pt idx="90">
                  <c:v>1.8625780906829932</c:v>
                </c:pt>
                <c:pt idx="91">
                  <c:v>1.8619225469138796</c:v>
                </c:pt>
                <c:pt idx="92">
                  <c:v>1.8611119674408398</c:v>
                </c:pt>
                <c:pt idx="93">
                  <c:v>1.860151102902837</c:v>
                </c:pt>
                <c:pt idx="94">
                  <c:v>1.8590445748096067</c:v>
                </c:pt>
                <c:pt idx="95">
                  <c:v>1.8577968790012045</c:v>
                </c:pt>
                <c:pt idx="96">
                  <c:v>1.8564123890150404</c:v>
                </c:pt>
                <c:pt idx="97">
                  <c:v>1.8548953593628759</c:v>
                </c:pt>
                <c:pt idx="98">
                  <c:v>1.853249928720188</c:v>
                </c:pt>
                <c:pt idx="99">
                  <c:v>1.8514801230302458</c:v>
                </c:pt>
                <c:pt idx="100">
                  <c:v>1.8495898585251767</c:v>
                </c:pt>
                <c:pt idx="101">
                  <c:v>1.8475829446662446</c:v>
                </c:pt>
                <c:pt idx="102">
                  <c:v>1.8454630870054987</c:v>
                </c:pt>
                <c:pt idx="103">
                  <c:v>1.843233889970894</c:v>
                </c:pt>
                <c:pt idx="104">
                  <c:v>1.8408988595769304</c:v>
                </c:pt>
                <c:pt idx="105">
                  <c:v>1.8384498985976534</c:v>
                </c:pt>
                <c:pt idx="106">
                  <c:v>1.8359018683947879</c:v>
                </c:pt>
                <c:pt idx="107">
                  <c:v>1.8332579969212111</c:v>
                </c:pt>
                <c:pt idx="108">
                  <c:v>1.830521423779256</c:v>
                </c:pt>
                <c:pt idx="109">
                  <c:v>1.8276952025903308</c:v>
                </c:pt>
                <c:pt idx="110">
                  <c:v>1.8247823033011514</c:v>
                </c:pt>
                <c:pt idx="111">
                  <c:v>1.8217856144282805</c:v>
                </c:pt>
                <c:pt idx="112">
                  <c:v>1.8187079452426236</c:v>
                </c:pt>
                <c:pt idx="113">
                  <c:v>1.8155520278954889</c:v>
                </c:pt>
                <c:pt idx="114">
                  <c:v>1.8123205194877701</c:v>
                </c:pt>
                <c:pt idx="115">
                  <c:v>1.8090160040837775</c:v>
                </c:pt>
                <c:pt idx="116">
                  <c:v>1.805640994671194</c:v>
                </c:pt>
                <c:pt idx="117">
                  <c:v>1.8021979350685995</c:v>
                </c:pt>
                <c:pt idx="118">
                  <c:v>1.7986892017819627</c:v>
                </c:pt>
                <c:pt idx="119">
                  <c:v>1.7951171058114677</c:v>
                </c:pt>
                <c:pt idx="120">
                  <c:v>1.7914838944100033</c:v>
                </c:pt>
                <c:pt idx="121">
                  <c:v>1.7877917527946054</c:v>
                </c:pt>
                <c:pt idx="122">
                  <c:v>1.7840428058121125</c:v>
                </c:pt>
                <c:pt idx="123">
                  <c:v>1.780239119560258</c:v>
                </c:pt>
                <c:pt idx="124">
                  <c:v>1.7763827029653911</c:v>
                </c:pt>
                <c:pt idx="125">
                  <c:v>1.7724755093179878</c:v>
                </c:pt>
                <c:pt idx="126">
                  <c:v>1.7685194377670768</c:v>
                </c:pt>
                <c:pt idx="127">
                  <c:v>1.7645163347746824</c:v>
                </c:pt>
                <c:pt idx="128">
                  <c:v>1.7604679955313531</c:v>
                </c:pt>
                <c:pt idx="129">
                  <c:v>1.7563761653338161</c:v>
                </c:pt>
                <c:pt idx="130">
                  <c:v>1.7522425409257683</c:v>
                </c:pt>
                <c:pt idx="131">
                  <c:v>1.7480687718027941</c:v>
                </c:pt>
                <c:pt idx="132">
                  <c:v>1.7438564614823662</c:v>
                </c:pt>
                <c:pt idx="133">
                  <c:v>1.739607168739864</c:v>
                </c:pt>
                <c:pt idx="134">
                  <c:v>1.7353224088115169</c:v>
                </c:pt>
                <c:pt idx="135">
                  <c:v>1.7310036545651606</c:v>
                </c:pt>
                <c:pt idx="136">
                  <c:v>1.7266523376396627</c:v>
                </c:pt>
                <c:pt idx="137">
                  <c:v>1.72226984955386</c:v>
                </c:pt>
                <c:pt idx="138">
                  <c:v>1.7178575427858171</c:v>
                </c:pt>
                <c:pt idx="139">
                  <c:v>1.7134167318232074</c:v>
                </c:pt>
                <c:pt idx="140">
                  <c:v>1.7089486941855816</c:v>
                </c:pt>
                <c:pt idx="141">
                  <c:v>1.704454671419279</c:v>
                </c:pt>
                <c:pt idx="142">
                  <c:v>1.699935870065715</c:v>
                </c:pt>
                <c:pt idx="143">
                  <c:v>1.6953934626037515</c:v>
                </c:pt>
                <c:pt idx="144">
                  <c:v>1.6908285883668481</c:v>
                </c:pt>
                <c:pt idx="145">
                  <c:v>1.6862423544356675</c:v>
                </c:pt>
                <c:pt idx="146">
                  <c:v>1.6816358365067883</c:v>
                </c:pt>
                <c:pt idx="147">
                  <c:v>1.6770100797381691</c:v>
                </c:pt>
                <c:pt idx="148">
                  <c:v>1.672366099571982</c:v>
                </c:pt>
                <c:pt idx="149">
                  <c:v>1.6677048825354228</c:v>
                </c:pt>
                <c:pt idx="150">
                  <c:v>1.6630273870200842</c:v>
                </c:pt>
                <c:pt idx="151">
                  <c:v>1.6583345440404695</c:v>
                </c:pt>
                <c:pt idx="152">
                  <c:v>1.6536272579722002</c:v>
                </c:pt>
                <c:pt idx="153">
                  <c:v>1.648906407270464</c:v>
                </c:pt>
                <c:pt idx="154">
                  <c:v>1.6441728451692288</c:v>
                </c:pt>
                <c:pt idx="155">
                  <c:v>1.6394274003617402</c:v>
                </c:pt>
                <c:pt idx="156">
                  <c:v>1.6346708776627996</c:v>
                </c:pt>
                <c:pt idx="157">
                  <c:v>1.6298925764306951</c:v>
                </c:pt>
                <c:pt idx="158">
                  <c:v>1.625104809977399</c:v>
                </c:pt>
                <c:pt idx="159">
                  <c:v>1.6203083153063196</c:v>
                </c:pt>
                <c:pt idx="160">
                  <c:v>1.6155038080032007</c:v>
                </c:pt>
                <c:pt idx="161">
                  <c:v>1.6106919828149795</c:v>
                </c:pt>
                <c:pt idx="162">
                  <c:v>1.6058735142131402</c:v>
                </c:pt>
                <c:pt idx="163">
                  <c:v>1.6010490569419797</c:v>
                </c:pt>
                <c:pt idx="164">
                  <c:v>1.5962192465521876</c:v>
                </c:pt>
                <c:pt idx="165">
                  <c:v>1.5913846999201329</c:v>
                </c:pt>
                <c:pt idx="166">
                  <c:v>1.5865460157532423</c:v>
                </c:pt>
                <c:pt idx="167">
                  <c:v>1.5817037750818401</c:v>
                </c:pt>
                <c:pt idx="168">
                  <c:v>1.576858541737812</c:v>
                </c:pt>
                <c:pt idx="169">
                  <c:v>1.5720108628204459</c:v>
                </c:pt>
                <c:pt idx="170">
                  <c:v>1.5671612691497927</c:v>
                </c:pt>
                <c:pt idx="171">
                  <c:v>1.5623102757078802</c:v>
                </c:pt>
                <c:pt idx="172">
                  <c:v>1.5574583820681063</c:v>
                </c:pt>
                <c:pt idx="173">
                  <c:v>1.5526060728131279</c:v>
                </c:pt>
                <c:pt idx="174">
                  <c:v>1.54775381794155</c:v>
                </c:pt>
                <c:pt idx="175">
                  <c:v>1.5429020732637189</c:v>
                </c:pt>
                <c:pt idx="176">
                  <c:v>1.5380512807869089</c:v>
                </c:pt>
                <c:pt idx="177">
                  <c:v>1.533201869090187</c:v>
                </c:pt>
                <c:pt idx="178">
                  <c:v>1.5283542536892298</c:v>
                </c:pt>
                <c:pt idx="179">
                  <c:v>1.5235088373913641</c:v>
                </c:pt>
                <c:pt idx="180">
                  <c:v>1.5186660106410914</c:v>
                </c:pt>
                <c:pt idx="181">
                  <c:v>1.5138261518563505</c:v>
                </c:pt>
                <c:pt idx="182">
                  <c:v>1.5089896277557675</c:v>
                </c:pt>
                <c:pt idx="183">
                  <c:v>1.5041567936771321</c:v>
                </c:pt>
                <c:pt idx="184">
                  <c:v>1.4993279938873374</c:v>
                </c:pt>
                <c:pt idx="185">
                  <c:v>1.4945035618840097</c:v>
                </c:pt>
                <c:pt idx="186">
                  <c:v>1.4896838206890515</c:v>
                </c:pt>
                <c:pt idx="187">
                  <c:v>1.4848690831343134</c:v>
                </c:pt>
                <c:pt idx="188">
                  <c:v>1.4800596521396068</c:v>
                </c:pt>
                <c:pt idx="189">
                  <c:v>1.4752558209832607</c:v>
                </c:pt>
                <c:pt idx="190">
                  <c:v>1.4704578735654239</c:v>
                </c:pt>
                <c:pt idx="191">
                  <c:v>1.4656660846643046</c:v>
                </c:pt>
                <c:pt idx="192">
                  <c:v>1.4608807201855374</c:v>
                </c:pt>
                <c:pt idx="193">
                  <c:v>1.4561020374048632</c:v>
                </c:pt>
                <c:pt idx="194">
                  <c:v>1.4513302852042975</c:v>
                </c:pt>
                <c:pt idx="195">
                  <c:v>1.446565704301964</c:v>
                </c:pt>
                <c:pt idx="196">
                  <c:v>1.4418085274757622</c:v>
                </c:pt>
                <c:pt idx="197">
                  <c:v>1.4370589797810343</c:v>
                </c:pt>
                <c:pt idx="198">
                  <c:v>1.4323172787623903</c:v>
                </c:pt>
                <c:pt idx="199">
                  <c:v>1.4275836346598507</c:v>
                </c:pt>
                <c:pt idx="200">
                  <c:v>1.4228582506094565</c:v>
                </c:pt>
                <c:pt idx="201">
                  <c:v>1.4181413228384931</c:v>
                </c:pt>
                <c:pt idx="202">
                  <c:v>1.4134330408554778</c:v>
                </c:pt>
                <c:pt idx="203">
                  <c:v>1.4087335876350453</c:v>
                </c:pt>
                <c:pt idx="204">
                  <c:v>1.4040431397978703</c:v>
                </c:pt>
                <c:pt idx="205">
                  <c:v>1.3993618677857593</c:v>
                </c:pt>
                <c:pt idx="206">
                  <c:v>1.3946899360320417</c:v>
                </c:pt>
                <c:pt idx="207">
                  <c:v>1.3900275031273852</c:v>
                </c:pt>
                <c:pt idx="208">
                  <c:v>1.3853747219811587</c:v>
                </c:pt>
                <c:pt idx="209">
                  <c:v>1.3807214707133326</c:v>
                </c:pt>
                <c:pt idx="210">
                  <c:v>1.3760782337640778</c:v>
                </c:pt>
                <c:pt idx="211">
                  <c:v>1.3714451475576988</c:v>
                </c:pt>
                <c:pt idx="212">
                  <c:v>1.366822343440468</c:v>
                </c:pt>
                <c:pt idx="213">
                  <c:v>1.3622099478215268</c:v>
                </c:pt>
                <c:pt idx="214">
                  <c:v>1.3576080823099981</c:v>
                </c:pt>
                <c:pt idx="215">
                  <c:v>1.3530168638484132</c:v>
                </c:pt>
                <c:pt idx="216">
                  <c:v>1.3484364048425526</c:v>
                </c:pt>
                <c:pt idx="217">
                  <c:v>1.3438668132877929</c:v>
                </c:pt>
                <c:pt idx="218">
                  <c:v>1.3393081928920583</c:v>
                </c:pt>
                <c:pt idx="219">
                  <c:v>1.3347606431954637</c:v>
                </c:pt>
                <c:pt idx="220">
                  <c:v>1.3302242596867402</c:v>
                </c:pt>
                <c:pt idx="221">
                  <c:v>1.3256991339165278</c:v>
                </c:pt>
                <c:pt idx="222">
                  <c:v>1.3211853536076206</c:v>
                </c:pt>
                <c:pt idx="223">
                  <c:v>1.3166830027622451</c:v>
                </c:pt>
                <c:pt idx="224">
                  <c:v>1.31219216176645</c:v>
                </c:pt>
                <c:pt idx="225">
                  <c:v>1.307712907491688</c:v>
                </c:pt>
                <c:pt idx="226">
                  <c:v>1.3032453133936608</c:v>
                </c:pt>
                <c:pt idx="227">
                  <c:v>1.2987894496085048</c:v>
                </c:pt>
                <c:pt idx="228">
                  <c:v>1.2943453830463845</c:v>
                </c:pt>
                <c:pt idx="229">
                  <c:v>1.2899131774825661</c:v>
                </c:pt>
                <c:pt idx="230">
                  <c:v>1.2854928936460379</c:v>
                </c:pt>
                <c:pt idx="231">
                  <c:v>1.2810845893057423</c:v>
                </c:pt>
                <c:pt idx="232">
                  <c:v>1.2766883193544847</c:v>
                </c:pt>
                <c:pt idx="233">
                  <c:v>1.2723041358905798</c:v>
                </c:pt>
                <c:pt idx="234">
                  <c:v>1.2679320882972984</c:v>
                </c:pt>
                <c:pt idx="235">
                  <c:v>1.2635722233201718</c:v>
                </c:pt>
                <c:pt idx="236">
                  <c:v>1.2592245851422097</c:v>
                </c:pt>
                <c:pt idx="237">
                  <c:v>1.2548892154570928</c:v>
                </c:pt>
                <c:pt idx="238">
                  <c:v>1.2505661535403876</c:v>
                </c:pt>
                <c:pt idx="239">
                  <c:v>1.2462554363188409</c:v>
                </c:pt>
                <c:pt idx="240">
                  <c:v>1.2419570984378054</c:v>
                </c:pt>
                <c:pt idx="241">
                  <c:v>1.2376711723268428</c:v>
                </c:pt>
                <c:pt idx="242">
                  <c:v>1.2333976882635569</c:v>
                </c:pt>
                <c:pt idx="243">
                  <c:v>1.2291366744357037</c:v>
                </c:pt>
                <c:pt idx="244">
                  <c:v>1.2248881570016228</c:v>
                </c:pt>
                <c:pt idx="245">
                  <c:v>1.2206521601490348</c:v>
                </c:pt>
                <c:pt idx="246">
                  <c:v>1.2164287061522527</c:v>
                </c:pt>
                <c:pt idx="247">
                  <c:v>1.2122178154278445</c:v>
                </c:pt>
                <c:pt idx="248">
                  <c:v>1.208019506588792</c:v>
                </c:pt>
                <c:pt idx="249">
                  <c:v>1.2038337964971839</c:v>
                </c:pt>
                <c:pt idx="250">
                  <c:v>1.1996607003154853</c:v>
                </c:pt>
                <c:pt idx="251">
                  <c:v>1.1955002315564169</c:v>
                </c:pt>
                <c:pt idx="252">
                  <c:v>1.1913524021314874</c:v>
                </c:pt>
                <c:pt idx="253">
                  <c:v>1.1872172223982096</c:v>
                </c:pt>
                <c:pt idx="254">
                  <c:v>1.1830947012060398</c:v>
                </c:pt>
                <c:pt idx="255">
                  <c:v>1.1789848459410708</c:v>
                </c:pt>
                <c:pt idx="256">
                  <c:v>1.174887662569515</c:v>
                </c:pt>
                <c:pt idx="257">
                  <c:v>1.1708031556800091</c:v>
                </c:pt>
                <c:pt idx="258">
                  <c:v>1.1667313285247705</c:v>
                </c:pt>
                <c:pt idx="259">
                  <c:v>1.1626721830596378</c:v>
                </c:pt>
                <c:pt idx="260">
                  <c:v>1.158625719983027</c:v>
                </c:pt>
                <c:pt idx="261">
                  <c:v>1.1546491877842953</c:v>
                </c:pt>
                <c:pt idx="262">
                  <c:v>1.150749830601312</c:v>
                </c:pt>
                <c:pt idx="263">
                  <c:v>1.1469256147528455</c:v>
                </c:pt>
                <c:pt idx="264">
                  <c:v>1.1431745609477713</c:v>
                </c:pt>
                <c:pt idx="265">
                  <c:v>1.1394947428295481</c:v>
                </c:pt>
                <c:pt idx="266">
                  <c:v>1.1358842855596478</c:v>
                </c:pt>
                <c:pt idx="267">
                  <c:v>1.1323413644388927</c:v>
                </c:pt>
                <c:pt idx="268">
                  <c:v>1.1288642035656895</c:v>
                </c:pt>
                <c:pt idx="269">
                  <c:v>1.1254510745301693</c:v>
                </c:pt>
                <c:pt idx="270">
                  <c:v>1.1221002951432766</c:v>
                </c:pt>
                <c:pt idx="271">
                  <c:v>1.1188102281998675</c:v>
                </c:pt>
                <c:pt idx="272">
                  <c:v>1.1155792802749105</c:v>
                </c:pt>
                <c:pt idx="273">
                  <c:v>1.1124059005519022</c:v>
                </c:pt>
                <c:pt idx="274">
                  <c:v>1.1092885796826359</c:v>
                </c:pt>
                <c:pt idx="275">
                  <c:v>1.1062258486774859</c:v>
                </c:pt>
                <c:pt idx="276">
                  <c:v>1.1032162778253878</c:v>
                </c:pt>
                <c:pt idx="277">
                  <c:v>1.1002584756427223</c:v>
                </c:pt>
                <c:pt idx="278">
                  <c:v>1.0973510878503288</c:v>
                </c:pt>
                <c:pt idx="279">
                  <c:v>1.0944927963778945</c:v>
                </c:pt>
                <c:pt idx="280">
                  <c:v>1.0916823183949902</c:v>
                </c:pt>
                <c:pt idx="281">
                  <c:v>1.0889184053680321</c:v>
                </c:pt>
                <c:pt idx="282">
                  <c:v>1.0861998421424857</c:v>
                </c:pt>
                <c:pt idx="283">
                  <c:v>1.0835254460496286</c:v>
                </c:pt>
                <c:pt idx="284">
                  <c:v>1.0808940660372177</c:v>
                </c:pt>
                <c:pt idx="285">
                  <c:v>1.0783045818234223</c:v>
                </c:pt>
                <c:pt idx="286">
                  <c:v>1.0757559030733967</c:v>
                </c:pt>
                <c:pt idx="287">
                  <c:v>1.0732469685978929</c:v>
                </c:pt>
                <c:pt idx="288">
                  <c:v>1.070776745573315</c:v>
                </c:pt>
                <c:pt idx="289">
                  <c:v>1.0683442287826495</c:v>
                </c:pt>
                <c:pt idx="290">
                  <c:v>1.0659484398767074</c:v>
                </c:pt>
                <c:pt idx="291">
                  <c:v>1.0635884266551381</c:v>
                </c:pt>
                <c:pt idx="292">
                  <c:v>1.0612632623666827</c:v>
                </c:pt>
                <c:pt idx="293">
                  <c:v>1.0589720450281548</c:v>
                </c:pt>
                <c:pt idx="294">
                  <c:v>1.0567138967616461</c:v>
                </c:pt>
                <c:pt idx="295">
                  <c:v>1.054487963149469</c:v>
                </c:pt>
                <c:pt idx="296">
                  <c:v>1.0522934126063617</c:v>
                </c:pt>
                <c:pt idx="297">
                  <c:v>1.0501294357684949</c:v>
                </c:pt>
                <c:pt idx="298">
                  <c:v>1.0479952448988288</c:v>
                </c:pt>
                <c:pt idx="299">
                  <c:v>1.0458900733083829</c:v>
                </c:pt>
                <c:pt idx="300">
                  <c:v>1.0438131747929957</c:v>
                </c:pt>
                <c:pt idx="301">
                  <c:v>1.0417638230851551</c:v>
                </c:pt>
                <c:pt idx="302">
                  <c:v>1.0397413113204999</c:v>
                </c:pt>
                <c:pt idx="303">
                  <c:v>1.0377449515185979</c:v>
                </c:pt>
                <c:pt idx="304">
                  <c:v>1.0357740740776202</c:v>
                </c:pt>
                <c:pt idx="305">
                  <c:v>1.0338280272825364</c:v>
                </c:pt>
                <c:pt idx="306">
                  <c:v>1.0319061768264746</c:v>
                </c:pt>
                <c:pt idx="307">
                  <c:v>1.030007905344887</c:v>
                </c:pt>
                <c:pt idx="308">
                  <c:v>1.0281326119621843</c:v>
                </c:pt>
                <c:pt idx="309">
                  <c:v>1.0262797118505018</c:v>
                </c:pt>
                <c:pt idx="310">
                  <c:v>1.0244486358002733</c:v>
                </c:pt>
                <c:pt idx="311">
                  <c:v>1.0226388298022979</c:v>
                </c:pt>
                <c:pt idx="312">
                  <c:v>1.0208497546409909</c:v>
                </c:pt>
                <c:pt idx="313">
                  <c:v>1.0190724055357037</c:v>
                </c:pt>
                <c:pt idx="314">
                  <c:v>1.0173147845102899</c:v>
                </c:pt>
                <c:pt idx="315">
                  <c:v>1.015576393810552</c:v>
                </c:pt>
                <c:pt idx="316">
                  <c:v>1.0138567489738755</c:v>
                </c:pt>
                <c:pt idx="317">
                  <c:v>1.0121553784734556</c:v>
                </c:pt>
                <c:pt idx="318">
                  <c:v>1.0104718233720464</c:v>
                </c:pt>
                <c:pt idx="319">
                  <c:v>1.0088056369849803</c:v>
                </c:pt>
                <c:pt idx="320">
                  <c:v>1.0071563845522067</c:v>
                </c:pt>
                <c:pt idx="321">
                  <c:v>1.0055236429191114</c:v>
                </c:pt>
                <c:pt idx="322">
                  <c:v>1.0039070002258794</c:v>
                </c:pt>
                <c:pt idx="323">
                  <c:v>1.0023060556051728</c:v>
                </c:pt>
                <c:pt idx="324">
                  <c:v>1.0007204188879044</c:v>
                </c:pt>
                <c:pt idx="325">
                  <c:v>0.99914971031688438</c:v>
                </c:pt>
                <c:pt idx="326">
                  <c:v>0.99759356026813384</c:v>
                </c:pt>
                <c:pt idx="327">
                  <c:v>0.99605160897965905</c:v>
                </c:pt>
                <c:pt idx="328">
                  <c:v>0.99452350628748509</c:v>
                </c:pt>
                <c:pt idx="329">
                  <c:v>0.99300891136875746</c:v>
                </c:pt>
                <c:pt idx="330">
                  <c:v>0.99150749249171877</c:v>
                </c:pt>
                <c:pt idx="331">
                  <c:v>0.9900189267723799</c:v>
                </c:pt>
                <c:pt idx="332">
                  <c:v>0.98854289993770406</c:v>
                </c:pt>
                <c:pt idx="333">
                  <c:v>0.98707910609513061</c:v>
                </c:pt>
                <c:pt idx="334">
                  <c:v>0.98562724750826858</c:v>
                </c:pt>
                <c:pt idx="335">
                  <c:v>0.98418703437859489</c:v>
                </c:pt>
                <c:pt idx="336">
                  <c:v>0.98275818463299613</c:v>
                </c:pt>
                <c:pt idx="337">
                  <c:v>0.98134042371699781</c:v>
                </c:pt>
                <c:pt idx="338">
                  <c:v>0.97993348439352845</c:v>
                </c:pt>
                <c:pt idx="339">
                  <c:v>0.9785371065470716</c:v>
                </c:pt>
                <c:pt idx="340">
                  <c:v>0.97715103699305939</c:v>
                </c:pt>
                <c:pt idx="341">
                  <c:v>0.97577502929236881</c:v>
                </c:pt>
                <c:pt idx="342">
                  <c:v>0.97440884357078472</c:v>
                </c:pt>
                <c:pt idx="343">
                  <c:v>0.97305224634329435</c:v>
                </c:pt>
                <c:pt idx="344">
                  <c:v>0.97170501034308676</c:v>
                </c:pt>
                <c:pt idx="345">
                  <c:v>0.97036691435512823</c:v>
                </c:pt>
                <c:pt idx="346">
                  <c:v>0.96903774305419432</c:v>
                </c:pt>
                <c:pt idx="347">
                  <c:v>0.96771728684723668</c:v>
                </c:pt>
                <c:pt idx="348">
                  <c:v>0.96640534171996995</c:v>
                </c:pt>
                <c:pt idx="349">
                  <c:v>0.96510170908756543</c:v>
                </c:pt>
                <c:pt idx="350">
                  <c:v>0.96380619564934178</c:v>
                </c:pt>
                <c:pt idx="351">
                  <c:v>0.96251861324734478</c:v>
                </c:pt>
                <c:pt idx="352">
                  <c:v>0.96123877872871388</c:v>
                </c:pt>
                <c:pt idx="353">
                  <c:v>0.95996651381173237</c:v>
                </c:pt>
                <c:pt idx="354">
                  <c:v>0.95870164495546351</c:v>
                </c:pt>
                <c:pt idx="355">
                  <c:v>0.95744400323287637</c:v>
                </c:pt>
                <c:pt idx="356">
                  <c:v>0.95619342420736819</c:v>
                </c:pt>
                <c:pt idx="357">
                  <c:v>0.9549497478125919</c:v>
                </c:pt>
                <c:pt idx="358">
                  <c:v>0.95371281823550058</c:v>
                </c:pt>
                <c:pt idx="359">
                  <c:v>0.95248248380252276</c:v>
                </c:pt>
                <c:pt idx="360">
                  <c:v>0.95125859686878522</c:v>
                </c:pt>
                <c:pt idx="361">
                  <c:v>0.95004101371030025</c:v>
                </c:pt>
                <c:pt idx="362">
                  <c:v>0.9488295944190398</c:v>
                </c:pt>
                <c:pt idx="363">
                  <c:v>0.94762420280081805</c:v>
                </c:pt>
                <c:pt idx="364">
                  <c:v>0.94642470627590758</c:v>
                </c:pt>
                <c:pt idx="365">
                  <c:v>0.94522245701077567</c:v>
                </c:pt>
                <c:pt idx="366">
                  <c:v>0.94402587339987321</c:v>
                </c:pt>
                <c:pt idx="367">
                  <c:v>0.94283483287806802</c:v>
                </c:pt>
                <c:pt idx="368">
                  <c:v>0.94164921613028685</c:v>
                </c:pt>
                <c:pt idx="369">
                  <c:v>0.94046890700452013</c:v>
                </c:pt>
                <c:pt idx="370">
                  <c:v>0.93929379242715483</c:v>
                </c:pt>
                <c:pt idx="371">
                  <c:v>0.93812376232057548</c:v>
                </c:pt>
                <c:pt idx="372">
                  <c:v>0.93695870952297122</c:v>
                </c:pt>
                <c:pt idx="373">
                  <c:v>0.93579852971029032</c:v>
                </c:pt>
                <c:pt idx="374">
                  <c:v>0.93464312132028493</c:v>
                </c:pt>
                <c:pt idx="375">
                  <c:v>0.93349238547858915</c:v>
                </c:pt>
                <c:pt idx="376">
                  <c:v>0.93234622592677685</c:v>
                </c:pt>
                <c:pt idx="377">
                  <c:v>0.93120454895234617</c:v>
                </c:pt>
                <c:pt idx="378">
                  <c:v>0.93006726332057865</c:v>
                </c:pt>
                <c:pt idx="379">
                  <c:v>0.92893428020822311</c:v>
                </c:pt>
                <c:pt idx="380">
                  <c:v>0.9278055131389551</c:v>
                </c:pt>
                <c:pt idx="381">
                  <c:v>0.92668087792056486</c:v>
                </c:pt>
                <c:pt idx="382">
                  <c:v>0.92556029258382744</c:v>
                </c:pt>
                <c:pt idx="383">
                  <c:v>0.92444367732300881</c:v>
                </c:pt>
                <c:pt idx="384">
                  <c:v>0.92333095443796642</c:v>
                </c:pt>
                <c:pt idx="385">
                  <c:v>0.92222204827779919</c:v>
                </c:pt>
                <c:pt idx="386">
                  <c:v>0.92111688518600687</c:v>
                </c:pt>
                <c:pt idx="387">
                  <c:v>0.92001539344711736</c:v>
                </c:pt>
                <c:pt idx="388">
                  <c:v>0.91891750323474419</c:v>
                </c:pt>
                <c:pt idx="389">
                  <c:v>0.91782314656103392</c:v>
                </c:pt>
                <c:pt idx="390">
                  <c:v>0.91673225722746787</c:v>
                </c:pt>
                <c:pt idx="391">
                  <c:v>0.9156447707769807</c:v>
                </c:pt>
                <c:pt idx="392">
                  <c:v>0.91456062444736186</c:v>
                </c:pt>
                <c:pt idx="393">
                  <c:v>0.91347975712590423</c:v>
                </c:pt>
                <c:pt idx="394">
                  <c:v>0.91240210930526744</c:v>
                </c:pt>
                <c:pt idx="395">
                  <c:v>0.91132762304052295</c:v>
                </c:pt>
                <c:pt idx="396">
                  <c:v>0.91025624190734922</c:v>
                </c:pt>
                <c:pt idx="397">
                  <c:v>0.90918791096134688</c:v>
                </c:pt>
                <c:pt idx="398">
                  <c:v>0.90812257669844243</c:v>
                </c:pt>
                <c:pt idx="399">
                  <c:v>0.90706018701635316</c:v>
                </c:pt>
                <c:pt idx="400">
                  <c:v>0.90600069117708326</c:v>
                </c:pt>
                <c:pt idx="401">
                  <c:v>0.90494403977042459</c:v>
                </c:pt>
                <c:pt idx="402">
                  <c:v>0.90389018467843441</c:v>
                </c:pt>
                <c:pt idx="403">
                  <c:v>0.9028390790408648</c:v>
                </c:pt>
                <c:pt idx="404">
                  <c:v>0.9017906772215174</c:v>
                </c:pt>
                <c:pt idx="405">
                  <c:v>0.90074493477549933</c:v>
                </c:pt>
                <c:pt idx="406">
                  <c:v>0.89970180841735536</c:v>
                </c:pt>
                <c:pt idx="407">
                  <c:v>0.89866125599005442</c:v>
                </c:pt>
                <c:pt idx="408">
                  <c:v>0.89762323643480557</c:v>
                </c:pt>
                <c:pt idx="409">
                  <c:v>0.89658770976168278</c:v>
                </c:pt>
                <c:pt idx="410">
                  <c:v>0.89555463702103599</c:v>
                </c:pt>
                <c:pt idx="411">
                  <c:v>0.89452398027566793</c:v>
                </c:pt>
                <c:pt idx="412">
                  <c:v>0.89349570257375599</c:v>
                </c:pt>
                <c:pt idx="413">
                  <c:v>0.89246976792249866</c:v>
                </c:pt>
                <c:pt idx="414">
                  <c:v>0.89144614126246835</c:v>
                </c:pt>
                <c:pt idx="415">
                  <c:v>0.89042478844265072</c:v>
                </c:pt>
                <c:pt idx="416">
                  <c:v>0.88940567619615185</c:v>
                </c:pt>
                <c:pt idx="417">
                  <c:v>0.88837988673132573</c:v>
                </c:pt>
                <c:pt idx="418">
                  <c:v>0.88735629820298467</c:v>
                </c:pt>
                <c:pt idx="419">
                  <c:v>0.88633487967794122</c:v>
                </c:pt>
                <c:pt idx="420">
                  <c:v>0.88531560102057683</c:v>
                </c:pt>
                <c:pt idx="421">
                  <c:v>0.88429843287151144</c:v>
                </c:pt>
                <c:pt idx="422">
                  <c:v>0.88328334662684393</c:v>
                </c:pt>
                <c:pt idx="423">
                  <c:v>0.88227031441794834</c:v>
                </c:pt>
                <c:pt idx="424">
                  <c:v>0.88125930909181183</c:v>
                </c:pt>
                <c:pt idx="425">
                  <c:v>0.8802503041918992</c:v>
                </c:pt>
                <c:pt idx="426">
                  <c:v>0.87924327393952939</c:v>
                </c:pt>
                <c:pt idx="427">
                  <c:v>0.87823819321575169</c:v>
                </c:pt>
                <c:pt idx="428">
                  <c:v>0.87723503754370669</c:v>
                </c:pt>
                <c:pt idx="429">
                  <c:v>0.87623378307146038</c:v>
                </c:pt>
                <c:pt idx="430">
                  <c:v>0.87523440655529749</c:v>
                </c:pt>
                <c:pt idx="431">
                  <c:v>0.87423688534346222</c:v>
                </c:pt>
                <c:pt idx="432">
                  <c:v>0.87324119736033545</c:v>
                </c:pt>
                <c:pt idx="433">
                  <c:v>0.87224732109103442</c:v>
                </c:pt>
                <c:pt idx="434">
                  <c:v>0.87125523556642637</c:v>
                </c:pt>
                <c:pt idx="435">
                  <c:v>0.87026492034854208</c:v>
                </c:pt>
                <c:pt idx="436">
                  <c:v>0.86927635551638172</c:v>
                </c:pt>
                <c:pt idx="437">
                  <c:v>0.86828952165209916</c:v>
                </c:pt>
                <c:pt idx="438">
                  <c:v>0.8673043998275578</c:v>
                </c:pt>
                <c:pt idx="439">
                  <c:v>0.86632097159124621</c:v>
                </c:pt>
                <c:pt idx="440">
                  <c:v>0.86533921895554322</c:v>
                </c:pt>
                <c:pt idx="441">
                  <c:v>0.86435912438432549</c:v>
                </c:pt>
                <c:pt idx="442">
                  <c:v>0.86338067078090608</c:v>
                </c:pt>
                <c:pt idx="443">
                  <c:v>0.86240384147629645</c:v>
                </c:pt>
                <c:pt idx="444">
                  <c:v>0.86142862021778299</c:v>
                </c:pt>
                <c:pt idx="445">
                  <c:v>0.8604549911578091</c:v>
                </c:pt>
                <c:pt idx="446">
                  <c:v>0.85948293884315552</c:v>
                </c:pt>
                <c:pt idx="447">
                  <c:v>0.85851244820441008</c:v>
                </c:pt>
                <c:pt idx="448">
                  <c:v>0.85754350454571981</c:v>
                </c:pt>
                <c:pt idx="449">
                  <c:v>0.85657609353481745</c:v>
                </c:pt>
                <c:pt idx="450">
                  <c:v>0.85561020119331443</c:v>
                </c:pt>
                <c:pt idx="451">
                  <c:v>0.85464581388725569</c:v>
                </c:pt>
                <c:pt idx="452">
                  <c:v>0.85368291831792509</c:v>
                </c:pt>
                <c:pt idx="453">
                  <c:v>0.85272150151289861</c:v>
                </c:pt>
                <c:pt idx="454">
                  <c:v>0.85176155081733684</c:v>
                </c:pt>
                <c:pt idx="455">
                  <c:v>0.85080305388551092</c:v>
                </c:pt>
                <c:pt idx="456">
                  <c:v>0.84984599867255473</c:v>
                </c:pt>
                <c:pt idx="457">
                  <c:v>0.8488903734264388</c:v>
                </c:pt>
                <c:pt idx="458">
                  <c:v>0.84793616668015881</c:v>
                </c:pt>
                <c:pt idx="459">
                  <c:v>0.84698336724413292</c:v>
                </c:pt>
                <c:pt idx="460">
                  <c:v>0.84603196419880367</c:v>
                </c:pt>
                <c:pt idx="461">
                  <c:v>0.84508194688743732</c:v>
                </c:pt>
                <c:pt idx="462">
                  <c:v>0.84413330490911609</c:v>
                </c:pt>
                <c:pt idx="463">
                  <c:v>0.84318602811191834</c:v>
                </c:pt>
                <c:pt idx="464">
                  <c:v>0.84224010658628112</c:v>
                </c:pt>
                <c:pt idx="465">
                  <c:v>0.84129553065854101</c:v>
                </c:pt>
                <c:pt idx="466">
                  <c:v>0.84035229088464725</c:v>
                </c:pt>
                <c:pt idx="467">
                  <c:v>0.83941037804404361</c:v>
                </c:pt>
                <c:pt idx="468">
                  <c:v>0.83846978313371434</c:v>
                </c:pt>
                <c:pt idx="469">
                  <c:v>0.83752096053813374</c:v>
                </c:pt>
                <c:pt idx="470">
                  <c:v>0.83657346421508527</c:v>
                </c:pt>
                <c:pt idx="471">
                  <c:v>0.83562728561213073</c:v>
                </c:pt>
                <c:pt idx="472">
                  <c:v>0.83468241637580431</c:v>
                </c:pt>
                <c:pt idx="473">
                  <c:v>0.83373884834631418</c:v>
                </c:pt>
                <c:pt idx="474">
                  <c:v>0.83279657355238546</c:v>
                </c:pt>
                <c:pt idx="475">
                  <c:v>0.8318555842062425</c:v>
                </c:pt>
                <c:pt idx="476">
                  <c:v>0.83091587269872491</c:v>
                </c:pt>
                <c:pt idx="477">
                  <c:v>0.82997743159453408</c:v>
                </c:pt>
                <c:pt idx="478">
                  <c:v>0.82904025362760814</c:v>
                </c:pt>
                <c:pt idx="479">
                  <c:v>0.82810433169661968</c:v>
                </c:pt>
                <c:pt idx="480">
                  <c:v>0.82716965886059435</c:v>
                </c:pt>
                <c:pt idx="481">
                  <c:v>0.82623622833464805</c:v>
                </c:pt>
                <c:pt idx="482">
                  <c:v>0.82530403348583625</c:v>
                </c:pt>
                <c:pt idx="483">
                  <c:v>0.82437306782911646</c:v>
                </c:pt>
                <c:pt idx="484">
                  <c:v>0.82344332502341755</c:v>
                </c:pt>
                <c:pt idx="485">
                  <c:v>0.82251479886781476</c:v>
                </c:pt>
                <c:pt idx="486">
                  <c:v>0.82158748329780751</c:v>
                </c:pt>
                <c:pt idx="487">
                  <c:v>0.82066137238169679</c:v>
                </c:pt>
                <c:pt idx="488">
                  <c:v>0.81973646031705893</c:v>
                </c:pt>
                <c:pt idx="489">
                  <c:v>0.81881274142731497</c:v>
                </c:pt>
                <c:pt idx="490">
                  <c:v>0.81789021015839092</c:v>
                </c:pt>
                <c:pt idx="491">
                  <c:v>0.81696886107546807</c:v>
                </c:pt>
                <c:pt idx="492">
                  <c:v>0.81604868885982029</c:v>
                </c:pt>
                <c:pt idx="493">
                  <c:v>0.81512968830573562</c:v>
                </c:pt>
                <c:pt idx="494">
                  <c:v>0.81421185431752074</c:v>
                </c:pt>
                <c:pt idx="495">
                  <c:v>0.81329518190658612</c:v>
                </c:pt>
                <c:pt idx="496">
                  <c:v>0.81237966618860791</c:v>
                </c:pt>
                <c:pt idx="497">
                  <c:v>0.81146530238076708</c:v>
                </c:pt>
                <c:pt idx="498">
                  <c:v>0.81055208579906213</c:v>
                </c:pt>
                <c:pt idx="499">
                  <c:v>0.80964001185569368</c:v>
                </c:pt>
                <c:pt idx="500">
                  <c:v>0.80872907605651878</c:v>
                </c:pt>
                <c:pt idx="501">
                  <c:v>0.80781927399857456</c:v>
                </c:pt>
                <c:pt idx="502">
                  <c:v>0.80691060136766679</c:v>
                </c:pt>
                <c:pt idx="503">
                  <c:v>0.80600305393602401</c:v>
                </c:pt>
                <c:pt idx="504">
                  <c:v>0.80509662756001399</c:v>
                </c:pt>
                <c:pt idx="505">
                  <c:v>0.80419131817792178</c:v>
                </c:pt>
                <c:pt idx="506">
                  <c:v>0.80328712180778683</c:v>
                </c:pt>
                <c:pt idx="507">
                  <c:v>0.80238403454529794</c:v>
                </c:pt>
                <c:pt idx="508">
                  <c:v>0.80148205256174543</c:v>
                </c:pt>
                <c:pt idx="509">
                  <c:v>0.80058117210202739</c:v>
                </c:pt>
                <c:pt idx="510">
                  <c:v>0.79968138948270928</c:v>
                </c:pt>
                <c:pt idx="511">
                  <c:v>0.79878270109013594</c:v>
                </c:pt>
                <c:pt idx="512">
                  <c:v>0.79788510337859397</c:v>
                </c:pt>
                <c:pt idx="513">
                  <c:v>0.79698859286852353</c:v>
                </c:pt>
                <c:pt idx="514">
                  <c:v>0.79609316614477699</c:v>
                </c:pt>
                <c:pt idx="515">
                  <c:v>0.79519881985492624</c:v>
                </c:pt>
                <c:pt idx="516">
                  <c:v>0.79430555070761311</c:v>
                </c:pt>
                <c:pt idx="517">
                  <c:v>0.79341335547094538</c:v>
                </c:pt>
                <c:pt idx="518">
                  <c:v>0.79252223097093544</c:v>
                </c:pt>
                <c:pt idx="519">
                  <c:v>0.79163217408998021</c:v>
                </c:pt>
              </c:numCache>
            </c:numRef>
          </c:val>
          <c:smooth val="0"/>
          <c:extLst>
            <c:ext xmlns:c16="http://schemas.microsoft.com/office/drawing/2014/chart" uri="{C3380CC4-5D6E-409C-BE32-E72D297353CC}">
              <c16:uniqueId val="{00000005-907F-4589-BC87-CB41FF02749B}"/>
            </c:ext>
          </c:extLst>
        </c:ser>
        <c:ser>
          <c:idx val="8"/>
          <c:order val="8"/>
          <c:tx>
            <c:strRef>
              <c:f>Steroid!$K$534</c:f>
              <c:strCache>
                <c:ptCount val="1"/>
                <c:pt idx="0">
                  <c:v>Death</c:v>
                </c:pt>
              </c:strCache>
            </c:strRef>
          </c:tx>
          <c:spPr>
            <a:ln w="28575" cap="rnd">
              <a:solidFill>
                <a:schemeClr val="accent3">
                  <a:lumMod val="60000"/>
                </a:schemeClr>
              </a:solidFill>
              <a:round/>
            </a:ln>
            <a:effectLst/>
          </c:spPr>
          <c:marker>
            <c:symbol val="none"/>
          </c:marker>
          <c:cat>
            <c:numRef>
              <c:f>Steroid!$B$535:$B$1054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Steroid!$K$535:$K$1054</c:f>
              <c:numCache>
                <c:formatCode>#,##0</c:formatCode>
                <c:ptCount val="520"/>
                <c:pt idx="0">
                  <c:v>0</c:v>
                </c:pt>
                <c:pt idx="1">
                  <c:v>6.9081552659944201E-2</c:v>
                </c:pt>
                <c:pt idx="2">
                  <c:v>0.13815867727529607</c:v>
                </c:pt>
                <c:pt idx="3">
                  <c:v>0.20723136374494816</c:v>
                </c:pt>
                <c:pt idx="4">
                  <c:v>0.27629960225087746</c:v>
                </c:pt>
                <c:pt idx="5">
                  <c:v>0.34536338325056354</c:v>
                </c:pt>
                <c:pt idx="6">
                  <c:v>0.41442269746960925</c:v>
                </c:pt>
                <c:pt idx="7">
                  <c:v>0.48347753589455889</c:v>
                </c:pt>
                <c:pt idx="8">
                  <c:v>0.55252788976590805</c:v>
                </c:pt>
                <c:pt idx="9">
                  <c:v>0.62157375057130082</c:v>
                </c:pt>
                <c:pt idx="10">
                  <c:v>0.69061511003890841</c:v>
                </c:pt>
                <c:pt idx="11">
                  <c:v>0.75965196013098502</c:v>
                </c:pt>
                <c:pt idx="12">
                  <c:v>0.82868429303759605</c:v>
                </c:pt>
                <c:pt idx="13">
                  <c:v>0.89771210117051392</c:v>
                </c:pt>
                <c:pt idx="14">
                  <c:v>0.96673537715727698</c:v>
                </c:pt>
                <c:pt idx="15">
                  <c:v>1.0357541138354074</c:v>
                </c:pt>
                <c:pt idx="16">
                  <c:v>1.1047683042467837</c:v>
                </c:pt>
                <c:pt idx="17">
                  <c:v>1.1737779416321636</c:v>
                </c:pt>
                <c:pt idx="18">
                  <c:v>1.2427830194258533</c:v>
                </c:pt>
                <c:pt idx="19">
                  <c:v>1.3117835312505197</c:v>
                </c:pt>
                <c:pt idx="20">
                  <c:v>1.3807794709121404</c:v>
                </c:pt>
                <c:pt idx="21">
                  <c:v>1.44977083239509</c:v>
                </c:pt>
                <c:pt idx="22">
                  <c:v>1.5187576098573563</c:v>
                </c:pt>
                <c:pt idx="23">
                  <c:v>1.5877397976258862</c:v>
                </c:pt>
                <c:pt idx="24">
                  <c:v>1.6567173901920542</c:v>
                </c:pt>
                <c:pt idx="25">
                  <c:v>1.7256903822072531</c:v>
                </c:pt>
                <c:pt idx="26">
                  <c:v>1.7946587684786031</c:v>
                </c:pt>
                <c:pt idx="27">
                  <c:v>1.8636225439647736</c:v>
                </c:pt>
                <c:pt idx="28">
                  <c:v>1.9325817037719195</c:v>
                </c:pt>
                <c:pt idx="29">
                  <c:v>2.0015362431497241</c:v>
                </c:pt>
                <c:pt idx="30">
                  <c:v>2.0704861574875482</c:v>
                </c:pt>
                <c:pt idx="31">
                  <c:v>2.1394314423106828</c:v>
                </c:pt>
                <c:pt idx="32">
                  <c:v>2.2083720932767017</c:v>
                </c:pt>
                <c:pt idx="33">
                  <c:v>2.2773081061719109</c:v>
                </c:pt>
                <c:pt idx="34">
                  <c:v>2.3462394769078947</c:v>
                </c:pt>
                <c:pt idx="35">
                  <c:v>2.4151662015181521</c:v>
                </c:pt>
                <c:pt idx="36">
                  <c:v>2.4840882761548242</c:v>
                </c:pt>
                <c:pt idx="37">
                  <c:v>2.55300569708551</c:v>
                </c:pt>
                <c:pt idx="38">
                  <c:v>2.6219184606901655</c:v>
                </c:pt>
                <c:pt idx="39">
                  <c:v>2.6908265634580868</c:v>
                </c:pt>
                <c:pt idx="40">
                  <c:v>2.7597300019849738</c:v>
                </c:pt>
                <c:pt idx="41">
                  <c:v>2.8286287729700721</c:v>
                </c:pt>
                <c:pt idx="42">
                  <c:v>2.8975228732133922</c:v>
                </c:pt>
                <c:pt idx="43">
                  <c:v>2.9664122996130011</c:v>
                </c:pt>
                <c:pt idx="44">
                  <c:v>3.0352970491623896</c:v>
                </c:pt>
                <c:pt idx="45">
                  <c:v>3.1041771189479066</c:v>
                </c:pt>
                <c:pt idx="46">
                  <c:v>3.1730525061462638</c:v>
                </c:pt>
                <c:pt idx="47">
                  <c:v>3.2419232080221074</c:v>
                </c:pt>
                <c:pt idx="48">
                  <c:v>3.3107892219256536</c:v>
                </c:pt>
                <c:pt idx="49">
                  <c:v>3.3796505452903878</c:v>
                </c:pt>
                <c:pt idx="50">
                  <c:v>3.4485071756308265</c:v>
                </c:pt>
                <c:pt idx="51">
                  <c:v>3.5173591105403368</c:v>
                </c:pt>
                <c:pt idx="52">
                  <c:v>3.5862063476890165</c:v>
                </c:pt>
                <c:pt idx="53">
                  <c:v>3.6605992236290628</c:v>
                </c:pt>
                <c:pt idx="54">
                  <c:v>3.7349866038775406</c:v>
                </c:pt>
                <c:pt idx="55">
                  <c:v>3.8093684862105595</c:v>
                </c:pt>
                <c:pt idx="56">
                  <c:v>3.8837448684786375</c:v>
                </c:pt>
                <c:pt idx="57">
                  <c:v>3.9581157486046954</c:v>
                </c:pt>
                <c:pt idx="58">
                  <c:v>4.0324811245821079</c:v>
                </c:pt>
                <c:pt idx="59">
                  <c:v>4.1068409944728055</c:v>
                </c:pt>
                <c:pt idx="60">
                  <c:v>4.1811953564054267</c:v>
                </c:pt>
                <c:pt idx="61">
                  <c:v>4.2555442085735216</c:v>
                </c:pt>
                <c:pt idx="62">
                  <c:v>4.3298875492338</c:v>
                </c:pt>
                <c:pt idx="63">
                  <c:v>4.4042253767044324</c:v>
                </c:pt>
                <c:pt idx="64">
                  <c:v>4.4785576893633889</c:v>
                </c:pt>
                <c:pt idx="65">
                  <c:v>4.5528844856468282</c:v>
                </c:pt>
                <c:pt idx="66">
                  <c:v>4.6272057640475293</c:v>
                </c:pt>
                <c:pt idx="67">
                  <c:v>4.7015215231133611</c:v>
                </c:pt>
                <c:pt idx="68">
                  <c:v>4.7758317614457972</c:v>
                </c:pt>
                <c:pt idx="69">
                  <c:v>4.8501364776984683</c:v>
                </c:pt>
                <c:pt idx="70">
                  <c:v>4.9244356705757548</c:v>
                </c:pt>
                <c:pt idx="71">
                  <c:v>4.9987293388314153</c:v>
                </c:pt>
                <c:pt idx="72">
                  <c:v>5.0730174812672528</c:v>
                </c:pt>
                <c:pt idx="73">
                  <c:v>5.1473000967318177</c:v>
                </c:pt>
                <c:pt idx="74">
                  <c:v>5.2215771841191421</c:v>
                </c:pt>
                <c:pt idx="75">
                  <c:v>5.2958487423675136</c:v>
                </c:pt>
                <c:pt idx="76">
                  <c:v>5.370114770458275</c:v>
                </c:pt>
                <c:pt idx="77">
                  <c:v>5.444375267414661</c:v>
                </c:pt>
                <c:pt idx="78">
                  <c:v>5.5186302323006666</c:v>
                </c:pt>
                <c:pt idx="79">
                  <c:v>5.5928796642199412</c:v>
                </c:pt>
                <c:pt idx="80">
                  <c:v>5.6671235623147167</c:v>
                </c:pt>
                <c:pt idx="81">
                  <c:v>5.7413619257647621</c:v>
                </c:pt>
                <c:pt idx="82">
                  <c:v>5.8155947537863657</c:v>
                </c:pt>
                <c:pt idx="83">
                  <c:v>5.8898220456313473</c:v>
                </c:pt>
                <c:pt idx="84">
                  <c:v>5.9640438005860936</c:v>
                </c:pt>
                <c:pt idx="85">
                  <c:v>6.0382600179706225</c:v>
                </c:pt>
                <c:pt idx="86">
                  <c:v>6.1124706971376686</c:v>
                </c:pt>
                <c:pt idx="87">
                  <c:v>6.1866758374717978</c:v>
                </c:pt>
                <c:pt idx="88">
                  <c:v>6.2608754383885401</c:v>
                </c:pt>
                <c:pt idx="89">
                  <c:v>6.335069499333553</c:v>
                </c:pt>
                <c:pt idx="90">
                  <c:v>6.4092580197817988</c:v>
                </c:pt>
                <c:pt idx="91">
                  <c:v>6.483440999236751</c:v>
                </c:pt>
                <c:pt idx="92">
                  <c:v>6.5576184372296176</c:v>
                </c:pt>
                <c:pt idx="93">
                  <c:v>6.6317903333185884</c:v>
                </c:pt>
                <c:pt idx="94">
                  <c:v>6.7059566870880998</c:v>
                </c:pt>
                <c:pt idx="95">
                  <c:v>6.7801174981481198</c:v>
                </c:pt>
                <c:pt idx="96">
                  <c:v>6.8542727661334535</c:v>
                </c:pt>
                <c:pt idx="97">
                  <c:v>6.928422490703066</c:v>
                </c:pt>
                <c:pt idx="98">
                  <c:v>7.0025666715394248</c:v>
                </c:pt>
                <c:pt idx="99">
                  <c:v>7.0767053083478562</c:v>
                </c:pt>
                <c:pt idx="100">
                  <c:v>7.1508384008559256</c:v>
                </c:pt>
                <c:pt idx="101">
                  <c:v>7.2249659488128266</c:v>
                </c:pt>
                <c:pt idx="102">
                  <c:v>7.2990879519887937</c:v>
                </c:pt>
                <c:pt idx="103">
                  <c:v>7.373204410174524</c:v>
                </c:pt>
                <c:pt idx="104">
                  <c:v>7.4473153231806197</c:v>
                </c:pt>
                <c:pt idx="105">
                  <c:v>7.5275262122047755</c:v>
                </c:pt>
                <c:pt idx="106">
                  <c:v>7.6077306054288885</c:v>
                </c:pt>
                <c:pt idx="107">
                  <c:v>7.687928502786022</c:v>
                </c:pt>
                <c:pt idx="108">
                  <c:v>7.7681199042285254</c:v>
                </c:pt>
                <c:pt idx="109">
                  <c:v>7.848304809727507</c:v>
                </c:pt>
                <c:pt idx="110">
                  <c:v>7.9284832192723185</c:v>
                </c:pt>
                <c:pt idx="111">
                  <c:v>8.0086551328700537</c:v>
                </c:pt>
                <c:pt idx="112">
                  <c:v>8.0888205505450621</c:v>
                </c:pt>
                <c:pt idx="113">
                  <c:v>8.1689794723384708</c:v>
                </c:pt>
                <c:pt idx="114">
                  <c:v>8.2491318983077253</c:v>
                </c:pt>
                <c:pt idx="115">
                  <c:v>8.3292778285261395</c:v>
                </c:pt>
                <c:pt idx="116">
                  <c:v>8.4094172630824566</c:v>
                </c:pt>
                <c:pt idx="117">
                  <c:v>8.489550202080423</c:v>
                </c:pt>
                <c:pt idx="118">
                  <c:v>8.5696766456383777</c:v>
                </c:pt>
                <c:pt idx="119">
                  <c:v>8.6497965938888459</c:v>
                </c:pt>
                <c:pt idx="120">
                  <c:v>8.7299100469781443</c:v>
                </c:pt>
                <c:pt idx="121">
                  <c:v>8.8100170050660065</c:v>
                </c:pt>
                <c:pt idx="122">
                  <c:v>8.8901174683252044</c:v>
                </c:pt>
                <c:pt idx="123">
                  <c:v>8.9702114369411881</c:v>
                </c:pt>
                <c:pt idx="124">
                  <c:v>9.0502989111117369</c:v>
                </c:pt>
                <c:pt idx="125">
                  <c:v>9.1303798910466121</c:v>
                </c:pt>
                <c:pt idx="126">
                  <c:v>9.2104543769672294</c:v>
                </c:pt>
                <c:pt idx="127">
                  <c:v>9.2905223691063306</c:v>
                </c:pt>
                <c:pt idx="128">
                  <c:v>9.3705838677076656</c:v>
                </c:pt>
                <c:pt idx="129">
                  <c:v>9.4506388730256923</c:v>
                </c:pt>
                <c:pt idx="130">
                  <c:v>9.5306873853252725</c:v>
                </c:pt>
                <c:pt idx="131">
                  <c:v>9.6107294048813827</c:v>
                </c:pt>
                <c:pt idx="132">
                  <c:v>9.6907649319788298</c:v>
                </c:pt>
                <c:pt idx="133">
                  <c:v>9.7707939669119774</c:v>
                </c:pt>
                <c:pt idx="134">
                  <c:v>9.850816509984476</c:v>
                </c:pt>
                <c:pt idx="135">
                  <c:v>9.9308325615090034</c:v>
                </c:pt>
                <c:pt idx="136">
                  <c:v>10.010842121807009</c:v>
                </c:pt>
                <c:pt idx="137">
                  <c:v>10.090845191208473</c:v>
                </c:pt>
                <c:pt idx="138">
                  <c:v>10.170841770051656</c:v>
                </c:pt>
                <c:pt idx="139">
                  <c:v>10.250831858682874</c:v>
                </c:pt>
                <c:pt idx="140">
                  <c:v>10.330815457456266</c:v>
                </c:pt>
                <c:pt idx="141">
                  <c:v>10.410792566733575</c:v>
                </c:pt>
                <c:pt idx="142">
                  <c:v>10.490763186883928</c:v>
                </c:pt>
                <c:pt idx="143">
                  <c:v>10.570727318283634</c:v>
                </c:pt>
                <c:pt idx="144">
                  <c:v>10.650684961315973</c:v>
                </c:pt>
                <c:pt idx="145">
                  <c:v>10.730636116371</c:v>
                </c:pt>
                <c:pt idx="146">
                  <c:v>10.810580783845355</c:v>
                </c:pt>
                <c:pt idx="147">
                  <c:v>10.890518964142066</c:v>
                </c:pt>
                <c:pt idx="148">
                  <c:v>10.970450657670378</c:v>
                </c:pt>
                <c:pt idx="149">
                  <c:v>11.050375864845565</c:v>
                </c:pt>
                <c:pt idx="150">
                  <c:v>11.130294586088761</c:v>
                </c:pt>
                <c:pt idx="151">
                  <c:v>11.210206821826793</c:v>
                </c:pt>
                <c:pt idx="152">
                  <c:v>11.290112572492012</c:v>
                </c:pt>
                <c:pt idx="153">
                  <c:v>11.37001183852214</c:v>
                </c:pt>
                <c:pt idx="154">
                  <c:v>11.44990462036011</c:v>
                </c:pt>
                <c:pt idx="155">
                  <c:v>11.529790918453916</c:v>
                </c:pt>
                <c:pt idx="156">
                  <c:v>11.609670733256465</c:v>
                </c:pt>
                <c:pt idx="157">
                  <c:v>11.696386533204034</c:v>
                </c:pt>
                <c:pt idx="158">
                  <c:v>11.783094695132595</c:v>
                </c:pt>
                <c:pt idx="159">
                  <c:v>11.869795219650769</c:v>
                </c:pt>
                <c:pt idx="160">
                  <c:v>11.956488107371905</c:v>
                </c:pt>
                <c:pt idx="161">
                  <c:v>12.043173358913945</c:v>
                </c:pt>
                <c:pt idx="162">
                  <c:v>12.129850974899277</c:v>
                </c:pt>
                <c:pt idx="163">
                  <c:v>12.216520955954614</c:v>
                </c:pt>
                <c:pt idx="164">
                  <c:v>12.30318330271086</c:v>
                </c:pt>
                <c:pt idx="165">
                  <c:v>12.389838015802985</c:v>
                </c:pt>
                <c:pt idx="166">
                  <c:v>12.476485095869908</c:v>
                </c:pt>
                <c:pt idx="167">
                  <c:v>12.563124543554371</c:v>
                </c:pt>
                <c:pt idx="168">
                  <c:v>12.649756359502836</c:v>
                </c:pt>
                <c:pt idx="169">
                  <c:v>12.73638054436536</c:v>
                </c:pt>
                <c:pt idx="170">
                  <c:v>12.822997098795494</c:v>
                </c:pt>
                <c:pt idx="171">
                  <c:v>12.909606023450173</c:v>
                </c:pt>
                <c:pt idx="172">
                  <c:v>12.996207318989619</c:v>
                </c:pt>
                <c:pt idx="173">
                  <c:v>13.082800986077233</c:v>
                </c:pt>
                <c:pt idx="174">
                  <c:v>13.169387025379505</c:v>
                </c:pt>
                <c:pt idx="175">
                  <c:v>13.255965437565912</c:v>
                </c:pt>
                <c:pt idx="176">
                  <c:v>13.34253622330883</c:v>
                </c:pt>
                <c:pt idx="177">
                  <c:v>13.429099383283445</c:v>
                </c:pt>
                <c:pt idx="178">
                  <c:v>13.515654918167662</c:v>
                </c:pt>
                <c:pt idx="179">
                  <c:v>13.602202828642024</c:v>
                </c:pt>
                <c:pt idx="180">
                  <c:v>13.688743115389626</c:v>
                </c:pt>
                <c:pt idx="181">
                  <c:v>13.775275779096033</c:v>
                </c:pt>
                <c:pt idx="182">
                  <c:v>13.86180082044921</c:v>
                </c:pt>
                <c:pt idx="183">
                  <c:v>13.948318240139438</c:v>
                </c:pt>
                <c:pt idx="184">
                  <c:v>14.034828038859244</c:v>
                </c:pt>
                <c:pt idx="185">
                  <c:v>14.121330217303324</c:v>
                </c:pt>
                <c:pt idx="186">
                  <c:v>14.207824776168481</c:v>
                </c:pt>
                <c:pt idx="187">
                  <c:v>14.294311716153549</c:v>
                </c:pt>
                <c:pt idx="188">
                  <c:v>14.380791037959332</c:v>
                </c:pt>
                <c:pt idx="189">
                  <c:v>14.467262742288536</c:v>
                </c:pt>
                <c:pt idx="190">
                  <c:v>14.55372682984571</c:v>
                </c:pt>
                <c:pt idx="191">
                  <c:v>14.64018330133718</c:v>
                </c:pt>
                <c:pt idx="192">
                  <c:v>14.726632157470993</c:v>
                </c:pt>
                <c:pt idx="193">
                  <c:v>14.813073398956863</c:v>
                </c:pt>
                <c:pt idx="194">
                  <c:v>14.899507026506106</c:v>
                </c:pt>
                <c:pt idx="195">
                  <c:v>14.985933040831592</c:v>
                </c:pt>
                <c:pt idx="196">
                  <c:v>15.07235144264769</c:v>
                </c:pt>
                <c:pt idx="197">
                  <c:v>15.158762232670217</c:v>
                </c:pt>
                <c:pt idx="198">
                  <c:v>15.245165411616384</c:v>
                </c:pt>
                <c:pt idx="199">
                  <c:v>15.331560980204754</c:v>
                </c:pt>
                <c:pt idx="200">
                  <c:v>15.417948939155192</c:v>
                </c:pt>
                <c:pt idx="201">
                  <c:v>15.504329289188812</c:v>
                </c:pt>
                <c:pt idx="202">
                  <c:v>15.590702031027941</c:v>
                </c:pt>
                <c:pt idx="203">
                  <c:v>15.677067165396073</c:v>
                </c:pt>
                <c:pt idx="204">
                  <c:v>15.763424693017825</c:v>
                </c:pt>
                <c:pt idx="205">
                  <c:v>15.849774614618894</c:v>
                </c:pt>
                <c:pt idx="206">
                  <c:v>15.936116930926023</c:v>
                </c:pt>
                <c:pt idx="207">
                  <c:v>16.022451642666955</c:v>
                </c:pt>
                <c:pt idx="208">
                  <c:v>16.108778750570394</c:v>
                </c:pt>
                <c:pt idx="209">
                  <c:v>16.202289110422825</c:v>
                </c:pt>
                <c:pt idx="210">
                  <c:v>16.295790551145753</c:v>
                </c:pt>
                <c:pt idx="211">
                  <c:v>16.38928307365714</c:v>
                </c:pt>
                <c:pt idx="212">
                  <c:v>16.482766678875826</c:v>
                </c:pt>
                <c:pt idx="213">
                  <c:v>16.576241367721483</c:v>
                </c:pt>
                <c:pt idx="214">
                  <c:v>16.669707141114589</c:v>
                </c:pt>
                <c:pt idx="215">
                  <c:v>16.763163999976385</c:v>
                </c:pt>
                <c:pt idx="216">
                  <c:v>16.856611945228845</c:v>
                </c:pt>
                <c:pt idx="217">
                  <c:v>16.950050977794653</c:v>
                </c:pt>
                <c:pt idx="218">
                  <c:v>17.043481098597159</c:v>
                </c:pt>
                <c:pt idx="219">
                  <c:v>17.136902308560355</c:v>
                </c:pt>
                <c:pt idx="220">
                  <c:v>17.230314608608847</c:v>
                </c:pt>
                <c:pt idx="221">
                  <c:v>17.323717999667824</c:v>
                </c:pt>
                <c:pt idx="222">
                  <c:v>17.417112482663033</c:v>
                </c:pt>
                <c:pt idx="223">
                  <c:v>17.510498058520742</c:v>
                </c:pt>
                <c:pt idx="224">
                  <c:v>17.603874728167728</c:v>
                </c:pt>
                <c:pt idx="225">
                  <c:v>17.697242492531245</c:v>
                </c:pt>
                <c:pt idx="226">
                  <c:v>17.790601352538999</c:v>
                </c:pt>
                <c:pt idx="227">
                  <c:v>17.883951309119126</c:v>
                </c:pt>
                <c:pt idx="228">
                  <c:v>17.97729236320016</c:v>
                </c:pt>
                <c:pt idx="229">
                  <c:v>18.070624515711025</c:v>
                </c:pt>
                <c:pt idx="230">
                  <c:v>18.163947767581</c:v>
                </c:pt>
                <c:pt idx="231">
                  <c:v>18.257262119739707</c:v>
                </c:pt>
                <c:pt idx="232">
                  <c:v>18.350567573117083</c:v>
                </c:pt>
                <c:pt idx="233">
                  <c:v>18.443864128643362</c:v>
                </c:pt>
                <c:pt idx="234">
                  <c:v>18.537151787249059</c:v>
                </c:pt>
                <c:pt idx="235">
                  <c:v>18.630430549864943</c:v>
                </c:pt>
                <c:pt idx="236">
                  <c:v>18.72370041742203</c:v>
                </c:pt>
                <c:pt idx="237">
                  <c:v>18.816961390851553</c:v>
                </c:pt>
                <c:pt idx="238">
                  <c:v>18.910213471084951</c:v>
                </c:pt>
                <c:pt idx="239">
                  <c:v>19.003456659053853</c:v>
                </c:pt>
                <c:pt idx="240">
                  <c:v>19.096690955690054</c:v>
                </c:pt>
                <c:pt idx="241">
                  <c:v>19.189916361925508</c:v>
                </c:pt>
                <c:pt idx="242">
                  <c:v>19.28313287869231</c:v>
                </c:pt>
                <c:pt idx="243">
                  <c:v>19.376340506922677</c:v>
                </c:pt>
                <c:pt idx="244">
                  <c:v>19.469539247548937</c:v>
                </c:pt>
                <c:pt idx="245">
                  <c:v>19.562729101503511</c:v>
                </c:pt>
                <c:pt idx="246">
                  <c:v>19.6559100697189</c:v>
                </c:pt>
                <c:pt idx="247">
                  <c:v>19.749082153127681</c:v>
                </c:pt>
                <c:pt idx="248">
                  <c:v>19.842245352662477</c:v>
                </c:pt>
                <c:pt idx="249">
                  <c:v>19.935399669255961</c:v>
                </c:pt>
                <c:pt idx="250">
                  <c:v>20.02854510384083</c:v>
                </c:pt>
                <c:pt idx="251">
                  <c:v>20.1216816573498</c:v>
                </c:pt>
                <c:pt idx="252">
                  <c:v>20.214809330715596</c:v>
                </c:pt>
                <c:pt idx="253">
                  <c:v>20.307928124870937</c:v>
                </c:pt>
                <c:pt idx="254">
                  <c:v>20.401038040748528</c:v>
                </c:pt>
                <c:pt idx="255">
                  <c:v>20.494139079281045</c:v>
                </c:pt>
                <c:pt idx="256">
                  <c:v>20.587231241401128</c:v>
                </c:pt>
                <c:pt idx="257">
                  <c:v>20.680314528041372</c:v>
                </c:pt>
                <c:pt idx="258">
                  <c:v>20.773388940134311</c:v>
                </c:pt>
                <c:pt idx="259">
                  <c:v>20.866454478612422</c:v>
                </c:pt>
                <c:pt idx="260">
                  <c:v>20.959511144408097</c:v>
                </c:pt>
                <c:pt idx="261">
                  <c:v>21.060278678779028</c:v>
                </c:pt>
                <c:pt idx="262">
                  <c:v>21.161035812308711</c:v>
                </c:pt>
                <c:pt idx="263">
                  <c:v>21.261782546655049</c:v>
                </c:pt>
                <c:pt idx="264">
                  <c:v>21.362518883460297</c:v>
                </c:pt>
                <c:pt idx="265">
                  <c:v>21.463244824351474</c:v>
                </c:pt>
                <c:pt idx="266">
                  <c:v>21.563960370940769</c:v>
                </c:pt>
                <c:pt idx="267">
                  <c:v>21.664665524825928</c:v>
                </c:pt>
                <c:pt idx="268">
                  <c:v>21.765360287590642</c:v>
                </c:pt>
                <c:pt idx="269">
                  <c:v>21.866044660804928</c:v>
                </c:pt>
                <c:pt idx="270">
                  <c:v>21.966718646025477</c:v>
                </c:pt>
                <c:pt idx="271">
                  <c:v>22.067382244796015</c:v>
                </c:pt>
                <c:pt idx="272">
                  <c:v>22.168035458647648</c:v>
                </c:pt>
                <c:pt idx="273">
                  <c:v>22.268678289099192</c:v>
                </c:pt>
                <c:pt idx="274">
                  <c:v>22.369310737657507</c:v>
                </c:pt>
                <c:pt idx="275">
                  <c:v>22.469932805817802</c:v>
                </c:pt>
                <c:pt idx="276">
                  <c:v>22.570544495063949</c:v>
                </c:pt>
                <c:pt idx="277">
                  <c:v>22.67114580686879</c:v>
                </c:pt>
                <c:pt idx="278">
                  <c:v>22.771736742694419</c:v>
                </c:pt>
                <c:pt idx="279">
                  <c:v>22.872317303992471</c:v>
                </c:pt>
                <c:pt idx="280">
                  <c:v>22.972887492204396</c:v>
                </c:pt>
                <c:pt idx="281">
                  <c:v>23.073447308761732</c:v>
                </c:pt>
                <c:pt idx="282">
                  <c:v>23.173996755086367</c:v>
                </c:pt>
                <c:pt idx="283">
                  <c:v>23.274535832590786</c:v>
                </c:pt>
                <c:pt idx="284">
                  <c:v>23.375064542678334</c:v>
                </c:pt>
                <c:pt idx="285">
                  <c:v>23.475582886743442</c:v>
                </c:pt>
                <c:pt idx="286">
                  <c:v>23.576090866171874</c:v>
                </c:pt>
                <c:pt idx="287">
                  <c:v>23.67658848234095</c:v>
                </c:pt>
                <c:pt idx="288">
                  <c:v>23.777075736619768</c:v>
                </c:pt>
                <c:pt idx="289">
                  <c:v>23.877552630369426</c:v>
                </c:pt>
                <c:pt idx="290">
                  <c:v>23.97801916494323</c:v>
                </c:pt>
                <c:pt idx="291">
                  <c:v>24.078475341686897</c:v>
                </c:pt>
                <c:pt idx="292">
                  <c:v>24.178921161938753</c:v>
                </c:pt>
                <c:pt idx="293">
                  <c:v>24.279356627029941</c:v>
                </c:pt>
                <c:pt idx="294">
                  <c:v>24.379781738284592</c:v>
                </c:pt>
                <c:pt idx="295">
                  <c:v>24.480196497020021</c:v>
                </c:pt>
                <c:pt idx="296">
                  <c:v>24.580600904546905</c:v>
                </c:pt>
                <c:pt idx="297">
                  <c:v>24.680994962169454</c:v>
                </c:pt>
                <c:pt idx="298">
                  <c:v>24.781378671185582</c:v>
                </c:pt>
                <c:pt idx="299">
                  <c:v>24.881752032887071</c:v>
                </c:pt>
                <c:pt idx="300">
                  <c:v>24.982115048559741</c:v>
                </c:pt>
                <c:pt idx="301">
                  <c:v>25.082467719483592</c:v>
                </c:pt>
                <c:pt idx="302">
                  <c:v>25.182810046932964</c:v>
                </c:pt>
                <c:pt idx="303">
                  <c:v>25.283142032176688</c:v>
                </c:pt>
                <c:pt idx="304">
                  <c:v>25.383463676478225</c:v>
                </c:pt>
                <c:pt idx="305">
                  <c:v>25.483774981095809</c:v>
                </c:pt>
                <c:pt idx="306">
                  <c:v>25.584075947282585</c:v>
                </c:pt>
                <c:pt idx="307">
                  <c:v>25.684366576286738</c:v>
                </c:pt>
                <c:pt idx="308">
                  <c:v>25.784646869351629</c:v>
                </c:pt>
                <c:pt idx="309">
                  <c:v>25.884916827715909</c:v>
                </c:pt>
                <c:pt idx="310">
                  <c:v>25.985176452613658</c:v>
                </c:pt>
                <c:pt idx="311">
                  <c:v>26.085425745274488</c:v>
                </c:pt>
                <c:pt idx="312">
                  <c:v>26.185664706923674</c:v>
                </c:pt>
                <c:pt idx="313">
                  <c:v>26.293855900454403</c:v>
                </c:pt>
                <c:pt idx="314">
                  <c:v>26.40203506022068</c:v>
                </c:pt>
                <c:pt idx="315">
                  <c:v>26.510202187721497</c:v>
                </c:pt>
                <c:pt idx="316">
                  <c:v>26.618357284451591</c:v>
                </c:pt>
                <c:pt idx="317">
                  <c:v>26.726500351901549</c:v>
                </c:pt>
                <c:pt idx="318">
                  <c:v>26.834631391557924</c:v>
                </c:pt>
                <c:pt idx="319">
                  <c:v>26.942750404903322</c:v>
                </c:pt>
                <c:pt idx="320">
                  <c:v>27.050857393416518</c:v>
                </c:pt>
                <c:pt idx="321">
                  <c:v>27.158952358572549</c:v>
                </c:pt>
                <c:pt idx="322">
                  <c:v>27.267035301842814</c:v>
                </c:pt>
                <c:pt idx="323">
                  <c:v>27.375106224695159</c:v>
                </c:pt>
                <c:pt idx="324">
                  <c:v>27.483165128593974</c:v>
                </c:pt>
                <c:pt idx="325">
                  <c:v>27.591212015000277</c:v>
                </c:pt>
                <c:pt idx="326">
                  <c:v>27.69924688537181</c:v>
                </c:pt>
                <c:pt idx="327">
                  <c:v>27.807269741163108</c:v>
                </c:pt>
                <c:pt idx="328">
                  <c:v>27.915280583825588</c:v>
                </c:pt>
                <c:pt idx="329">
                  <c:v>28.023279414807632</c:v>
                </c:pt>
                <c:pt idx="330">
                  <c:v>28.131266235554655</c:v>
                </c:pt>
                <c:pt idx="331">
                  <c:v>28.239241047509193</c:v>
                </c:pt>
                <c:pt idx="332">
                  <c:v>28.347203852110958</c:v>
                </c:pt>
                <c:pt idx="333">
                  <c:v>28.455154650796928</c:v>
                </c:pt>
                <c:pt idx="334">
                  <c:v>28.5630934450014</c:v>
                </c:pt>
                <c:pt idx="335">
                  <c:v>28.671020236156071</c:v>
                </c:pt>
                <c:pt idx="336">
                  <c:v>28.778935025690092</c:v>
                </c:pt>
                <c:pt idx="337">
                  <c:v>28.886837815030141</c:v>
                </c:pt>
                <c:pt idx="338">
                  <c:v>28.994728605600478</c:v>
                </c:pt>
                <c:pt idx="339">
                  <c:v>29.102607398823011</c:v>
                </c:pt>
                <c:pt idx="340">
                  <c:v>29.21047419611735</c:v>
                </c:pt>
                <c:pt idx="341">
                  <c:v>29.318328998900867</c:v>
                </c:pt>
                <c:pt idx="342">
                  <c:v>29.426171808588752</c:v>
                </c:pt>
                <c:pt idx="343">
                  <c:v>29.534002626594066</c:v>
                </c:pt>
                <c:pt idx="344">
                  <c:v>29.641821454327793</c:v>
                </c:pt>
                <c:pt idx="345">
                  <c:v>29.749628293198896</c:v>
                </c:pt>
                <c:pt idx="346">
                  <c:v>29.857423144614355</c:v>
                </c:pt>
                <c:pt idx="347">
                  <c:v>29.965206009979234</c:v>
                </c:pt>
                <c:pt idx="348">
                  <c:v>30.072976890696715</c:v>
                </c:pt>
                <c:pt idx="349">
                  <c:v>30.180735788168143</c:v>
                </c:pt>
                <c:pt idx="350">
                  <c:v>30.288482703793079</c:v>
                </c:pt>
                <c:pt idx="351">
                  <c:v>30.396217638969343</c:v>
                </c:pt>
                <c:pt idx="352">
                  <c:v>30.503940595093045</c:v>
                </c:pt>
                <c:pt idx="353">
                  <c:v>30.611651573558643</c:v>
                </c:pt>
                <c:pt idx="354">
                  <c:v>30.71935057575897</c:v>
                </c:pt>
                <c:pt idx="355">
                  <c:v>30.827037603085277</c:v>
                </c:pt>
                <c:pt idx="356">
                  <c:v>30.934712656927275</c:v>
                </c:pt>
                <c:pt idx="357">
                  <c:v>31.042375738673169</c:v>
                </c:pt>
                <c:pt idx="358">
                  <c:v>31.150026849709693</c:v>
                </c:pt>
                <c:pt idx="359">
                  <c:v>31.257665991422151</c:v>
                </c:pt>
                <c:pt idx="360">
                  <c:v>31.365293165194437</c:v>
                </c:pt>
                <c:pt idx="361">
                  <c:v>31.472908372409083</c:v>
                </c:pt>
                <c:pt idx="362">
                  <c:v>31.580511614447289</c:v>
                </c:pt>
                <c:pt idx="363">
                  <c:v>31.688102892688949</c:v>
                </c:pt>
                <c:pt idx="364">
                  <c:v>31.795682208512684</c:v>
                </c:pt>
                <c:pt idx="365">
                  <c:v>31.911823727613534</c:v>
                </c:pt>
                <c:pt idx="366">
                  <c:v>32.027951305226381</c:v>
                </c:pt>
                <c:pt idx="367">
                  <c:v>32.144064943073744</c:v>
                </c:pt>
                <c:pt idx="368">
                  <c:v>32.260164642876852</c:v>
                </c:pt>
                <c:pt idx="369">
                  <c:v>32.376250406355659</c:v>
                </c:pt>
                <c:pt idx="370">
                  <c:v>32.49232223522889</c:v>
                </c:pt>
                <c:pt idx="371">
                  <c:v>32.608380131214062</c:v>
                </c:pt>
                <c:pt idx="372">
                  <c:v>32.724424096027505</c:v>
                </c:pt>
                <c:pt idx="373">
                  <c:v>32.840454131384384</c:v>
                </c:pt>
                <c:pt idx="374">
                  <c:v>32.956470238998747</c:v>
                </c:pt>
                <c:pt idx="375">
                  <c:v>33.07247242058353</c:v>
                </c:pt>
                <c:pt idx="376">
                  <c:v>33.188460677850586</c:v>
                </c:pt>
                <c:pt idx="377">
                  <c:v>33.304435012510702</c:v>
                </c:pt>
                <c:pt idx="378">
                  <c:v>33.420395426273636</c:v>
                </c:pt>
                <c:pt idx="379">
                  <c:v>33.53634192084813</c:v>
                </c:pt>
                <c:pt idx="380">
                  <c:v>33.652274497941931</c:v>
                </c:pt>
                <c:pt idx="381">
                  <c:v>33.76819315926182</c:v>
                </c:pt>
                <c:pt idx="382">
                  <c:v>33.884097906513617</c:v>
                </c:pt>
                <c:pt idx="383">
                  <c:v>33.999988741402213</c:v>
                </c:pt>
                <c:pt idx="384">
                  <c:v>34.115865665631581</c:v>
                </c:pt>
                <c:pt idx="385">
                  <c:v>34.231728680904816</c:v>
                </c:pt>
                <c:pt idx="386">
                  <c:v>34.347577788924127</c:v>
                </c:pt>
                <c:pt idx="387">
                  <c:v>34.463412991390861</c:v>
                </c:pt>
                <c:pt idx="388">
                  <c:v>34.57923429000553</c:v>
                </c:pt>
                <c:pt idx="389">
                  <c:v>34.695041686467825</c:v>
                </c:pt>
                <c:pt idx="390">
                  <c:v>34.810835182476623</c:v>
                </c:pt>
                <c:pt idx="391">
                  <c:v>34.926614779730016</c:v>
                </c:pt>
                <c:pt idx="392">
                  <c:v>35.042380479925313</c:v>
                </c:pt>
                <c:pt idx="393">
                  <c:v>35.15813228475907</c:v>
                </c:pt>
                <c:pt idx="394">
                  <c:v>35.273870195927095</c:v>
                </c:pt>
                <c:pt idx="395">
                  <c:v>35.389594215124461</c:v>
                </c:pt>
                <c:pt idx="396">
                  <c:v>35.505304344045527</c:v>
                </c:pt>
                <c:pt idx="397">
                  <c:v>35.62100058438395</c:v>
                </c:pt>
                <c:pt idx="398">
                  <c:v>35.73668293783269</c:v>
                </c:pt>
                <c:pt idx="399">
                  <c:v>35.852351406084033</c:v>
                </c:pt>
                <c:pt idx="400">
                  <c:v>35.968005990829596</c:v>
                </c:pt>
                <c:pt idx="401">
                  <c:v>36.08364669376035</c:v>
                </c:pt>
                <c:pt idx="402">
                  <c:v>36.19927351656662</c:v>
                </c:pt>
                <c:pt idx="403">
                  <c:v>36.314886460938105</c:v>
                </c:pt>
                <c:pt idx="404">
                  <c:v>36.430485528563878</c:v>
                </c:pt>
                <c:pt idx="405">
                  <c:v>36.546070721132416</c:v>
                </c:pt>
                <c:pt idx="406">
                  <c:v>36.661642040331586</c:v>
                </c:pt>
                <c:pt idx="407">
                  <c:v>36.777199487848677</c:v>
                </c:pt>
                <c:pt idx="408">
                  <c:v>36.892743065370389</c:v>
                </c:pt>
                <c:pt idx="409">
                  <c:v>37.008272774582878</c:v>
                </c:pt>
                <c:pt idx="410">
                  <c:v>37.123788617171726</c:v>
                </c:pt>
                <c:pt idx="411">
                  <c:v>37.239290594821966</c:v>
                </c:pt>
                <c:pt idx="412">
                  <c:v>37.354778709218103</c:v>
                </c:pt>
                <c:pt idx="413">
                  <c:v>37.470252962044107</c:v>
                </c:pt>
                <c:pt idx="414">
                  <c:v>37.585713354983419</c:v>
                </c:pt>
                <c:pt idx="415">
                  <c:v>37.70115988971898</c:v>
                </c:pt>
                <c:pt idx="416">
                  <c:v>37.81659256793322</c:v>
                </c:pt>
                <c:pt idx="417">
                  <c:v>37.941467414223915</c:v>
                </c:pt>
                <c:pt idx="418">
                  <c:v>38.066326045164104</c:v>
                </c:pt>
                <c:pt idx="419">
                  <c:v>38.191168462879247</c:v>
                </c:pt>
                <c:pt idx="420">
                  <c:v>38.315994669494224</c:v>
                </c:pt>
                <c:pt idx="421">
                  <c:v>38.440804667133364</c:v>
                </c:pt>
                <c:pt idx="422">
                  <c:v>38.56559845792043</c:v>
                </c:pt>
                <c:pt idx="423">
                  <c:v>38.690376043978638</c:v>
                </c:pt>
                <c:pt idx="424">
                  <c:v>38.815137427430656</c:v>
                </c:pt>
                <c:pt idx="425">
                  <c:v>38.93988261039862</c:v>
                </c:pt>
                <c:pt idx="426">
                  <c:v>39.064611595004138</c:v>
                </c:pt>
                <c:pt idx="427">
                  <c:v>39.189324383368294</c:v>
                </c:pt>
                <c:pt idx="428">
                  <c:v>39.314020977611662</c:v>
                </c:pt>
                <c:pt idx="429">
                  <c:v>39.438701379854294</c:v>
                </c:pt>
                <c:pt idx="430">
                  <c:v>39.563365592215739</c:v>
                </c:pt>
                <c:pt idx="431">
                  <c:v>39.688013616815056</c:v>
                </c:pt>
                <c:pt idx="432">
                  <c:v>39.812645455770813</c:v>
                </c:pt>
                <c:pt idx="433">
                  <c:v>39.937261111201082</c:v>
                </c:pt>
                <c:pt idx="434">
                  <c:v>40.061860585223457</c:v>
                </c:pt>
                <c:pt idx="435">
                  <c:v>40.186443879955057</c:v>
                </c:pt>
                <c:pt idx="436">
                  <c:v>40.311010997512533</c:v>
                </c:pt>
                <c:pt idx="437">
                  <c:v>40.435561940012064</c:v>
                </c:pt>
                <c:pt idx="438">
                  <c:v>40.560096709569372</c:v>
                </c:pt>
                <c:pt idx="439">
                  <c:v>40.684615308299726</c:v>
                </c:pt>
                <c:pt idx="440">
                  <c:v>40.809117738317937</c:v>
                </c:pt>
                <c:pt idx="441">
                  <c:v>40.933604001738367</c:v>
                </c:pt>
                <c:pt idx="442">
                  <c:v>41.058074100674943</c:v>
                </c:pt>
                <c:pt idx="443">
                  <c:v>41.182528037241156</c:v>
                </c:pt>
                <c:pt idx="444">
                  <c:v>41.30696581355005</c:v>
                </c:pt>
                <c:pt idx="445">
                  <c:v>41.431387431714249</c:v>
                </c:pt>
                <c:pt idx="446">
                  <c:v>41.555792893845947</c:v>
                </c:pt>
                <c:pt idx="447">
                  <c:v>41.680182202056912</c:v>
                </c:pt>
                <c:pt idx="448">
                  <c:v>41.804555358458508</c:v>
                </c:pt>
                <c:pt idx="449">
                  <c:v>41.928912365161665</c:v>
                </c:pt>
                <c:pt idx="450">
                  <c:v>42.053253224276915</c:v>
                </c:pt>
                <c:pt idx="451">
                  <c:v>42.177577937914371</c:v>
                </c:pt>
                <c:pt idx="452">
                  <c:v>42.301886508183756</c:v>
                </c:pt>
                <c:pt idx="453">
                  <c:v>42.426178937194379</c:v>
                </c:pt>
                <c:pt idx="454">
                  <c:v>42.550455227055153</c:v>
                </c:pt>
                <c:pt idx="455">
                  <c:v>42.674715379874598</c:v>
                </c:pt>
                <c:pt idx="456">
                  <c:v>42.798959397760846</c:v>
                </c:pt>
                <c:pt idx="457">
                  <c:v>42.923187282821637</c:v>
                </c:pt>
                <c:pt idx="458">
                  <c:v>43.047399037164318</c:v>
                </c:pt>
                <c:pt idx="459">
                  <c:v>43.171594662895856</c:v>
                </c:pt>
                <c:pt idx="460">
                  <c:v>43.295774162122846</c:v>
                </c:pt>
                <c:pt idx="461">
                  <c:v>43.419937536951494</c:v>
                </c:pt>
                <c:pt idx="462">
                  <c:v>43.544084789487627</c:v>
                </c:pt>
                <c:pt idx="463">
                  <c:v>43.668215921836719</c:v>
                </c:pt>
                <c:pt idx="464">
                  <c:v>43.792330936103852</c:v>
                </c:pt>
                <c:pt idx="465">
                  <c:v>43.916429834393753</c:v>
                </c:pt>
                <c:pt idx="466">
                  <c:v>44.040512618810773</c:v>
                </c:pt>
                <c:pt idx="467">
                  <c:v>44.164579291458907</c:v>
                </c:pt>
                <c:pt idx="468">
                  <c:v>44.288629854441787</c:v>
                </c:pt>
                <c:pt idx="469">
                  <c:v>44.423357262592461</c:v>
                </c:pt>
                <c:pt idx="470">
                  <c:v>44.558065669441966</c:v>
                </c:pt>
                <c:pt idx="471">
                  <c:v>44.692755077682584</c:v>
                </c:pt>
                <c:pt idx="472">
                  <c:v>44.827425490006135</c:v>
                </c:pt>
                <c:pt idx="473">
                  <c:v>44.962076909103963</c:v>
                </c:pt>
                <c:pt idx="474">
                  <c:v>45.096709337666958</c:v>
                </c:pt>
                <c:pt idx="475">
                  <c:v>45.23132277838554</c:v>
                </c:pt>
                <c:pt idx="476">
                  <c:v>45.365917233949666</c:v>
                </c:pt>
                <c:pt idx="477">
                  <c:v>45.500492707048842</c:v>
                </c:pt>
                <c:pt idx="478">
                  <c:v>45.635049200372123</c:v>
                </c:pt>
                <c:pt idx="479">
                  <c:v>45.769586716608096</c:v>
                </c:pt>
                <c:pt idx="480">
                  <c:v>45.904105258444901</c:v>
                </c:pt>
                <c:pt idx="481">
                  <c:v>46.038604828570222</c:v>
                </c:pt>
                <c:pt idx="482">
                  <c:v>46.173085429671303</c:v>
                </c:pt>
                <c:pt idx="483">
                  <c:v>46.307547064434935</c:v>
                </c:pt>
                <c:pt idx="484">
                  <c:v>46.441989735547466</c:v>
                </c:pt>
                <c:pt idx="485">
                  <c:v>46.576413445694797</c:v>
                </c:pt>
                <c:pt idx="486">
                  <c:v>46.710818197562389</c:v>
                </c:pt>
                <c:pt idx="487">
                  <c:v>46.845203993835248</c:v>
                </c:pt>
                <c:pt idx="488">
                  <c:v>46.979570837197961</c:v>
                </c:pt>
                <c:pt idx="489">
                  <c:v>47.11391873033466</c:v>
                </c:pt>
                <c:pt idx="490">
                  <c:v>47.248247675929051</c:v>
                </c:pt>
                <c:pt idx="491">
                  <c:v>47.382557676664391</c:v>
                </c:pt>
                <c:pt idx="492">
                  <c:v>47.516848735223512</c:v>
                </c:pt>
                <c:pt idx="493">
                  <c:v>47.651120854288806</c:v>
                </c:pt>
                <c:pt idx="494">
                  <c:v>47.785374036542244</c:v>
                </c:pt>
                <c:pt idx="495">
                  <c:v>47.919608284665358</c:v>
                </c:pt>
                <c:pt idx="496">
                  <c:v>48.053823601339246</c:v>
                </c:pt>
                <c:pt idx="497">
                  <c:v>48.188019989244587</c:v>
                </c:pt>
                <c:pt idx="498">
                  <c:v>48.322197451061626</c:v>
                </c:pt>
                <c:pt idx="499">
                  <c:v>48.456355989470183</c:v>
                </c:pt>
                <c:pt idx="500">
                  <c:v>48.590495607149649</c:v>
                </c:pt>
                <c:pt idx="501">
                  <c:v>48.724616306778998</c:v>
                </c:pt>
                <c:pt idx="502">
                  <c:v>48.858718091036771</c:v>
                </c:pt>
                <c:pt idx="503">
                  <c:v>48.992800962601102</c:v>
                </c:pt>
                <c:pt idx="504">
                  <c:v>49.126864924149686</c:v>
                </c:pt>
                <c:pt idx="505">
                  <c:v>49.260909978359805</c:v>
                </c:pt>
                <c:pt idx="506">
                  <c:v>49.394936127908331</c:v>
                </c:pt>
                <c:pt idx="507">
                  <c:v>49.528943375471698</c:v>
                </c:pt>
                <c:pt idx="508">
                  <c:v>49.662931723725933</c:v>
                </c:pt>
                <c:pt idx="509">
                  <c:v>49.796901175346648</c:v>
                </c:pt>
                <c:pt idx="510">
                  <c:v>49.930851733009035</c:v>
                </c:pt>
                <c:pt idx="511">
                  <c:v>50.064783399387871</c:v>
                </c:pt>
                <c:pt idx="512">
                  <c:v>50.198696177157522</c:v>
                </c:pt>
                <c:pt idx="513">
                  <c:v>50.332590068991934</c:v>
                </c:pt>
                <c:pt idx="514">
                  <c:v>50.466465077564642</c:v>
                </c:pt>
                <c:pt idx="515">
                  <c:v>50.600321205548774</c:v>
                </c:pt>
                <c:pt idx="516">
                  <c:v>50.734158455617035</c:v>
                </c:pt>
                <c:pt idx="517">
                  <c:v>50.867976830441727</c:v>
                </c:pt>
                <c:pt idx="518">
                  <c:v>51.001776332694746</c:v>
                </c:pt>
                <c:pt idx="519">
                  <c:v>51.13555696504757</c:v>
                </c:pt>
              </c:numCache>
            </c:numRef>
          </c:val>
          <c:smooth val="0"/>
          <c:extLst>
            <c:ext xmlns:c16="http://schemas.microsoft.com/office/drawing/2014/chart" uri="{C3380CC4-5D6E-409C-BE32-E72D297353CC}">
              <c16:uniqueId val="{00000006-907F-4589-BC87-CB41FF02749B}"/>
            </c:ext>
          </c:extLst>
        </c:ser>
        <c:ser>
          <c:idx val="9"/>
          <c:order val="9"/>
          <c:tx>
            <c:strRef>
              <c:f>Steroid!$L$534</c:f>
              <c:strCache>
                <c:ptCount val="1"/>
                <c:pt idx="0">
                  <c:v>Steroids non respond + azathioprine</c:v>
                </c:pt>
              </c:strCache>
            </c:strRef>
          </c:tx>
          <c:spPr>
            <a:ln w="28575" cap="rnd">
              <a:solidFill>
                <a:schemeClr val="accent4">
                  <a:lumMod val="60000"/>
                </a:schemeClr>
              </a:solidFill>
              <a:round/>
            </a:ln>
            <a:effectLst/>
          </c:spPr>
          <c:marker>
            <c:symbol val="none"/>
          </c:marker>
          <c:cat>
            <c:numRef>
              <c:f>Steroid!$B$535:$B$1054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Steroid!$L$535:$L$1054</c:f>
              <c:numCache>
                <c:formatCode>#,##0</c:formatCode>
                <c:ptCount val="520"/>
                <c:pt idx="0">
                  <c:v>0</c:v>
                </c:pt>
                <c:pt idx="1">
                  <c:v>2.4581642419634471</c:v>
                </c:pt>
                <c:pt idx="2">
                  <c:v>3.2748842916431591</c:v>
                </c:pt>
                <c:pt idx="3">
                  <c:v>3.54051279800299</c:v>
                </c:pt>
                <c:pt idx="4">
                  <c:v>3.6211401241781935</c:v>
                </c:pt>
                <c:pt idx="5">
                  <c:v>3.6396825374624688</c:v>
                </c:pt>
                <c:pt idx="6">
                  <c:v>3.6374095842479628</c:v>
                </c:pt>
                <c:pt idx="7">
                  <c:v>3.6281775827561846</c:v>
                </c:pt>
                <c:pt idx="8">
                  <c:v>3.6166387453910955</c:v>
                </c:pt>
                <c:pt idx="9">
                  <c:v>3.6043549678411435</c:v>
                </c:pt>
                <c:pt idx="10">
                  <c:v>3.5918505593780532</c:v>
                </c:pt>
                <c:pt idx="11">
                  <c:v>3.5793014556517204</c:v>
                </c:pt>
                <c:pt idx="12">
                  <c:v>3.5667666247717578</c:v>
                </c:pt>
                <c:pt idx="13">
                  <c:v>3.5542657628673924</c:v>
                </c:pt>
                <c:pt idx="14">
                  <c:v>3.5418053806958958</c:v>
                </c:pt>
                <c:pt idx="15">
                  <c:v>3.5293875623293585</c:v>
                </c:pt>
                <c:pt idx="16">
                  <c:v>3.517012905919219</c:v>
                </c:pt>
                <c:pt idx="17">
                  <c:v>3.5046815110690028</c:v>
                </c:pt>
                <c:pt idx="18">
                  <c:v>3.4923933103476221</c:v>
                </c:pt>
                <c:pt idx="19">
                  <c:v>3.4801481805950991</c:v>
                </c:pt>
                <c:pt idx="20">
                  <c:v>3.4679459802926962</c:v>
                </c:pt>
                <c:pt idx="21">
                  <c:v>3.4557865621088513</c:v>
                </c:pt>
                <c:pt idx="22">
                  <c:v>3.4436697771103044</c:v>
                </c:pt>
                <c:pt idx="23">
                  <c:v>3.4315954761747647</c:v>
                </c:pt>
                <c:pt idx="24">
                  <c:v>3.4195635104640072</c:v>
                </c:pt>
                <c:pt idx="25">
                  <c:v>3.4075737315814902</c:v>
                </c:pt>
                <c:pt idx="26">
                  <c:v>3.3956259916240623</c:v>
                </c:pt>
                <c:pt idx="27">
                  <c:v>3.3837201431981185</c:v>
                </c:pt>
                <c:pt idx="28">
                  <c:v>3.371856039423816</c:v>
                </c:pt>
                <c:pt idx="29">
                  <c:v>3.3600335339352863</c:v>
                </c:pt>
                <c:pt idx="30">
                  <c:v>3.3482524808795113</c:v>
                </c:pt>
                <c:pt idx="31">
                  <c:v>3.336512734914753</c:v>
                </c:pt>
                <c:pt idx="32">
                  <c:v>3.3248141512088352</c:v>
                </c:pt>
                <c:pt idx="33">
                  <c:v>3.3131565854373854</c:v>
                </c:pt>
                <c:pt idx="34">
                  <c:v>3.3015398937820626</c:v>
                </c:pt>
                <c:pt idx="35">
                  <c:v>3.2899639329287802</c:v>
                </c:pt>
                <c:pt idx="36">
                  <c:v>3.2784285600659482</c:v>
                </c:pt>
                <c:pt idx="37">
                  <c:v>3.2669336328827021</c:v>
                </c:pt>
                <c:pt idx="38">
                  <c:v>3.2554790095671549</c:v>
                </c:pt>
                <c:pt idx="39">
                  <c:v>3.2440645488046469</c:v>
                </c:pt>
                <c:pt idx="40">
                  <c:v>3.2326901097759957</c:v>
                </c:pt>
                <c:pt idx="41">
                  <c:v>3.221355552155766</c:v>
                </c:pt>
                <c:pt idx="42">
                  <c:v>3.210060736110536</c:v>
                </c:pt>
                <c:pt idx="43">
                  <c:v>3.198805522297171</c:v>
                </c:pt>
                <c:pt idx="44">
                  <c:v>3.1875897718611048</c:v>
                </c:pt>
                <c:pt idx="45">
                  <c:v>3.17641334643463</c:v>
                </c:pt>
                <c:pt idx="46">
                  <c:v>3.1652761081351874</c:v>
                </c:pt>
                <c:pt idx="47">
                  <c:v>3.1541779195636628</c:v>
                </c:pt>
                <c:pt idx="48">
                  <c:v>3.1431186438026995</c:v>
                </c:pt>
                <c:pt idx="49">
                  <c:v>3.1320981444150022</c:v>
                </c:pt>
                <c:pt idx="50">
                  <c:v>3.1211162854416581</c:v>
                </c:pt>
                <c:pt idx="51">
                  <c:v>3.1101729314004545</c:v>
                </c:pt>
                <c:pt idx="52">
                  <c:v>3.0992679472842131</c:v>
                </c:pt>
                <c:pt idx="53">
                  <c:v>3.0883839961874857</c:v>
                </c:pt>
                <c:pt idx="54">
                  <c:v>3.077538267146255</c:v>
                </c:pt>
                <c:pt idx="55">
                  <c:v>3.0667306259330203</c:v>
                </c:pt>
                <c:pt idx="56">
                  <c:v>3.0559609387916629</c:v>
                </c:pt>
                <c:pt idx="57">
                  <c:v>3.0452290724357836</c:v>
                </c:pt>
                <c:pt idx="58">
                  <c:v>3.0345348940470562</c:v>
                </c:pt>
                <c:pt idx="59">
                  <c:v>3.0238782712735848</c:v>
                </c:pt>
                <c:pt idx="60">
                  <c:v>3.0132590722282639</c:v>
                </c:pt>
                <c:pt idx="61">
                  <c:v>3.0026771654871447</c:v>
                </c:pt>
                <c:pt idx="62">
                  <c:v>2.9921324200878141</c:v>
                </c:pt>
                <c:pt idx="63">
                  <c:v>2.9816247055277669</c:v>
                </c:pt>
                <c:pt idx="64">
                  <c:v>2.9711538917627958</c:v>
                </c:pt>
                <c:pt idx="65">
                  <c:v>2.9607198492053799</c:v>
                </c:pt>
                <c:pt idx="66">
                  <c:v>2.950322448723083</c:v>
                </c:pt>
                <c:pt idx="67">
                  <c:v>2.9399615616369519</c:v>
                </c:pt>
                <c:pt idx="68">
                  <c:v>2.9296370597199259</c:v>
                </c:pt>
                <c:pt idx="69">
                  <c:v>2.9193488151952507</c:v>
                </c:pt>
                <c:pt idx="70">
                  <c:v>2.909096700734894</c:v>
                </c:pt>
                <c:pt idx="71">
                  <c:v>2.8988805894579741</c:v>
                </c:pt>
                <c:pt idx="72">
                  <c:v>2.8887003549291856</c:v>
                </c:pt>
                <c:pt idx="73">
                  <c:v>2.878555871157237</c:v>
                </c:pt>
                <c:pt idx="74">
                  <c:v>2.8684470125932897</c:v>
                </c:pt>
                <c:pt idx="75">
                  <c:v>2.8583736541294069</c:v>
                </c:pt>
                <c:pt idx="76">
                  <c:v>2.8483356710970016</c:v>
                </c:pt>
                <c:pt idx="77">
                  <c:v>2.838332939265297</c:v>
                </c:pt>
                <c:pt idx="78">
                  <c:v>2.8283653348397868</c:v>
                </c:pt>
                <c:pt idx="79">
                  <c:v>2.8184327344607043</c:v>
                </c:pt>
                <c:pt idx="80">
                  <c:v>2.8085350152014961</c:v>
                </c:pt>
                <c:pt idx="81">
                  <c:v>2.7986720545672972</c:v>
                </c:pt>
                <c:pt idx="82">
                  <c:v>2.7888437304934213</c:v>
                </c:pt>
                <c:pt idx="83">
                  <c:v>2.7790499213438435</c:v>
                </c:pt>
                <c:pt idx="84">
                  <c:v>2.7692905059097015</c:v>
                </c:pt>
                <c:pt idx="85">
                  <c:v>2.7595653634077877</c:v>
                </c:pt>
                <c:pt idx="86">
                  <c:v>2.7498743734790638</c:v>
                </c:pt>
                <c:pt idx="87">
                  <c:v>2.7402174161871611</c:v>
                </c:pt>
                <c:pt idx="88">
                  <c:v>2.730594372016903</c:v>
                </c:pt>
                <c:pt idx="89">
                  <c:v>2.7210051218728264</c:v>
                </c:pt>
                <c:pt idx="90">
                  <c:v>2.7114495470777022</c:v>
                </c:pt>
                <c:pt idx="91">
                  <c:v>2.7019275293710709</c:v>
                </c:pt>
                <c:pt idx="92">
                  <c:v>2.692438950907778</c:v>
                </c:pt>
                <c:pt idx="93">
                  <c:v>2.6829836942565155</c:v>
                </c:pt>
                <c:pt idx="94">
                  <c:v>2.6735616423983695</c:v>
                </c:pt>
                <c:pt idx="95">
                  <c:v>2.6641726787253686</c:v>
                </c:pt>
                <c:pt idx="96">
                  <c:v>2.6548166870390437</c:v>
                </c:pt>
                <c:pt idx="97">
                  <c:v>2.6454935515489915</c:v>
                </c:pt>
                <c:pt idx="98">
                  <c:v>2.6362031568714368</c:v>
                </c:pt>
                <c:pt idx="99">
                  <c:v>2.6269453880278082</c:v>
                </c:pt>
                <c:pt idx="100">
                  <c:v>2.6177201304433133</c:v>
                </c:pt>
                <c:pt idx="101">
                  <c:v>2.6085272699455215</c:v>
                </c:pt>
                <c:pt idx="102">
                  <c:v>2.5993666927629508</c:v>
                </c:pt>
                <c:pt idx="103">
                  <c:v>2.5902382855236592</c:v>
                </c:pt>
                <c:pt idx="104">
                  <c:v>2.5811419352538438</c:v>
                </c:pt>
                <c:pt idx="105">
                  <c:v>2.5720617086651636</c:v>
                </c:pt>
                <c:pt idx="106">
                  <c:v>2.563013425501901</c:v>
                </c:pt>
                <c:pt idx="107">
                  <c:v>2.5539969733899426</c:v>
                </c:pt>
                <c:pt idx="108">
                  <c:v>2.5450122403504931</c:v>
                </c:pt>
                <c:pt idx="109">
                  <c:v>2.5360591147986922</c:v>
                </c:pt>
                <c:pt idx="110">
                  <c:v>2.5271374855422231</c:v>
                </c:pt>
                <c:pt idx="111">
                  <c:v>2.5182472417799344</c:v>
                </c:pt>
                <c:pt idx="112">
                  <c:v>2.5093882731004644</c:v>
                </c:pt>
                <c:pt idx="113">
                  <c:v>2.5005604694808676</c:v>
                </c:pt>
                <c:pt idx="114">
                  <c:v>2.4917637212852481</c:v>
                </c:pt>
                <c:pt idx="115">
                  <c:v>2.4829979192634006</c:v>
                </c:pt>
                <c:pt idx="116">
                  <c:v>2.4742629545494532</c:v>
                </c:pt>
                <c:pt idx="117">
                  <c:v>2.4655587186605121</c:v>
                </c:pt>
                <c:pt idx="118">
                  <c:v>2.4568851034953196</c:v>
                </c:pt>
                <c:pt idx="119">
                  <c:v>2.4482420013329058</c:v>
                </c:pt>
                <c:pt idx="120">
                  <c:v>2.4396293048312545</c:v>
                </c:pt>
                <c:pt idx="121">
                  <c:v>2.4310469070259697</c:v>
                </c:pt>
                <c:pt idx="122">
                  <c:v>2.4224947013289455</c:v>
                </c:pt>
                <c:pt idx="123">
                  <c:v>2.4139725815270445</c:v>
                </c:pt>
                <c:pt idx="124">
                  <c:v>2.4054804417807771</c:v>
                </c:pt>
                <c:pt idx="125">
                  <c:v>2.3970181766229883</c:v>
                </c:pt>
                <c:pt idx="126">
                  <c:v>2.3885856809575459</c:v>
                </c:pt>
                <c:pt idx="127">
                  <c:v>2.3801828500580369</c:v>
                </c:pt>
                <c:pt idx="128">
                  <c:v>2.3718095795664658</c:v>
                </c:pt>
                <c:pt idx="129">
                  <c:v>2.363465765491962</c:v>
                </c:pt>
                <c:pt idx="130">
                  <c:v>2.3551513042094814</c:v>
                </c:pt>
                <c:pt idx="131">
                  <c:v>2.3468660924585265</c:v>
                </c:pt>
                <c:pt idx="132">
                  <c:v>2.3386100273418604</c:v>
                </c:pt>
                <c:pt idx="133">
                  <c:v>2.3303830063242286</c:v>
                </c:pt>
                <c:pt idx="134">
                  <c:v>2.3221849272310879</c:v>
                </c:pt>
                <c:pt idx="135">
                  <c:v>2.3140156882473342</c:v>
                </c:pt>
                <c:pt idx="136">
                  <c:v>2.3058751879160422</c:v>
                </c:pt>
                <c:pt idx="137">
                  <c:v>2.2977633251372014</c:v>
                </c:pt>
                <c:pt idx="138">
                  <c:v>2.289679999166462</c:v>
                </c:pt>
                <c:pt idx="139">
                  <c:v>2.2816251096138833</c:v>
                </c:pt>
                <c:pt idx="140">
                  <c:v>2.2735985564426882</c:v>
                </c:pt>
                <c:pt idx="141">
                  <c:v>2.2656002399680206</c:v>
                </c:pt>
                <c:pt idx="142">
                  <c:v>2.2576300608557061</c:v>
                </c:pt>
                <c:pt idx="143">
                  <c:v>2.2496879201210209</c:v>
                </c:pt>
                <c:pt idx="144">
                  <c:v>2.2417737191274569</c:v>
                </c:pt>
                <c:pt idx="145">
                  <c:v>2.2338873595855038</c:v>
                </c:pt>
                <c:pt idx="146">
                  <c:v>2.2260287435514226</c:v>
                </c:pt>
                <c:pt idx="147">
                  <c:v>2.2181977734260334</c:v>
                </c:pt>
                <c:pt idx="148">
                  <c:v>2.2103943519535014</c:v>
                </c:pt>
                <c:pt idx="149">
                  <c:v>2.2026183822201277</c:v>
                </c:pt>
                <c:pt idx="150">
                  <c:v>2.1948697676531479</c:v>
                </c:pt>
                <c:pt idx="151">
                  <c:v>2.1871484120195319</c:v>
                </c:pt>
                <c:pt idx="152">
                  <c:v>2.1794542194247897</c:v>
                </c:pt>
                <c:pt idx="153">
                  <c:v>2.1717870943117781</c:v>
                </c:pt>
                <c:pt idx="154">
                  <c:v>2.1641469414595171</c:v>
                </c:pt>
                <c:pt idx="155">
                  <c:v>2.1565336659820025</c:v>
                </c:pt>
                <c:pt idx="156">
                  <c:v>2.1489471733270342</c:v>
                </c:pt>
                <c:pt idx="157">
                  <c:v>2.141372545411838</c:v>
                </c:pt>
                <c:pt idx="158">
                  <c:v>2.1338246166118022</c:v>
                </c:pt>
                <c:pt idx="159">
                  <c:v>2.1263032928176502</c:v>
                </c:pt>
                <c:pt idx="160">
                  <c:v>2.1188084802518228</c:v>
                </c:pt>
                <c:pt idx="161">
                  <c:v>2.111340085467309</c:v>
                </c:pt>
                <c:pt idx="162">
                  <c:v>2.1038980153464815</c:v>
                </c:pt>
                <c:pt idx="163">
                  <c:v>2.0964821770999329</c:v>
                </c:pt>
                <c:pt idx="164">
                  <c:v>2.0890924782653228</c:v>
                </c:pt>
                <c:pt idx="165">
                  <c:v>2.0817288267062217</c:v>
                </c:pt>
                <c:pt idx="166">
                  <c:v>2.0743911306109637</c:v>
                </c:pt>
                <c:pt idx="167">
                  <c:v>2.0670792984915005</c:v>
                </c:pt>
                <c:pt idx="168">
                  <c:v>2.0597932391822633</c:v>
                </c:pt>
                <c:pt idx="169">
                  <c:v>2.0525328618390235</c:v>
                </c:pt>
                <c:pt idx="170">
                  <c:v>2.0452980759377608</c:v>
                </c:pt>
                <c:pt idx="171">
                  <c:v>2.0380887912735366</c:v>
                </c:pt>
                <c:pt idx="172">
                  <c:v>2.0309049179593641</c:v>
                </c:pt>
                <c:pt idx="173">
                  <c:v>2.0237463664250939</c:v>
                </c:pt>
                <c:pt idx="174">
                  <c:v>2.0166130474162935</c:v>
                </c:pt>
                <c:pt idx="175">
                  <c:v>2.0095048719931352</c:v>
                </c:pt>
                <c:pt idx="176">
                  <c:v>2.0024217515292864</c:v>
                </c:pt>
                <c:pt idx="177">
                  <c:v>1.9953635977108064</c:v>
                </c:pt>
                <c:pt idx="178">
                  <c:v>1.9883303225350435</c:v>
                </c:pt>
                <c:pt idx="179">
                  <c:v>1.9813218383095388</c:v>
                </c:pt>
                <c:pt idx="180">
                  <c:v>1.974338057650932</c:v>
                </c:pt>
                <c:pt idx="181">
                  <c:v>1.9673788934838734</c:v>
                </c:pt>
                <c:pt idx="182">
                  <c:v>1.9604442590399385</c:v>
                </c:pt>
                <c:pt idx="183">
                  <c:v>1.9535340678565407</c:v>
                </c:pt>
                <c:pt idx="184">
                  <c:v>1.9466482337758615</c:v>
                </c:pt>
                <c:pt idx="185">
                  <c:v>1.9397866709437706</c:v>
                </c:pt>
                <c:pt idx="186">
                  <c:v>1.932949293808758</c:v>
                </c:pt>
                <c:pt idx="187">
                  <c:v>1.9261360171208655</c:v>
                </c:pt>
                <c:pt idx="188">
                  <c:v>1.9193467559306236</c:v>
                </c:pt>
                <c:pt idx="189">
                  <c:v>1.9125814255879958</c:v>
                </c:pt>
                <c:pt idx="190">
                  <c:v>1.9058399417413192</c:v>
                </c:pt>
                <c:pt idx="191">
                  <c:v>1.8991222203362557</c:v>
                </c:pt>
                <c:pt idx="192">
                  <c:v>1.8924281776147416</c:v>
                </c:pt>
                <c:pt idx="193">
                  <c:v>1.8857577301139439</c:v>
                </c:pt>
                <c:pt idx="194">
                  <c:v>1.8791107946652217</c:v>
                </c:pt>
                <c:pt idx="195">
                  <c:v>1.8724872883930868</c:v>
                </c:pt>
                <c:pt idx="196">
                  <c:v>1.865887128714171</c:v>
                </c:pt>
                <c:pt idx="197">
                  <c:v>1.8593102333361973</c:v>
                </c:pt>
                <c:pt idx="198">
                  <c:v>1.8527565202569525</c:v>
                </c:pt>
                <c:pt idx="199">
                  <c:v>1.8462259077632666</c:v>
                </c:pt>
                <c:pt idx="200">
                  <c:v>1.8397183144299913</c:v>
                </c:pt>
                <c:pt idx="201">
                  <c:v>1.8332336591189886</c:v>
                </c:pt>
                <c:pt idx="202">
                  <c:v>1.8267718609781149</c:v>
                </c:pt>
                <c:pt idx="203">
                  <c:v>1.8203328394402156</c:v>
                </c:pt>
                <c:pt idx="204">
                  <c:v>1.8139165142221203</c:v>
                </c:pt>
                <c:pt idx="205">
                  <c:v>1.807522805323641</c:v>
                </c:pt>
                <c:pt idx="206">
                  <c:v>1.8011516330265753</c:v>
                </c:pt>
                <c:pt idx="207">
                  <c:v>1.7948029178937119</c:v>
                </c:pt>
                <c:pt idx="208">
                  <c:v>1.7884765807678413</c:v>
                </c:pt>
                <c:pt idx="209">
                  <c:v>1.7821595178235419</c:v>
                </c:pt>
                <c:pt idx="210">
                  <c:v>1.7758647673236276</c:v>
                </c:pt>
                <c:pt idx="211">
                  <c:v>1.7695922504585029</c:v>
                </c:pt>
                <c:pt idx="212">
                  <c:v>1.7633418886969352</c:v>
                </c:pt>
                <c:pt idx="213">
                  <c:v>1.7571136037850716</c:v>
                </c:pt>
                <c:pt idx="214">
                  <c:v>1.7509073177454588</c:v>
                </c:pt>
                <c:pt idx="215">
                  <c:v>1.7447229528760662</c:v>
                </c:pt>
                <c:pt idx="216">
                  <c:v>1.7385604317493148</c:v>
                </c:pt>
                <c:pt idx="217">
                  <c:v>1.7324196772111073</c:v>
                </c:pt>
                <c:pt idx="218">
                  <c:v>1.7263006123798599</c:v>
                </c:pt>
                <c:pt idx="219">
                  <c:v>1.7202031606455439</c:v>
                </c:pt>
                <c:pt idx="220">
                  <c:v>1.7141272456687235</c:v>
                </c:pt>
                <c:pt idx="221">
                  <c:v>1.7080727913795999</c:v>
                </c:pt>
                <c:pt idx="222">
                  <c:v>1.7020397219770598</c:v>
                </c:pt>
                <c:pt idx="223">
                  <c:v>1.6960279619277281</c:v>
                </c:pt>
                <c:pt idx="224">
                  <c:v>1.6900374359650177</c:v>
                </c:pt>
                <c:pt idx="225">
                  <c:v>1.6840680690881926</c:v>
                </c:pt>
                <c:pt idx="226">
                  <c:v>1.6781197865614252</c:v>
                </c:pt>
                <c:pt idx="227">
                  <c:v>1.6721925139128613</c:v>
                </c:pt>
                <c:pt idx="228">
                  <c:v>1.6662861769336883</c:v>
                </c:pt>
                <c:pt idx="229">
                  <c:v>1.6604007016772067</c:v>
                </c:pt>
                <c:pt idx="230">
                  <c:v>1.6545360144579024</c:v>
                </c:pt>
                <c:pt idx="231">
                  <c:v>1.6486920418505266</c:v>
                </c:pt>
                <c:pt idx="232">
                  <c:v>1.642868710689174</c:v>
                </c:pt>
                <c:pt idx="233">
                  <c:v>1.6370659480663683</c:v>
                </c:pt>
                <c:pt idx="234">
                  <c:v>1.6312836813321494</c:v>
                </c:pt>
                <c:pt idx="235">
                  <c:v>1.6255218380931626</c:v>
                </c:pt>
                <c:pt idx="236">
                  <c:v>1.6197803462117539</c:v>
                </c:pt>
                <c:pt idx="237">
                  <c:v>1.6140591338050669</c:v>
                </c:pt>
                <c:pt idx="238">
                  <c:v>1.6083581292441409</c:v>
                </c:pt>
                <c:pt idx="239">
                  <c:v>1.6026772611530147</c:v>
                </c:pt>
                <c:pt idx="240">
                  <c:v>1.597016458407835</c:v>
                </c:pt>
                <c:pt idx="241">
                  <c:v>1.5913756501359637</c:v>
                </c:pt>
                <c:pt idx="242">
                  <c:v>1.5857547657150908</c:v>
                </c:pt>
                <c:pt idx="243">
                  <c:v>1.5801537347723515</c:v>
                </c:pt>
                <c:pt idx="244">
                  <c:v>1.5745724871834452</c:v>
                </c:pt>
                <c:pt idx="245">
                  <c:v>1.5690109530717549</c:v>
                </c:pt>
                <c:pt idx="246">
                  <c:v>1.563469062807475</c:v>
                </c:pt>
                <c:pt idx="247">
                  <c:v>1.5579467470067399</c:v>
                </c:pt>
                <c:pt idx="248">
                  <c:v>1.5524439365307523</c:v>
                </c:pt>
                <c:pt idx="249">
                  <c:v>1.5469605624849208</c:v>
                </c:pt>
                <c:pt idx="250">
                  <c:v>1.5414965562179952</c:v>
                </c:pt>
                <c:pt idx="251">
                  <c:v>1.5360518493212074</c:v>
                </c:pt>
                <c:pt idx="252">
                  <c:v>1.530626373627417</c:v>
                </c:pt>
                <c:pt idx="253">
                  <c:v>1.5252200612102553</c:v>
                </c:pt>
                <c:pt idx="254">
                  <c:v>1.5198328443832749</c:v>
                </c:pt>
                <c:pt idx="255">
                  <c:v>1.5144646556991042</c:v>
                </c:pt>
                <c:pt idx="256">
                  <c:v>1.5091154279486014</c:v>
                </c:pt>
                <c:pt idx="257">
                  <c:v>1.5037850941600137</c:v>
                </c:pt>
                <c:pt idx="258">
                  <c:v>1.4984735875981394</c:v>
                </c:pt>
                <c:pt idx="259">
                  <c:v>1.4931808417634898</c:v>
                </c:pt>
                <c:pt idx="260">
                  <c:v>0.50132871149570246</c:v>
                </c:pt>
                <c:pt idx="261">
                  <c:v>0.16831751934099842</c:v>
                </c:pt>
                <c:pt idx="262">
                  <c:v>5.6511399940735757E-2</c:v>
                </c:pt>
                <c:pt idx="263">
                  <c:v>1.8973297228744947E-2</c:v>
                </c:pt>
                <c:pt idx="264">
                  <c:v>6.3701484675273076E-3</c:v>
                </c:pt>
                <c:pt idx="265">
                  <c:v>2.1387316610874986E-3</c:v>
                </c:pt>
                <c:pt idx="266">
                  <c:v>7.1806381616622544E-4</c:v>
                </c:pt>
                <c:pt idx="267">
                  <c:v>2.4108477630383206E-4</c:v>
                </c:pt>
                <c:pt idx="268">
                  <c:v>8.0942484577184204E-5</c:v>
                </c:pt>
                <c:pt idx="269">
                  <c:v>2.7175858675003209E-5</c:v>
                </c:pt>
                <c:pt idx="270">
                  <c:v>9.1240996441060659E-6</c:v>
                </c:pt>
                <c:pt idx="271">
                  <c:v>3.0633510172081658E-6</c:v>
                </c:pt>
                <c:pt idx="272">
                  <c:v>1.0284981335875926E-6</c:v>
                </c:pt>
                <c:pt idx="273">
                  <c:v>3.4531087193436029E-7</c:v>
                </c:pt>
                <c:pt idx="274">
                  <c:v>1.1593564867263133E-7</c:v>
                </c:pt>
                <c:pt idx="275">
                  <c:v>3.8924562548087967E-8</c:v>
                </c:pt>
                <c:pt idx="276">
                  <c:v>1.3068642707458141E-8</c:v>
                </c:pt>
                <c:pt idx="277">
                  <c:v>4.3877030603543241E-9</c:v>
                </c:pt>
                <c:pt idx="278">
                  <c:v>1.4731398337836428E-9</c:v>
                </c:pt>
                <c:pt idx="279">
                  <c:v>4.945961337923473E-10</c:v>
                </c:pt>
                <c:pt idx="280">
                  <c:v>1.6605710466333441E-10</c:v>
                </c:pt>
                <c:pt idx="281">
                  <c:v>5.5752481924468005E-11</c:v>
                </c:pt>
                <c:pt idx="282">
                  <c:v>1.8718495947764506E-11</c:v>
                </c:pt>
                <c:pt idx="283">
                  <c:v>6.2846007648801114E-12</c:v>
                </c:pt>
                <c:pt idx="284">
                  <c:v>2.1100096334742428E-12</c:v>
                </c:pt>
                <c:pt idx="285">
                  <c:v>7.0842060139026833E-13</c:v>
                </c:pt>
                <c:pt idx="286">
                  <c:v>2.378471361042133E-13</c:v>
                </c:pt>
                <c:pt idx="287">
                  <c:v>7.9855470100609195E-14</c:v>
                </c:pt>
                <c:pt idx="288">
                  <c:v>2.6810901360591687E-14</c:v>
                </c:pt>
                <c:pt idx="289">
                  <c:v>9.0015678432765697E-15</c:v>
                </c:pt>
                <c:pt idx="290">
                  <c:v>3.0222118438811999E-15</c:v>
                </c:pt>
                <c:pt idx="291">
                  <c:v>1.0146859511943771E-15</c:v>
                </c:pt>
                <c:pt idx="292">
                  <c:v>3.4067353075720059E-16</c:v>
                </c:pt>
                <c:pt idx="293">
                  <c:v>1.1437869463154189E-16</c:v>
                </c:pt>
                <c:pt idx="294">
                  <c:v>3.8401826395310567E-17</c:v>
                </c:pt>
                <c:pt idx="295">
                  <c:v>1.2893137793241585E-17</c:v>
                </c:pt>
                <c:pt idx="296">
                  <c:v>4.3287785441323181E-18</c:v>
                </c:pt>
                <c:pt idx="297">
                  <c:v>1.4533563500703994E-18</c:v>
                </c:pt>
                <c:pt idx="298">
                  <c:v>4.8795397102332987E-19</c:v>
                </c:pt>
                <c:pt idx="299">
                  <c:v>1.638270461514159E-19</c:v>
                </c:pt>
                <c:pt idx="300">
                  <c:v>5.5003755773134013E-20</c:v>
                </c:pt>
                <c:pt idx="301">
                  <c:v>1.846711651233923E-20</c:v>
                </c:pt>
                <c:pt idx="302">
                  <c:v>6.2002019223364876E-21</c:v>
                </c:pt>
                <c:pt idx="303">
                  <c:v>2.0816733274011044E-21</c:v>
                </c:pt>
                <c:pt idx="304">
                  <c:v>6.9890688985499973E-22</c:v>
                </c:pt>
                <c:pt idx="305">
                  <c:v>2.3465297568885476E-22</c:v>
                </c:pt>
                <c:pt idx="306">
                  <c:v>7.8783053649761327E-23</c:v>
                </c:pt>
                <c:pt idx="307">
                  <c:v>2.6450845228620602E-23</c:v>
                </c:pt>
                <c:pt idx="308">
                  <c:v>8.8806815793000298E-24</c:v>
                </c:pt>
                <c:pt idx="309">
                  <c:v>2.9816251477507777E-24</c:v>
                </c:pt>
                <c:pt idx="310">
                  <c:v>1.0010592590575195E-24</c:v>
                </c:pt>
                <c:pt idx="311">
                  <c:v>3.360984666032717E-25</c:v>
                </c:pt>
                <c:pt idx="312">
                  <c:v>1.1284264965434968E-25</c:v>
                </c:pt>
                <c:pt idx="313">
                  <c:v>3.7885800520636328E-26</c:v>
                </c:pt>
                <c:pt idx="314">
                  <c:v>1.2719781797804681E-26</c:v>
                </c:pt>
                <c:pt idx="315">
                  <c:v>4.2705405919992375E-27</c:v>
                </c:pt>
                <c:pt idx="316">
                  <c:v>1.4337916512892405E-27</c:v>
                </c:pt>
                <c:pt idx="317">
                  <c:v>4.8138132749707246E-28</c:v>
                </c:pt>
                <c:pt idx="318">
                  <c:v>1.6161900667679156E-28</c:v>
                </c:pt>
                <c:pt idx="319">
                  <c:v>5.4261978658388344E-29</c:v>
                </c:pt>
                <c:pt idx="320">
                  <c:v>1.8217921199154367E-29</c:v>
                </c:pt>
                <c:pt idx="321">
                  <c:v>6.1164863689925701E-30</c:v>
                </c:pt>
                <c:pt idx="322">
                  <c:v>2.0535496390119672E-30</c:v>
                </c:pt>
                <c:pt idx="323">
                  <c:v>6.8945892551392415E-31</c:v>
                </c:pt>
                <c:pt idx="324">
                  <c:v>2.3147899663118136E-31</c:v>
                </c:pt>
                <c:pt idx="325">
                  <c:v>7.7716777459132803E-32</c:v>
                </c:pt>
                <c:pt idx="326">
                  <c:v>2.6092637286897456E-32</c:v>
                </c:pt>
                <c:pt idx="327">
                  <c:v>8.7603441990836802E-33</c:v>
                </c:pt>
                <c:pt idx="328">
                  <c:v>2.9411986853837987E-33</c:v>
                </c:pt>
                <c:pt idx="329">
                  <c:v>9.87478289701018E-34</c:v>
                </c:pt>
                <c:pt idx="330">
                  <c:v>3.3153604259264944E-34</c:v>
                </c:pt>
                <c:pt idx="331">
                  <c:v>1.1130993833927705E-34</c:v>
                </c:pt>
                <c:pt idx="332">
                  <c:v>3.7371207897045571E-35</c:v>
                </c:pt>
                <c:pt idx="333">
                  <c:v>1.2547012427832706E-35</c:v>
                </c:pt>
                <c:pt idx="334">
                  <c:v>4.2125349894466214E-36</c:v>
                </c:pt>
                <c:pt idx="335">
                  <c:v>1.4143168454944527E-36</c:v>
                </c:pt>
                <c:pt idx="336">
                  <c:v>4.7484285459006895E-37</c:v>
                </c:pt>
                <c:pt idx="337">
                  <c:v>1.5942377924263347E-37</c:v>
                </c:pt>
                <c:pt idx="338">
                  <c:v>5.3524952818223335E-38</c:v>
                </c:pt>
                <c:pt idx="339">
                  <c:v>1.7970472082667146E-38</c:v>
                </c:pt>
                <c:pt idx="340">
                  <c:v>6.0334077821731471E-39</c:v>
                </c:pt>
                <c:pt idx="341">
                  <c:v>2.0256568274073283E-39</c:v>
                </c:pt>
                <c:pt idx="342">
                  <c:v>6.8009419064062971E-40</c:v>
                </c:pt>
                <c:pt idx="343">
                  <c:v>2.2833487977088925E-40</c:v>
                </c:pt>
                <c:pt idx="344">
                  <c:v>7.6661171404618253E-41</c:v>
                </c:pt>
                <c:pt idx="345">
                  <c:v>2.5738228022916011E-41</c:v>
                </c:pt>
                <c:pt idx="346">
                  <c:v>8.6413548035050125E-42</c:v>
                </c:pt>
                <c:pt idx="347">
                  <c:v>2.901249175878545E-42</c:v>
                </c:pt>
                <c:pt idx="348">
                  <c:v>9.7406563807816595E-43</c:v>
                </c:pt>
                <c:pt idx="349">
                  <c:v>3.2703287782832775E-43</c:v>
                </c:pt>
                <c:pt idx="350">
                  <c:v>1.0979804542914744E-43</c:v>
                </c:pt>
                <c:pt idx="351">
                  <c:v>3.6863604846450892E-44</c:v>
                </c:pt>
                <c:pt idx="352">
                  <c:v>1.2376589737676074E-44</c:v>
                </c:pt>
                <c:pt idx="353">
                  <c:v>4.1553172613691454E-45</c:v>
                </c:pt>
                <c:pt idx="354">
                  <c:v>1.3951065607410611E-45</c:v>
                </c:pt>
                <c:pt idx="355">
                  <c:v>4.6839319199936464E-46</c:v>
                </c:pt>
                <c:pt idx="356">
                  <c:v>1.5725836899140921E-46</c:v>
                </c:pt>
                <c:pt idx="357">
                  <c:v>5.2797937801520728E-47</c:v>
                </c:pt>
                <c:pt idx="358">
                  <c:v>1.7726384000876518E-47</c:v>
                </c:pt>
                <c:pt idx="359">
                  <c:v>5.9514576294205279E-48</c:v>
                </c:pt>
                <c:pt idx="360">
                  <c:v>1.9981428763495363E-48</c:v>
                </c:pt>
                <c:pt idx="361">
                  <c:v>6.7085665443864388E-49</c:v>
                </c:pt>
                <c:pt idx="362">
                  <c:v>2.2523346860301434E-49</c:v>
                </c:pt>
                <c:pt idx="363">
                  <c:v>7.5619903362805203E-50</c:v>
                </c:pt>
                <c:pt idx="364">
                  <c:v>2.5388632604503906E-50</c:v>
                </c:pt>
                <c:pt idx="365">
                  <c:v>8.5239061197726204E-51</c:v>
                </c:pt>
                <c:pt idx="366">
                  <c:v>2.8617916006160908E-51</c:v>
                </c:pt>
                <c:pt idx="367">
                  <c:v>9.6080963941626301E-52</c:v>
                </c:pt>
                <c:pt idx="368">
                  <c:v>3.2257945092733906E-52</c:v>
                </c:pt>
                <c:pt idx="369">
                  <c:v>1.0830189237464705E-52</c:v>
                </c:pt>
                <c:pt idx="370">
                  <c:v>3.6360964277825785E-53</c:v>
                </c:pt>
                <c:pt idx="371">
                  <c:v>1.2207725038079066E-53</c:v>
                </c:pt>
                <c:pt idx="372">
                  <c:v>4.0985863154411844E-54</c:v>
                </c:pt>
                <c:pt idx="373">
                  <c:v>1.3760475217719221E-54</c:v>
                </c:pt>
                <c:pt idx="374">
                  <c:v>4.6199021722220973E-55</c:v>
                </c:pt>
                <c:pt idx="375">
                  <c:v>1.551072600560964E-55</c:v>
                </c:pt>
                <c:pt idx="376">
                  <c:v>5.2075263123023854E-56</c:v>
                </c:pt>
                <c:pt idx="377">
                  <c:v>1.7483598307077313E-56</c:v>
                </c:pt>
                <c:pt idx="378">
                  <c:v>5.86989275581959E-57</c:v>
                </c:pt>
                <c:pt idx="379">
                  <c:v>1.9707408257529998E-57</c:v>
                </c:pt>
                <c:pt idx="380">
                  <c:v>6.6165082802221209E-58</c:v>
                </c:pt>
                <c:pt idx="381">
                  <c:v>2.2214073636760781E-58</c:v>
                </c:pt>
                <c:pt idx="382">
                  <c:v>7.4580888686330543E-59</c:v>
                </c:pt>
                <c:pt idx="383">
                  <c:v>2.5039571976740389E-59</c:v>
                </c:pt>
                <c:pt idx="384">
                  <c:v>8.406713513636072E-60</c:v>
                </c:pt>
                <c:pt idx="385">
                  <c:v>2.8224456938002108E-60</c:v>
                </c:pt>
                <c:pt idx="386">
                  <c:v>9.4759975839902443E-61</c:v>
                </c:pt>
                <c:pt idx="387">
                  <c:v>3.1814440366038489E-61</c:v>
                </c:pt>
                <c:pt idx="388">
                  <c:v>1.0681288242562106E-61</c:v>
                </c:pt>
                <c:pt idx="389">
                  <c:v>3.586104838181753E-62</c:v>
                </c:pt>
                <c:pt idx="390">
                  <c:v>1.2039884720259014E-62</c:v>
                </c:pt>
                <c:pt idx="391">
                  <c:v>4.0422360923119112E-63</c:v>
                </c:pt>
                <c:pt idx="392">
                  <c:v>1.357128660749964E-63</c:v>
                </c:pt>
                <c:pt idx="393">
                  <c:v>4.5563845351140666E-64</c:v>
                </c:pt>
                <c:pt idx="394">
                  <c:v>1.5297473726886053E-64</c:v>
                </c:pt>
                <c:pt idx="395">
                  <c:v>5.1359296086916134E-65</c:v>
                </c:pt>
                <c:pt idx="396">
                  <c:v>1.724322160401882E-65</c:v>
                </c:pt>
                <c:pt idx="397">
                  <c:v>5.7891893763911285E-66</c:v>
                </c:pt>
                <c:pt idx="398">
                  <c:v>1.9436457064327671E-66</c:v>
                </c:pt>
                <c:pt idx="399">
                  <c:v>6.5255399098543797E-67</c:v>
                </c:pt>
                <c:pt idx="400">
                  <c:v>2.1908659059708778E-67</c:v>
                </c:pt>
                <c:pt idx="401">
                  <c:v>7.3555498613948507E-68</c:v>
                </c:pt>
                <c:pt idx="402">
                  <c:v>2.4695310477931634E-68</c:v>
                </c:pt>
                <c:pt idx="403">
                  <c:v>8.2911321531819651E-69</c:v>
                </c:pt>
                <c:pt idx="404">
                  <c:v>2.7836407419521295E-69</c:v>
                </c:pt>
                <c:pt idx="405">
                  <c:v>9.3457149603893721E-70</c:v>
                </c:pt>
                <c:pt idx="406">
                  <c:v>3.1377033251637815E-70</c:v>
                </c:pt>
                <c:pt idx="407">
                  <c:v>1.0534434442384992E-70</c:v>
                </c:pt>
                <c:pt idx="408">
                  <c:v>3.5368005678202407E-71</c:v>
                </c:pt>
                <c:pt idx="409">
                  <c:v>1.1874351988184717E-71</c:v>
                </c:pt>
                <c:pt idx="410">
                  <c:v>3.9866606113503859E-72</c:v>
                </c:pt>
                <c:pt idx="411">
                  <c:v>1.3384699094238599E-72</c:v>
                </c:pt>
                <c:pt idx="412">
                  <c:v>4.493740182779913E-73</c:v>
                </c:pt>
                <c:pt idx="413">
                  <c:v>1.5087153389218259E-73</c:v>
                </c:pt>
                <c:pt idx="414">
                  <c:v>5.0653172664955594E-74</c:v>
                </c:pt>
                <c:pt idx="415">
                  <c:v>1.7006149767519185E-74</c:v>
                </c:pt>
                <c:pt idx="416">
                  <c:v>5.7095955633077693E-75</c:v>
                </c:pt>
                <c:pt idx="417">
                  <c:v>1.916904269851433E-75</c:v>
                </c:pt>
                <c:pt idx="418">
                  <c:v>6.4356957319160397E-76</c:v>
                </c:pt>
                <c:pt idx="419">
                  <c:v>2.1606806456230795E-76</c:v>
                </c:pt>
                <c:pt idx="420">
                  <c:v>7.2541354452446224E-77</c:v>
                </c:pt>
                <c:pt idx="421">
                  <c:v>2.4354585285221339E-77</c:v>
                </c:pt>
                <c:pt idx="422">
                  <c:v>8.1766576994912708E-78</c:v>
                </c:pt>
                <c:pt idx="423">
                  <c:v>2.7451804393984061E-78</c:v>
                </c:pt>
                <c:pt idx="424">
                  <c:v>9.2164988701000611E-79</c:v>
                </c:pt>
                <c:pt idx="425">
                  <c:v>3.0942902770052799E-79</c:v>
                </c:pt>
                <c:pt idx="426">
                  <c:v>1.0388578627651331E-79</c:v>
                </c:pt>
                <c:pt idx="427">
                  <c:v>3.4877970791849484E-80</c:v>
                </c:pt>
                <c:pt idx="428">
                  <c:v>1.1709714005717915E-80</c:v>
                </c:pt>
                <c:pt idx="429">
                  <c:v>3.9313468926853046E-81</c:v>
                </c:pt>
                <c:pt idx="430">
                  <c:v>1.3198860692139368E-81</c:v>
                </c:pt>
                <c:pt idx="431">
                  <c:v>4.4313037827986653E-82</c:v>
                </c:pt>
                <c:pt idx="432">
                  <c:v>1.4877385005768207E-82</c:v>
                </c:pt>
                <c:pt idx="433">
                  <c:v>4.9948411451509161E-83</c:v>
                </c:pt>
                <c:pt idx="434">
                  <c:v>1.6769370461018247E-83</c:v>
                </c:pt>
                <c:pt idx="435">
                  <c:v>5.6300446297852115E-84</c:v>
                </c:pt>
                <c:pt idx="436">
                  <c:v>1.8901963318811798E-84</c:v>
                </c:pt>
                <c:pt idx="437">
                  <c:v>6.346028154297904E-85</c:v>
                </c:pt>
                <c:pt idx="438">
                  <c:v>2.1305762081900611E-85</c:v>
                </c:pt>
                <c:pt idx="439">
                  <c:v>7.1530646705864669E-86</c:v>
                </c:pt>
                <c:pt idx="440">
                  <c:v>2.4015256523050369E-86</c:v>
                </c:pt>
                <c:pt idx="441">
                  <c:v>8.0627335614544079E-87</c:v>
                </c:pt>
                <c:pt idx="442">
                  <c:v>2.7069322545277617E-87</c:v>
                </c:pt>
                <c:pt idx="443">
                  <c:v>9.0880867819238394E-88</c:v>
                </c:pt>
                <c:pt idx="444">
                  <c:v>3.0511779974407828E-88</c:v>
                </c:pt>
                <c:pt idx="445">
                  <c:v>1.0243836129055975E-88</c:v>
                </c:pt>
                <c:pt idx="446">
                  <c:v>3.439202128717798E-89</c:v>
                </c:pt>
                <c:pt idx="447">
                  <c:v>1.1546564327232222E-89</c:v>
                </c:pt>
                <c:pt idx="448">
                  <c:v>3.8765720295892346E-90</c:v>
                </c:pt>
                <c:pt idx="449">
                  <c:v>1.3014962957553496E-90</c:v>
                </c:pt>
                <c:pt idx="450">
                  <c:v>4.3695630957858994E-91</c:v>
                </c:pt>
                <c:pt idx="451">
                  <c:v>1.4670100645175483E-91</c:v>
                </c:pt>
                <c:pt idx="452">
                  <c:v>4.9252487770947412E-92</c:v>
                </c:pt>
                <c:pt idx="453">
                  <c:v>1.6535725352539371E-92</c:v>
                </c:pt>
                <c:pt idx="454">
                  <c:v>5.5516020674168206E-93</c:v>
                </c:pt>
                <c:pt idx="455">
                  <c:v>1.863860511580986E-93</c:v>
                </c:pt>
                <c:pt idx="456">
                  <c:v>6.2576099015097243E-94</c:v>
                </c:pt>
                <c:pt idx="457">
                  <c:v>2.1008912113416544E-94</c:v>
                </c:pt>
                <c:pt idx="458">
                  <c:v>7.0534020997821158E-95</c:v>
                </c:pt>
                <c:pt idx="459">
                  <c:v>2.3680655577324975E-95</c:v>
                </c:pt>
                <c:pt idx="460">
                  <c:v>7.9503967112439954E-96</c:v>
                </c:pt>
                <c:pt idx="461">
                  <c:v>2.6692169758460539E-96</c:v>
                </c:pt>
                <c:pt idx="462">
                  <c:v>8.9614638399974247E-97</c:v>
                </c:pt>
                <c:pt idx="463">
                  <c:v>3.0086663947626985E-97</c:v>
                </c:pt>
                <c:pt idx="464">
                  <c:v>1.0101110305854871E-97</c:v>
                </c:pt>
                <c:pt idx="465">
                  <c:v>3.3912842443635245E-98</c:v>
                </c:pt>
                <c:pt idx="466">
                  <c:v>1.1385687788600929E-98</c:v>
                </c:pt>
                <c:pt idx="467">
                  <c:v>3.8225603363962782E-99</c:v>
                </c:pt>
                <c:pt idx="468">
                  <c:v>1.2833627442357213E-99</c:v>
                </c:pt>
                <c:pt idx="469">
                  <c:v>4.3086344217475767E-100</c:v>
                </c:pt>
                <c:pt idx="470">
                  <c:v>1.4465380628860051E-100</c:v>
                </c:pt>
                <c:pt idx="471">
                  <c:v>4.8564630055786722E-101</c:v>
                </c:pt>
                <c:pt idx="472">
                  <c:v>1.6304605823851638E-101</c:v>
                </c:pt>
                <c:pt idx="473">
                  <c:v>5.4739461778212511E-102</c:v>
                </c:pt>
                <c:pt idx="474">
                  <c:v>1.8377682405452639E-102</c:v>
                </c:pt>
                <c:pt idx="475">
                  <c:v>6.1699402884905778E-103</c:v>
                </c:pt>
                <c:pt idx="476">
                  <c:v>2.0714343802265518E-103</c:v>
                </c:pt>
                <c:pt idx="477">
                  <c:v>6.9544277431480235E-104</c:v>
                </c:pt>
                <c:pt idx="478">
                  <c:v>2.3348103949774819E-104</c:v>
                </c:pt>
                <c:pt idx="479">
                  <c:v>7.838660177130945E-105</c:v>
                </c:pt>
                <c:pt idx="480">
                  <c:v>2.6316737969265014E-105</c:v>
                </c:pt>
                <c:pt idx="481">
                  <c:v>8.8353198339112729E-106</c:v>
                </c:pt>
                <c:pt idx="482">
                  <c:v>2.9662823963469395E-106</c:v>
                </c:pt>
                <c:pt idx="483">
                  <c:v>9.9587014621774278E-107</c:v>
                </c:pt>
                <c:pt idx="484">
                  <c:v>3.3434353699739634E-107</c:v>
                </c:pt>
                <c:pt idx="485">
                  <c:v>1.1224917340527232E-107</c:v>
                </c:pt>
                <c:pt idx="486">
                  <c:v>3.7685420939555997E-108</c:v>
                </c:pt>
                <c:pt idx="487">
                  <c:v>1.2652128370370874E-108</c:v>
                </c:pt>
                <c:pt idx="488">
                  <c:v>4.2476997286853053E-109</c:v>
                </c:pt>
                <c:pt idx="489">
                  <c:v>1.4260804551530424E-109</c:v>
                </c:pt>
                <c:pt idx="490">
                  <c:v>4.7877806682888E-110</c:v>
                </c:pt>
                <c:pt idx="491">
                  <c:v>1.6074018576448372E-110</c:v>
                </c:pt>
                <c:pt idx="492">
                  <c:v>5.3965311090232705E-111</c:v>
                </c:pt>
                <c:pt idx="493">
                  <c:v>1.8117776753926517E-111</c:v>
                </c:pt>
                <c:pt idx="494">
                  <c:v>6.0826821503217717E-112</c:v>
                </c:pt>
                <c:pt idx="495">
                  <c:v>2.0421392008721273E-112</c:v>
                </c:pt>
                <c:pt idx="496">
                  <c:v>6.8560750219671445E-113</c:v>
                </c:pt>
                <c:pt idx="497">
                  <c:v>2.3017904306801045E-113</c:v>
                </c:pt>
                <c:pt idx="498">
                  <c:v>7.7278022334859619E-114</c:v>
                </c:pt>
                <c:pt idx="499">
                  <c:v>2.5944554536281397E-114</c:v>
                </c:pt>
                <c:pt idx="500">
                  <c:v>8.7103666702200223E-115</c:v>
                </c:pt>
                <c:pt idx="501">
                  <c:v>2.9243318640750207E-115</c:v>
                </c:pt>
                <c:pt idx="502">
                  <c:v>9.8178609179359304E-116</c:v>
                </c:pt>
                <c:pt idx="503">
                  <c:v>3.2961509665874556E-116</c:v>
                </c:pt>
                <c:pt idx="504">
                  <c:v>1.1066169387964348E-116</c:v>
                </c:pt>
                <c:pt idx="505">
                  <c:v>3.7152456354237828E-117</c:v>
                </c:pt>
                <c:pt idx="506">
                  <c:v>1.2473196141880649E-117</c:v>
                </c:pt>
                <c:pt idx="507">
                  <c:v>4.1876268021260968E-118</c:v>
                </c:pt>
                <c:pt idx="508">
                  <c:v>1.40591216833385E-118</c:v>
                </c:pt>
                <c:pt idx="509">
                  <c:v>4.7200696682561482E-119</c:v>
                </c:pt>
                <c:pt idx="510">
                  <c:v>1.5846692400133838E-119</c:v>
                </c:pt>
                <c:pt idx="511">
                  <c:v>5.3202108797948347E-120</c:v>
                </c:pt>
                <c:pt idx="512">
                  <c:v>1.7861546807867785E-120</c:v>
                </c:pt>
                <c:pt idx="513">
                  <c:v>5.9966580569444441E-121</c:v>
                </c:pt>
                <c:pt idx="514">
                  <c:v>2.0132583274409821E-121</c:v>
                </c:pt>
                <c:pt idx="515">
                  <c:v>6.7591132502821865E-122</c:v>
                </c:pt>
                <c:pt idx="516">
                  <c:v>2.26923744993075E-122</c:v>
                </c:pt>
                <c:pt idx="517">
                  <c:v>7.618512093954381E-123</c:v>
                </c:pt>
                <c:pt idx="518">
                  <c:v>2.5577634692879055E-123</c:v>
                </c:pt>
                <c:pt idx="519">
                  <c:v>8.5871806517380033E-124</c:v>
                </c:pt>
              </c:numCache>
            </c:numRef>
          </c:val>
          <c:smooth val="0"/>
          <c:extLst>
            <c:ext xmlns:c16="http://schemas.microsoft.com/office/drawing/2014/chart" uri="{C3380CC4-5D6E-409C-BE32-E72D297353CC}">
              <c16:uniqueId val="{00000007-907F-4589-BC87-CB41FF02749B}"/>
            </c:ext>
          </c:extLst>
        </c:ser>
        <c:ser>
          <c:idx val="10"/>
          <c:order val="10"/>
          <c:tx>
            <c:strRef>
              <c:f>Steroid!$M$534</c:f>
              <c:strCache>
                <c:ptCount val="1"/>
                <c:pt idx="0">
                  <c:v>Azathioprine non respond</c:v>
                </c:pt>
              </c:strCache>
            </c:strRef>
          </c:tx>
          <c:spPr>
            <a:ln w="28575" cap="rnd">
              <a:solidFill>
                <a:schemeClr val="accent5">
                  <a:lumMod val="60000"/>
                </a:schemeClr>
              </a:solidFill>
              <a:round/>
            </a:ln>
            <a:effectLst/>
          </c:spPr>
          <c:marker>
            <c:symbol val="none"/>
          </c:marker>
          <c:cat>
            <c:numRef>
              <c:f>Steroid!$B$535:$B$1054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Steroid!$M$535:$M$1054</c:f>
              <c:numCache>
                <c:formatCode>0</c:formatCode>
                <c:ptCount val="520"/>
                <c:pt idx="0">
                  <c:v>0</c:v>
                </c:pt>
                <c:pt idx="1">
                  <c:v>0</c:v>
                </c:pt>
                <c:pt idx="2">
                  <c:v>1.658752932628931</c:v>
                </c:pt>
                <c:pt idx="3">
                  <c:v>3.8708111555965816</c:v>
                </c:pt>
                <c:pt idx="4">
                  <c:v>6.2645649780694486</c:v>
                </c:pt>
                <c:pt idx="5">
                  <c:v>8.7148113811482038</c:v>
                </c:pt>
                <c:pt idx="6">
                  <c:v>11.179096406297456</c:v>
                </c:pt>
                <c:pt idx="7">
                  <c:v>13.642765923274709</c:v>
                </c:pt>
                <c:pt idx="8">
                  <c:v>16.100515705722319</c:v>
                </c:pt>
                <c:pt idx="9">
                  <c:v>18.550196315713237</c:v>
                </c:pt>
                <c:pt idx="10">
                  <c:v>20.99073260488985</c:v>
                </c:pt>
                <c:pt idx="11">
                  <c:v>23.421424728158314</c:v>
                </c:pt>
                <c:pt idx="12">
                  <c:v>25.84171301846364</c:v>
                </c:pt>
                <c:pt idx="13">
                  <c:v>28.251098616982542</c:v>
                </c:pt>
                <c:pt idx="14">
                  <c:v>30.649116410639557</c:v>
                </c:pt>
                <c:pt idx="15">
                  <c:v>33.035325543496683</c:v>
                </c:pt>
                <c:pt idx="16">
                  <c:v>35.409305839805043</c:v>
                </c:pt>
                <c:pt idx="17">
                  <c:v>37.770656222780424</c:v>
                </c:pt>
                <c:pt idx="18">
                  <c:v>40.11899381401615</c:v>
                </c:pt>
                <c:pt idx="19">
                  <c:v>42.453953271701714</c:v>
                </c:pt>
                <c:pt idx="20">
                  <c:v>44.775186219022089</c:v>
                </c:pt>
                <c:pt idx="21">
                  <c:v>47.082360712565375</c:v>
                </c:pt>
                <c:pt idx="22">
                  <c:v>49.375160733629954</c:v>
                </c:pt>
                <c:pt idx="23">
                  <c:v>51.653285696430117</c:v>
                </c:pt>
                <c:pt idx="24">
                  <c:v>53.916449970935915</c:v>
                </c:pt>
                <c:pt idx="25">
                  <c:v>56.164382419344157</c:v>
                </c:pt>
                <c:pt idx="26">
                  <c:v>58.396825945607368</c:v>
                </c:pt>
                <c:pt idx="27">
                  <c:v>60.6135370575984</c:v>
                </c:pt>
                <c:pt idx="28">
                  <c:v>62.814285441544982</c:v>
                </c:pt>
                <c:pt idx="29">
                  <c:v>64.998853548393797</c:v>
                </c:pt>
                <c:pt idx="30">
                  <c:v>67.167036191777711</c:v>
                </c:pt>
                <c:pt idx="31">
                  <c:v>69.318640157270352</c:v>
                </c:pt>
                <c:pt idx="32">
                  <c:v>71.453483822621465</c:v>
                </c:pt>
                <c:pt idx="33">
                  <c:v>73.571396788674463</c:v>
                </c:pt>
                <c:pt idx="34">
                  <c:v>75.672219520676251</c:v>
                </c:pt>
                <c:pt idx="35">
                  <c:v>77.755802999696812</c:v>
                </c:pt>
                <c:pt idx="36">
                  <c:v>79.822008383883613</c:v>
                </c:pt>
                <c:pt idx="37">
                  <c:v>81.8707066792836</c:v>
                </c:pt>
                <c:pt idx="38">
                  <c:v>83.901778419972544</c:v>
                </c:pt>
                <c:pt idx="39">
                  <c:v>85.915113357238369</c:v>
                </c:pt>
                <c:pt idx="40">
                  <c:v>87.910610157572151</c:v>
                </c:pt>
                <c:pt idx="41">
                  <c:v>89.888176109226976</c:v>
                </c:pt>
                <c:pt idx="42">
                  <c:v>91.847726837111253</c:v>
                </c:pt>
                <c:pt idx="43">
                  <c:v>93.789186025789405</c:v>
                </c:pt>
                <c:pt idx="44">
                  <c:v>95.712485150369048</c:v>
                </c:pt>
                <c:pt idx="45">
                  <c:v>97.617563215059548</c:v>
                </c:pt>
                <c:pt idx="46">
                  <c:v>99.504366499192798</c:v>
                </c:pt>
                <c:pt idx="47">
                  <c:v>101.37284831050238</c:v>
                </c:pt>
                <c:pt idx="48">
                  <c:v>103.22296874546335</c:v>
                </c:pt>
                <c:pt idx="49">
                  <c:v>105.05469445649948</c:v>
                </c:pt>
                <c:pt idx="50">
                  <c:v>106.86799842587055</c:v>
                </c:pt>
                <c:pt idx="51">
                  <c:v>108.66285974605707</c:v>
                </c:pt>
                <c:pt idx="52">
                  <c:v>110.43926340646473</c:v>
                </c:pt>
                <c:pt idx="53">
                  <c:v>112.19657512991709</c:v>
                </c:pt>
                <c:pt idx="54">
                  <c:v>113.93539664823255</c:v>
                </c:pt>
                <c:pt idx="55">
                  <c:v>115.65572973177552</c:v>
                </c:pt>
                <c:pt idx="56">
                  <c:v>117.35758125430345</c:v>
                </c:pt>
                <c:pt idx="57">
                  <c:v>119.04096300863159</c:v>
                </c:pt>
                <c:pt idx="58">
                  <c:v>120.70589152765358</c:v>
                </c:pt>
                <c:pt idx="59">
                  <c:v>122.35238791057095</c:v>
                </c:pt>
                <c:pt idx="60">
                  <c:v>123.98047765418882</c:v>
                </c:pt>
                <c:pt idx="61">
                  <c:v>125.59019048913824</c:v>
                </c:pt>
                <c:pt idx="62">
                  <c:v>127.18156022089023</c:v>
                </c:pt>
                <c:pt idx="63">
                  <c:v>128.75462457542943</c:v>
                </c:pt>
                <c:pt idx="64">
                  <c:v>130.30942504945932</c:v>
                </c:pt>
                <c:pt idx="65">
                  <c:v>131.84600676501449</c:v>
                </c:pt>
                <c:pt idx="66">
                  <c:v>133.36441832835825</c:v>
                </c:pt>
                <c:pt idx="67">
                  <c:v>134.86471169304767</c:v>
                </c:pt>
                <c:pt idx="68">
                  <c:v>136.34694202705137</c:v>
                </c:pt>
                <c:pt idx="69">
                  <c:v>137.81116758380796</c:v>
                </c:pt>
                <c:pt idx="70">
                  <c:v>139.25744957711629</c:v>
                </c:pt>
                <c:pt idx="71">
                  <c:v>140.68585205975216</c:v>
                </c:pt>
                <c:pt idx="72">
                  <c:v>142.09644180570814</c:v>
                </c:pt>
                <c:pt idx="73">
                  <c:v>143.48928819595625</c:v>
                </c:pt>
                <c:pt idx="74">
                  <c:v>144.86446310763642</c:v>
                </c:pt>
                <c:pt idx="75">
                  <c:v>146.22204080657525</c:v>
                </c:pt>
                <c:pt idx="76">
                  <c:v>147.56209784304363</c:v>
                </c:pt>
                <c:pt idx="77">
                  <c:v>148.8847129506625</c:v>
                </c:pt>
                <c:pt idx="78">
                  <c:v>150.1899669483702</c:v>
                </c:pt>
                <c:pt idx="79">
                  <c:v>151.47794264536583</c:v>
                </c:pt>
                <c:pt idx="80">
                  <c:v>152.74872474894639</c:v>
                </c:pt>
                <c:pt idx="81">
                  <c:v>154.00239977515668</c:v>
                </c:pt>
                <c:pt idx="82">
                  <c:v>155.23905596217443</c:v>
                </c:pt>
                <c:pt idx="83">
                  <c:v>156.45878318635371</c:v>
                </c:pt>
                <c:pt idx="84">
                  <c:v>157.66167288085302</c:v>
                </c:pt>
                <c:pt idx="85">
                  <c:v>158.84781795677597</c:v>
                </c:pt>
                <c:pt idx="86">
                  <c:v>160.01731272675414</c:v>
                </c:pt>
                <c:pt idx="87">
                  <c:v>161.17025283090396</c:v>
                </c:pt>
                <c:pt idx="88">
                  <c:v>162.30673516509157</c:v>
                </c:pt>
                <c:pt idx="89">
                  <c:v>163.42685781144036</c:v>
                </c:pt>
                <c:pt idx="90">
                  <c:v>164.53071997101929</c:v>
                </c:pt>
                <c:pt idx="91">
                  <c:v>165.61842189864998</c:v>
                </c:pt>
                <c:pt idx="92">
                  <c:v>166.69006483977364</c:v>
                </c:pt>
                <c:pt idx="93">
                  <c:v>167.74575096931974</c:v>
                </c:pt>
                <c:pt idx="94">
                  <c:v>168.78558333252047</c:v>
                </c:pt>
                <c:pt idx="95">
                  <c:v>169.80966578761556</c:v>
                </c:pt>
                <c:pt idx="96">
                  <c:v>170.81810295039492</c:v>
                </c:pt>
                <c:pt idx="97">
                  <c:v>171.81100014052703</c:v>
                </c:pt>
                <c:pt idx="98">
                  <c:v>172.78846332962226</c:v>
                </c:pt>
                <c:pt idx="99">
                  <c:v>173.75059909098289</c:v>
                </c:pt>
                <c:pt idx="100">
                  <c:v>174.6975145509912</c:v>
                </c:pt>
                <c:pt idx="101">
                  <c:v>175.62931734209019</c:v>
                </c:pt>
                <c:pt idx="102">
                  <c:v>176.5461155573108</c:v>
                </c:pt>
                <c:pt idx="103">
                  <c:v>177.44801770630258</c:v>
                </c:pt>
                <c:pt idx="104">
                  <c:v>178.33513267282447</c:v>
                </c:pt>
                <c:pt idx="105">
                  <c:v>179.20646735512119</c:v>
                </c:pt>
                <c:pt idx="106">
                  <c:v>180.0632230136795</c:v>
                </c:pt>
                <c:pt idx="107">
                  <c:v>180.90550968121832</c:v>
                </c:pt>
                <c:pt idx="108">
                  <c:v>181.73343760558731</c:v>
                </c:pt>
                <c:pt idx="109">
                  <c:v>182.54711721395338</c:v>
                </c:pt>
                <c:pt idx="110">
                  <c:v>183.34665907821588</c:v>
                </c:pt>
                <c:pt idx="111">
                  <c:v>184.13217388161533</c:v>
                </c:pt>
                <c:pt idx="112">
                  <c:v>184.90377238650117</c:v>
                </c:pt>
                <c:pt idx="113">
                  <c:v>185.66156540322538</c:v>
                </c:pt>
                <c:pt idx="114">
                  <c:v>186.40566376012944</c:v>
                </c:pt>
                <c:pt idx="115">
                  <c:v>187.13617827459322</c:v>
                </c:pt>
                <c:pt idx="116">
                  <c:v>187.85321972511477</c:v>
                </c:pt>
                <c:pt idx="117">
                  <c:v>188.55689882439165</c:v>
                </c:pt>
                <c:pt idx="118">
                  <c:v>189.24732619337439</c:v>
                </c:pt>
                <c:pt idx="119">
                  <c:v>189.92461233626398</c:v>
                </c:pt>
                <c:pt idx="120">
                  <c:v>190.58886761642603</c:v>
                </c:pt>
                <c:pt idx="121">
                  <c:v>191.24020223319474</c:v>
                </c:pt>
                <c:pt idx="122">
                  <c:v>191.87872619954084</c:v>
                </c:pt>
                <c:pt idx="123">
                  <c:v>192.50454932057804</c:v>
                </c:pt>
                <c:pt idx="124">
                  <c:v>193.11778117288378</c:v>
                </c:pt>
                <c:pt idx="125">
                  <c:v>193.71853108460999</c:v>
                </c:pt>
                <c:pt idx="126">
                  <c:v>194.30690811636111</c:v>
                </c:pt>
                <c:pt idx="127">
                  <c:v>194.8830210428161</c:v>
                </c:pt>
                <c:pt idx="128">
                  <c:v>195.4469783350732</c:v>
                </c:pt>
                <c:pt idx="129">
                  <c:v>195.99888814369567</c:v>
                </c:pt>
                <c:pt idx="130">
                  <c:v>196.53885828243779</c:v>
                </c:pt>
                <c:pt idx="131">
                  <c:v>197.0669962126309</c:v>
                </c:pt>
                <c:pt idx="132">
                  <c:v>197.58340902821001</c:v>
                </c:pt>
                <c:pt idx="133">
                  <c:v>198.0882034413618</c:v>
                </c:pt>
                <c:pt idx="134">
                  <c:v>198.58148576877508</c:v>
                </c:pt>
                <c:pt idx="135">
                  <c:v>199.06336191847643</c:v>
                </c:pt>
                <c:pt idx="136">
                  <c:v>199.53393737723272</c:v>
                </c:pt>
                <c:pt idx="137">
                  <c:v>199.99331719850375</c:v>
                </c:pt>
                <c:pt idx="138">
                  <c:v>200.44160599092851</c:v>
                </c:pt>
                <c:pt idx="139">
                  <c:v>200.87890790732868</c:v>
                </c:pt>
                <c:pt idx="140">
                  <c:v>201.30532663421388</c:v>
                </c:pt>
                <c:pt idx="141">
                  <c:v>201.7209653817734</c:v>
                </c:pt>
                <c:pt idx="142">
                  <c:v>202.12592687433929</c:v>
                </c:pt>
                <c:pt idx="143">
                  <c:v>202.52031334130683</c:v>
                </c:pt>
                <c:pt idx="144">
                  <c:v>202.90422650849828</c:v>
                </c:pt>
                <c:pt idx="145">
                  <c:v>203.27776758995574</c:v>
                </c:pt>
                <c:pt idx="146">
                  <c:v>203.6410372801507</c:v>
                </c:pt>
                <c:pt idx="147">
                  <c:v>203.99413574659684</c:v>
                </c:pt>
                <c:pt idx="148">
                  <c:v>204.33716262285375</c:v>
                </c:pt>
                <c:pt idx="149">
                  <c:v>204.67021700190938</c:v>
                </c:pt>
                <c:pt idx="150">
                  <c:v>204.9933974299293</c:v>
                </c:pt>
                <c:pt idx="151">
                  <c:v>205.30680190036162</c:v>
                </c:pt>
                <c:pt idx="152">
                  <c:v>205.61052784838594</c:v>
                </c:pt>
                <c:pt idx="153">
                  <c:v>205.90467214569574</c:v>
                </c:pt>
                <c:pt idx="154">
                  <c:v>206.18933109560351</c:v>
                </c:pt>
                <c:pt idx="155">
                  <c:v>206.46460042845865</c:v>
                </c:pt>
                <c:pt idx="156">
                  <c:v>206.73057529736778</c:v>
                </c:pt>
                <c:pt idx="157">
                  <c:v>206.9859173713734</c:v>
                </c:pt>
                <c:pt idx="158">
                  <c:v>207.23215009968715</c:v>
                </c:pt>
                <c:pt idx="159">
                  <c:v>207.46936706892805</c:v>
                </c:pt>
                <c:pt idx="160">
                  <c:v>207.69766127159343</c:v>
                </c:pt>
                <c:pt idx="161">
                  <c:v>207.91712510317342</c:v>
                </c:pt>
                <c:pt idx="162">
                  <c:v>208.1278503595143</c:v>
                </c:pt>
                <c:pt idx="163">
                  <c:v>208.32992823442194</c:v>
                </c:pt>
                <c:pt idx="164">
                  <c:v>208.52344931749784</c:v>
                </c:pt>
                <c:pt idx="165">
                  <c:v>208.70850359219972</c:v>
                </c:pt>
                <c:pt idx="166">
                  <c:v>208.88518043411941</c:v>
                </c:pt>
                <c:pt idx="167">
                  <c:v>209.05356860947052</c:v>
                </c:pt>
                <c:pt idx="168">
                  <c:v>209.21375627377913</c:v>
                </c:pt>
                <c:pt idx="169">
                  <c:v>209.36583097077047</c:v>
                </c:pt>
                <c:pt idx="170">
                  <c:v>209.50987963144479</c:v>
                </c:pt>
                <c:pt idx="171">
                  <c:v>209.64598857333604</c:v>
                </c:pt>
                <c:pt idx="172">
                  <c:v>209.77424349994732</c:v>
                </c:pt>
                <c:pt idx="173">
                  <c:v>209.89472950035653</c:v>
                </c:pt>
                <c:pt idx="174">
                  <c:v>210.00753104898655</c:v>
                </c:pt>
                <c:pt idx="175">
                  <c:v>210.11273200553413</c:v>
                </c:pt>
                <c:pt idx="176">
                  <c:v>210.21041561505194</c:v>
                </c:pt>
                <c:pt idx="177">
                  <c:v>210.30066450817839</c:v>
                </c:pt>
                <c:pt idx="178">
                  <c:v>210.38356070150951</c:v>
                </c:pt>
                <c:pt idx="179">
                  <c:v>210.45918559810846</c:v>
                </c:pt>
                <c:pt idx="180">
                  <c:v>210.52761998814711</c:v>
                </c:pt>
                <c:pt idx="181">
                  <c:v>210.58894404967506</c:v>
                </c:pt>
                <c:pt idx="182">
                  <c:v>210.64323734951157</c:v>
                </c:pt>
                <c:pt idx="183">
                  <c:v>210.69057884425544</c:v>
                </c:pt>
                <c:pt idx="184">
                  <c:v>210.73104688140887</c:v>
                </c:pt>
                <c:pt idx="185">
                  <c:v>210.76471920061076</c:v>
                </c:pt>
                <c:pt idx="186">
                  <c:v>210.79167293497508</c:v>
                </c:pt>
                <c:pt idx="187">
                  <c:v>210.81198461253078</c:v>
                </c:pt>
                <c:pt idx="188">
                  <c:v>210.82573015775887</c:v>
                </c:pt>
                <c:pt idx="189">
                  <c:v>210.83298489322314</c:v>
                </c:pt>
                <c:pt idx="190">
                  <c:v>210.8338235412904</c:v>
                </c:pt>
                <c:pt idx="191">
                  <c:v>210.82832022593723</c:v>
                </c:pt>
                <c:pt idx="192">
                  <c:v>210.81654847463946</c:v>
                </c:pt>
                <c:pt idx="193">
                  <c:v>210.79858122034071</c:v>
                </c:pt>
                <c:pt idx="194">
                  <c:v>210.77449080349743</c:v>
                </c:pt>
                <c:pt idx="195">
                  <c:v>210.74434897419644</c:v>
                </c:pt>
                <c:pt idx="196">
                  <c:v>210.70822689434254</c:v>
                </c:pt>
                <c:pt idx="197">
                  <c:v>210.66619513991284</c:v>
                </c:pt>
                <c:pt idx="198">
                  <c:v>210.61832370327488</c:v>
                </c:pt>
                <c:pt idx="199">
                  <c:v>210.56468199556608</c:v>
                </c:pt>
                <c:pt idx="200">
                  <c:v>210.50533884913148</c:v>
                </c:pt>
                <c:pt idx="201">
                  <c:v>210.44036252001692</c:v>
                </c:pt>
                <c:pt idx="202">
                  <c:v>210.36982069051584</c:v>
                </c:pt>
                <c:pt idx="203">
                  <c:v>210.29378047176633</c:v>
                </c:pt>
                <c:pt idx="204">
                  <c:v>210.21230840639657</c:v>
                </c:pt>
                <c:pt idx="205">
                  <c:v>210.12547047121629</c:v>
                </c:pt>
                <c:pt idx="206">
                  <c:v>210.03333207995149</c:v>
                </c:pt>
                <c:pt idx="207">
                  <c:v>209.93595808602117</c:v>
                </c:pt>
                <c:pt idx="208">
                  <c:v>209.83341278535272</c:v>
                </c:pt>
                <c:pt idx="209">
                  <c:v>209.72422712566612</c:v>
                </c:pt>
                <c:pt idx="210">
                  <c:v>209.60999872932226</c:v>
                </c:pt>
                <c:pt idx="211">
                  <c:v>209.49079034699255</c:v>
                </c:pt>
                <c:pt idx="212">
                  <c:v>209.36666418163315</c:v>
                </c:pt>
                <c:pt idx="213">
                  <c:v>209.23768189148782</c:v>
                </c:pt>
                <c:pt idx="214">
                  <c:v>209.10390459311873</c:v>
                </c:pt>
                <c:pt idx="215">
                  <c:v>208.96539286446307</c:v>
                </c:pt>
                <c:pt idx="216">
                  <c:v>208.82220674791404</c:v>
                </c:pt>
                <c:pt idx="217">
                  <c:v>208.67440575342445</c:v>
                </c:pt>
                <c:pt idx="218">
                  <c:v>208.52204886163182</c:v>
                </c:pt>
                <c:pt idx="219">
                  <c:v>208.36519452700279</c:v>
                </c:pt>
                <c:pt idx="220">
                  <c:v>208.20390068099604</c:v>
                </c:pt>
                <c:pt idx="221">
                  <c:v>208.0382247352419</c:v>
                </c:pt>
                <c:pt idx="222">
                  <c:v>207.86822358473736</c:v>
                </c:pt>
                <c:pt idx="223">
                  <c:v>207.69395361105558</c:v>
                </c:pt>
                <c:pt idx="224">
                  <c:v>207.51547068556781</c:v>
                </c:pt>
                <c:pt idx="225">
                  <c:v>207.3328301726774</c:v>
                </c:pt>
                <c:pt idx="226">
                  <c:v>207.14608693306391</c:v>
                </c:pt>
                <c:pt idx="227">
                  <c:v>206.95529532693689</c:v>
                </c:pt>
                <c:pt idx="228">
                  <c:v>206.76050921729762</c:v>
                </c:pt>
                <c:pt idx="229">
                  <c:v>206.56178197320807</c:v>
                </c:pt>
                <c:pt idx="230">
                  <c:v>206.35916647306593</c:v>
                </c:pt>
                <c:pt idx="231">
                  <c:v>206.15271510788492</c:v>
                </c:pt>
                <c:pt idx="232">
                  <c:v>205.94247978457892</c:v>
                </c:pt>
                <c:pt idx="233">
                  <c:v>205.72851192924955</c:v>
                </c:pt>
                <c:pt idx="234">
                  <c:v>205.51086249047594</c:v>
                </c:pt>
                <c:pt idx="235">
                  <c:v>205.28958194260596</c:v>
                </c:pt>
                <c:pt idx="236">
                  <c:v>205.06472028904813</c:v>
                </c:pt>
                <c:pt idx="237">
                  <c:v>204.83632706556293</c:v>
                </c:pt>
                <c:pt idx="238">
                  <c:v>204.60445134355371</c:v>
                </c:pt>
                <c:pt idx="239">
                  <c:v>204.36914173335529</c:v>
                </c:pt>
                <c:pt idx="240">
                  <c:v>204.13044638752035</c:v>
                </c:pt>
                <c:pt idx="241">
                  <c:v>203.8884130041026</c:v>
                </c:pt>
                <c:pt idx="242">
                  <c:v>203.64308882993612</c:v>
                </c:pt>
                <c:pt idx="243">
                  <c:v>203.39452066391004</c:v>
                </c:pt>
                <c:pt idx="244">
                  <c:v>203.14275486023811</c:v>
                </c:pt>
                <c:pt idx="245">
                  <c:v>202.88783733172281</c:v>
                </c:pt>
                <c:pt idx="246">
                  <c:v>202.62981355301275</c:v>
                </c:pt>
                <c:pt idx="247">
                  <c:v>202.36872856385338</c:v>
                </c:pt>
                <c:pt idx="248">
                  <c:v>202.10462697233035</c:v>
                </c:pt>
                <c:pt idx="249">
                  <c:v>201.83755295810479</c:v>
                </c:pt>
                <c:pt idx="250">
                  <c:v>201.56755027564026</c:v>
                </c:pt>
                <c:pt idx="251">
                  <c:v>201.29466225742067</c:v>
                </c:pt>
                <c:pt idx="252">
                  <c:v>201.01893181715903</c:v>
                </c:pt>
                <c:pt idx="253">
                  <c:v>200.74040145299628</c:v>
                </c:pt>
                <c:pt idx="254">
                  <c:v>200.45911325068988</c:v>
                </c:pt>
                <c:pt idx="255">
                  <c:v>200.17510888679175</c:v>
                </c:pt>
                <c:pt idx="256">
                  <c:v>199.88842963181537</c:v>
                </c:pt>
                <c:pt idx="257">
                  <c:v>199.59911635339131</c:v>
                </c:pt>
                <c:pt idx="258">
                  <c:v>199.30720951941106</c:v>
                </c:pt>
                <c:pt idx="259">
                  <c:v>199.01274920115884</c:v>
                </c:pt>
                <c:pt idx="260">
                  <c:v>198.71577507643099</c:v>
                </c:pt>
                <c:pt idx="261">
                  <c:v>197.7595218589986</c:v>
                </c:pt>
                <c:pt idx="262">
                  <c:v>196.58892075096614</c:v>
                </c:pt>
                <c:pt idx="263">
                  <c:v>195.35279031280413</c:v>
                </c:pt>
                <c:pt idx="264">
                  <c:v>194.10105807886799</c:v>
                </c:pt>
                <c:pt idx="265">
                  <c:v>192.85044945452773</c:v>
                </c:pt>
                <c:pt idx="266">
                  <c:v>191.60654230721664</c:v>
                </c:pt>
                <c:pt idx="267">
                  <c:v>190.37117165166964</c:v>
                </c:pt>
                <c:pt idx="268">
                  <c:v>189.14491573387949</c:v>
                </c:pt>
                <c:pt idx="269">
                  <c:v>187.92793072948621</c:v>
                </c:pt>
                <c:pt idx="270">
                  <c:v>186.72023100085707</c:v>
                </c:pt>
                <c:pt idx="271">
                  <c:v>185.52178320403678</c:v>
                </c:pt>
                <c:pt idx="272">
                  <c:v>184.33253789670252</c:v>
                </c:pt>
                <c:pt idx="273">
                  <c:v>183.15244016211741</c:v>
                </c:pt>
                <c:pt idx="274">
                  <c:v>181.98143318745622</c:v>
                </c:pt>
                <c:pt idx="275">
                  <c:v>180.81945947622256</c:v>
                </c:pt>
                <c:pt idx="276">
                  <c:v>179.66646126595222</c:v>
                </c:pt>
                <c:pt idx="277">
                  <c:v>178.52238067872975</c:v>
                </c:pt>
                <c:pt idx="278">
                  <c:v>177.38715978164299</c:v>
                </c:pt>
                <c:pt idx="279">
                  <c:v>176.26074061665369</c:v>
                </c:pt>
                <c:pt idx="280">
                  <c:v>175.14306521986362</c:v>
                </c:pt>
                <c:pt idx="281">
                  <c:v>174.03407563689422</c:v>
                </c:pt>
                <c:pt idx="282">
                  <c:v>172.93371393664404</c:v>
                </c:pt>
                <c:pt idx="283">
                  <c:v>171.84192222419406</c:v>
                </c:pt>
                <c:pt idx="284">
                  <c:v>170.75864265312774</c:v>
                </c:pt>
                <c:pt idx="285">
                  <c:v>169.68381743736447</c:v>
                </c:pt>
                <c:pt idx="286">
                  <c:v>168.61738886254795</c:v>
                </c:pt>
                <c:pt idx="287">
                  <c:v>167.55929929701148</c:v>
                </c:pt>
                <c:pt idx="288">
                  <c:v>166.50949120233554</c:v>
                </c:pt>
                <c:pt idx="289">
                  <c:v>165.46790714351079</c:v>
                </c:pt>
                <c:pt idx="290">
                  <c:v>164.43448979871818</c:v>
                </c:pt>
                <c:pt idx="291">
                  <c:v>163.40918196873758</c:v>
                </c:pt>
                <c:pt idx="292">
                  <c:v>162.39192658599589</c:v>
                </c:pt>
                <c:pt idx="293">
                  <c:v>161.38266672326517</c:v>
                </c:pt>
                <c:pt idx="294">
                  <c:v>160.38134560202121</c:v>
                </c:pt>
                <c:pt idx="295">
                  <c:v>159.38790660047249</c:v>
                </c:pt>
                <c:pt idx="296">
                  <c:v>158.40229326126922</c:v>
                </c:pt>
                <c:pt idx="297">
                  <c:v>157.42444929890212</c:v>
                </c:pt>
                <c:pt idx="298">
                  <c:v>156.45431860679997</c:v>
                </c:pt>
                <c:pt idx="299">
                  <c:v>155.49184526413487</c:v>
                </c:pt>
                <c:pt idx="300">
                  <c:v>154.53697354234427</c:v>
                </c:pt>
                <c:pt idx="301">
                  <c:v>153.5896479113778</c:v>
                </c:pt>
                <c:pt idx="302">
                  <c:v>152.64981304567732</c:v>
                </c:pt>
                <c:pt idx="303">
                  <c:v>151.71741382989831</c:v>
                </c:pt>
                <c:pt idx="304">
                  <c:v>150.79239536438018</c:v>
                </c:pt>
                <c:pt idx="305">
                  <c:v>149.87470297037331</c:v>
                </c:pt>
                <c:pt idx="306">
                  <c:v>148.96428219502988</c:v>
                </c:pt>
                <c:pt idx="307">
                  <c:v>148.06107881616597</c:v>
                </c:pt>
                <c:pt idx="308">
                  <c:v>147.16503884680168</c:v>
                </c:pt>
                <c:pt idx="309">
                  <c:v>146.27610853948602</c:v>
                </c:pt>
                <c:pt idx="310">
                  <c:v>145.39423439041335</c:v>
                </c:pt>
                <c:pt idx="311">
                  <c:v>144.51936314333747</c:v>
                </c:pt>
                <c:pt idx="312">
                  <c:v>143.65144179328996</c:v>
                </c:pt>
                <c:pt idx="313">
                  <c:v>142.78924999363224</c:v>
                </c:pt>
                <c:pt idx="314">
                  <c:v>141.93391681147037</c:v>
                </c:pt>
                <c:pt idx="315">
                  <c:v>141.08538984991242</c:v>
                </c:pt>
                <c:pt idx="316">
                  <c:v>140.24361697806026</c:v>
                </c:pt>
                <c:pt idx="317">
                  <c:v>139.40854633382463</c:v>
                </c:pt>
                <c:pt idx="318">
                  <c:v>138.58012632657815</c:v>
                </c:pt>
                <c:pt idx="319">
                  <c:v>137.75830563965096</c:v>
                </c:pt>
                <c:pt idx="320">
                  <c:v>136.94303323267425</c:v>
                </c:pt>
                <c:pt idx="321">
                  <c:v>136.1342583437762</c:v>
                </c:pt>
                <c:pt idx="322">
                  <c:v>135.33193049163538</c:v>
                </c:pt>
                <c:pt idx="323">
                  <c:v>134.53599947739588</c:v>
                </c:pt>
                <c:pt idx="324">
                  <c:v>133.74641538644875</c:v>
                </c:pt>
                <c:pt idx="325">
                  <c:v>132.9631285900839</c:v>
                </c:pt>
                <c:pt idx="326">
                  <c:v>132.18608974701667</c:v>
                </c:pt>
                <c:pt idx="327">
                  <c:v>131.41524980479366</c:v>
                </c:pt>
                <c:pt idx="328">
                  <c:v>130.65056000108063</c:v>
                </c:pt>
                <c:pt idx="329">
                  <c:v>129.89197186483756</c:v>
                </c:pt>
                <c:pt idx="330">
                  <c:v>129.13943721738357</c:v>
                </c:pt>
                <c:pt idx="331">
                  <c:v>128.39290817335618</c:v>
                </c:pt>
                <c:pt idx="332">
                  <c:v>127.65233714156771</c:v>
                </c:pt>
                <c:pt idx="333">
                  <c:v>126.9176768257627</c:v>
                </c:pt>
                <c:pt idx="334">
                  <c:v>126.18888022527939</c:v>
                </c:pt>
                <c:pt idx="335">
                  <c:v>125.46590063561882</c:v>
                </c:pt>
                <c:pt idx="336">
                  <c:v>124.74869164892428</c:v>
                </c:pt>
                <c:pt idx="337">
                  <c:v>124.03720715437443</c:v>
                </c:pt>
                <c:pt idx="338">
                  <c:v>123.331401338493</c:v>
                </c:pt>
                <c:pt idx="339">
                  <c:v>122.63122868537778</c:v>
                </c:pt>
                <c:pt idx="340">
                  <c:v>121.93664397685204</c:v>
                </c:pt>
                <c:pt idx="341">
                  <c:v>121.24760229254063</c:v>
                </c:pt>
                <c:pt idx="342">
                  <c:v>120.56405900987386</c:v>
                </c:pt>
                <c:pt idx="343">
                  <c:v>119.8859698040212</c:v>
                </c:pt>
                <c:pt idx="344">
                  <c:v>119.21329064775789</c:v>
                </c:pt>
                <c:pt idx="345">
                  <c:v>118.54597781126634</c:v>
                </c:pt>
                <c:pt idx="346">
                  <c:v>117.8839878618749</c:v>
                </c:pt>
                <c:pt idx="347">
                  <c:v>117.22727766373629</c:v>
                </c:pt>
                <c:pt idx="348">
                  <c:v>116.57580437744781</c:v>
                </c:pt>
                <c:pt idx="349">
                  <c:v>115.92952545961556</c:v>
                </c:pt>
                <c:pt idx="350">
                  <c:v>115.28839866236456</c:v>
                </c:pt>
                <c:pt idx="351">
                  <c:v>114.65238203279712</c:v>
                </c:pt>
                <c:pt idx="352">
                  <c:v>114.02143391240109</c:v>
                </c:pt>
                <c:pt idx="353">
                  <c:v>113.39551293641011</c:v>
                </c:pt>
                <c:pt idx="354">
                  <c:v>112.77457803311752</c:v>
                </c:pt>
                <c:pt idx="355">
                  <c:v>112.15858842314597</c:v>
                </c:pt>
                <c:pt idx="356">
                  <c:v>111.54750361867418</c:v>
                </c:pt>
                <c:pt idx="357">
                  <c:v>110.94128342262285</c:v>
                </c:pt>
                <c:pt idx="358">
                  <c:v>110.33988792780099</c:v>
                </c:pt>
                <c:pt idx="359">
                  <c:v>109.74327751601469</c:v>
                </c:pt>
                <c:pt idx="360">
                  <c:v>109.15141285713945</c:v>
                </c:pt>
                <c:pt idx="361">
                  <c:v>108.56425490815789</c:v>
                </c:pt>
                <c:pt idx="362">
                  <c:v>107.98176491216408</c:v>
                </c:pt>
                <c:pt idx="363">
                  <c:v>107.40390439733605</c:v>
                </c:pt>
                <c:pt idx="364">
                  <c:v>106.8306351758777</c:v>
                </c:pt>
                <c:pt idx="365">
                  <c:v>106.26097826228985</c:v>
                </c:pt>
                <c:pt idx="366">
                  <c:v>105.6958470996989</c:v>
                </c:pt>
                <c:pt idx="367">
                  <c:v>105.13520422722949</c:v>
                </c:pt>
                <c:pt idx="368">
                  <c:v>104.57901246481832</c:v>
                </c:pt>
                <c:pt idx="369">
                  <c:v>104.02723491201063</c:v>
                </c:pt>
                <c:pt idx="370">
                  <c:v>103.47983494673367</c:v>
                </c:pt>
                <c:pt idx="371">
                  <c:v>102.93677622404822</c:v>
                </c:pt>
                <c:pt idx="372">
                  <c:v>102.39802267487902</c:v>
                </c:pt>
                <c:pt idx="373">
                  <c:v>101.86353850472557</c:v>
                </c:pt>
                <c:pt idx="374">
                  <c:v>101.33328819235375</c:v>
                </c:pt>
                <c:pt idx="375">
                  <c:v>100.8072364884698</c:v>
                </c:pt>
                <c:pt idx="376">
                  <c:v>100.28534841437713</c:v>
                </c:pt>
                <c:pt idx="377">
                  <c:v>99.767589260617171</c:v>
                </c:pt>
                <c:pt idx="378">
                  <c:v>99.253924585595087</c:v>
                </c:pt>
                <c:pt idx="379">
                  <c:v>98.744320214191063</c:v>
                </c:pt>
                <c:pt idx="380">
                  <c:v>98.23874223635822</c:v>
                </c:pt>
                <c:pt idx="381">
                  <c:v>97.737157005707843</c:v>
                </c:pt>
                <c:pt idx="382">
                  <c:v>97.23953113808264</c:v>
                </c:pt>
                <c:pt idx="383">
                  <c:v>96.745831510118947</c:v>
                </c:pt>
                <c:pt idx="384">
                  <c:v>96.25602525779847</c:v>
                </c:pt>
                <c:pt idx="385">
                  <c:v>95.770079774990364</c:v>
                </c:pt>
                <c:pt idx="386">
                  <c:v>95.28796271198425</c:v>
                </c:pt>
                <c:pt idx="387">
                  <c:v>94.809641974014895</c:v>
                </c:pt>
                <c:pt idx="388">
                  <c:v>94.335085719779201</c:v>
                </c:pt>
                <c:pt idx="389">
                  <c:v>93.864262359946096</c:v>
                </c:pt>
                <c:pt idx="390">
                  <c:v>93.39714055565986</c:v>
                </c:pt>
                <c:pt idx="391">
                  <c:v>92.933689217037639</c:v>
                </c:pt>
                <c:pt idx="392">
                  <c:v>92.473877501661562</c:v>
                </c:pt>
                <c:pt idx="393">
                  <c:v>92.017674813066023</c:v>
                </c:pt>
                <c:pt idx="394">
                  <c:v>91.565050799220714</c:v>
                </c:pt>
                <c:pt idx="395">
                  <c:v>91.11597535100988</c:v>
                </c:pt>
                <c:pt idx="396">
                  <c:v>90.67041860070826</c:v>
                </c:pt>
                <c:pt idx="397">
                  <c:v>90.228350920454233</c:v>
                </c:pt>
                <c:pt idx="398">
                  <c:v>89.789742920720613</c:v>
                </c:pt>
                <c:pt idx="399">
                  <c:v>89.354565448783504</c:v>
                </c:pt>
                <c:pt idx="400">
                  <c:v>88.922789587189698</c:v>
                </c:pt>
                <c:pt idx="401">
                  <c:v>88.494386652222957</c:v>
                </c:pt>
                <c:pt idx="402">
                  <c:v>88.06932819236971</c:v>
                </c:pt>
                <c:pt idx="403">
                  <c:v>87.647585986784279</c:v>
                </c:pt>
                <c:pt idx="404">
                  <c:v>87.22913204375439</c:v>
                </c:pt>
                <c:pt idx="405">
                  <c:v>86.81393859916696</c:v>
                </c:pt>
                <c:pt idx="406">
                  <c:v>86.401978114974767</c:v>
                </c:pt>
                <c:pt idx="407">
                  <c:v>85.993223277664143</c:v>
                </c:pt>
                <c:pt idx="408">
                  <c:v>85.58764699672416</c:v>
                </c:pt>
                <c:pt idx="409">
                  <c:v>85.185222403117535</c:v>
                </c:pt>
                <c:pt idx="410">
                  <c:v>84.785922847753568</c:v>
                </c:pt>
                <c:pt idx="411">
                  <c:v>84.389721899963405</c:v>
                </c:pt>
                <c:pt idx="412">
                  <c:v>83.996593345977885</c:v>
                </c:pt>
                <c:pt idx="413">
                  <c:v>83.606511187408302</c:v>
                </c:pt>
                <c:pt idx="414">
                  <c:v>83.219449639730215</c:v>
                </c:pt>
                <c:pt idx="415">
                  <c:v>82.835383130770722</c:v>
                </c:pt>
                <c:pt idx="416">
                  <c:v>82.454286299199183</c:v>
                </c:pt>
                <c:pt idx="417">
                  <c:v>82.075327316998866</c:v>
                </c:pt>
                <c:pt idx="418">
                  <c:v>81.699295282965025</c:v>
                </c:pt>
                <c:pt idx="419">
                  <c:v>81.326165374433842</c:v>
                </c:pt>
                <c:pt idx="420">
                  <c:v>80.955912974535508</c:v>
                </c:pt>
                <c:pt idx="421">
                  <c:v>80.588513670696813</c:v>
                </c:pt>
                <c:pt idx="422">
                  <c:v>80.223943253148519</c:v>
                </c:pt>
                <c:pt idx="423">
                  <c:v>79.862177713437958</c:v>
                </c:pt>
                <c:pt idx="424">
                  <c:v>79.503193242946736</c:v>
                </c:pt>
                <c:pt idx="425">
                  <c:v>79.146966231414027</c:v>
                </c:pt>
                <c:pt idx="426">
                  <c:v>78.793473265465209</c:v>
                </c:pt>
                <c:pt idx="427">
                  <c:v>78.442691127146475</c:v>
                </c:pt>
                <c:pt idx="428">
                  <c:v>78.094596792465126</c:v>
                </c:pt>
                <c:pt idx="429">
                  <c:v>77.749167429935966</c:v>
                </c:pt>
                <c:pt idx="430">
                  <c:v>77.406380399133738</c:v>
                </c:pt>
                <c:pt idx="431">
                  <c:v>77.066213249251931</c:v>
                </c:pt>
                <c:pt idx="432">
                  <c:v>76.728643717667808</c:v>
                </c:pt>
                <c:pt idx="433">
                  <c:v>76.393649728514106</c:v>
                </c:pt>
                <c:pt idx="434">
                  <c:v>76.061209391257151</c:v>
                </c:pt>
                <c:pt idx="435">
                  <c:v>75.731300999281729</c:v>
                </c:pt>
                <c:pt idx="436">
                  <c:v>75.403903028482773</c:v>
                </c:pt>
                <c:pt idx="437">
                  <c:v>75.078994135863937</c:v>
                </c:pt>
                <c:pt idx="438">
                  <c:v>74.756553158143021</c:v>
                </c:pt>
                <c:pt idx="439">
                  <c:v>74.436559110364584</c:v>
                </c:pt>
                <c:pt idx="440">
                  <c:v>74.118991184519601</c:v>
                </c:pt>
                <c:pt idx="441">
                  <c:v>73.803828748172393</c:v>
                </c:pt>
                <c:pt idx="442">
                  <c:v>73.491051343094668</c:v>
                </c:pt>
                <c:pt idx="443">
                  <c:v>73.180638683907034</c:v>
                </c:pt>
                <c:pt idx="444">
                  <c:v>72.872570656727859</c:v>
                </c:pt>
                <c:pt idx="445">
                  <c:v>72.566827317829564</c:v>
                </c:pt>
                <c:pt idx="446">
                  <c:v>72.26338889230243</c:v>
                </c:pt>
                <c:pt idx="447">
                  <c:v>71.962235772725919</c:v>
                </c:pt>
                <c:pt idx="448">
                  <c:v>71.663348517847652</c:v>
                </c:pt>
                <c:pt idx="449">
                  <c:v>71.366707851269936</c:v>
                </c:pt>
                <c:pt idx="450">
                  <c:v>71.072294660144053</c:v>
                </c:pt>
                <c:pt idx="451">
                  <c:v>70.78008999387221</c:v>
                </c:pt>
                <c:pt idx="452">
                  <c:v>70.490075062817212</c:v>
                </c:pt>
                <c:pt idx="453">
                  <c:v>70.202231237019959</c:v>
                </c:pt>
                <c:pt idx="454">
                  <c:v>69.916540044924687</c:v>
                </c:pt>
                <c:pt idx="455">
                  <c:v>69.63298317211212</c:v>
                </c:pt>
                <c:pt idx="456">
                  <c:v>69.351542460040363</c:v>
                </c:pt>
                <c:pt idx="457">
                  <c:v>69.072199904793692</c:v>
                </c:pt>
                <c:pt idx="458">
                  <c:v>68.794937655839263</c:v>
                </c:pt>
                <c:pt idx="459">
                  <c:v>68.519738014791642</c:v>
                </c:pt>
                <c:pt idx="460">
                  <c:v>68.246583434185339</c:v>
                </c:pt>
                <c:pt idx="461">
                  <c:v>67.975456516255178</c:v>
                </c:pt>
                <c:pt idx="462">
                  <c:v>67.706340011724564</c:v>
                </c:pt>
                <c:pt idx="463">
                  <c:v>67.43921681860175</c:v>
                </c:pt>
                <c:pt idx="464">
                  <c:v>67.174069980984029</c:v>
                </c:pt>
                <c:pt idx="465">
                  <c:v>66.910882687869787</c:v>
                </c:pt>
                <c:pt idx="466">
                  <c:v>66.649638271978546</c:v>
                </c:pt>
                <c:pt idx="467">
                  <c:v>66.390320208578842</c:v>
                </c:pt>
                <c:pt idx="468">
                  <c:v>66.132912114324242</c:v>
                </c:pt>
                <c:pt idx="469">
                  <c:v>65.876660612280276</c:v>
                </c:pt>
                <c:pt idx="470">
                  <c:v>65.622292398526199</c:v>
                </c:pt>
                <c:pt idx="471">
                  <c:v>65.369791445040946</c:v>
                </c:pt>
                <c:pt idx="472">
                  <c:v>65.119141861301372</c:v>
                </c:pt>
                <c:pt idx="473">
                  <c:v>64.870327893150531</c:v>
                </c:pt>
                <c:pt idx="474">
                  <c:v>64.623333921673918</c:v>
                </c:pt>
                <c:pt idx="475">
                  <c:v>64.378144462083469</c:v>
                </c:pt>
                <c:pt idx="476">
                  <c:v>64.134744162609593</c:v>
                </c:pt>
                <c:pt idx="477">
                  <c:v>63.89311780340104</c:v>
                </c:pt>
                <c:pt idx="478">
                  <c:v>63.653250295432592</c:v>
                </c:pt>
                <c:pt idx="479">
                  <c:v>63.415126679420553</c:v>
                </c:pt>
                <c:pt idx="480">
                  <c:v>63.178732124746155</c:v>
                </c:pt>
                <c:pt idx="481">
                  <c:v>62.944051928386642</c:v>
                </c:pt>
                <c:pt idx="482">
                  <c:v>62.711071513854172</c:v>
                </c:pt>
                <c:pt idx="483">
                  <c:v>62.479776430142458</c:v>
                </c:pt>
                <c:pt idx="484">
                  <c:v>62.250152350681084</c:v>
                </c:pt>
                <c:pt idx="485">
                  <c:v>62.022185072297553</c:v>
                </c:pt>
                <c:pt idx="486">
                  <c:v>61.79586051418697</c:v>
                </c:pt>
                <c:pt idx="487">
                  <c:v>61.571164716889349</c:v>
                </c:pt>
                <c:pt idx="488">
                  <c:v>61.348083841274523</c:v>
                </c:pt>
                <c:pt idx="489">
                  <c:v>61.126604167534651</c:v>
                </c:pt>
                <c:pt idx="490">
                  <c:v>60.906712094184236</c:v>
                </c:pt>
                <c:pt idx="491">
                  <c:v>60.688394137067661</c:v>
                </c:pt>
                <c:pt idx="492">
                  <c:v>60.471636928374217</c:v>
                </c:pt>
                <c:pt idx="493">
                  <c:v>60.256427215660544</c:v>
                </c:pt>
                <c:pt idx="494">
                  <c:v>60.042751860880529</c:v>
                </c:pt>
                <c:pt idx="495">
                  <c:v>59.830597839422538</c:v>
                </c:pt>
                <c:pt idx="496">
                  <c:v>59.619952239154031</c:v>
                </c:pt>
                <c:pt idx="497">
                  <c:v>59.410802259473449</c:v>
                </c:pt>
                <c:pt idx="498">
                  <c:v>59.203135210369403</c:v>
                </c:pt>
                <c:pt idx="499">
                  <c:v>58.996938511487102</c:v>
                </c:pt>
                <c:pt idx="500">
                  <c:v>58.792199691201972</c:v>
                </c:pt>
                <c:pt idx="501">
                  <c:v>58.588906385700433</c:v>
                </c:pt>
                <c:pt idx="502">
                  <c:v>58.387046338067812</c:v>
                </c:pt>
                <c:pt idx="503">
                  <c:v>58.186607397383383</c:v>
                </c:pt>
                <c:pt idx="504">
                  <c:v>57.98757751782238</c:v>
                </c:pt>
                <c:pt idx="505">
                  <c:v>57.789944757765134</c:v>
                </c:pt>
                <c:pt idx="506">
                  <c:v>57.593697278913083</c:v>
                </c:pt>
                <c:pt idx="507">
                  <c:v>57.39882334541177</c:v>
                </c:pt>
                <c:pt idx="508">
                  <c:v>57.205311322980762</c:v>
                </c:pt>
                <c:pt idx="509">
                  <c:v>57.013149678050397</c:v>
                </c:pt>
                <c:pt idx="510">
                  <c:v>56.822326976905345</c:v>
                </c:pt>
                <c:pt idx="511">
                  <c:v>56.632831884834992</c:v>
                </c:pt>
                <c:pt idx="512">
                  <c:v>56.444653165290532</c:v>
                </c:pt>
                <c:pt idx="513">
                  <c:v>56.257779679048767</c:v>
                </c:pt>
                <c:pt idx="514">
                  <c:v>56.072200383382565</c:v>
                </c:pt>
                <c:pt idx="515">
                  <c:v>55.887904331237991</c:v>
                </c:pt>
                <c:pt idx="516">
                  <c:v>55.704880670417936</c:v>
                </c:pt>
                <c:pt idx="517">
                  <c:v>55.523118642772324</c:v>
                </c:pt>
                <c:pt idx="518">
                  <c:v>55.342607583394873</c:v>
                </c:pt>
                <c:pt idx="519">
                  <c:v>55.1633369198262</c:v>
                </c:pt>
              </c:numCache>
            </c:numRef>
          </c:val>
          <c:smooth val="0"/>
          <c:extLst>
            <c:ext xmlns:c16="http://schemas.microsoft.com/office/drawing/2014/chart" uri="{C3380CC4-5D6E-409C-BE32-E72D297353CC}">
              <c16:uniqueId val="{00000008-907F-4589-BC87-CB41FF02749B}"/>
            </c:ext>
          </c:extLst>
        </c:ser>
        <c:ser>
          <c:idx val="11"/>
          <c:order val="11"/>
          <c:tx>
            <c:strRef>
              <c:f>Steroid!$N$534</c:f>
              <c:strCache>
                <c:ptCount val="1"/>
                <c:pt idx="0">
                  <c:v>Disabled</c:v>
                </c:pt>
              </c:strCache>
            </c:strRef>
          </c:tx>
          <c:spPr>
            <a:ln w="28575" cap="rnd">
              <a:solidFill>
                <a:schemeClr val="accent6">
                  <a:lumMod val="60000"/>
                </a:schemeClr>
              </a:solidFill>
              <a:round/>
            </a:ln>
            <a:effectLst/>
          </c:spPr>
          <c:marker>
            <c:symbol val="none"/>
          </c:marker>
          <c:cat>
            <c:numRef>
              <c:f>Steroid!$B$535:$B$1054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Steroid!$N$535:$N$1054</c:f>
              <c:numCache>
                <c:formatCode>0</c:formatCode>
                <c:ptCount val="520"/>
                <c:pt idx="0">
                  <c:v>0</c:v>
                </c:pt>
                <c:pt idx="1">
                  <c:v>0</c:v>
                </c:pt>
                <c:pt idx="2">
                  <c:v>0</c:v>
                </c:pt>
                <c:pt idx="3">
                  <c:v>1.4335005021925456E-2</c:v>
                </c:pt>
                <c:pt idx="4">
                  <c:v>4.7785709841058892E-2</c:v>
                </c:pt>
                <c:pt idx="5">
                  <c:v>0.10192101409693903</c:v>
                </c:pt>
                <c:pt idx="6">
                  <c:v>0.17722769986453404</c:v>
                </c:pt>
                <c:pt idx="7">
                  <c:v>0.27382562689010637</c:v>
                </c:pt>
                <c:pt idx="8">
                  <c:v>0.39170800509695719</c:v>
                </c:pt>
                <c:pt idx="9">
                  <c:v>0.5308222055544457</c:v>
                </c:pt>
                <c:pt idx="10">
                  <c:v>0.69109702744448243</c:v>
                </c:pt>
                <c:pt idx="11">
                  <c:v>0.87245198339523244</c:v>
                </c:pt>
                <c:pt idx="12">
                  <c:v>1.0748005435075192</c:v>
                </c:pt>
                <c:pt idx="13">
                  <c:v>1.2980513471961173</c:v>
                </c:pt>
                <c:pt idx="14">
                  <c:v>1.5421087290304822</c:v>
                </c:pt>
                <c:pt idx="15">
                  <c:v>1.8068730106641531</c:v>
                </c:pt>
                <c:pt idx="16">
                  <c:v>2.0922407107430621</c:v>
                </c:pt>
                <c:pt idx="17">
                  <c:v>2.3981047238872222</c:v>
                </c:pt>
                <c:pt idx="18">
                  <c:v>2.7243544859950481</c:v>
                </c:pt>
                <c:pt idx="19">
                  <c:v>3.0708761317533528</c:v>
                </c:pt>
                <c:pt idx="20">
                  <c:v>3.4375526464173203</c:v>
                </c:pt>
                <c:pt idx="21">
                  <c:v>3.8242640126402003</c:v>
                </c:pt>
                <c:pt idx="22">
                  <c:v>4.2308873526988187</c:v>
                </c:pt>
                <c:pt idx="23">
                  <c:v>4.6572970663131201</c:v>
                </c:pt>
                <c:pt idx="24">
                  <c:v>5.1033649642060848</c:v>
                </c:pt>
                <c:pt idx="25">
                  <c:v>5.5689603975307795</c:v>
                </c:pt>
                <c:pt idx="26">
                  <c:v>6.0539503832826389</c:v>
                </c:pt>
                <c:pt idx="27">
                  <c:v>6.5581997258100913</c:v>
                </c:pt>
                <c:pt idx="28">
                  <c:v>7.0815711345330001</c:v>
                </c:pt>
                <c:pt idx="29">
                  <c:v>7.623925337975221</c:v>
                </c:pt>
                <c:pt idx="30">
                  <c:v>8.1851211942146254</c:v>
                </c:pt>
                <c:pt idx="31">
                  <c:v>8.765015797851115</c:v>
                </c:pt>
                <c:pt idx="32">
                  <c:v>9.3634645835903978</c:v>
                </c:pt>
                <c:pt idx="33">
                  <c:v>9.9803214265386853</c:v>
                </c:pt>
                <c:pt idx="34">
                  <c:v>10.615438739300828</c:v>
                </c:pt>
                <c:pt idx="35">
                  <c:v>11.268667565971919</c:v>
                </c:pt>
                <c:pt idx="36">
                  <c:v>11.939857673109984</c:v>
                </c:pt>
                <c:pt idx="37">
                  <c:v>12.62885763777491</c:v>
                </c:pt>
                <c:pt idx="38">
                  <c:v>13.33551493271654</c:v>
                </c:pt>
                <c:pt idx="39">
                  <c:v>14.059676008792541</c:v>
                </c:pt>
                <c:pt idx="40">
                  <c:v>14.801186374694492</c:v>
                </c:pt>
                <c:pt idx="41">
                  <c:v>15.559890674058485</c:v>
                </c:pt>
                <c:pt idx="42">
                  <c:v>16.335632760034482</c:v>
                </c:pt>
                <c:pt idx="43">
                  <c:v>17.128255767386605</c:v>
                </c:pt>
                <c:pt idx="44">
                  <c:v>17.937602182194617</c:v>
                </c:pt>
                <c:pt idx="45">
                  <c:v>18.763513909224901</c:v>
                </c:pt>
                <c:pt idx="46">
                  <c:v>19.605832337037391</c:v>
                </c:pt>
                <c:pt idx="47">
                  <c:v>20.464398400893117</c:v>
                </c:pt>
                <c:pt idx="48">
                  <c:v>21.339052643525232</c:v>
                </c:pt>
                <c:pt idx="49">
                  <c:v>22.229635273834695</c:v>
                </c:pt>
                <c:pt idx="50">
                  <c:v>23.135986223570065</c:v>
                </c:pt>
                <c:pt idx="51">
                  <c:v>24.05794520204935</c:v>
                </c:pt>
                <c:pt idx="52">
                  <c:v>24.995351748980116</c:v>
                </c:pt>
                <c:pt idx="53">
                  <c:v>25.947900755014</c:v>
                </c:pt>
                <c:pt idx="54">
                  <c:v>26.915565321355814</c:v>
                </c:pt>
                <c:pt idx="55">
                  <c:v>27.898184527455587</c:v>
                </c:pt>
                <c:pt idx="56">
                  <c:v>28.895597480075729</c:v>
                </c:pt>
                <c:pt idx="57">
                  <c:v>29.907643357392452</c:v>
                </c:pt>
                <c:pt idx="58">
                  <c:v>30.934161451500891</c:v>
                </c:pt>
                <c:pt idx="59">
                  <c:v>31.974991209370305</c:v>
                </c:pt>
                <c:pt idx="60">
                  <c:v>33.029972272294494</c:v>
                </c:pt>
                <c:pt idx="61">
                  <c:v>34.098944513881335</c:v>
                </c:pt>
                <c:pt idx="62">
                  <c:v>35.181748076624139</c:v>
                </c:pt>
                <c:pt idx="63">
                  <c:v>36.27822340709627</c:v>
                </c:pt>
                <c:pt idx="64">
                  <c:v>37.388211289809497</c:v>
                </c:pt>
                <c:pt idx="65">
                  <c:v>38.511552879775294</c:v>
                </c:pt>
                <c:pt idx="66">
                  <c:v>39.648089733807232</c:v>
                </c:pt>
                <c:pt idx="67">
                  <c:v>40.797663840601658</c:v>
                </c:pt>
                <c:pt idx="68">
                  <c:v>41.960117649632735</c:v>
                </c:pt>
                <c:pt idx="69">
                  <c:v>43.135294098896956</c:v>
                </c:pt>
                <c:pt idx="70">
                  <c:v>44.323036641541265</c:v>
                </c:pt>
                <c:pt idx="71">
                  <c:v>45.523189271408008</c:v>
                </c:pt>
                <c:pt idx="72">
                  <c:v>46.735596547528978</c:v>
                </c:pt>
                <c:pt idx="73">
                  <c:v>47.960103617599955</c:v>
                </c:pt>
                <c:pt idx="74">
                  <c:v>49.196556240466244</c:v>
                </c:pt>
                <c:pt idx="75">
                  <c:v>50.444800807648896</c:v>
                </c:pt>
                <c:pt idx="76">
                  <c:v>51.704684363940515</c:v>
                </c:pt>
                <c:pt idx="77">
                  <c:v>52.976054627098598</c:v>
                </c:pt>
                <c:pt idx="78">
                  <c:v>54.258760006663813</c:v>
                </c:pt>
                <c:pt idx="79">
                  <c:v>55.552649621929625</c:v>
                </c:pt>
                <c:pt idx="80">
                  <c:v>56.857573319089141</c:v>
                </c:pt>
                <c:pt idx="81">
                  <c:v>58.17338168758419</c:v>
                </c:pt>
                <c:pt idx="82">
                  <c:v>59.499926075680996</c:v>
                </c:pt>
                <c:pt idx="83">
                  <c:v>60.837058605296214</c:v>
                </c:pt>
                <c:pt idx="84">
                  <c:v>62.184632186096252</c:v>
                </c:pt>
                <c:pt idx="85">
                  <c:v>63.542500528892369</c:v>
                </c:pt>
                <c:pt idx="86">
                  <c:v>64.910518158353256</c:v>
                </c:pt>
                <c:pt idx="87">
                  <c:v>66.288540425056254</c:v>
                </c:pt>
                <c:pt idx="88">
                  <c:v>67.676423516897813</c:v>
                </c:pt>
                <c:pt idx="89">
                  <c:v>69.074024469883184</c:v>
                </c:pt>
                <c:pt idx="90">
                  <c:v>70.481201178314706</c:v>
                </c:pt>
                <c:pt idx="91">
                  <c:v>71.897812404397655</c:v>
                </c:pt>
                <c:pt idx="92">
                  <c:v>73.32371778728195</c:v>
                </c:pt>
                <c:pt idx="93">
                  <c:v>74.758777851557667</c:v>
                </c:pt>
                <c:pt idx="94">
                  <c:v>76.202854015221533</c:v>
                </c:pt>
                <c:pt idx="95">
                  <c:v>77.655808597131355</c:v>
                </c:pt>
                <c:pt idx="96">
                  <c:v>79.117504823964808</c:v>
                </c:pt>
                <c:pt idx="97">
                  <c:v>80.587806836698434</c:v>
                </c:pt>
                <c:pt idx="98">
                  <c:v>82.066579696622199</c:v>
                </c:pt>
                <c:pt idx="99">
                  <c:v>83.553689390904992</c:v>
                </c:pt>
                <c:pt idx="100">
                  <c:v>85.049002837725197</c:v>
                </c:pt>
                <c:pt idx="101">
                  <c:v>86.552387890981009</c:v>
                </c:pt>
                <c:pt idx="102">
                  <c:v>88.063713344593907</c:v>
                </c:pt>
                <c:pt idx="103">
                  <c:v>89.582848936418841</c:v>
                </c:pt>
                <c:pt idx="104">
                  <c:v>91.109665351774254</c:v>
                </c:pt>
                <c:pt idx="105">
                  <c:v>92.64346437810633</c:v>
                </c:pt>
                <c:pt idx="106">
                  <c:v>94.184669489676395</c:v>
                </c:pt>
                <c:pt idx="107">
                  <c:v>95.733154097067654</c:v>
                </c:pt>
                <c:pt idx="108">
                  <c:v>97.288792571987685</c:v>
                </c:pt>
                <c:pt idx="109">
                  <c:v>98.85146024904995</c:v>
                </c:pt>
                <c:pt idx="110">
                  <c:v>100.42103342724558</c:v>
                </c:pt>
                <c:pt idx="111">
                  <c:v>101.99738937111624</c:v>
                </c:pt>
                <c:pt idx="112">
                  <c:v>103.58040631163837</c:v>
                </c:pt>
                <c:pt idx="113">
                  <c:v>105.16996344682865</c:v>
                </c:pt>
                <c:pt idx="114">
                  <c:v>106.76594094208079</c:v>
                </c:pt>
                <c:pt idx="115">
                  <c:v>108.36821993024277</c:v>
                </c:pt>
                <c:pt idx="116">
                  <c:v>109.97668251144398</c:v>
                </c:pt>
                <c:pt idx="117">
                  <c:v>111.59121175268101</c:v>
                </c:pt>
                <c:pt idx="118">
                  <c:v>113.21169168717086</c:v>
                </c:pt>
                <c:pt idx="119">
                  <c:v>114.83800731348009</c:v>
                </c:pt>
                <c:pt idx="120">
                  <c:v>116.47004459443781</c:v>
                </c:pt>
                <c:pt idx="121">
                  <c:v>118.10769045584065</c:v>
                </c:pt>
                <c:pt idx="122">
                  <c:v>119.7508327849575</c:v>
                </c:pt>
                <c:pt idx="123">
                  <c:v>121.39936042884115</c:v>
                </c:pt>
                <c:pt idx="124">
                  <c:v>123.05316319245453</c:v>
                </c:pt>
                <c:pt idx="125">
                  <c:v>124.71213183661835</c:v>
                </c:pt>
                <c:pt idx="126">
                  <c:v>126.37615807578689</c:v>
                </c:pt>
                <c:pt idx="127">
                  <c:v>128.04513457565886</c:v>
                </c:pt>
                <c:pt idx="128">
                  <c:v>129.71895495062964</c:v>
                </c:pt>
                <c:pt idx="129">
                  <c:v>131.39751376109101</c:v>
                </c:pt>
                <c:pt idx="130">
                  <c:v>133.08070651058472</c:v>
                </c:pt>
                <c:pt idx="131">
                  <c:v>134.76842964281559</c:v>
                </c:pt>
                <c:pt idx="132">
                  <c:v>136.46058053852997</c:v>
                </c:pt>
                <c:pt idx="133">
                  <c:v>138.15705751226491</c:v>
                </c:pt>
                <c:pt idx="134">
                  <c:v>139.85775980897375</c:v>
                </c:pt>
                <c:pt idx="135">
                  <c:v>141.56258760053305</c:v>
                </c:pt>
                <c:pt idx="136">
                  <c:v>143.271441982136</c:v>
                </c:pt>
                <c:pt idx="137">
                  <c:v>144.98422496857745</c:v>
                </c:pt>
                <c:pt idx="138">
                  <c:v>146.70083949043484</c:v>
                </c:pt>
                <c:pt idx="139">
                  <c:v>148.42118939015023</c:v>
                </c:pt>
                <c:pt idx="140">
                  <c:v>150.14517941801739</c:v>
                </c:pt>
                <c:pt idx="141">
                  <c:v>151.87271522807856</c:v>
                </c:pt>
                <c:pt idx="142">
                  <c:v>153.60370337393525</c:v>
                </c:pt>
                <c:pt idx="143">
                  <c:v>155.33805130447666</c:v>
                </c:pt>
                <c:pt idx="144">
                  <c:v>157.0756673595302</c:v>
                </c:pt>
                <c:pt idx="145">
                  <c:v>158.81646076543763</c:v>
                </c:pt>
                <c:pt idx="146">
                  <c:v>160.56034163056069</c:v>
                </c:pt>
                <c:pt idx="147">
                  <c:v>162.30722094071965</c:v>
                </c:pt>
                <c:pt idx="148">
                  <c:v>164.05701055456862</c:v>
                </c:pt>
                <c:pt idx="149">
                  <c:v>165.80962319891046</c:v>
                </c:pt>
                <c:pt idx="150">
                  <c:v>167.56497246395517</c:v>
                </c:pt>
                <c:pt idx="151">
                  <c:v>169.32297279852449</c:v>
                </c:pt>
                <c:pt idx="152">
                  <c:v>171.08353950520595</c:v>
                </c:pt>
                <c:pt idx="153">
                  <c:v>172.84658873545931</c:v>
                </c:pt>
                <c:pt idx="154">
                  <c:v>174.61203748467855</c:v>
                </c:pt>
                <c:pt idx="155">
                  <c:v>176.37980358721154</c:v>
                </c:pt>
                <c:pt idx="156">
                  <c:v>178.14980571134089</c:v>
                </c:pt>
                <c:pt idx="157">
                  <c:v>179.92071783526697</c:v>
                </c:pt>
                <c:pt idx="158">
                  <c:v>181.69368124297171</c:v>
                </c:pt>
                <c:pt idx="159">
                  <c:v>183.46861703266978</c:v>
                </c:pt>
                <c:pt idx="160">
                  <c:v>185.24544711826138</c:v>
                </c:pt>
                <c:pt idx="161">
                  <c:v>187.02409422412634</c:v>
                </c:pt>
                <c:pt idx="162">
                  <c:v>188.80448187989384</c:v>
                </c:pt>
                <c:pt idx="163">
                  <c:v>190.58653441518967</c:v>
                </c:pt>
                <c:pt idx="164">
                  <c:v>192.37017695436327</c:v>
                </c:pt>
                <c:pt idx="165">
                  <c:v>194.1553354111966</c:v>
                </c:pt>
                <c:pt idx="166">
                  <c:v>195.94193648359663</c:v>
                </c:pt>
                <c:pt idx="167">
                  <c:v>197.72990764827352</c:v>
                </c:pt>
                <c:pt idx="168">
                  <c:v>199.51917715540606</c:v>
                </c:pt>
                <c:pt idx="169">
                  <c:v>201.30967402329628</c:v>
                </c:pt>
                <c:pt idx="170">
                  <c:v>203.10132803301511</c:v>
                </c:pt>
                <c:pt idx="171">
                  <c:v>204.8940697230403</c:v>
                </c:pt>
                <c:pt idx="172">
                  <c:v>206.68783038388847</c:v>
                </c:pt>
                <c:pt idx="173">
                  <c:v>208.4825420527427</c:v>
                </c:pt>
                <c:pt idx="174">
                  <c:v>210.27813750807738</c:v>
                </c:pt>
                <c:pt idx="175">
                  <c:v>212.0745502642813</c:v>
                </c:pt>
                <c:pt idx="176">
                  <c:v>213.87171456628079</c:v>
                </c:pt>
                <c:pt idx="177">
                  <c:v>215.66956538416383</c:v>
                </c:pt>
                <c:pt idx="178">
                  <c:v>217.46803840780689</c:v>
                </c:pt>
                <c:pt idx="179">
                  <c:v>219.26707004150518</c:v>
                </c:pt>
                <c:pt idx="180">
                  <c:v>221.066597398608</c:v>
                </c:pt>
                <c:pt idx="181">
                  <c:v>222.86655829616001</c:v>
                </c:pt>
                <c:pt idx="182">
                  <c:v>224.66689124954948</c:v>
                </c:pt>
                <c:pt idx="183">
                  <c:v>226.46753546716505</c:v>
                </c:pt>
                <c:pt idx="184">
                  <c:v>228.26843084506135</c:v>
                </c:pt>
                <c:pt idx="185">
                  <c:v>230.06951796163494</c:v>
                </c:pt>
                <c:pt idx="186">
                  <c:v>231.87073807231144</c:v>
                </c:pt>
                <c:pt idx="187">
                  <c:v>233.6720331042446</c:v>
                </c:pt>
                <c:pt idx="188">
                  <c:v>235.4733456510283</c:v>
                </c:pt>
                <c:pt idx="189">
                  <c:v>237.27461896742224</c:v>
                </c:pt>
                <c:pt idx="190">
                  <c:v>239.07579696409238</c:v>
                </c:pt>
                <c:pt idx="191">
                  <c:v>240.87682420236641</c:v>
                </c:pt>
                <c:pt idx="192">
                  <c:v>242.67764588900565</c:v>
                </c:pt>
                <c:pt idx="193">
                  <c:v>244.47820787099337</c:v>
                </c:pt>
                <c:pt idx="194">
                  <c:v>246.27845663034083</c:v>
                </c:pt>
                <c:pt idx="195">
                  <c:v>248.07833927891136</c:v>
                </c:pt>
                <c:pt idx="196">
                  <c:v>249.87780355326325</c:v>
                </c:pt>
                <c:pt idx="197">
                  <c:v>251.67679780951181</c:v>
                </c:pt>
                <c:pt idx="198">
                  <c:v>253.47527101821174</c:v>
                </c:pt>
                <c:pt idx="199">
                  <c:v>255.27317275925955</c:v>
                </c:pt>
                <c:pt idx="200">
                  <c:v>257.07045321681721</c:v>
                </c:pt>
                <c:pt idx="201">
                  <c:v>258.86706317425745</c:v>
                </c:pt>
                <c:pt idx="202">
                  <c:v>260.66295400913066</c:v>
                </c:pt>
                <c:pt idx="203">
                  <c:v>262.45807768815462</c:v>
                </c:pt>
                <c:pt idx="204">
                  <c:v>264.25238676222688</c:v>
                </c:pt>
                <c:pt idx="205">
                  <c:v>266.04583436146072</c:v>
                </c:pt>
                <c:pt idx="206">
                  <c:v>267.83837419024422</c:v>
                </c:pt>
                <c:pt idx="207">
                  <c:v>269.62996052232427</c:v>
                </c:pt>
                <c:pt idx="208">
                  <c:v>271.42054819591402</c:v>
                </c:pt>
                <c:pt idx="209">
                  <c:v>273.20809586218547</c:v>
                </c:pt>
                <c:pt idx="210">
                  <c:v>274.99453009310895</c:v>
                </c:pt>
                <c:pt idx="211">
                  <c:v>276.77980741610753</c:v>
                </c:pt>
                <c:pt idx="212">
                  <c:v>278.56388490501519</c:v>
                </c:pt>
                <c:pt idx="213">
                  <c:v>280.34672017529152</c:v>
                </c:pt>
                <c:pt idx="214">
                  <c:v>282.12827137926314</c:v>
                </c:pt>
                <c:pt idx="215">
                  <c:v>283.9084972013913</c:v>
                </c:pt>
                <c:pt idx="216">
                  <c:v>285.68735685356683</c:v>
                </c:pt>
                <c:pt idx="217">
                  <c:v>287.46481007043178</c:v>
                </c:pt>
                <c:pt idx="218">
                  <c:v>289.24081710472865</c:v>
                </c:pt>
                <c:pt idx="219">
                  <c:v>291.01533872267674</c:v>
                </c:pt>
                <c:pt idx="220">
                  <c:v>292.78833619937649</c:v>
                </c:pt>
                <c:pt idx="221">
                  <c:v>294.55977131424117</c:v>
                </c:pt>
                <c:pt idx="222">
                  <c:v>296.32960634645684</c:v>
                </c:pt>
                <c:pt idx="223">
                  <c:v>298.09780407047015</c:v>
                </c:pt>
                <c:pt idx="224">
                  <c:v>299.86432775150433</c:v>
                </c:pt>
                <c:pt idx="225">
                  <c:v>301.62914114110362</c:v>
                </c:pt>
                <c:pt idx="226">
                  <c:v>303.39220847270576</c:v>
                </c:pt>
                <c:pt idx="227">
                  <c:v>305.1534944572432</c:v>
                </c:pt>
                <c:pt idx="228">
                  <c:v>306.91296427877279</c:v>
                </c:pt>
                <c:pt idx="229">
                  <c:v>308.67058359013396</c:v>
                </c:pt>
                <c:pt idx="230">
                  <c:v>310.42631850863557</c:v>
                </c:pt>
                <c:pt idx="231">
                  <c:v>312.18013561177179</c:v>
                </c:pt>
                <c:pt idx="232">
                  <c:v>313.93200193296622</c:v>
                </c:pt>
                <c:pt idx="233">
                  <c:v>315.68188495734523</c:v>
                </c:pt>
                <c:pt idx="234">
                  <c:v>317.42975261753986</c:v>
                </c:pt>
                <c:pt idx="235">
                  <c:v>319.17557328951665</c:v>
                </c:pt>
                <c:pt idx="236">
                  <c:v>320.91931578843742</c:v>
                </c:pt>
                <c:pt idx="237">
                  <c:v>322.66094936454749</c:v>
                </c:pt>
                <c:pt idx="238">
                  <c:v>324.40044369909327</c:v>
                </c:pt>
                <c:pt idx="239">
                  <c:v>326.13776890026827</c:v>
                </c:pt>
                <c:pt idx="240">
                  <c:v>327.87289549918808</c:v>
                </c:pt>
                <c:pt idx="241">
                  <c:v>329.60579444589411</c:v>
                </c:pt>
                <c:pt idx="242">
                  <c:v>331.33643710538621</c:v>
                </c:pt>
                <c:pt idx="243">
                  <c:v>333.06479525368366</c:v>
                </c:pt>
                <c:pt idx="244">
                  <c:v>334.7908410739152</c:v>
                </c:pt>
                <c:pt idx="245">
                  <c:v>336.51454715243756</c:v>
                </c:pt>
                <c:pt idx="246">
                  <c:v>338.23588647498235</c:v>
                </c:pt>
                <c:pt idx="247">
                  <c:v>339.95483242283194</c:v>
                </c:pt>
                <c:pt idx="248">
                  <c:v>341.6713587690233</c:v>
                </c:pt>
                <c:pt idx="249">
                  <c:v>343.3854396745806</c:v>
                </c:pt>
                <c:pt idx="250">
                  <c:v>345.09704968477587</c:v>
                </c:pt>
                <c:pt idx="251">
                  <c:v>346.806163725418</c:v>
                </c:pt>
                <c:pt idx="252">
                  <c:v>348.51275709917002</c:v>
                </c:pt>
                <c:pt idx="253">
                  <c:v>350.21680548189426</c:v>
                </c:pt>
                <c:pt idx="254">
                  <c:v>351.91828491902555</c:v>
                </c:pt>
                <c:pt idx="255">
                  <c:v>353.61717182197248</c:v>
                </c:pt>
                <c:pt idx="256">
                  <c:v>355.31344296454625</c:v>
                </c:pt>
                <c:pt idx="257">
                  <c:v>357.00707547941732</c:v>
                </c:pt>
                <c:pt idx="258">
                  <c:v>358.6980468545998</c:v>
                </c:pt>
                <c:pt idx="259">
                  <c:v>360.38633492996297</c:v>
                </c:pt>
                <c:pt idx="260">
                  <c:v>362.0719178937706</c:v>
                </c:pt>
                <c:pt idx="261">
                  <c:v>363.75190604970106</c:v>
                </c:pt>
                <c:pt idx="262">
                  <c:v>365.42345761181718</c:v>
                </c:pt>
                <c:pt idx="263">
                  <c:v>367.08472110855109</c:v>
                </c:pt>
                <c:pt idx="264">
                  <c:v>368.73513131094171</c:v>
                </c:pt>
                <c:pt idx="265">
                  <c:v>370.37455450922249</c:v>
                </c:pt>
                <c:pt idx="266">
                  <c:v>372.00300154407722</c:v>
                </c:pt>
                <c:pt idx="267">
                  <c:v>373.62053145758233</c:v>
                </c:pt>
                <c:pt idx="268">
                  <c:v>375.22721914346755</c:v>
                </c:pt>
                <c:pt idx="269">
                  <c:v>376.82314448480918</c:v>
                </c:pt>
                <c:pt idx="270">
                  <c:v>378.40838870609241</c:v>
                </c:pt>
                <c:pt idx="271">
                  <c:v>379.98303314755913</c:v>
                </c:pt>
                <c:pt idx="272">
                  <c:v>381.54715885292995</c:v>
                </c:pt>
                <c:pt idx="273">
                  <c:v>383.10084643031689</c:v>
                </c:pt>
                <c:pt idx="274">
                  <c:v>384.64417600495977</c:v>
                </c:pt>
                <c:pt idx="275">
                  <c:v>386.17722720289015</c:v>
                </c:pt>
                <c:pt idx="276">
                  <c:v>387.70007914507494</c:v>
                </c:pt>
                <c:pt idx="277">
                  <c:v>389.21281044516962</c:v>
                </c:pt>
                <c:pt idx="278">
                  <c:v>390.71549920857296</c:v>
                </c:pt>
                <c:pt idx="279">
                  <c:v>392.20822303200396</c:v>
                </c:pt>
                <c:pt idx="280">
                  <c:v>393.6910590033371</c:v>
                </c:pt>
                <c:pt idx="281">
                  <c:v>395.16408370160411</c:v>
                </c:pt>
                <c:pt idx="282">
                  <c:v>396.62737319712858</c:v>
                </c:pt>
                <c:pt idx="283">
                  <c:v>398.08100305177936</c:v>
                </c:pt>
                <c:pt idx="284">
                  <c:v>399.52504831933572</c:v>
                </c:pt>
                <c:pt idx="285">
                  <c:v>400.95958354595876</c:v>
                </c:pt>
                <c:pt idx="286">
                  <c:v>402.38468277076493</c:v>
                </c:pt>
                <c:pt idx="287">
                  <c:v>403.80041952649827</c:v>
                </c:pt>
                <c:pt idx="288">
                  <c:v>405.20686684029681</c:v>
                </c:pt>
                <c:pt idx="289">
                  <c:v>406.60409723455069</c:v>
                </c:pt>
                <c:pt idx="290">
                  <c:v>407.99218272784759</c:v>
                </c:pt>
                <c:pt idx="291">
                  <c:v>409.37119483600293</c:v>
                </c:pt>
                <c:pt idx="292">
                  <c:v>410.74120457317071</c:v>
                </c:pt>
                <c:pt idx="293">
                  <c:v>412.10228245303318</c:v>
                </c:pt>
                <c:pt idx="294">
                  <c:v>413.45449849006508</c:v>
                </c:pt>
                <c:pt idx="295">
                  <c:v>414.79792220086989</c:v>
                </c:pt>
                <c:pt idx="296">
                  <c:v>416.13262260558577</c:v>
                </c:pt>
                <c:pt idx="297">
                  <c:v>417.4586682293575</c:v>
                </c:pt>
                <c:pt idx="298">
                  <c:v>418.77612710387251</c:v>
                </c:pt>
                <c:pt idx="299">
                  <c:v>420.08506676895814</c:v>
                </c:pt>
                <c:pt idx="300">
                  <c:v>421.38555427423711</c:v>
                </c:pt>
                <c:pt idx="301">
                  <c:v>422.67765618083973</c:v>
                </c:pt>
                <c:pt idx="302">
                  <c:v>423.96143856316968</c:v>
                </c:pt>
                <c:pt idx="303">
                  <c:v>425.23696701072095</c:v>
                </c:pt>
                <c:pt idx="304">
                  <c:v>426.50430662994478</c:v>
                </c:pt>
                <c:pt idx="305">
                  <c:v>427.76352204616296</c:v>
                </c:pt>
                <c:pt idx="306">
                  <c:v>429.01467740552647</c:v>
                </c:pt>
                <c:pt idx="307">
                  <c:v>430.2578363770171</c:v>
                </c:pt>
                <c:pt idx="308">
                  <c:v>431.49306215448973</c:v>
                </c:pt>
                <c:pt idx="309">
                  <c:v>432.72041745875396</c:v>
                </c:pt>
                <c:pt idx="310">
                  <c:v>433.93996453969254</c:v>
                </c:pt>
                <c:pt idx="311">
                  <c:v>435.15176517841559</c:v>
                </c:pt>
                <c:pt idx="312">
                  <c:v>436.35588068944804</c:v>
                </c:pt>
                <c:pt idx="313">
                  <c:v>437.5487941101461</c:v>
                </c:pt>
                <c:pt idx="314">
                  <c:v>438.73412422711834</c:v>
                </c:pt>
                <c:pt idx="315">
                  <c:v>439.91193115274694</c:v>
                </c:pt>
                <c:pt idx="316">
                  <c:v>441.08227453993931</c:v>
                </c:pt>
                <c:pt idx="317">
                  <c:v>442.24521358447765</c:v>
                </c:pt>
                <c:pt idx="318">
                  <c:v>443.40080702739266</c:v>
                </c:pt>
                <c:pt idx="319">
                  <c:v>444.54911315735995</c:v>
                </c:pt>
                <c:pt idx="320">
                  <c:v>445.69018981311791</c:v>
                </c:pt>
                <c:pt idx="321">
                  <c:v>446.8240943859052</c:v>
                </c:pt>
                <c:pt idx="322">
                  <c:v>447.95088382191727</c:v>
                </c:pt>
                <c:pt idx="323">
                  <c:v>449.07061462478009</c:v>
                </c:pt>
                <c:pt idx="324">
                  <c:v>450.18334285804036</c:v>
                </c:pt>
                <c:pt idx="325">
                  <c:v>451.2891241476708</c:v>
                </c:pt>
                <c:pt idx="326">
                  <c:v>452.38801368458951</c:v>
                </c:pt>
                <c:pt idx="327">
                  <c:v>453.48006622719186</c:v>
                </c:pt>
                <c:pt idx="328">
                  <c:v>454.56533610389471</c:v>
                </c:pt>
                <c:pt idx="329">
                  <c:v>455.6438772156913</c:v>
                </c:pt>
                <c:pt idx="330">
                  <c:v>456.71574303871597</c:v>
                </c:pt>
                <c:pt idx="331">
                  <c:v>457.78098662681776</c:v>
                </c:pt>
                <c:pt idx="332">
                  <c:v>458.83966061414225</c:v>
                </c:pt>
                <c:pt idx="333">
                  <c:v>459.89181721772013</c:v>
                </c:pt>
                <c:pt idx="334">
                  <c:v>460.93750824006253</c:v>
                </c:pt>
                <c:pt idx="335">
                  <c:v>461.97678507176113</c:v>
                </c:pt>
                <c:pt idx="336">
                  <c:v>463.00969869409357</c:v>
                </c:pt>
                <c:pt idx="337">
                  <c:v>464.03629968163239</c:v>
                </c:pt>
                <c:pt idx="338">
                  <c:v>465.05663820485677</c:v>
                </c:pt>
                <c:pt idx="339">
                  <c:v>466.07076403276739</c:v>
                </c:pt>
                <c:pt idx="340">
                  <c:v>467.07872653550237</c:v>
                </c:pt>
                <c:pt idx="341">
                  <c:v>468.08057468695444</c:v>
                </c:pt>
                <c:pt idx="342">
                  <c:v>469.07635706738847</c:v>
                </c:pt>
                <c:pt idx="343">
                  <c:v>470.06612186605872</c:v>
                </c:pt>
                <c:pt idx="344">
                  <c:v>471.04991688382529</c:v>
                </c:pt>
                <c:pt idx="345">
                  <c:v>472.02778953576905</c:v>
                </c:pt>
                <c:pt idx="346">
                  <c:v>472.99978685380461</c:v>
                </c:pt>
                <c:pt idx="347">
                  <c:v>473.96595548929071</c:v>
                </c:pt>
                <c:pt idx="348">
                  <c:v>474.92634171563753</c:v>
                </c:pt>
                <c:pt idx="349">
                  <c:v>475.88099143091046</c:v>
                </c:pt>
                <c:pt idx="350">
                  <c:v>476.82995016042997</c:v>
                </c:pt>
                <c:pt idx="351">
                  <c:v>477.77326305936651</c:v>
                </c:pt>
                <c:pt idx="352">
                  <c:v>478.71097491533089</c:v>
                </c:pt>
                <c:pt idx="353">
                  <c:v>479.64313015095917</c:v>
                </c:pt>
                <c:pt idx="354">
                  <c:v>480.56977282649154</c:v>
                </c:pt>
                <c:pt idx="355">
                  <c:v>481.49094664234508</c:v>
                </c:pt>
                <c:pt idx="356">
                  <c:v>482.40669494168014</c:v>
                </c:pt>
                <c:pt idx="357">
                  <c:v>483.31706071295929</c:v>
                </c:pt>
                <c:pt idx="358">
                  <c:v>484.22208659249947</c:v>
                </c:pt>
                <c:pt idx="359">
                  <c:v>485.12181486701604</c:v>
                </c:pt>
                <c:pt idx="360">
                  <c:v>486.01628747615916</c:v>
                </c:pt>
                <c:pt idx="361">
                  <c:v>486.90554601504175</c:v>
                </c:pt>
                <c:pt idx="362">
                  <c:v>487.78963173675874</c:v>
                </c:pt>
                <c:pt idx="363">
                  <c:v>488.66858555489762</c:v>
                </c:pt>
                <c:pt idx="364">
                  <c:v>489.54244804603979</c:v>
                </c:pt>
                <c:pt idx="365">
                  <c:v>490.40691633090819</c:v>
                </c:pt>
                <c:pt idx="366">
                  <c:v>491.26635817950176</c:v>
                </c:pt>
                <c:pt idx="367">
                  <c:v>492.12081330444624</c:v>
                </c:pt>
                <c:pt idx="368">
                  <c:v>492.97032108988213</c:v>
                </c:pt>
                <c:pt idx="369">
                  <c:v>493.81492059393065</c:v>
                </c:pt>
                <c:pt idx="370">
                  <c:v>494.65465055114936</c:v>
                </c:pt>
                <c:pt idx="371">
                  <c:v>495.48954937497655</c:v>
                </c:pt>
                <c:pt idx="372">
                  <c:v>496.31965516016442</c:v>
                </c:pt>
                <c:pt idx="373">
                  <c:v>497.14500568520145</c:v>
                </c:pt>
                <c:pt idx="374">
                  <c:v>497.96563841472312</c:v>
                </c:pt>
                <c:pt idx="375">
                  <c:v>498.78159050191073</c:v>
                </c:pt>
                <c:pt idx="376">
                  <c:v>499.59289879087913</c:v>
                </c:pt>
                <c:pt idx="377">
                  <c:v>500.39959981905196</c:v>
                </c:pt>
                <c:pt idx="378">
                  <c:v>501.20172981952499</c:v>
                </c:pt>
                <c:pt idx="379">
                  <c:v>501.99932472341771</c:v>
                </c:pt>
                <c:pt idx="380">
                  <c:v>502.79242016221207</c:v>
                </c:pt>
                <c:pt idx="381">
                  <c:v>503.5810514700791</c:v>
                </c:pt>
                <c:pt idx="382">
                  <c:v>504.36525368619311</c:v>
                </c:pt>
                <c:pt idx="383">
                  <c:v>505.1450615570331</c:v>
                </c:pt>
                <c:pt idx="384">
                  <c:v>505.92050953867147</c:v>
                </c:pt>
                <c:pt idx="385">
                  <c:v>506.69163179905019</c:v>
                </c:pt>
                <c:pt idx="386">
                  <c:v>507.45846222024375</c:v>
                </c:pt>
                <c:pt idx="387">
                  <c:v>508.22103440070947</c:v>
                </c:pt>
                <c:pt idx="388">
                  <c:v>508.97938165752453</c:v>
                </c:pt>
                <c:pt idx="389">
                  <c:v>509.7335370286101</c:v>
                </c:pt>
                <c:pt idx="390">
                  <c:v>510.4835332749422</c:v>
                </c:pt>
                <c:pt idx="391">
                  <c:v>511.22940288274964</c:v>
                </c:pt>
                <c:pt idx="392">
                  <c:v>511.97117806569821</c:v>
                </c:pt>
                <c:pt idx="393">
                  <c:v>512.70889076706203</c:v>
                </c:pt>
                <c:pt idx="394">
                  <c:v>513.4425726618814</c:v>
                </c:pt>
                <c:pt idx="395">
                  <c:v>514.17225515910729</c:v>
                </c:pt>
                <c:pt idx="396">
                  <c:v>514.89796940373219</c:v>
                </c:pt>
                <c:pt idx="397">
                  <c:v>515.61974627890811</c:v>
                </c:pt>
                <c:pt idx="398">
                  <c:v>516.33761640805074</c:v>
                </c:pt>
                <c:pt idx="399">
                  <c:v>517.05161015693011</c:v>
                </c:pt>
                <c:pt idx="400">
                  <c:v>517.7617576357477</c:v>
                </c:pt>
                <c:pt idx="401">
                  <c:v>518.46808870120037</c:v>
                </c:pt>
                <c:pt idx="402">
                  <c:v>519.17063295853075</c:v>
                </c:pt>
                <c:pt idx="403">
                  <c:v>519.86941976356388</c:v>
                </c:pt>
                <c:pt idx="404">
                  <c:v>520.56447822473024</c:v>
                </c:pt>
                <c:pt idx="405">
                  <c:v>521.25583720507609</c:v>
                </c:pt>
                <c:pt idx="406">
                  <c:v>521.94352532425899</c:v>
                </c:pt>
                <c:pt idx="407">
                  <c:v>522.6275709605311</c:v>
                </c:pt>
                <c:pt idx="408">
                  <c:v>523.30800225270832</c:v>
                </c:pt>
                <c:pt idx="409">
                  <c:v>523.98484710212597</c:v>
                </c:pt>
                <c:pt idx="410">
                  <c:v>524.65813317458139</c:v>
                </c:pt>
                <c:pt idx="411">
                  <c:v>525.32788790226266</c:v>
                </c:pt>
                <c:pt idx="412">
                  <c:v>525.99413848566428</c:v>
                </c:pt>
                <c:pt idx="413">
                  <c:v>526.65691189548943</c:v>
                </c:pt>
                <c:pt idx="414">
                  <c:v>527.3162348745384</c:v>
                </c:pt>
                <c:pt idx="415">
                  <c:v>527.97213393958441</c:v>
                </c:pt>
                <c:pt idx="416">
                  <c:v>528.62463538323561</c:v>
                </c:pt>
                <c:pt idx="417">
                  <c:v>529.26856347987791</c:v>
                </c:pt>
                <c:pt idx="418">
                  <c:v>529.90913323250402</c:v>
                </c:pt>
                <c:pt idx="419">
                  <c:v>530.54637037019995</c:v>
                </c:pt>
                <c:pt idx="420">
                  <c:v>531.18030040420729</c:v>
                </c:pt>
                <c:pt idx="421">
                  <c:v>531.81094862972975</c:v>
                </c:pt>
                <c:pt idx="422">
                  <c:v>532.43834012772709</c:v>
                </c:pt>
                <c:pt idx="423">
                  <c:v>533.06249976669505</c:v>
                </c:pt>
                <c:pt idx="424">
                  <c:v>533.68345220443268</c:v>
                </c:pt>
                <c:pt idx="425">
                  <c:v>534.30122188979681</c:v>
                </c:pt>
                <c:pt idx="426">
                  <c:v>534.91583306444272</c:v>
                </c:pt>
                <c:pt idx="427">
                  <c:v>535.52730976455325</c:v>
                </c:pt>
                <c:pt idx="428">
                  <c:v>536.13567582255325</c:v>
                </c:pt>
                <c:pt idx="429">
                  <c:v>536.74095486881299</c:v>
                </c:pt>
                <c:pt idx="430">
                  <c:v>537.3431703333373</c:v>
                </c:pt>
                <c:pt idx="431">
                  <c:v>537.94234544744313</c:v>
                </c:pt>
                <c:pt idx="432">
                  <c:v>538.53850324542327</c:v>
                </c:pt>
                <c:pt idx="433">
                  <c:v>539.13166656619899</c:v>
                </c:pt>
                <c:pt idx="434">
                  <c:v>539.72185805495837</c:v>
                </c:pt>
                <c:pt idx="435">
                  <c:v>540.30910016478379</c:v>
                </c:pt>
                <c:pt idx="436">
                  <c:v>540.89341515826538</c:v>
                </c:pt>
                <c:pt idx="437">
                  <c:v>541.47482510910368</c:v>
                </c:pt>
                <c:pt idx="438">
                  <c:v>542.05335190369885</c:v>
                </c:pt>
                <c:pt idx="439">
                  <c:v>542.62901724272774</c:v>
                </c:pt>
                <c:pt idx="440">
                  <c:v>543.20184264270938</c:v>
                </c:pt>
                <c:pt idx="441">
                  <c:v>543.77184943755788</c:v>
                </c:pt>
                <c:pt idx="442">
                  <c:v>544.33905878012331</c:v>
                </c:pt>
                <c:pt idx="443">
                  <c:v>544.9034916437206</c:v>
                </c:pt>
                <c:pt idx="444">
                  <c:v>545.46516882364642</c:v>
                </c:pt>
                <c:pt idx="445">
                  <c:v>546.02411093868443</c:v>
                </c:pt>
                <c:pt idx="446">
                  <c:v>546.58033843259875</c:v>
                </c:pt>
                <c:pt idx="447">
                  <c:v>547.13387157561499</c:v>
                </c:pt>
                <c:pt idx="448">
                  <c:v>547.68473046589042</c:v>
                </c:pt>
                <c:pt idx="449">
                  <c:v>548.23293503097261</c:v>
                </c:pt>
                <c:pt idx="450">
                  <c:v>548.77850502924548</c:v>
                </c:pt>
                <c:pt idx="451">
                  <c:v>549.32146005136508</c:v>
                </c:pt>
                <c:pt idx="452">
                  <c:v>549.86181952168306</c:v>
                </c:pt>
                <c:pt idx="453">
                  <c:v>550.39960269965968</c:v>
                </c:pt>
                <c:pt idx="454">
                  <c:v>550.93482868126455</c:v>
                </c:pt>
                <c:pt idx="455">
                  <c:v>551.46751640036712</c:v>
                </c:pt>
                <c:pt idx="456">
                  <c:v>551.99768463011537</c:v>
                </c:pt>
                <c:pt idx="457">
                  <c:v>552.5253519843036</c:v>
                </c:pt>
                <c:pt idx="458">
                  <c:v>553.05053691872968</c:v>
                </c:pt>
                <c:pt idx="459">
                  <c:v>553.57325773254058</c:v>
                </c:pt>
                <c:pt idx="460">
                  <c:v>554.09353256956786</c:v>
                </c:pt>
                <c:pt idx="461">
                  <c:v>554.61137941965183</c:v>
                </c:pt>
                <c:pt idx="462">
                  <c:v>555.12681611995492</c:v>
                </c:pt>
                <c:pt idx="463">
                  <c:v>555.63986035626522</c:v>
                </c:pt>
                <c:pt idx="464">
                  <c:v>556.15052966428846</c:v>
                </c:pt>
                <c:pt idx="465">
                  <c:v>556.65884143093001</c:v>
                </c:pt>
                <c:pt idx="466">
                  <c:v>557.16481289556646</c:v>
                </c:pt>
                <c:pt idx="467">
                  <c:v>557.66846115130659</c:v>
                </c:pt>
                <c:pt idx="468">
                  <c:v>558.16980314624243</c:v>
                </c:pt>
                <c:pt idx="469">
                  <c:v>558.66260462834941</c:v>
                </c:pt>
                <c:pt idx="470">
                  <c:v>559.15312226844947</c:v>
                </c:pt>
                <c:pt idx="471">
                  <c:v>559.64137266275486</c:v>
                </c:pt>
                <c:pt idx="472">
                  <c:v>560.12737226663353</c:v>
                </c:pt>
                <c:pt idx="473">
                  <c:v>560.6111373958172</c:v>
                </c:pt>
                <c:pt idx="474">
                  <c:v>561.09268422759953</c:v>
                </c:pt>
                <c:pt idx="475">
                  <c:v>561.57202880202419</c:v>
                </c:pt>
                <c:pt idx="476">
                  <c:v>562.04918702306338</c:v>
                </c:pt>
                <c:pt idx="477">
                  <c:v>562.52417465978647</c:v>
                </c:pt>
                <c:pt idx="478">
                  <c:v>562.99700734751877</c:v>
                </c:pt>
                <c:pt idx="479">
                  <c:v>563.46770058899119</c:v>
                </c:pt>
                <c:pt idx="480">
                  <c:v>563.93626975548</c:v>
                </c:pt>
                <c:pt idx="481">
                  <c:v>564.4027300879369</c:v>
                </c:pt>
                <c:pt idx="482">
                  <c:v>564.86709669811046</c:v>
                </c:pt>
                <c:pt idx="483">
                  <c:v>565.32938456965769</c:v>
                </c:pt>
                <c:pt idx="484">
                  <c:v>565.78960855924606</c:v>
                </c:pt>
                <c:pt idx="485">
                  <c:v>566.24778339764691</c:v>
                </c:pt>
                <c:pt idx="486">
                  <c:v>566.70392369082003</c:v>
                </c:pt>
                <c:pt idx="487">
                  <c:v>567.15804392098778</c:v>
                </c:pt>
                <c:pt idx="488">
                  <c:v>567.61015844770179</c:v>
                </c:pt>
                <c:pt idx="489">
                  <c:v>568.06028150889983</c:v>
                </c:pt>
                <c:pt idx="490">
                  <c:v>568.50842722195409</c:v>
                </c:pt>
                <c:pt idx="491">
                  <c:v>568.95460958471062</c:v>
                </c:pt>
                <c:pt idx="492">
                  <c:v>569.39884247652003</c:v>
                </c:pt>
                <c:pt idx="493">
                  <c:v>569.84113965925997</c:v>
                </c:pt>
                <c:pt idx="494">
                  <c:v>570.28151477834786</c:v>
                </c:pt>
                <c:pt idx="495">
                  <c:v>570.71998136374668</c:v>
                </c:pt>
                <c:pt idx="496">
                  <c:v>571.15655283096112</c:v>
                </c:pt>
                <c:pt idx="497">
                  <c:v>571.59124248202534</c:v>
                </c:pt>
                <c:pt idx="498">
                  <c:v>572.02406350648346</c:v>
                </c:pt>
                <c:pt idx="499">
                  <c:v>572.45502898236043</c:v>
                </c:pt>
                <c:pt idx="500">
                  <c:v>572.88415187712587</c:v>
                </c:pt>
                <c:pt idx="501">
                  <c:v>573.31144504864881</c:v>
                </c:pt>
                <c:pt idx="502">
                  <c:v>573.73692124614502</c:v>
                </c:pt>
                <c:pt idx="503">
                  <c:v>574.16059311111599</c:v>
                </c:pt>
                <c:pt idx="504">
                  <c:v>574.58247317828022</c:v>
                </c:pt>
                <c:pt idx="505">
                  <c:v>575.00257387649606</c:v>
                </c:pt>
                <c:pt idx="506">
                  <c:v>575.42090752967749</c:v>
                </c:pt>
                <c:pt idx="507">
                  <c:v>575.83748635770166</c:v>
                </c:pt>
                <c:pt idx="508">
                  <c:v>576.25232247730867</c:v>
                </c:pt>
                <c:pt idx="509">
                  <c:v>576.66542790299411</c:v>
                </c:pt>
                <c:pt idx="510">
                  <c:v>577.0768145478936</c:v>
                </c:pt>
                <c:pt idx="511">
                  <c:v>577.48649422465985</c:v>
                </c:pt>
                <c:pt idx="512">
                  <c:v>577.89447864633246</c:v>
                </c:pt>
                <c:pt idx="513">
                  <c:v>578.3007794272005</c:v>
                </c:pt>
                <c:pt idx="514">
                  <c:v>578.70540808365683</c:v>
                </c:pt>
                <c:pt idx="515">
                  <c:v>579.10837603504649</c:v>
                </c:pt>
                <c:pt idx="516">
                  <c:v>579.50969460450665</c:v>
                </c:pt>
                <c:pt idx="517">
                  <c:v>579.90937501979988</c:v>
                </c:pt>
                <c:pt idx="518">
                  <c:v>580.30742841414065</c:v>
                </c:pt>
                <c:pt idx="519">
                  <c:v>580.70386582701394</c:v>
                </c:pt>
              </c:numCache>
            </c:numRef>
          </c:val>
          <c:smooth val="0"/>
          <c:extLst>
            <c:ext xmlns:c16="http://schemas.microsoft.com/office/drawing/2014/chart" uri="{C3380CC4-5D6E-409C-BE32-E72D297353CC}">
              <c16:uniqueId val="{00000009-907F-4589-BC87-CB41FF02749B}"/>
            </c:ext>
          </c:extLst>
        </c:ser>
        <c:dLbls>
          <c:showLegendKey val="0"/>
          <c:showVal val="0"/>
          <c:showCatName val="0"/>
          <c:showSerName val="0"/>
          <c:showPercent val="0"/>
          <c:showBubbleSize val="0"/>
        </c:dLbls>
        <c:smooth val="0"/>
        <c:axId val="270772616"/>
        <c:axId val="270773272"/>
        <c:extLst>
          <c:ext xmlns:c15="http://schemas.microsoft.com/office/drawing/2012/chart" uri="{02D57815-91ED-43cb-92C2-25804820EDAC}">
            <c15:filteredLineSeries>
              <c15:ser>
                <c:idx val="0"/>
                <c:order val="0"/>
                <c:tx>
                  <c:strRef>
                    <c:extLst>
                      <c:ext uri="{02D57815-91ED-43cb-92C2-25804820EDAC}">
                        <c15:formulaRef>
                          <c15:sqref>Steroid!$C$534</c15:sqref>
                        </c15:formulaRef>
                      </c:ext>
                    </c:extLst>
                    <c:strCache>
                      <c:ptCount val="1"/>
                      <c:pt idx="0">
                        <c:v>Ig initial treatment</c:v>
                      </c:pt>
                    </c:strCache>
                  </c:strRef>
                </c:tx>
                <c:spPr>
                  <a:ln w="28575" cap="rnd">
                    <a:solidFill>
                      <a:schemeClr val="accent1"/>
                    </a:solidFill>
                    <a:round/>
                  </a:ln>
                  <a:effectLst/>
                </c:spPr>
                <c:marker>
                  <c:symbol val="none"/>
                </c:marker>
                <c:cat>
                  <c:numRef>
                    <c:extLst>
                      <c:ext uri="{02D57815-91ED-43cb-92C2-25804820EDAC}">
                        <c15:formulaRef>
                          <c15:sqref>Steroid!$B$535:$B$1054</c15:sqref>
                        </c15:formulaRef>
                      </c:ext>
                    </c:extLst>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extLst>
                      <c:ext uri="{02D57815-91ED-43cb-92C2-25804820EDAC}">
                        <c15:formulaRef>
                          <c15:sqref>Steroid!$C$535:$C$1054</c15:sqref>
                        </c15:formulaRef>
                      </c:ext>
                    </c:extLst>
                    <c:numCache>
                      <c:formatCode>#,##0</c:formatCode>
                      <c:ptCount val="5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numCache>
                  </c:numRef>
                </c:val>
                <c:smooth val="0"/>
                <c:extLst>
                  <c:ext xmlns:c16="http://schemas.microsoft.com/office/drawing/2014/chart" uri="{C3380CC4-5D6E-409C-BE32-E72D297353CC}">
                    <c16:uniqueId val="{0000000A-907F-4589-BC87-CB41FF02749B}"/>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Steroid!$D$534</c15:sqref>
                        </c15:formulaRef>
                      </c:ext>
                    </c:extLst>
                    <c:strCache>
                      <c:ptCount val="1"/>
                      <c:pt idx="0">
                        <c:v>Ig responder</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Steroid!$B$535:$B$1054</c15:sqref>
                        </c15:formulaRef>
                      </c:ext>
                    </c:extLst>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extLst xmlns:c15="http://schemas.microsoft.com/office/drawing/2012/chart">
                      <c:ext xmlns:c15="http://schemas.microsoft.com/office/drawing/2012/chart" uri="{02D57815-91ED-43cb-92C2-25804820EDAC}">
                        <c15:formulaRef>
                          <c15:sqref>Steroid!$D$535:$D$1054</c15:sqref>
                        </c15:formulaRef>
                      </c:ext>
                    </c:extLst>
                    <c:numCache>
                      <c:formatCode>#,##0</c:formatCode>
                      <c:ptCount val="5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numCache>
                  </c:numRef>
                </c:val>
                <c:smooth val="0"/>
                <c:extLst xmlns:c15="http://schemas.microsoft.com/office/drawing/2012/chart">
                  <c:ext xmlns:c16="http://schemas.microsoft.com/office/drawing/2014/chart" uri="{C3380CC4-5D6E-409C-BE32-E72D297353CC}">
                    <c16:uniqueId val="{0000000B-907F-4589-BC87-CB41FF02749B}"/>
                  </c:ext>
                </c:extLst>
              </c15:ser>
            </c15:filteredLineSeries>
          </c:ext>
        </c:extLst>
      </c:lineChart>
      <c:catAx>
        <c:axId val="270772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Weeks</a:t>
                </a:r>
              </a:p>
            </c:rich>
          </c:tx>
          <c:layout>
            <c:manualLayout>
              <c:xMode val="edge"/>
              <c:yMode val="edge"/>
              <c:x val="0.43995851471772268"/>
              <c:y val="0.6873230564489297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773272"/>
        <c:crosses val="autoZero"/>
        <c:auto val="1"/>
        <c:lblAlgn val="ctr"/>
        <c:lblOffset val="100"/>
        <c:noMultiLvlLbl val="0"/>
      </c:catAx>
      <c:valAx>
        <c:axId val="270773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Steroid arm 1,000 cohort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772616"/>
        <c:crosses val="autoZero"/>
        <c:crossBetween val="between"/>
      </c:valAx>
      <c:spPr>
        <a:noFill/>
        <a:ln>
          <a:noFill/>
        </a:ln>
        <a:effectLst/>
      </c:spPr>
    </c:plotArea>
    <c:legend>
      <c:legendPos val="b"/>
      <c:layout>
        <c:manualLayout>
          <c:xMode val="edge"/>
          <c:yMode val="edge"/>
          <c:x val="7.9675395861479176E-2"/>
          <c:y val="0.75539773021330081"/>
          <c:w val="0.9026240350805369"/>
          <c:h val="0.21455532142989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86819993164483"/>
          <c:y val="0.12135867830384592"/>
          <c:w val="0.74809728069984061"/>
          <c:h val="0.55838591143848959"/>
        </c:manualLayout>
      </c:layout>
      <c:lineChart>
        <c:grouping val="standard"/>
        <c:varyColors val="0"/>
        <c:ser>
          <c:idx val="4"/>
          <c:order val="1"/>
          <c:tx>
            <c:strRef>
              <c:f>Ig!$AC$534</c:f>
              <c:strCache>
                <c:ptCount val="1"/>
                <c:pt idx="0">
                  <c:v>Azathioprine non respond</c:v>
                </c:pt>
              </c:strCache>
            </c:strRef>
          </c:tx>
          <c:spPr>
            <a:ln w="28575" cap="rnd">
              <a:solidFill>
                <a:schemeClr val="accent5"/>
              </a:solidFill>
              <a:round/>
            </a:ln>
            <a:effectLst/>
          </c:spPr>
          <c:marker>
            <c:symbol val="none"/>
          </c:marker>
          <c:cat>
            <c:numRef>
              <c:f>Ig!$AA$535:$AA$1054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Ig!$AC$535:$AC$1054</c:f>
              <c:numCache>
                <c:formatCode>#,##0</c:formatCode>
                <c:ptCount val="520"/>
                <c:pt idx="0">
                  <c:v>0</c:v>
                </c:pt>
                <c:pt idx="1">
                  <c:v>0</c:v>
                </c:pt>
                <c:pt idx="2">
                  <c:v>-1.658752932628931</c:v>
                </c:pt>
                <c:pt idx="3">
                  <c:v>-3.8708111555965816</c:v>
                </c:pt>
                <c:pt idx="4">
                  <c:v>-6.2645649780694486</c:v>
                </c:pt>
                <c:pt idx="5">
                  <c:v>-8.7148113811482038</c:v>
                </c:pt>
                <c:pt idx="6">
                  <c:v>-11.179096406297456</c:v>
                </c:pt>
                <c:pt idx="7">
                  <c:v>-13.642765923274709</c:v>
                </c:pt>
                <c:pt idx="8">
                  <c:v>-16.100515705722319</c:v>
                </c:pt>
                <c:pt idx="9">
                  <c:v>-18.550196315713237</c:v>
                </c:pt>
                <c:pt idx="10">
                  <c:v>-20.99073260488985</c:v>
                </c:pt>
                <c:pt idx="11">
                  <c:v>-23.421424728158314</c:v>
                </c:pt>
                <c:pt idx="12">
                  <c:v>-25.84171301846364</c:v>
                </c:pt>
                <c:pt idx="13">
                  <c:v>-28.251098616982542</c:v>
                </c:pt>
                <c:pt idx="14">
                  <c:v>-30.649116410639557</c:v>
                </c:pt>
                <c:pt idx="15">
                  <c:v>-33.035325543496683</c:v>
                </c:pt>
                <c:pt idx="16">
                  <c:v>-35.409305839805043</c:v>
                </c:pt>
                <c:pt idx="17">
                  <c:v>-37.770656222780424</c:v>
                </c:pt>
                <c:pt idx="18">
                  <c:v>-40.11899381401615</c:v>
                </c:pt>
                <c:pt idx="19">
                  <c:v>-42.453953271701714</c:v>
                </c:pt>
                <c:pt idx="20">
                  <c:v>-44.775186219022089</c:v>
                </c:pt>
                <c:pt idx="21">
                  <c:v>-47.082360712565375</c:v>
                </c:pt>
                <c:pt idx="22">
                  <c:v>-48.729140299550906</c:v>
                </c:pt>
                <c:pt idx="23">
                  <c:v>-50.140125079590518</c:v>
                </c:pt>
                <c:pt idx="24">
                  <c:v>-51.457911313984859</c:v>
                </c:pt>
                <c:pt idx="25">
                  <c:v>-52.730415228965761</c:v>
                </c:pt>
                <c:pt idx="26">
                  <c:v>-53.973767607456871</c:v>
                </c:pt>
                <c:pt idx="27">
                  <c:v>-55.193430756699854</c:v>
                </c:pt>
                <c:pt idx="28">
                  <c:v>-56.391288468270083</c:v>
                </c:pt>
                <c:pt idx="29">
                  <c:v>-57.568026356089149</c:v>
                </c:pt>
                <c:pt idx="30">
                  <c:v>-58.723930923553219</c:v>
                </c:pt>
                <c:pt idx="31">
                  <c:v>-59.85915771664547</c:v>
                </c:pt>
                <c:pt idx="32">
                  <c:v>-60.973821224631109</c:v>
                </c:pt>
                <c:pt idx="33">
                  <c:v>-62.068024935826344</c:v>
                </c:pt>
                <c:pt idx="34">
                  <c:v>-63.141871304139443</c:v>
                </c:pt>
                <c:pt idx="35">
                  <c:v>-64.195464974414946</c:v>
                </c:pt>
                <c:pt idx="36">
                  <c:v>-65.228913748130836</c:v>
                </c:pt>
                <c:pt idx="37">
                  <c:v>-66.242328794043161</c:v>
                </c:pt>
                <c:pt idx="38">
                  <c:v>-67.235824608850152</c:v>
                </c:pt>
                <c:pt idx="39">
                  <c:v>-68.209518897356531</c:v>
                </c:pt>
                <c:pt idx="40">
                  <c:v>-69.1635324289457</c:v>
                </c:pt>
                <c:pt idx="41">
                  <c:v>-70.097988889339405</c:v>
                </c:pt>
                <c:pt idx="42">
                  <c:v>-71.013014733925957</c:v>
                </c:pt>
                <c:pt idx="43">
                  <c:v>-71.908739044677134</c:v>
                </c:pt>
                <c:pt idx="44">
                  <c:v>-72.785293391246014</c:v>
                </c:pt>
                <c:pt idx="45">
                  <c:v>-73.642811696360056</c:v>
                </c:pt>
                <c:pt idx="46">
                  <c:v>-74.481430105466657</c:v>
                </c:pt>
                <c:pt idx="47">
                  <c:v>-75.301286860536706</c:v>
                </c:pt>
                <c:pt idx="48">
                  <c:v>-76.102522177917791</c:v>
                </c:pt>
                <c:pt idx="49">
                  <c:v>-76.885278130124732</c:v>
                </c:pt>
                <c:pt idx="50">
                  <c:v>-77.649698531457275</c:v>
                </c:pt>
                <c:pt idx="51">
                  <c:v>-78.395928827336093</c:v>
                </c:pt>
                <c:pt idx="52">
                  <c:v>-79.124115987251855</c:v>
                </c:pt>
                <c:pt idx="53">
                  <c:v>-79.833963712140587</c:v>
                </c:pt>
                <c:pt idx="54">
                  <c:v>-80.526058677468683</c:v>
                </c:pt>
                <c:pt idx="55">
                  <c:v>-81.205248873499343</c:v>
                </c:pt>
                <c:pt idx="56">
                  <c:v>-81.873226765528756</c:v>
                </c:pt>
                <c:pt idx="57">
                  <c:v>-82.530624932946836</c:v>
                </c:pt>
                <c:pt idx="58">
                  <c:v>-83.177719683463806</c:v>
                </c:pt>
                <c:pt idx="59">
                  <c:v>-83.814667291921751</c:v>
                </c:pt>
                <c:pt idx="60">
                  <c:v>-84.441583316872183</c:v>
                </c:pt>
                <c:pt idx="61">
                  <c:v>-85.058569230290303</c:v>
                </c:pt>
                <c:pt idx="62">
                  <c:v>-85.665721357688398</c:v>
                </c:pt>
                <c:pt idx="63">
                  <c:v>-86.263133879035905</c:v>
                </c:pt>
                <c:pt idx="64">
                  <c:v>-86.850899835708333</c:v>
                </c:pt>
                <c:pt idx="65">
                  <c:v>-87.429111468078275</c:v>
                </c:pt>
                <c:pt idx="66">
                  <c:v>-87.9978603284857</c:v>
                </c:pt>
                <c:pt idx="67">
                  <c:v>-88.557237318905862</c:v>
                </c:pt>
                <c:pt idx="68">
                  <c:v>-89.107332703444328</c:v>
                </c:pt>
                <c:pt idx="69">
                  <c:v>-89.648236112486131</c:v>
                </c:pt>
                <c:pt idx="70">
                  <c:v>-90.180036544145551</c:v>
                </c:pt>
                <c:pt idx="71">
                  <c:v>-90.702822364908457</c:v>
                </c:pt>
                <c:pt idx="72">
                  <c:v>-91.216681310098906</c:v>
                </c:pt>
                <c:pt idx="73">
                  <c:v>-91.721700484378616</c:v>
                </c:pt>
                <c:pt idx="74">
                  <c:v>-92.217966362346232</c:v>
                </c:pt>
                <c:pt idx="75">
                  <c:v>-92.705564789255078</c:v>
                </c:pt>
                <c:pt idx="76">
                  <c:v>-93.184580981853728</c:v>
                </c:pt>
                <c:pt idx="77">
                  <c:v>-93.655099529345961</c:v>
                </c:pt>
                <c:pt idx="78">
                  <c:v>-94.117204394468018</c:v>
                </c:pt>
                <c:pt idx="79">
                  <c:v>-94.570978914677909</c:v>
                </c:pt>
                <c:pt idx="80">
                  <c:v>-95.016505803453356</c:v>
                </c:pt>
                <c:pt idx="81">
                  <c:v>-95.453867151693743</c:v>
                </c:pt>
                <c:pt idx="82">
                  <c:v>-95.883144429222597</c:v>
                </c:pt>
                <c:pt idx="83">
                  <c:v>-96.304418486386197</c:v>
                </c:pt>
                <c:pt idx="84">
                  <c:v>-96.717769555744781</c:v>
                </c:pt>
                <c:pt idx="85">
                  <c:v>-97.123277253852876</c:v>
                </c:pt>
                <c:pt idx="86">
                  <c:v>-97.521020583124738</c:v>
                </c:pt>
                <c:pt idx="87">
                  <c:v>-97.911077933781655</c:v>
                </c:pt>
                <c:pt idx="88">
                  <c:v>-98.293527085878168</c:v>
                </c:pt>
                <c:pt idx="89">
                  <c:v>-98.668445211402926</c:v>
                </c:pt>
                <c:pt idx="90">
                  <c:v>-99.035908876452382</c:v>
                </c:pt>
                <c:pt idx="91">
                  <c:v>-99.395994043472982</c:v>
                </c:pt>
                <c:pt idx="92">
                  <c:v>-99.748776073569772</c:v>
                </c:pt>
                <c:pt idx="93">
                  <c:v>-100.09432972887811</c:v>
                </c:pt>
                <c:pt idx="94">
                  <c:v>-100.43272917499588</c:v>
                </c:pt>
                <c:pt idx="95">
                  <c:v>-100.76404798347322</c:v>
                </c:pt>
                <c:pt idx="96">
                  <c:v>-101.08835913435746</c:v>
                </c:pt>
                <c:pt idx="97">
                  <c:v>-101.40573501879075</c:v>
                </c:pt>
                <c:pt idx="98">
                  <c:v>-101.71624744165739</c:v>
                </c:pt>
                <c:pt idx="99">
                  <c:v>-102.01996762427919</c:v>
                </c:pt>
                <c:pt idx="100">
                  <c:v>-102.31696620715582</c:v>
                </c:pt>
                <c:pt idx="101">
                  <c:v>-102.6073132527487</c:v>
                </c:pt>
                <c:pt idx="102">
                  <c:v>-102.89107824830535</c:v>
                </c:pt>
                <c:pt idx="103">
                  <c:v>-103.16833010872284</c:v>
                </c:pt>
                <c:pt idx="104">
                  <c:v>-103.43913717944788</c:v>
                </c:pt>
                <c:pt idx="105">
                  <c:v>-103.70292935296234</c:v>
                </c:pt>
                <c:pt idx="106">
                  <c:v>-103.9604085487488</c:v>
                </c:pt>
                <c:pt idx="107">
                  <c:v>-104.21164153730057</c:v>
                </c:pt>
                <c:pt idx="108">
                  <c:v>-104.45669452994954</c:v>
                </c:pt>
                <c:pt idx="109">
                  <c:v>-104.69563318193883</c:v>
                </c:pt>
                <c:pt idx="110">
                  <c:v>-104.92852259552103</c:v>
                </c:pt>
                <c:pt idx="111">
                  <c:v>-105.1554273230807</c:v>
                </c:pt>
                <c:pt idx="112">
                  <c:v>-105.37641137027892</c:v>
                </c:pt>
                <c:pt idx="113">
                  <c:v>-105.5915381992189</c:v>
                </c:pt>
                <c:pt idx="114">
                  <c:v>-105.80087073163087</c:v>
                </c:pt>
                <c:pt idx="115">
                  <c:v>-106.00447135207497</c:v>
                </c:pt>
                <c:pt idx="116">
                  <c:v>-106.20240191116054</c:v>
                </c:pt>
                <c:pt idx="117">
                  <c:v>-106.39472372878069</c:v>
                </c:pt>
                <c:pt idx="118">
                  <c:v>-106.58149759736078</c:v>
                </c:pt>
                <c:pt idx="119">
                  <c:v>-106.76278378511935</c:v>
                </c:pt>
                <c:pt idx="120">
                  <c:v>-106.93864203934069</c:v>
                </c:pt>
                <c:pt idx="121">
                  <c:v>-107.10913158965738</c:v>
                </c:pt>
                <c:pt idx="122">
                  <c:v>-107.27431115134219</c:v>
                </c:pt>
                <c:pt idx="123">
                  <c:v>-107.43423892860764</c:v>
                </c:pt>
                <c:pt idx="124">
                  <c:v>-107.58897261791273</c:v>
                </c:pt>
                <c:pt idx="125">
                  <c:v>-107.73856941127538</c:v>
                </c:pt>
                <c:pt idx="126">
                  <c:v>-107.88308599959001</c:v>
                </c:pt>
                <c:pt idx="127">
                  <c:v>-108.0225785759487</c:v>
                </c:pt>
                <c:pt idx="128">
                  <c:v>-108.15710283896566</c:v>
                </c:pt>
                <c:pt idx="129">
                  <c:v>-108.28671399610359</c:v>
                </c:pt>
                <c:pt idx="130">
                  <c:v>-108.41146676700151</c:v>
                </c:pt>
                <c:pt idx="131">
                  <c:v>-108.53141538680273</c:v>
                </c:pt>
                <c:pt idx="132">
                  <c:v>-108.6466136094827</c:v>
                </c:pt>
                <c:pt idx="133">
                  <c:v>-108.75711471117553</c:v>
                </c:pt>
                <c:pt idx="134">
                  <c:v>-108.86297149349856</c:v>
                </c:pt>
                <c:pt idx="135">
                  <c:v>-108.96423628687448</c:v>
                </c:pt>
                <c:pt idx="136">
                  <c:v>-109.06096095384994</c:v>
                </c:pt>
                <c:pt idx="137">
                  <c:v>-109.15319689241019</c:v>
                </c:pt>
                <c:pt idx="138">
                  <c:v>-109.24099503928917</c:v>
                </c:pt>
                <c:pt idx="139">
                  <c:v>-109.32440587327419</c:v>
                </c:pt>
                <c:pt idx="140">
                  <c:v>-109.4034794185048</c:v>
                </c:pt>
                <c:pt idx="141">
                  <c:v>-109.47826524776539</c:v>
                </c:pt>
                <c:pt idx="142">
                  <c:v>-109.54881248577041</c:v>
                </c:pt>
                <c:pt idx="143">
                  <c:v>-109.61516981244236</c:v>
                </c:pt>
                <c:pt idx="144">
                  <c:v>-109.67738546618178</c:v>
                </c:pt>
                <c:pt idx="145">
                  <c:v>-109.7355072471284</c:v>
                </c:pt>
                <c:pt idx="146">
                  <c:v>-109.78958252041352</c:v>
                </c:pt>
                <c:pt idx="147">
                  <c:v>-109.83965821940295</c:v>
                </c:pt>
                <c:pt idx="148">
                  <c:v>-109.88578084892987</c:v>
                </c:pt>
                <c:pt idx="149">
                  <c:v>-109.92799648851755</c:v>
                </c:pt>
                <c:pt idx="150">
                  <c:v>-109.96635079559117</c:v>
                </c:pt>
                <c:pt idx="151">
                  <c:v>-110.00088900867873</c:v>
                </c:pt>
                <c:pt idx="152">
                  <c:v>-110.03165595060047</c:v>
                </c:pt>
                <c:pt idx="153">
                  <c:v>-110.05869603164629</c:v>
                </c:pt>
                <c:pt idx="154">
                  <c:v>-110.08205325274113</c:v>
                </c:pt>
                <c:pt idx="155">
                  <c:v>-110.10177120859794</c:v>
                </c:pt>
                <c:pt idx="156">
                  <c:v>-110.11789309085771</c:v>
                </c:pt>
                <c:pt idx="157">
                  <c:v>-110.12969929675857</c:v>
                </c:pt>
                <c:pt idx="158">
                  <c:v>-110.13799448518972</c:v>
                </c:pt>
                <c:pt idx="159">
                  <c:v>-110.1428207297312</c:v>
                </c:pt>
                <c:pt idx="160">
                  <c:v>-110.14421971215275</c:v>
                </c:pt>
                <c:pt idx="161">
                  <c:v>-110.14223272549944</c:v>
                </c:pt>
                <c:pt idx="162">
                  <c:v>-110.13690067716307</c:v>
                </c:pt>
                <c:pt idx="163">
                  <c:v>-110.12826409193866</c:v>
                </c:pt>
                <c:pt idx="164">
                  <c:v>-110.11636311506609</c:v>
                </c:pt>
                <c:pt idx="165">
                  <c:v>-110.10123751525668</c:v>
                </c:pt>
                <c:pt idx="166">
                  <c:v>-110.08292668770434</c:v>
                </c:pt>
                <c:pt idx="167">
                  <c:v>-110.06146965708126</c:v>
                </c:pt>
                <c:pt idx="168">
                  <c:v>-110.03690508051801</c:v>
                </c:pt>
                <c:pt idx="169">
                  <c:v>-110.00927125056791</c:v>
                </c:pt>
                <c:pt idx="170">
                  <c:v>-109.97860609815523</c:v>
                </c:pt>
                <c:pt idx="171">
                  <c:v>-109.94494719550742</c:v>
                </c:pt>
                <c:pt idx="172">
                  <c:v>-109.90833175907127</c:v>
                </c:pt>
                <c:pt idx="173">
                  <c:v>-109.86879665241251</c:v>
                </c:pt>
                <c:pt idx="174">
                  <c:v>-109.82637838909892</c:v>
                </c:pt>
                <c:pt idx="175">
                  <c:v>-109.7811131355671</c:v>
                </c:pt>
                <c:pt idx="176">
                  <c:v>-109.73303671397245</c:v>
                </c:pt>
                <c:pt idx="177">
                  <c:v>-109.68218460502254</c:v>
                </c:pt>
                <c:pt idx="178">
                  <c:v>-109.62859195079336</c:v>
                </c:pt>
                <c:pt idx="179">
                  <c:v>-109.57229355752897</c:v>
                </c:pt>
                <c:pt idx="180">
                  <c:v>-109.51332389842401</c:v>
                </c:pt>
                <c:pt idx="181">
                  <c:v>-109.4517171163892</c:v>
                </c:pt>
                <c:pt idx="182">
                  <c:v>-109.38750702679988</c:v>
                </c:pt>
                <c:pt idx="183">
                  <c:v>-109.32072712022709</c:v>
                </c:pt>
                <c:pt idx="184">
                  <c:v>-109.25141056515179</c:v>
                </c:pt>
                <c:pt idx="185">
                  <c:v>-109.17959021066176</c:v>
                </c:pt>
                <c:pt idx="186">
                  <c:v>-109.10529858913107</c:v>
                </c:pt>
                <c:pt idx="187">
                  <c:v>-109.02856791888242</c:v>
                </c:pt>
                <c:pt idx="188">
                  <c:v>-108.94943010683217</c:v>
                </c:pt>
                <c:pt idx="189">
                  <c:v>-108.86791675111809</c:v>
                </c:pt>
                <c:pt idx="190">
                  <c:v>-108.78405914370944</c:v>
                </c:pt>
                <c:pt idx="191">
                  <c:v>-108.69788827300002</c:v>
                </c:pt>
                <c:pt idx="192">
                  <c:v>-108.60943482638383</c:v>
                </c:pt>
                <c:pt idx="193">
                  <c:v>-108.51872919281321</c:v>
                </c:pt>
                <c:pt idx="194">
                  <c:v>-108.42580146533979</c:v>
                </c:pt>
                <c:pt idx="195">
                  <c:v>-108.33068144363794</c:v>
                </c:pt>
                <c:pt idx="196">
                  <c:v>-108.233398636511</c:v>
                </c:pt>
                <c:pt idx="197">
                  <c:v>-108.13398226438012</c:v>
                </c:pt>
                <c:pt idx="198">
                  <c:v>-108.03246126175574</c:v>
                </c:pt>
                <c:pt idx="199">
                  <c:v>-107.92886427969192</c:v>
                </c:pt>
                <c:pt idx="200">
                  <c:v>-107.82321968822346</c:v>
                </c:pt>
                <c:pt idx="201">
                  <c:v>-107.71555557878538</c:v>
                </c:pt>
                <c:pt idx="202">
                  <c:v>-107.60589976661578</c:v>
                </c:pt>
                <c:pt idx="203">
                  <c:v>-107.49427979314115</c:v>
                </c:pt>
                <c:pt idx="204">
                  <c:v>-107.38072292834462</c:v>
                </c:pt>
                <c:pt idx="205">
                  <c:v>-107.26525617311727</c:v>
                </c:pt>
                <c:pt idx="206">
                  <c:v>-107.14790626159206</c:v>
                </c:pt>
                <c:pt idx="207">
                  <c:v>-107.02869966346131</c:v>
                </c:pt>
                <c:pt idx="208">
                  <c:v>-106.90766258627662</c:v>
                </c:pt>
                <c:pt idx="209">
                  <c:v>-106.78404053506434</c:v>
                </c:pt>
                <c:pt idx="210">
                  <c:v>-106.658641460783</c:v>
                </c:pt>
                <c:pt idx="211">
                  <c:v>-106.53149083697619</c:v>
                </c:pt>
                <c:pt idx="212">
                  <c:v>-106.40261388333187</c:v>
                </c:pt>
                <c:pt idx="213">
                  <c:v>-106.27203556790799</c:v>
                </c:pt>
                <c:pt idx="214">
                  <c:v>-106.13978060934154</c:v>
                </c:pt>
                <c:pt idx="215">
                  <c:v>-106.005873479041</c:v>
                </c:pt>
                <c:pt idx="216">
                  <c:v>-105.8703384033619</c:v>
                </c:pt>
                <c:pt idx="217">
                  <c:v>-105.733199365766</c:v>
                </c:pt>
                <c:pt idx="218">
                  <c:v>-105.59448010896422</c:v>
                </c:pt>
                <c:pt idx="219">
                  <c:v>-105.45420413704281</c:v>
                </c:pt>
                <c:pt idx="220">
                  <c:v>-105.31239471757345</c:v>
                </c:pt>
                <c:pt idx="221">
                  <c:v>-105.16907488370701</c:v>
                </c:pt>
                <c:pt idx="222">
                  <c:v>-105.02426743625107</c:v>
                </c:pt>
                <c:pt idx="223">
                  <c:v>-104.87799494573152</c:v>
                </c:pt>
                <c:pt idx="224">
                  <c:v>-104.73027975443794</c:v>
                </c:pt>
                <c:pt idx="225">
                  <c:v>-104.58114397845323</c:v>
                </c:pt>
                <c:pt idx="226">
                  <c:v>-104.43060950966701</c:v>
                </c:pt>
                <c:pt idx="227">
                  <c:v>-104.27869801777373</c:v>
                </c:pt>
                <c:pt idx="228">
                  <c:v>-104.12543095225473</c:v>
                </c:pt>
                <c:pt idx="229">
                  <c:v>-103.97082954434461</c:v>
                </c:pt>
                <c:pt idx="230">
                  <c:v>-103.81491480898229</c:v>
                </c:pt>
                <c:pt idx="231">
                  <c:v>-103.65770754674659</c:v>
                </c:pt>
                <c:pt idx="232">
                  <c:v>-103.49922834577615</c:v>
                </c:pt>
                <c:pt idx="233">
                  <c:v>-103.33949758367424</c:v>
                </c:pt>
                <c:pt idx="234">
                  <c:v>-103.17853542939854</c:v>
                </c:pt>
                <c:pt idx="235">
                  <c:v>-103.01636184513532</c:v>
                </c:pt>
                <c:pt idx="236">
                  <c:v>-102.85299658815914</c:v>
                </c:pt>
                <c:pt idx="237">
                  <c:v>-102.68845921267695</c:v>
                </c:pt>
                <c:pt idx="238">
                  <c:v>-102.52276907165798</c:v>
                </c:pt>
                <c:pt idx="239">
                  <c:v>-102.35594531864837</c:v>
                </c:pt>
                <c:pt idx="240">
                  <c:v>-102.18800690957127</c:v>
                </c:pt>
                <c:pt idx="241">
                  <c:v>-102.01897260451233</c:v>
                </c:pt>
                <c:pt idx="242">
                  <c:v>-101.84886096949073</c:v>
                </c:pt>
                <c:pt idx="243">
                  <c:v>-101.67769037821567</c:v>
                </c:pt>
                <c:pt idx="244">
                  <c:v>-101.50547901382838</c:v>
                </c:pt>
                <c:pt idx="245">
                  <c:v>-101.33224487063036</c:v>
                </c:pt>
                <c:pt idx="246">
                  <c:v>-101.15800575579694</c:v>
                </c:pt>
                <c:pt idx="247">
                  <c:v>-100.98277929107695</c:v>
                </c:pt>
                <c:pt idx="248">
                  <c:v>-100.80658291447858</c:v>
                </c:pt>
                <c:pt idx="249">
                  <c:v>-100.62943388194105</c:v>
                </c:pt>
                <c:pt idx="250">
                  <c:v>-100.45134926899269</c:v>
                </c:pt>
                <c:pt idx="251">
                  <c:v>-100.2723459723951</c:v>
                </c:pt>
                <c:pt idx="252">
                  <c:v>-100.092440711774</c:v>
                </c:pt>
                <c:pt idx="253">
                  <c:v>-99.911650031236249</c:v>
                </c:pt>
                <c:pt idx="254">
                  <c:v>-99.729990300973498</c:v>
                </c:pt>
                <c:pt idx="255">
                  <c:v>-99.547477718852534</c:v>
                </c:pt>
                <c:pt idx="256">
                  <c:v>-99.364128311992388</c:v>
                </c:pt>
                <c:pt idx="257">
                  <c:v>-99.179957938328172</c:v>
                </c:pt>
                <c:pt idx="258">
                  <c:v>-98.994982288161893</c:v>
                </c:pt>
                <c:pt idx="259">
                  <c:v>-98.809216885700252</c:v>
                </c:pt>
                <c:pt idx="260">
                  <c:v>-98.622677090579586</c:v>
                </c:pt>
                <c:pt idx="261">
                  <c:v>-98.127231677043696</c:v>
                </c:pt>
                <c:pt idx="262">
                  <c:v>-97.531635711209873</c:v>
                </c:pt>
                <c:pt idx="263">
                  <c:v>-96.905696129634791</c:v>
                </c:pt>
                <c:pt idx="264">
                  <c:v>-96.272830539485625</c:v>
                </c:pt>
                <c:pt idx="265">
                  <c:v>-95.640881594139103</c:v>
                </c:pt>
                <c:pt idx="266">
                  <c:v>-95.012462705818351</c:v>
                </c:pt>
                <c:pt idx="267">
                  <c:v>-94.388431551208427</c:v>
                </c:pt>
                <c:pt idx="268">
                  <c:v>-93.769056282625471</c:v>
                </c:pt>
                <c:pt idx="269">
                  <c:v>-93.154407081402866</c:v>
                </c:pt>
                <c:pt idx="270">
                  <c:v>-92.544487625268914</c:v>
                </c:pt>
                <c:pt idx="271">
                  <c:v>-91.939279233504323</c:v>
                </c:pt>
                <c:pt idx="272">
                  <c:v>-91.338755694088675</c:v>
                </c:pt>
                <c:pt idx="273">
                  <c:v>-90.74288824733847</c:v>
                </c:pt>
                <c:pt idx="274">
                  <c:v>-90.151647264467769</c:v>
                </c:pt>
                <c:pt idx="275">
                  <c:v>-89.565002816307157</c:v>
                </c:pt>
                <c:pt idx="276">
                  <c:v>-88.982924869221875</c:v>
                </c:pt>
                <c:pt idx="277">
                  <c:v>-88.405383355689906</c:v>
                </c:pt>
                <c:pt idx="278">
                  <c:v>-87.832348202628651</c:v>
                </c:pt>
                <c:pt idx="279">
                  <c:v>-87.263789345371237</c:v>
                </c:pt>
                <c:pt idx="280">
                  <c:v>-86.69967673666477</c:v>
                </c:pt>
                <c:pt idx="281">
                  <c:v>-86.139980353842219</c:v>
                </c:pt>
                <c:pt idx="282">
                  <c:v>-85.584670205230054</c:v>
                </c:pt>
                <c:pt idx="283">
                  <c:v>-85.033716336153148</c:v>
                </c:pt>
                <c:pt idx="284">
                  <c:v>-84.487088834662117</c:v>
                </c:pt>
                <c:pt idx="285">
                  <c:v>-83.944757837029556</c:v>
                </c:pt>
                <c:pt idx="286">
                  <c:v>-83.406693533034783</c:v>
                </c:pt>
                <c:pt idx="287">
                  <c:v>-82.872866171047505</c:v>
                </c:pt>
                <c:pt idx="288">
                  <c:v>-82.343246062917714</c:v>
                </c:pt>
                <c:pt idx="289">
                  <c:v>-81.817803588678018</c:v>
                </c:pt>
                <c:pt idx="290">
                  <c:v>-81.296509201064225</c:v>
                </c:pt>
                <c:pt idx="291">
                  <c:v>-80.779333429859179</c:v>
                </c:pt>
                <c:pt idx="292">
                  <c:v>-80.266246886065545</c:v>
                </c:pt>
                <c:pt idx="293">
                  <c:v>-79.757220265912437</c:v>
                </c:pt>
                <c:pt idx="294">
                  <c:v>-79.252224354700644</c:v>
                </c:pt>
                <c:pt idx="295">
                  <c:v>-78.75123003049157</c:v>
                </c:pt>
                <c:pt idx="296">
                  <c:v>-78.254208267644145</c:v>
                </c:pt>
                <c:pt idx="297">
                  <c:v>-77.761130140204727</c:v>
                </c:pt>
                <c:pt idx="298">
                  <c:v>-77.27196682515391</c:v>
                </c:pt>
                <c:pt idx="299">
                  <c:v>-76.786689605514667</c:v>
                </c:pt>
                <c:pt idx="300">
                  <c:v>-76.305269873326424</c:v>
                </c:pt>
                <c:pt idx="301">
                  <c:v>-75.827679132488342</c:v>
                </c:pt>
                <c:pt idx="302">
                  <c:v>-75.353889001476333</c:v>
                </c:pt>
                <c:pt idx="303">
                  <c:v>-74.883871215937376</c:v>
                </c:pt>
                <c:pt idx="304">
                  <c:v>-74.417597631165023</c:v>
                </c:pt>
                <c:pt idx="305">
                  <c:v>-73.955040224459424</c:v>
                </c:pt>
                <c:pt idx="306">
                  <c:v>-73.496171097375722</c:v>
                </c:pt>
                <c:pt idx="307">
                  <c:v>-73.040962477863971</c:v>
                </c:pt>
                <c:pt idx="308">
                  <c:v>-72.589386722304155</c:v>
                </c:pt>
                <c:pt idx="309">
                  <c:v>-72.141416317439166</c:v>
                </c:pt>
                <c:pt idx="310">
                  <c:v>-71.69702388220928</c:v>
                </c:pt>
                <c:pt idx="311">
                  <c:v>-71.256182169490884</c:v>
                </c:pt>
                <c:pt idx="312">
                  <c:v>-70.818864067742723</c:v>
                </c:pt>
                <c:pt idx="313">
                  <c:v>-70.384467064836855</c:v>
                </c:pt>
                <c:pt idx="314">
                  <c:v>-69.953546897788627</c:v>
                </c:pt>
                <c:pt idx="315">
                  <c:v>-69.526076786529359</c:v>
                </c:pt>
                <c:pt idx="316">
                  <c:v>-69.102030093148571</c:v>
                </c:pt>
                <c:pt idx="317">
                  <c:v>-68.681380323112663</c:v>
                </c:pt>
                <c:pt idx="318">
                  <c:v>-68.264101126407297</c:v>
                </c:pt>
                <c:pt idx="319">
                  <c:v>-67.85016629860543</c:v>
                </c:pt>
                <c:pt idx="320">
                  <c:v>-67.439549781863747</c:v>
                </c:pt>
                <c:pt idx="321">
                  <c:v>-67.032225665849268</c:v>
                </c:pt>
                <c:pt idx="322">
                  <c:v>-66.628168188599076</c:v>
                </c:pt>
                <c:pt idx="323">
                  <c:v>-66.227351737314692</c:v>
                </c:pt>
                <c:pt idx="324">
                  <c:v>-65.829750849093656</c:v>
                </c:pt>
                <c:pt idx="325">
                  <c:v>-65.435340211600007</c:v>
                </c:pt>
                <c:pt idx="326">
                  <c:v>-65.044094663675793</c:v>
                </c:pt>
                <c:pt idx="327">
                  <c:v>-64.655989195896083</c:v>
                </c:pt>
                <c:pt idx="328">
                  <c:v>-64.270998951068066</c:v>
                </c:pt>
                <c:pt idx="329">
                  <c:v>-63.889099224677594</c:v>
                </c:pt>
                <c:pt idx="330">
                  <c:v>-63.510265465283695</c:v>
                </c:pt>
                <c:pt idx="331">
                  <c:v>-63.134473274863652</c:v>
                </c:pt>
                <c:pt idx="332">
                  <c:v>-62.761698409109769</c:v>
                </c:pt>
                <c:pt idx="333">
                  <c:v>-62.391916777679711</c:v>
                </c:pt>
                <c:pt idx="334">
                  <c:v>-62.025104444401919</c:v>
                </c:pt>
                <c:pt idx="335">
                  <c:v>-61.661237627437771</c:v>
                </c:pt>
                <c:pt idx="336">
                  <c:v>-61.300292699401695</c:v>
                </c:pt>
                <c:pt idx="337">
                  <c:v>-60.942246187441022</c:v>
                </c:pt>
                <c:pt idx="338">
                  <c:v>-60.587074773276719</c:v>
                </c:pt>
                <c:pt idx="339">
                  <c:v>-60.234755293206483</c:v>
                </c:pt>
                <c:pt idx="340">
                  <c:v>-59.885264738071612</c:v>
                </c:pt>
                <c:pt idx="341">
                  <c:v>-59.538580253188684</c:v>
                </c:pt>
                <c:pt idx="342">
                  <c:v>-59.194679138247665</c:v>
                </c:pt>
                <c:pt idx="343">
                  <c:v>-58.853538847177198</c:v>
                </c:pt>
                <c:pt idx="344">
                  <c:v>-58.515136987978721</c:v>
                </c:pt>
                <c:pt idx="345">
                  <c:v>-58.179451322530298</c:v>
                </c:pt>
                <c:pt idx="346">
                  <c:v>-57.846459766361221</c:v>
                </c:pt>
                <c:pt idx="347">
                  <c:v>-57.516140388398732</c:v>
                </c:pt>
                <c:pt idx="348">
                  <c:v>-57.188471410687626</c:v>
                </c:pt>
                <c:pt idx="349">
                  <c:v>-56.863431208083959</c:v>
                </c:pt>
                <c:pt idx="350">
                  <c:v>-56.540998307923651</c:v>
                </c:pt>
                <c:pt idx="351">
                  <c:v>-56.221151389667249</c:v>
                </c:pt>
                <c:pt idx="352">
                  <c:v>-55.903869284521413</c:v>
                </c:pt>
                <c:pt idx="353">
                  <c:v>-55.589130975038316</c:v>
                </c:pt>
                <c:pt idx="354">
                  <c:v>-55.276915594693655</c:v>
                </c:pt>
                <c:pt idx="355">
                  <c:v>-54.967202427444313</c:v>
                </c:pt>
                <c:pt idx="356">
                  <c:v>-54.659970907266185</c:v>
                </c:pt>
                <c:pt idx="357">
                  <c:v>-54.355200617673418</c:v>
                </c:pt>
                <c:pt idx="358">
                  <c:v>-54.05287129121934</c:v>
                </c:pt>
                <c:pt idx="359">
                  <c:v>-53.752962808980286</c:v>
                </c:pt>
                <c:pt idx="360">
                  <c:v>-53.455455200022705</c:v>
                </c:pt>
                <c:pt idx="361">
                  <c:v>-53.160328640854509</c:v>
                </c:pt>
                <c:pt idx="362">
                  <c:v>-52.867563454861148</c:v>
                </c:pt>
                <c:pt idx="363">
                  <c:v>-52.577140111727246</c:v>
                </c:pt>
                <c:pt idx="364">
                  <c:v>-52.289039226844359</c:v>
                </c:pt>
                <c:pt idx="365">
                  <c:v>-52.002781008057816</c:v>
                </c:pt>
                <c:pt idx="366">
                  <c:v>-51.718811931191254</c:v>
                </c:pt>
                <c:pt idx="367">
                  <c:v>-51.437112985104321</c:v>
                </c:pt>
                <c:pt idx="368">
                  <c:v>-51.157665302527441</c:v>
                </c:pt>
                <c:pt idx="369">
                  <c:v>-50.880450159403161</c:v>
                </c:pt>
                <c:pt idx="370">
                  <c:v>-50.60544897421719</c:v>
                </c:pt>
                <c:pt idx="371">
                  <c:v>-50.332643307319628</c:v>
                </c:pt>
                <c:pt idx="372">
                  <c:v>-50.062014860236879</c:v>
                </c:pt>
                <c:pt idx="373">
                  <c:v>-49.793545474974792</c:v>
                </c:pt>
                <c:pt idx="374">
                  <c:v>-49.527217133313307</c:v>
                </c:pt>
                <c:pt idx="375">
                  <c:v>-49.263011956093429</c:v>
                </c:pt>
                <c:pt idx="376">
                  <c:v>-49.000912202496558</c:v>
                </c:pt>
                <c:pt idx="377">
                  <c:v>-48.740900269316917</c:v>
                </c:pt>
                <c:pt idx="378">
                  <c:v>-48.482958690227399</c:v>
                </c:pt>
                <c:pt idx="379">
                  <c:v>-48.227070135039142</c:v>
                </c:pt>
                <c:pt idx="380">
                  <c:v>-47.973217408955392</c:v>
                </c:pt>
                <c:pt idx="381">
                  <c:v>-47.721383451819939</c:v>
                </c:pt>
                <c:pt idx="382">
                  <c:v>-47.471551337360438</c:v>
                </c:pt>
                <c:pt idx="383">
                  <c:v>-47.223704272427149</c:v>
                </c:pt>
                <c:pt idx="384">
                  <c:v>-46.977825596227198</c:v>
                </c:pt>
                <c:pt idx="385">
                  <c:v>-46.733898779554956</c:v>
                </c:pt>
                <c:pt idx="386">
                  <c:v>-46.491907424018642</c:v>
                </c:pt>
                <c:pt idx="387">
                  <c:v>-46.25183526126353</c:v>
                </c:pt>
                <c:pt idx="388">
                  <c:v>-46.013666152192158</c:v>
                </c:pt>
                <c:pt idx="389">
                  <c:v>-45.777384086181733</c:v>
                </c:pt>
                <c:pt idx="390">
                  <c:v>-45.542973180298908</c:v>
                </c:pt>
                <c:pt idx="391">
                  <c:v>-45.310417678512508</c:v>
                </c:pt>
                <c:pt idx="392">
                  <c:v>-45.079701950904159</c:v>
                </c:pt>
                <c:pt idx="393">
                  <c:v>-44.850810492877265</c:v>
                </c:pt>
                <c:pt idx="394">
                  <c:v>-44.623727924364481</c:v>
                </c:pt>
                <c:pt idx="395">
                  <c:v>-44.398438989033984</c:v>
                </c:pt>
                <c:pt idx="396">
                  <c:v>-44.174928553494723</c:v>
                </c:pt>
                <c:pt idx="397">
                  <c:v>-43.953181606500891</c:v>
                </c:pt>
                <c:pt idx="398">
                  <c:v>-43.733183258155861</c:v>
                </c:pt>
                <c:pt idx="399">
                  <c:v>-43.514918739115693</c:v>
                </c:pt>
                <c:pt idx="400">
                  <c:v>-43.298373399792595</c:v>
                </c:pt>
                <c:pt idx="401">
                  <c:v>-43.083532709558291</c:v>
                </c:pt>
                <c:pt idx="402">
                  <c:v>-42.870382255947746</c:v>
                </c:pt>
                <c:pt idx="403">
                  <c:v>-42.658907743863089</c:v>
                </c:pt>
                <c:pt idx="404">
                  <c:v>-42.449094994778363</c:v>
                </c:pt>
                <c:pt idx="405">
                  <c:v>-42.240929945944806</c:v>
                </c:pt>
                <c:pt idx="406">
                  <c:v>-42.034398649597144</c:v>
                </c:pt>
                <c:pt idx="407">
                  <c:v>-41.829487272160854</c:v>
                </c:pt>
                <c:pt idx="408">
                  <c:v>-41.62618209346072</c:v>
                </c:pt>
                <c:pt idx="409">
                  <c:v>-41.424469505930666</c:v>
                </c:pt>
                <c:pt idx="410">
                  <c:v>-41.224336013825081</c:v>
                </c:pt>
                <c:pt idx="411">
                  <c:v>-41.025768232431773</c:v>
                </c:pt>
                <c:pt idx="412">
                  <c:v>-40.828752887286669</c:v>
                </c:pt>
                <c:pt idx="413">
                  <c:v>-40.633276813390374</c:v>
                </c:pt>
                <c:pt idx="414">
                  <c:v>-40.43932695442669</c:v>
                </c:pt>
                <c:pt idx="415">
                  <c:v>-40.246890361983326</c:v>
                </c:pt>
                <c:pt idx="416">
                  <c:v>-40.055954194774628</c:v>
                </c:pt>
                <c:pt idx="417">
                  <c:v>-39.866113894700639</c:v>
                </c:pt>
                <c:pt idx="418">
                  <c:v>-39.677752346458327</c:v>
                </c:pt>
                <c:pt idx="419">
                  <c:v>-39.490856982615881</c:v>
                </c:pt>
                <c:pt idx="420">
                  <c:v>-39.305415340264261</c:v>
                </c:pt>
                <c:pt idx="421">
                  <c:v>-39.121415060247763</c:v>
                </c:pt>
                <c:pt idx="422">
                  <c:v>-38.938843886397287</c:v>
                </c:pt>
                <c:pt idx="423">
                  <c:v>-38.757689664766595</c:v>
                </c:pt>
                <c:pt idx="424">
                  <c:v>-38.577940342871408</c:v>
                </c:pt>
                <c:pt idx="425">
                  <c:v>-38.399583968931729</c:v>
                </c:pt>
                <c:pt idx="426">
                  <c:v>-38.222608691117046</c:v>
                </c:pt>
                <c:pt idx="427">
                  <c:v>-38.047002756794932</c:v>
                </c:pt>
                <c:pt idx="428">
                  <c:v>-37.872754511782738</c:v>
                </c:pt>
                <c:pt idx="429">
                  <c:v>-37.699852399602698</c:v>
                </c:pt>
                <c:pt idx="430">
                  <c:v>-37.528284960740294</c:v>
                </c:pt>
                <c:pt idx="431">
                  <c:v>-37.358040831906145</c:v>
                </c:pt>
                <c:pt idx="432">
                  <c:v>-37.189108745301276</c:v>
                </c:pt>
                <c:pt idx="433">
                  <c:v>-37.021477527886006</c:v>
                </c:pt>
                <c:pt idx="434">
                  <c:v>-36.855136100652302</c:v>
                </c:pt>
                <c:pt idx="435">
                  <c:v>-36.690073477899794</c:v>
                </c:pt>
                <c:pt idx="436">
                  <c:v>-36.526278766515475</c:v>
                </c:pt>
                <c:pt idx="437">
                  <c:v>-36.363741165257089</c:v>
                </c:pt>
                <c:pt idx="438">
                  <c:v>-36.202449964040149</c:v>
                </c:pt>
                <c:pt idx="439">
                  <c:v>-36.042394543228895</c:v>
                </c:pt>
                <c:pt idx="440">
                  <c:v>-35.883564372930913</c:v>
                </c:pt>
                <c:pt idx="441">
                  <c:v>-35.725949012295743</c:v>
                </c:pt>
                <c:pt idx="442">
                  <c:v>-35.569538108817149</c:v>
                </c:pt>
                <c:pt idx="443">
                  <c:v>-35.414321397639405</c:v>
                </c:pt>
                <c:pt idx="444">
                  <c:v>-35.26028870086752</c:v>
                </c:pt>
                <c:pt idx="445">
                  <c:v>-35.107429926881345</c:v>
                </c:pt>
                <c:pt idx="446">
                  <c:v>-34.955735069653649</c:v>
                </c:pt>
                <c:pt idx="447">
                  <c:v>-34.805194208072194</c:v>
                </c:pt>
                <c:pt idx="448">
                  <c:v>-34.655797505265838</c:v>
                </c:pt>
                <c:pt idx="449">
                  <c:v>-34.507535207934552</c:v>
                </c:pt>
                <c:pt idx="450">
                  <c:v>-34.360397645683626</c:v>
                </c:pt>
                <c:pt idx="451">
                  <c:v>-34.214375230361831</c:v>
                </c:pt>
                <c:pt idx="452">
                  <c:v>-34.069458455403584</c:v>
                </c:pt>
                <c:pt idx="453">
                  <c:v>-33.925637895175306</c:v>
                </c:pt>
                <c:pt idx="454">
                  <c:v>-33.782904204325796</c:v>
                </c:pt>
                <c:pt idx="455">
                  <c:v>-33.641248117140719</c:v>
                </c:pt>
                <c:pt idx="456">
                  <c:v>-33.500660446901193</c:v>
                </c:pt>
                <c:pt idx="457">
                  <c:v>-33.361132085246403</c:v>
                </c:pt>
                <c:pt idx="458">
                  <c:v>-33.222654001540427</c:v>
                </c:pt>
                <c:pt idx="459">
                  <c:v>-33.085217242243125</c:v>
                </c:pt>
                <c:pt idx="460">
                  <c:v>-32.94881293028515</c:v>
                </c:pt>
                <c:pt idx="461">
                  <c:v>-32.813432264447094</c:v>
                </c:pt>
                <c:pt idx="462">
                  <c:v>-32.679066518742665</c:v>
                </c:pt>
                <c:pt idx="463">
                  <c:v>-32.545707041806075</c:v>
                </c:pt>
                <c:pt idx="464">
                  <c:v>-32.413345256283549</c:v>
                </c:pt>
                <c:pt idx="465">
                  <c:v>-32.28197265822886</c:v>
                </c:pt>
                <c:pt idx="466">
                  <c:v>-32.151580816503028</c:v>
                </c:pt>
                <c:pt idx="467">
                  <c:v>-32.022161372178083</c:v>
                </c:pt>
                <c:pt idx="468">
                  <c:v>-31.893706037945066</c:v>
                </c:pt>
                <c:pt idx="469">
                  <c:v>-31.765851150439708</c:v>
                </c:pt>
                <c:pt idx="470">
                  <c:v>-31.638946838505518</c:v>
                </c:pt>
                <c:pt idx="471">
                  <c:v>-31.512984994899483</c:v>
                </c:pt>
                <c:pt idx="472">
                  <c:v>-31.387957582019929</c:v>
                </c:pt>
                <c:pt idx="473">
                  <c:v>-31.263856631331208</c:v>
                </c:pt>
                <c:pt idx="474">
                  <c:v>-31.140674242792514</c:v>
                </c:pt>
                <c:pt idx="475">
                  <c:v>-31.018402584290641</c:v>
                </c:pt>
                <c:pt idx="476">
                  <c:v>-30.897033891076958</c:v>
                </c:pt>
                <c:pt idx="477">
                  <c:v>-30.776560465208391</c:v>
                </c:pt>
                <c:pt idx="478">
                  <c:v>-30.656974674992412</c:v>
                </c:pt>
                <c:pt idx="479">
                  <c:v>-30.538268954436042</c:v>
                </c:pt>
                <c:pt idx="480">
                  <c:v>-30.420435802698982</c:v>
                </c:pt>
                <c:pt idx="481">
                  <c:v>-30.303467783550623</c:v>
                </c:pt>
                <c:pt idx="482">
                  <c:v>-30.187357524831107</c:v>
                </c:pt>
                <c:pt idx="483">
                  <c:v>-30.072097717916385</c:v>
                </c:pt>
                <c:pt idx="484">
                  <c:v>-29.957681117187157</c:v>
                </c:pt>
                <c:pt idx="485">
                  <c:v>-29.844100539501852</c:v>
                </c:pt>
                <c:pt idx="486">
                  <c:v>-29.731348863673475</c:v>
                </c:pt>
                <c:pt idx="487">
                  <c:v>-29.619419029950397</c:v>
                </c:pt>
                <c:pt idx="488">
                  <c:v>-29.508304039501034</c:v>
                </c:pt>
                <c:pt idx="489">
                  <c:v>-29.397996953902418</c:v>
                </c:pt>
                <c:pt idx="490">
                  <c:v>-29.288490894632613</c:v>
                </c:pt>
                <c:pt idx="491">
                  <c:v>-29.179779042566999</c:v>
                </c:pt>
                <c:pt idx="492">
                  <c:v>-29.071854637478403</c:v>
                </c:pt>
                <c:pt idx="493">
                  <c:v>-28.964710977540982</c:v>
                </c:pt>
                <c:pt idx="494">
                  <c:v>-28.85834141883797</c:v>
                </c:pt>
                <c:pt idx="495">
                  <c:v>-28.752739374873158</c:v>
                </c:pt>
                <c:pt idx="496">
                  <c:v>-28.647898316086156</c:v>
                </c:pt>
                <c:pt idx="497">
                  <c:v>-28.543811769371384</c:v>
                </c:pt>
                <c:pt idx="498">
                  <c:v>-28.440473317600766</c:v>
                </c:pt>
                <c:pt idx="499">
                  <c:v>-28.337876599150171</c:v>
                </c:pt>
                <c:pt idx="500">
                  <c:v>-28.236015307429504</c:v>
                </c:pt>
                <c:pt idx="501">
                  <c:v>-28.134883190416453</c:v>
                </c:pt>
                <c:pt idx="502">
                  <c:v>-28.034474050193886</c:v>
                </c:pt>
                <c:pt idx="503">
                  <c:v>-27.934781742490912</c:v>
                </c:pt>
                <c:pt idx="504">
                  <c:v>-27.835800176227441</c:v>
                </c:pt>
                <c:pt idx="505">
                  <c:v>-27.737523313062479</c:v>
                </c:pt>
                <c:pt idx="506">
                  <c:v>-27.639945166945829</c:v>
                </c:pt>
                <c:pt idx="507">
                  <c:v>-27.543059803673437</c:v>
                </c:pt>
                <c:pt idx="508">
                  <c:v>-27.446861340446215</c:v>
                </c:pt>
                <c:pt idx="509">
                  <c:v>-27.351343945432404</c:v>
                </c:pt>
                <c:pt idx="510">
                  <c:v>-27.256501837333346</c:v>
                </c:pt>
                <c:pt idx="511">
                  <c:v>-27.162329284952801</c:v>
                </c:pt>
                <c:pt idx="512">
                  <c:v>-27.068820606769634</c:v>
                </c:pt>
                <c:pt idx="513">
                  <c:v>-26.975970170513957</c:v>
                </c:pt>
                <c:pt idx="514">
                  <c:v>-26.883772392746639</c:v>
                </c:pt>
                <c:pt idx="515">
                  <c:v>-26.792221738442258</c:v>
                </c:pt>
                <c:pt idx="516">
                  <c:v>-26.701312720575299</c:v>
                </c:pt>
                <c:pt idx="517">
                  <c:v>-26.611039899709755</c:v>
                </c:pt>
                <c:pt idx="518">
                  <c:v>-26.521397883592069</c:v>
                </c:pt>
                <c:pt idx="519">
                  <c:v>-26.432381326747265</c:v>
                </c:pt>
              </c:numCache>
            </c:numRef>
          </c:val>
          <c:smooth val="0"/>
          <c:extLst>
            <c:ext xmlns:c16="http://schemas.microsoft.com/office/drawing/2014/chart" uri="{C3380CC4-5D6E-409C-BE32-E72D297353CC}">
              <c16:uniqueId val="{00000000-7744-4B44-92D6-CD8912115525}"/>
            </c:ext>
          </c:extLst>
        </c:ser>
        <c:ser>
          <c:idx val="9"/>
          <c:order val="9"/>
          <c:tx>
            <c:strRef>
              <c:f>Ig!$AK$534</c:f>
              <c:strCache>
                <c:ptCount val="1"/>
                <c:pt idx="0">
                  <c:v>Steroids non respond + azathioprine</c:v>
                </c:pt>
              </c:strCache>
            </c:strRef>
          </c:tx>
          <c:spPr>
            <a:ln w="28575" cap="rnd">
              <a:solidFill>
                <a:schemeClr val="accent4">
                  <a:lumMod val="60000"/>
                </a:schemeClr>
              </a:solidFill>
              <a:round/>
            </a:ln>
            <a:effectLst/>
          </c:spPr>
          <c:marker>
            <c:symbol val="none"/>
          </c:marker>
          <c:cat>
            <c:numRef>
              <c:f>Ig!$AA$535:$AA$1054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Ig!$AK$535:$AK$1054</c:f>
              <c:numCache>
                <c:formatCode>0</c:formatCode>
                <c:ptCount val="520"/>
                <c:pt idx="0">
                  <c:v>0</c:v>
                </c:pt>
                <c:pt idx="1">
                  <c:v>-2.4581642419634471</c:v>
                </c:pt>
                <c:pt idx="2">
                  <c:v>-3.2748842916431591</c:v>
                </c:pt>
                <c:pt idx="3">
                  <c:v>-3.54051279800299</c:v>
                </c:pt>
                <c:pt idx="4">
                  <c:v>-3.6211401241781935</c:v>
                </c:pt>
                <c:pt idx="5">
                  <c:v>-3.6396825374624688</c:v>
                </c:pt>
                <c:pt idx="6">
                  <c:v>-3.6374095842479628</c:v>
                </c:pt>
                <c:pt idx="7">
                  <c:v>-3.6281775827561846</c:v>
                </c:pt>
                <c:pt idx="8">
                  <c:v>-3.6166387453910955</c:v>
                </c:pt>
                <c:pt idx="9">
                  <c:v>-3.6043549678411435</c:v>
                </c:pt>
                <c:pt idx="10">
                  <c:v>-3.5918505593780532</c:v>
                </c:pt>
                <c:pt idx="11">
                  <c:v>-3.5793014556517204</c:v>
                </c:pt>
                <c:pt idx="12">
                  <c:v>-3.5667666247717578</c:v>
                </c:pt>
                <c:pt idx="13">
                  <c:v>-3.5542657628673924</c:v>
                </c:pt>
                <c:pt idx="14">
                  <c:v>-3.5418053806958958</c:v>
                </c:pt>
                <c:pt idx="15">
                  <c:v>-3.5293875623293585</c:v>
                </c:pt>
                <c:pt idx="16">
                  <c:v>-3.517012905919219</c:v>
                </c:pt>
                <c:pt idx="17">
                  <c:v>-3.5046815110690028</c:v>
                </c:pt>
                <c:pt idx="18">
                  <c:v>-3.4923933103476221</c:v>
                </c:pt>
                <c:pt idx="19">
                  <c:v>-3.4801481805950991</c:v>
                </c:pt>
                <c:pt idx="20">
                  <c:v>-3.4679459802926962</c:v>
                </c:pt>
                <c:pt idx="21">
                  <c:v>-2.4984261864958368</c:v>
                </c:pt>
                <c:pt idx="22">
                  <c:v>-2.1598871060620852</c:v>
                </c:pt>
                <c:pt idx="23">
                  <c:v>-2.0332951308282379</c:v>
                </c:pt>
                <c:pt idx="24">
                  <c:v>-1.9779573813570119</c:v>
                </c:pt>
                <c:pt idx="25">
                  <c:v>-1.9466350473434257</c:v>
                </c:pt>
                <c:pt idx="26">
                  <c:v>-1.9234669171932341</c:v>
                </c:pt>
                <c:pt idx="27">
                  <c:v>-1.9031269430359032</c:v>
                </c:pt>
                <c:pt idx="28">
                  <c:v>-1.8838263058534837</c:v>
                </c:pt>
                <c:pt idx="29">
                  <c:v>-1.8649638295145228</c:v>
                </c:pt>
                <c:pt idx="30">
                  <c:v>-1.8463370974236897</c:v>
                </c:pt>
                <c:pt idx="31">
                  <c:v>-1.8278775816121153</c:v>
                </c:pt>
                <c:pt idx="32">
                  <c:v>-1.8095617111997777</c:v>
                </c:pt>
                <c:pt idx="33">
                  <c:v>-1.7913810132391286</c:v>
                </c:pt>
                <c:pt idx="34">
                  <c:v>-1.7733320873582785</c:v>
                </c:pt>
                <c:pt idx="35">
                  <c:v>-1.7554132396855737</c:v>
                </c:pt>
                <c:pt idx="36">
                  <c:v>-1.7376233526559197</c:v>
                </c:pt>
                <c:pt idx="37">
                  <c:v>-1.7199615055238657</c:v>
                </c:pt>
                <c:pt idx="38">
                  <c:v>-1.7024268469297583</c:v>
                </c:pt>
                <c:pt idx="39">
                  <c:v>-1.6850185520938716</c:v>
                </c:pt>
                <c:pt idx="40">
                  <c:v>-1.6677358084248473</c:v>
                </c:pt>
                <c:pt idx="41">
                  <c:v>-1.6505778106684736</c:v>
                </c:pt>
                <c:pt idx="42">
                  <c:v>-1.6335437592597866</c:v>
                </c:pt>
                <c:pt idx="43">
                  <c:v>-1.6166328597508015</c:v>
                </c:pt>
                <c:pt idx="44">
                  <c:v>-1.59984432259951</c:v>
                </c:pt>
                <c:pt idx="45">
                  <c:v>-1.5831773630802797</c:v>
                </c:pt>
                <c:pt idx="46">
                  <c:v>-1.566631201235122</c:v>
                </c:pt>
                <c:pt idx="47">
                  <c:v>-1.5502050618387895</c:v>
                </c:pt>
                <c:pt idx="48">
                  <c:v>-1.5338981743686342</c:v>
                </c:pt>
                <c:pt idx="49">
                  <c:v>-1.5177097729761506</c:v>
                </c:pt>
                <c:pt idx="50">
                  <c:v>-1.5016390964592095</c:v>
                </c:pt>
                <c:pt idx="51">
                  <c:v>-1.4856853882346184</c:v>
                </c:pt>
                <c:pt idx="52">
                  <c:v>-1.4698478963109016</c:v>
                </c:pt>
                <c:pt idx="53">
                  <c:v>-1.4541177737909894</c:v>
                </c:pt>
                <c:pt idx="54">
                  <c:v>-1.4454628861813463</c:v>
                </c:pt>
                <c:pt idx="55">
                  <c:v>-1.4391953719597979</c:v>
                </c:pt>
                <c:pt idx="56">
                  <c:v>-1.4337412291474521</c:v>
                </c:pt>
                <c:pt idx="57">
                  <c:v>-1.4285719414729405</c:v>
                </c:pt>
                <c:pt idx="58">
                  <c:v>-1.423510017060841</c:v>
                </c:pt>
                <c:pt idx="59">
                  <c:v>-1.4184958214356316</c:v>
                </c:pt>
                <c:pt idx="60">
                  <c:v>-1.413509291161638</c:v>
                </c:pt>
                <c:pt idx="61">
                  <c:v>-1.4085436490156236</c:v>
                </c:pt>
                <c:pt idx="62">
                  <c:v>-1.4035965787945419</c:v>
                </c:pt>
                <c:pt idx="63">
                  <c:v>-1.3986672622362657</c:v>
                </c:pt>
                <c:pt idx="64">
                  <c:v>-1.3937553841583559</c:v>
                </c:pt>
                <c:pt idx="65">
                  <c:v>-1.3888607984305914</c:v>
                </c:pt>
                <c:pt idx="66">
                  <c:v>-1.3839834158239768</c:v>
                </c:pt>
                <c:pt idx="67">
                  <c:v>-1.3791231663552868</c:v>
                </c:pt>
                <c:pt idx="68">
                  <c:v>-1.3742799866436628</c:v>
                </c:pt>
                <c:pt idx="69">
                  <c:v>-1.369453815665072</c:v>
                </c:pt>
                <c:pt idx="70">
                  <c:v>-1.3646445933263605</c:v>
                </c:pt>
                <c:pt idx="71">
                  <c:v>-1.359852259986003</c:v>
                </c:pt>
                <c:pt idx="72">
                  <c:v>-1.3550767562926997</c:v>
                </c:pt>
                <c:pt idx="73">
                  <c:v>-1.3503180231307026</c:v>
                </c:pt>
                <c:pt idx="74">
                  <c:v>-1.3455760016009715</c:v>
                </c:pt>
                <c:pt idx="75">
                  <c:v>-1.3408506330143637</c:v>
                </c:pt>
                <c:pt idx="76">
                  <c:v>-1.3361418588888665</c:v>
                </c:pt>
                <c:pt idx="77">
                  <c:v>-1.3314496209481888</c:v>
                </c:pt>
                <c:pt idx="78">
                  <c:v>-1.3267738611208073</c:v>
                </c:pt>
                <c:pt idx="79">
                  <c:v>-1.3221145215391741</c:v>
                </c:pt>
                <c:pt idx="80">
                  <c:v>-1.3174715445389706</c:v>
                </c:pt>
                <c:pt idx="81">
                  <c:v>-1.312844872658387</c:v>
                </c:pt>
                <c:pt idx="82">
                  <c:v>-1.3082344486374102</c:v>
                </c:pt>
                <c:pt idx="83">
                  <c:v>-1.3036402154171101</c:v>
                </c:pt>
                <c:pt idx="84">
                  <c:v>-1.2990621161389373</c:v>
                </c:pt>
                <c:pt idx="85">
                  <c:v>-1.2945000941440146</c:v>
                </c:pt>
                <c:pt idx="86">
                  <c:v>-1.2899540929724427</c:v>
                </c:pt>
                <c:pt idx="87">
                  <c:v>-1.2854240563625923</c:v>
                </c:pt>
                <c:pt idx="88">
                  <c:v>-1.2809099282504142</c:v>
                </c:pt>
                <c:pt idx="89">
                  <c:v>-1.2764116527687468</c:v>
                </c:pt>
                <c:pt idx="90">
                  <c:v>-1.2719291742466172</c:v>
                </c:pt>
                <c:pt idx="91">
                  <c:v>-1.2674624372085592</c:v>
                </c:pt>
                <c:pt idx="92">
                  <c:v>-1.2630113863739245</c:v>
                </c:pt>
                <c:pt idx="93">
                  <c:v>-1.2585759666561973</c:v>
                </c:pt>
                <c:pt idx="94">
                  <c:v>-1.2541561231623157</c:v>
                </c:pt>
                <c:pt idx="95">
                  <c:v>-1.2497518011919873</c:v>
                </c:pt>
                <c:pt idx="96">
                  <c:v>-1.2453629462370159</c:v>
                </c:pt>
                <c:pt idx="97">
                  <c:v>-1.2409895039806291</c:v>
                </c:pt>
                <c:pt idx="98">
                  <c:v>-1.2366314202967987</c:v>
                </c:pt>
                <c:pt idx="99">
                  <c:v>-1.2322886412495786</c:v>
                </c:pt>
                <c:pt idx="100">
                  <c:v>-1.2279611130924326</c:v>
                </c:pt>
                <c:pt idx="101">
                  <c:v>-1.223648782267571</c:v>
                </c:pt>
                <c:pt idx="102">
                  <c:v>-1.2193515954052865</c:v>
                </c:pt>
                <c:pt idx="103">
                  <c:v>-1.2150694993232944</c:v>
                </c:pt>
                <c:pt idx="104">
                  <c:v>-1.2108024410260767</c:v>
                </c:pt>
                <c:pt idx="105">
                  <c:v>-1.2065429462774613</c:v>
                </c:pt>
                <c:pt idx="106">
                  <c:v>-1.2022984360505964</c:v>
                </c:pt>
                <c:pt idx="107">
                  <c:v>-1.1980688576312759</c:v>
                </c:pt>
                <c:pt idx="108">
                  <c:v>-1.193854158490733</c:v>
                </c:pt>
                <c:pt idx="109">
                  <c:v>-1.1896542862849966</c:v>
                </c:pt>
                <c:pt idx="110">
                  <c:v>-1.1854691888542348</c:v>
                </c:pt>
                <c:pt idx="111">
                  <c:v>-1.1812988142221097</c:v>
                </c:pt>
                <c:pt idx="112">
                  <c:v>-1.1771431105951329</c:v>
                </c:pt>
                <c:pt idx="113">
                  <c:v>-1.17300202636202</c:v>
                </c:pt>
                <c:pt idx="114">
                  <c:v>-1.1688755100930495</c:v>
                </c:pt>
                <c:pt idx="115">
                  <c:v>-1.164763510539425</c:v>
                </c:pt>
                <c:pt idx="116">
                  <c:v>-1.1606659766326408</c:v>
                </c:pt>
                <c:pt idx="117">
                  <c:v>-1.1565828574838437</c:v>
                </c:pt>
                <c:pt idx="118">
                  <c:v>-1.1525141023832055</c:v>
                </c:pt>
                <c:pt idx="119">
                  <c:v>-1.1484596607992876</c:v>
                </c:pt>
                <c:pt idx="120">
                  <c:v>-1.1444194823784173</c:v>
                </c:pt>
                <c:pt idx="121">
                  <c:v>-1.1403935169440627</c:v>
                </c:pt>
                <c:pt idx="122">
                  <c:v>-1.1363817144962072</c:v>
                </c:pt>
                <c:pt idx="123">
                  <c:v>-1.1323840252107304</c:v>
                </c:pt>
                <c:pt idx="124">
                  <c:v>-1.128400399438789</c:v>
                </c:pt>
                <c:pt idx="125">
                  <c:v>-1.1244307877062003</c:v>
                </c:pt>
                <c:pt idx="126">
                  <c:v>-1.1204751407128262</c:v>
                </c:pt>
                <c:pt idx="127">
                  <c:v>-1.1165334093319621</c:v>
                </c:pt>
                <c:pt idx="128">
                  <c:v>-1.1126055446097265</c:v>
                </c:pt>
                <c:pt idx="129">
                  <c:v>-1.108691497764456</c:v>
                </c:pt>
                <c:pt idx="130">
                  <c:v>-1.1047912201860921</c:v>
                </c:pt>
                <c:pt idx="131">
                  <c:v>-1.1009046634355866</c:v>
                </c:pt>
                <c:pt idx="132">
                  <c:v>-1.0970317792442932</c:v>
                </c:pt>
                <c:pt idx="133">
                  <c:v>-1.0931725195133701</c:v>
                </c:pt>
                <c:pt idx="134">
                  <c:v>-1.0893268363131847</c:v>
                </c:pt>
                <c:pt idx="135">
                  <c:v>-1.0854946818827145</c:v>
                </c:pt>
                <c:pt idx="136">
                  <c:v>-1.0816760086289587</c:v>
                </c:pt>
                <c:pt idx="137">
                  <c:v>-1.0778707691263421</c:v>
                </c:pt>
                <c:pt idx="138">
                  <c:v>-1.0740789161161288</c:v>
                </c:pt>
                <c:pt idx="139">
                  <c:v>-1.0703004025058349</c:v>
                </c:pt>
                <c:pt idx="140">
                  <c:v>-1.0665351813686432</c:v>
                </c:pt>
                <c:pt idx="141">
                  <c:v>-1.0627832059428226</c:v>
                </c:pt>
                <c:pt idx="142">
                  <c:v>-1.0590444296311441</c:v>
                </c:pt>
                <c:pt idx="143">
                  <c:v>-1.0553188060003058</c:v>
                </c:pt>
                <c:pt idx="144">
                  <c:v>-1.0516062887803506</c:v>
                </c:pt>
                <c:pt idx="145">
                  <c:v>-1.0479068318640974</c:v>
                </c:pt>
                <c:pt idx="146">
                  <c:v>-1.044220389306564</c:v>
                </c:pt>
                <c:pt idx="147">
                  <c:v>-1.0405469153244016</c:v>
                </c:pt>
                <c:pt idx="148">
                  <c:v>-1.036886364295321</c:v>
                </c:pt>
                <c:pt idx="149">
                  <c:v>-1.0332386907575282</c:v>
                </c:pt>
                <c:pt idx="150">
                  <c:v>-1.0296038494091593</c:v>
                </c:pt>
                <c:pt idx="151">
                  <c:v>-1.0259817951077195</c:v>
                </c:pt>
                <c:pt idx="152">
                  <c:v>-1.0223724828695211</c:v>
                </c:pt>
                <c:pt idx="153">
                  <c:v>-1.0187758678691243</c:v>
                </c:pt>
                <c:pt idx="154">
                  <c:v>-1.0151919054387828</c:v>
                </c:pt>
                <c:pt idx="155">
                  <c:v>-1.011620551067884</c:v>
                </c:pt>
                <c:pt idx="156">
                  <c:v>-1.0080617604024034</c:v>
                </c:pt>
                <c:pt idx="157">
                  <c:v>-1.0045085354346792</c:v>
                </c:pt>
                <c:pt idx="158">
                  <c:v>-1.000967834905603</c:v>
                </c:pt>
                <c:pt idx="159">
                  <c:v>-0.99743961466892284</c:v>
                </c:pt>
                <c:pt idx="160">
                  <c:v>-0.99392383073399371</c:v>
                </c:pt>
                <c:pt idx="161">
                  <c:v>-0.99042043926523027</c:v>
                </c:pt>
                <c:pt idx="162">
                  <c:v>-0.98692939658155909</c:v>
                </c:pt>
                <c:pt idx="163">
                  <c:v>-0.98345065915587271</c:v>
                </c:pt>
                <c:pt idx="164">
                  <c:v>-0.97998418361449025</c:v>
                </c:pt>
                <c:pt idx="165">
                  <c:v>-0.97652992673661432</c:v>
                </c:pt>
                <c:pt idx="166">
                  <c:v>-0.9730878454537919</c:v>
                </c:pt>
                <c:pt idx="167">
                  <c:v>-0.96965789684937742</c:v>
                </c:pt>
                <c:pt idx="168">
                  <c:v>-0.9662400381580003</c:v>
                </c:pt>
                <c:pt idx="169">
                  <c:v>-0.9628342267650285</c:v>
                </c:pt>
                <c:pt idx="170">
                  <c:v>-0.95944042020603826</c:v>
                </c:pt>
                <c:pt idx="171">
                  <c:v>-0.95605857616628565</c:v>
                </c:pt>
                <c:pt idx="172">
                  <c:v>-0.95268865248017631</c:v>
                </c:pt>
                <c:pt idx="173">
                  <c:v>-0.94933060713074324</c:v>
                </c:pt>
                <c:pt idx="174">
                  <c:v>-0.94598439824912095</c:v>
                </c:pt>
                <c:pt idx="175">
                  <c:v>-0.94264998411402412</c:v>
                </c:pt>
                <c:pt idx="176">
                  <c:v>-0.9393273231512258</c:v>
                </c:pt>
                <c:pt idx="177">
                  <c:v>-0.93601637393304093</c:v>
                </c:pt>
                <c:pt idx="178">
                  <c:v>-0.93271709517780899</c:v>
                </c:pt>
                <c:pt idx="179">
                  <c:v>-0.9294294457493788</c:v>
                </c:pt>
                <c:pt idx="180">
                  <c:v>-0.92615338465659702</c:v>
                </c:pt>
                <c:pt idx="181">
                  <c:v>-0.92288887105279649</c:v>
                </c:pt>
                <c:pt idx="182">
                  <c:v>-0.91963586423528776</c:v>
                </c:pt>
                <c:pt idx="183">
                  <c:v>-0.91639432364484641</c:v>
                </c:pt>
                <c:pt idx="184">
                  <c:v>-0.91316420886521588</c:v>
                </c:pt>
                <c:pt idx="185">
                  <c:v>-0.90994547962259764</c:v>
                </c:pt>
                <c:pt idx="186">
                  <c:v>-0.90673809578515141</c:v>
                </c:pt>
                <c:pt idx="187">
                  <c:v>-0.9035420173624924</c:v>
                </c:pt>
                <c:pt idx="188">
                  <c:v>-0.90035720450519396</c:v>
                </c:pt>
                <c:pt idx="189">
                  <c:v>-0.8971836175042931</c:v>
                </c:pt>
                <c:pt idx="190">
                  <c:v>-0.89402121679079216</c:v>
                </c:pt>
                <c:pt idx="191">
                  <c:v>-0.89086996293516707</c:v>
                </c:pt>
                <c:pt idx="192">
                  <c:v>-0.88772981664687567</c:v>
                </c:pt>
                <c:pt idx="193">
                  <c:v>-0.88460073877386503</c:v>
                </c:pt>
                <c:pt idx="194">
                  <c:v>-0.88148269030208892</c:v>
                </c:pt>
                <c:pt idx="195">
                  <c:v>-0.87837563235501637</c:v>
                </c:pt>
                <c:pt idx="196">
                  <c:v>-0.87527952619314919</c:v>
                </c:pt>
                <c:pt idx="197">
                  <c:v>-0.87219433321353879</c:v>
                </c:pt>
                <c:pt idx="198">
                  <c:v>-0.86912001494930369</c:v>
                </c:pt>
                <c:pt idx="199">
                  <c:v>-0.8660565330691522</c:v>
                </c:pt>
                <c:pt idx="200">
                  <c:v>-0.86300384937690122</c:v>
                </c:pt>
                <c:pt idx="201">
                  <c:v>-0.85996192581100395</c:v>
                </c:pt>
                <c:pt idx="202">
                  <c:v>-0.85693072444407214</c:v>
                </c:pt>
                <c:pt idx="203">
                  <c:v>-0.85391020748240376</c:v>
                </c:pt>
                <c:pt idx="204">
                  <c:v>-0.8509003372655134</c:v>
                </c:pt>
                <c:pt idx="205">
                  <c:v>-0.84790107626566147</c:v>
                </c:pt>
                <c:pt idx="206">
                  <c:v>-0.84491238708738647</c:v>
                </c:pt>
                <c:pt idx="207">
                  <c:v>-0.84193423246703825</c:v>
                </c:pt>
                <c:pt idx="208">
                  <c:v>-0.83896657527231511</c:v>
                </c:pt>
                <c:pt idx="209">
                  <c:v>-0.83600326855577778</c:v>
                </c:pt>
                <c:pt idx="210">
                  <c:v>-0.83305042850973188</c:v>
                </c:pt>
                <c:pt idx="211">
                  <c:v>-0.83010801816493851</c:v>
                </c:pt>
                <c:pt idx="212">
                  <c:v>-0.827176000682739</c:v>
                </c:pt>
                <c:pt idx="213">
                  <c:v>-0.82425433935459191</c:v>
                </c:pt>
                <c:pt idx="214">
                  <c:v>-0.82134299760161322</c:v>
                </c:pt>
                <c:pt idx="215">
                  <c:v>-0.81844193897411843</c:v>
                </c:pt>
                <c:pt idx="216">
                  <c:v>-0.81555112715116795</c:v>
                </c:pt>
                <c:pt idx="217">
                  <c:v>-0.81267052594011047</c:v>
                </c:pt>
                <c:pt idx="218">
                  <c:v>-0.80980009927612928</c:v>
                </c:pt>
                <c:pt idx="219">
                  <c:v>-0.80693981122179459</c:v>
                </c:pt>
                <c:pt idx="220">
                  <c:v>-0.80408962596660927</c:v>
                </c:pt>
                <c:pt idx="221">
                  <c:v>-0.8012495078265619</c:v>
                </c:pt>
                <c:pt idx="222">
                  <c:v>-0.79841942124368026</c:v>
                </c:pt>
                <c:pt idx="223">
                  <c:v>-0.79559933078558709</c:v>
                </c:pt>
                <c:pt idx="224">
                  <c:v>-0.79278920114505391</c:v>
                </c:pt>
                <c:pt idx="225">
                  <c:v>-0.78998899713956228</c:v>
                </c:pt>
                <c:pt idx="226">
                  <c:v>-0.7871986837108611</c:v>
                </c:pt>
                <c:pt idx="227">
                  <c:v>-0.7844182259245277</c:v>
                </c:pt>
                <c:pt idx="228">
                  <c:v>-0.78164758896953102</c:v>
                </c:pt>
                <c:pt idx="229">
                  <c:v>-0.77888673815779697</c:v>
                </c:pt>
                <c:pt idx="230">
                  <c:v>-0.77613563892377124</c:v>
                </c:pt>
                <c:pt idx="231">
                  <c:v>-0.77339425682398977</c:v>
                </c:pt>
                <c:pt idx="232">
                  <c:v>-0.77066255753664492</c:v>
                </c:pt>
                <c:pt idx="233">
                  <c:v>-0.76794050686115711</c:v>
                </c:pt>
                <c:pt idx="234">
                  <c:v>-0.76522807071774634</c:v>
                </c:pt>
                <c:pt idx="235">
                  <c:v>-0.762525215147005</c:v>
                </c:pt>
                <c:pt idx="236">
                  <c:v>-0.7598319063094735</c:v>
                </c:pt>
                <c:pt idx="237">
                  <c:v>-0.75714811048521802</c:v>
                </c:pt>
                <c:pt idx="238">
                  <c:v>-0.75447379407340454</c:v>
                </c:pt>
                <c:pt idx="239">
                  <c:v>-0.7518089235918799</c:v>
                </c:pt>
                <c:pt idx="240">
                  <c:v>-0.74915346567675489</c:v>
                </c:pt>
                <c:pt idx="241">
                  <c:v>-0.74650738708198383</c:v>
                </c:pt>
                <c:pt idx="242">
                  <c:v>-0.74387065467894797</c:v>
                </c:pt>
                <c:pt idx="243">
                  <c:v>-0.7412432354560432</c:v>
                </c:pt>
                <c:pt idx="244">
                  <c:v>-0.73862509651826569</c:v>
                </c:pt>
                <c:pt idx="245">
                  <c:v>-0.73601620508679844</c:v>
                </c:pt>
                <c:pt idx="246">
                  <c:v>-0.73341652849860295</c:v>
                </c:pt>
                <c:pt idx="247">
                  <c:v>-0.73082603420601056</c:v>
                </c:pt>
                <c:pt idx="248">
                  <c:v>-0.72824468977631163</c:v>
                </c:pt>
                <c:pt idx="249">
                  <c:v>-0.72567246289135401</c:v>
                </c:pt>
                <c:pt idx="250">
                  <c:v>-0.72310932134713501</c:v>
                </c:pt>
                <c:pt idx="251">
                  <c:v>-0.72055523305339908</c:v>
                </c:pt>
                <c:pt idx="252">
                  <c:v>-0.7180101660332382</c:v>
                </c:pt>
                <c:pt idx="253">
                  <c:v>-0.71547408842268834</c:v>
                </c:pt>
                <c:pt idx="254">
                  <c:v>-0.71294696847033157</c:v>
                </c:pt>
                <c:pt idx="255">
                  <c:v>-0.71042877453689957</c:v>
                </c:pt>
                <c:pt idx="256">
                  <c:v>-0.70791947509487696</c:v>
                </c:pt>
                <c:pt idx="257">
                  <c:v>-0.70541903872810618</c:v>
                </c:pt>
                <c:pt idx="258">
                  <c:v>-0.7029274341313948</c:v>
                </c:pt>
                <c:pt idx="259">
                  <c:v>-0.7004446301101217</c:v>
                </c:pt>
                <c:pt idx="260">
                  <c:v>-0.23517111529000689</c:v>
                </c:pt>
                <c:pt idx="261">
                  <c:v>-7.8957015304736311E-2</c:v>
                </c:pt>
                <c:pt idx="262">
                  <c:v>-2.650925160662055E-2</c:v>
                </c:pt>
                <c:pt idx="263">
                  <c:v>-8.9002911018213164E-3</c:v>
                </c:pt>
                <c:pt idx="264">
                  <c:v>-2.9882089042972499E-3</c:v>
                </c:pt>
                <c:pt idx="265">
                  <c:v>-1.0032697080991095E-3</c:v>
                </c:pt>
                <c:pt idx="266">
                  <c:v>-3.3684060901558268E-4</c:v>
                </c:pt>
                <c:pt idx="267">
                  <c:v>-1.1309181864661676E-4</c:v>
                </c:pt>
                <c:pt idx="268">
                  <c:v>-3.796976701288287E-5</c:v>
                </c:pt>
                <c:pt idx="269">
                  <c:v>-1.2748076954333585E-5</c:v>
                </c:pt>
                <c:pt idx="270">
                  <c:v>-4.2800754078493912E-6</c:v>
                </c:pt>
                <c:pt idx="271">
                  <c:v>-1.4370046213636758E-6</c:v>
                </c:pt>
                <c:pt idx="272">
                  <c:v>-4.8246399538510774E-7</c:v>
                </c:pt>
                <c:pt idx="273">
                  <c:v>-1.6198382620514321E-7</c:v>
                </c:pt>
                <c:pt idx="274">
                  <c:v>-5.4384907895798514E-8</c:v>
                </c:pt>
                <c:pt idx="275">
                  <c:v>-1.8259342775918292E-8</c:v>
                </c:pt>
                <c:pt idx="276">
                  <c:v>-6.1304433804922671E-9</c:v>
                </c:pt>
                <c:pt idx="277">
                  <c:v>-2.0582523972871408E-9</c:v>
                </c:pt>
                <c:pt idx="278">
                  <c:v>-6.9104348054480919E-10</c:v>
                </c:pt>
                <c:pt idx="279">
                  <c:v>-2.3201289240955216E-10</c:v>
                </c:pt>
                <c:pt idx="280">
                  <c:v>-7.7896664623487332E-11</c:v>
                </c:pt>
                <c:pt idx="281">
                  <c:v>-2.6153246470256257E-11</c:v>
                </c:pt>
                <c:pt idx="282">
                  <c:v>-8.7807649305659035E-12</c:v>
                </c:pt>
                <c:pt idx="283">
                  <c:v>-2.948078849543323E-12</c:v>
                </c:pt>
                <c:pt idx="284">
                  <c:v>-9.8979633002936514E-13</c:v>
                </c:pt>
                <c:pt idx="285">
                  <c:v>-3.3231701896011411E-13</c:v>
                </c:pt>
                <c:pt idx="286">
                  <c:v>-1.1157305572880886E-13</c:v>
                </c:pt>
                <c:pt idx="287">
                  <c:v>-3.7459853255839437E-14</c:v>
                </c:pt>
                <c:pt idx="288">
                  <c:v>-1.2576877067522122E-14</c:v>
                </c:pt>
                <c:pt idx="289">
                  <c:v>-4.22259627370287E-15</c:v>
                </c:pt>
                <c:pt idx="290">
                  <c:v>-1.4177064143159552E-15</c:v>
                </c:pt>
                <c:pt idx="291">
                  <c:v>-4.7598476077612181E-16</c:v>
                </c:pt>
                <c:pt idx="292">
                  <c:v>-1.5980846965442987E-16</c:v>
                </c:pt>
                <c:pt idx="293">
                  <c:v>-5.3654547535615111E-17</c:v>
                </c:pt>
                <c:pt idx="294">
                  <c:v>-1.801412952315186E-17</c:v>
                </c:pt>
                <c:pt idx="295">
                  <c:v>-6.0481147895523128E-18</c:v>
                </c:pt>
                <c:pt idx="296">
                  <c:v>-2.0306111633420311E-18</c:v>
                </c:pt>
                <c:pt idx="297">
                  <c:v>-6.8176313449144942E-19</c:v>
                </c:pt>
                <c:pt idx="298">
                  <c:v>-2.288970827810406E-19</c:v>
                </c:pt>
                <c:pt idx="299">
                  <c:v>-7.685055388738931E-20</c:v>
                </c:pt>
                <c:pt idx="300">
                  <c:v>-2.5802022293347091E-20</c:v>
                </c:pt>
                <c:pt idx="301">
                  <c:v>-8.6628439321583716E-21</c:v>
                </c:pt>
                <c:pt idx="302">
                  <c:v>-2.9084877200607258E-21</c:v>
                </c:pt>
                <c:pt idx="303">
                  <c:v>-9.7650389225428223E-22</c:v>
                </c:pt>
                <c:pt idx="304">
                  <c:v>-3.2785417831086922E-22</c:v>
                </c:pt>
                <c:pt idx="305">
                  <c:v>-1.100746889884441E-22</c:v>
                </c:pt>
                <c:pt idx="306">
                  <c:v>-3.6956787369090578E-23</c:v>
                </c:pt>
                <c:pt idx="307">
                  <c:v>-1.2407976304048948E-23</c:v>
                </c:pt>
                <c:pt idx="308">
                  <c:v>-4.1658890537277989E-24</c:v>
                </c:pt>
                <c:pt idx="309">
                  <c:v>-1.3986673719151095E-24</c:v>
                </c:pt>
                <c:pt idx="310">
                  <c:v>-4.6959253883858797E-25</c:v>
                </c:pt>
                <c:pt idx="311">
                  <c:v>-1.5766232698409928E-25</c:v>
                </c:pt>
                <c:pt idx="312">
                  <c:v>-5.2933995526247547E-26</c:v>
                </c:pt>
                <c:pt idx="313">
                  <c:v>-1.7772064032620557E-26</c:v>
                </c:pt>
                <c:pt idx="314">
                  <c:v>-5.9667942470534187E-27</c:v>
                </c:pt>
                <c:pt idx="315">
                  <c:v>-2.0032919936210716E-27</c:v>
                </c:pt>
                <c:pt idx="316">
                  <c:v>-6.7258541949692916E-28</c:v>
                </c:pt>
                <c:pt idx="317">
                  <c:v>-2.2581388432655379E-28</c:v>
                </c:pt>
                <c:pt idx="318">
                  <c:v>-7.5814772185793772E-29</c:v>
                </c:pt>
                <c:pt idx="319">
                  <c:v>-2.5454057879238688E-29</c:v>
                </c:pt>
                <c:pt idx="320">
                  <c:v>-8.5459474959820386E-30</c:v>
                </c:pt>
                <c:pt idx="321">
                  <c:v>-2.8692171185660098E-30</c:v>
                </c:pt>
                <c:pt idx="322">
                  <c:v>-9.6331119250882169E-31</c:v>
                </c:pt>
                <c:pt idx="323">
                  <c:v>-3.2342217938409358E-31</c:v>
                </c:pt>
                <c:pt idx="324">
                  <c:v>-1.0858578923508033E-31</c:v>
                </c:pt>
                <c:pt idx="325">
                  <c:v>-3.6456601851669986E-32</c:v>
                </c:pt>
                <c:pt idx="326">
                  <c:v>-1.2239942518572278E-32</c:v>
                </c:pt>
                <c:pt idx="327">
                  <c:v>-4.1094393127342659E-33</c:v>
                </c:pt>
                <c:pt idx="328">
                  <c:v>-1.3797034944748831E-33</c:v>
                </c:pt>
                <c:pt idx="329">
                  <c:v>-4.6322176525819832E-34</c:v>
                </c:pt>
                <c:pt idx="330">
                  <c:v>-1.5552211374994646E-34</c:v>
                </c:pt>
                <c:pt idx="331">
                  <c:v>-5.2215007323262257E-35</c:v>
                </c:pt>
                <c:pt idx="332">
                  <c:v>-1.7530670873930744E-35</c:v>
                </c:pt>
                <c:pt idx="333">
                  <c:v>-5.8857488880053815E-36</c:v>
                </c:pt>
                <c:pt idx="334">
                  <c:v>-1.9760818180764296E-36</c:v>
                </c:pt>
                <c:pt idx="335">
                  <c:v>-6.6344987291083315E-37</c:v>
                </c:pt>
                <c:pt idx="336">
                  <c:v>-2.2274671516074656E-37</c:v>
                </c:pt>
                <c:pt idx="337">
                  <c:v>-7.4785000556584806E-38</c:v>
                </c:pt>
                <c:pt idx="338">
                  <c:v>-2.5108322267344365E-38</c:v>
                </c:pt>
                <c:pt idx="339">
                  <c:v>-8.4298701930719207E-39</c:v>
                </c:pt>
                <c:pt idx="340">
                  <c:v>-2.8302453152939591E-39</c:v>
                </c:pt>
                <c:pt idx="341">
                  <c:v>-9.5022679605750644E-40</c:v>
                </c:pt>
                <c:pt idx="342">
                  <c:v>-3.1902922303819178E-40</c:v>
                </c:pt>
                <c:pt idx="343">
                  <c:v>-1.0711089770845907E-40</c:v>
                </c:pt>
                <c:pt idx="344">
                  <c:v>-3.5961421648632304E-41</c:v>
                </c:pt>
                <c:pt idx="345">
                  <c:v>-1.2073690676281095E-41</c:v>
                </c:pt>
                <c:pt idx="346">
                  <c:v>-4.0536219054638289E-42</c:v>
                </c:pt>
                <c:pt idx="347">
                  <c:v>-1.3609633535449738E-42</c:v>
                </c:pt>
                <c:pt idx="348">
                  <c:v>-4.5692994879364401E-43</c:v>
                </c:pt>
                <c:pt idx="349">
                  <c:v>-1.5340969877016071E-43</c:v>
                </c:pt>
                <c:pt idx="350">
                  <c:v>-5.1505784943372091E-44</c:v>
                </c:pt>
                <c:pt idx="351">
                  <c:v>-1.7292556493493966E-44</c:v>
                </c:pt>
                <c:pt idx="352">
                  <c:v>-5.8058043462389874E-45</c:v>
                </c:pt>
                <c:pt idx="353">
                  <c:v>-1.9492412310169019E-45</c:v>
                </c:pt>
                <c:pt idx="354">
                  <c:v>-6.5443841199327366E-46</c:v>
                </c:pt>
                <c:pt idx="355">
                  <c:v>-2.1972120652754867E-46</c:v>
                </c:pt>
                <c:pt idx="356">
                  <c:v>-7.3769216038037006E-47</c:v>
                </c:pt>
                <c:pt idx="357">
                  <c:v>-2.4767282689139384E-47</c:v>
                </c:pt>
                <c:pt idx="358">
                  <c:v>-8.3153695369007581E-48</c:v>
                </c:pt>
                <c:pt idx="359">
                  <c:v>-2.7918028555283473E-48</c:v>
                </c:pt>
                <c:pt idx="360">
                  <c:v>-9.3732012143878986E-49</c:v>
                </c:pt>
                <c:pt idx="361">
                  <c:v>-3.1469593503505427E-49</c:v>
                </c:pt>
                <c:pt idx="362">
                  <c:v>-1.0565603923616855E-49</c:v>
                </c:pt>
                <c:pt idx="363">
                  <c:v>-3.5472967344911248E-50</c:v>
                </c:pt>
                <c:pt idx="364">
                  <c:v>-1.1909696987982329E-50</c:v>
                </c:pt>
                <c:pt idx="365">
                  <c:v>-3.9985272394107244E-51</c:v>
                </c:pt>
                <c:pt idx="366">
                  <c:v>-1.3424539768260026E-51</c:v>
                </c:pt>
                <c:pt idx="367">
                  <c:v>-4.5071161755085192E-52</c:v>
                </c:pt>
                <c:pt idx="368">
                  <c:v>-1.5132061560545761E-52</c:v>
                </c:pt>
                <c:pt idx="369">
                  <c:v>-5.0803946061211042E-53</c:v>
                </c:pt>
                <c:pt idx="370">
                  <c:v>-1.7056769991737673E-53</c:v>
                </c:pt>
                <c:pt idx="371">
                  <c:v>-5.7265906510591169E-54</c:v>
                </c:pt>
                <c:pt idx="372">
                  <c:v>-1.9226289913437927E-54</c:v>
                </c:pt>
                <c:pt idx="373">
                  <c:v>-6.4549789981443701E-55</c:v>
                </c:pt>
                <c:pt idx="374">
                  <c:v>-2.1671759894436295E-55</c:v>
                </c:pt>
                <c:pt idx="375">
                  <c:v>-7.2760140204501543E-56</c:v>
                </c:pt>
                <c:pt idx="376">
                  <c:v>-2.4428279144684691E-56</c:v>
                </c:pt>
                <c:pt idx="377">
                  <c:v>-8.2014798252645146E-57</c:v>
                </c:pt>
                <c:pt idx="378">
                  <c:v>-2.7535411285349091E-57</c:v>
                </c:pt>
                <c:pt idx="379">
                  <c:v>-9.244659388391245E-58</c:v>
                </c:pt>
                <c:pt idx="380">
                  <c:v>-3.1037752195422459E-58</c:v>
                </c:pt>
                <c:pt idx="381">
                  <c:v>-1.0420525201330237E-58</c:v>
                </c:pt>
                <c:pt idx="382">
                  <c:v>-3.4985570085057051E-59</c:v>
                </c:pt>
                <c:pt idx="383">
                  <c:v>-1.1745954167647804E-59</c:v>
                </c:pt>
                <c:pt idx="384">
                  <c:v>-3.9435526982426149E-60</c:v>
                </c:pt>
                <c:pt idx="385">
                  <c:v>-1.3239969832890046E-60</c:v>
                </c:pt>
                <c:pt idx="386">
                  <c:v>-4.4451491989433028E-61</c:v>
                </c:pt>
                <c:pt idx="387">
                  <c:v>-1.4924015424703709E-61</c:v>
                </c:pt>
                <c:pt idx="388">
                  <c:v>-5.0105457978719905E-62</c:v>
                </c:pt>
                <c:pt idx="389">
                  <c:v>-1.6822261622040037E-62</c:v>
                </c:pt>
                <c:pt idx="390">
                  <c:v>-5.6478574889096499E-63</c:v>
                </c:pt>
                <c:pt idx="391">
                  <c:v>-1.8961953470775058E-63</c:v>
                </c:pt>
                <c:pt idx="392">
                  <c:v>-6.3662314450015033E-64</c:v>
                </c:pt>
                <c:pt idx="393">
                  <c:v>-2.1373801424937959E-64</c:v>
                </c:pt>
                <c:pt idx="394">
                  <c:v>-7.1759783052086652E-65</c:v>
                </c:pt>
                <c:pt idx="395">
                  <c:v>-2.4092422126063098E-65</c:v>
                </c:pt>
                <c:pt idx="396">
                  <c:v>-8.0887201606936357E-66</c:v>
                </c:pt>
                <c:pt idx="397">
                  <c:v>-2.7156835247059915E-66</c:v>
                </c:pt>
                <c:pt idx="398">
                  <c:v>-9.117557363644949E-67</c:v>
                </c:pt>
                <c:pt idx="399">
                  <c:v>-3.0611023531674631E-67</c:v>
                </c:pt>
                <c:pt idx="400">
                  <c:v>-1.0277256553307139E-67</c:v>
                </c:pt>
                <c:pt idx="401">
                  <c:v>-3.4504564067647903E-68</c:v>
                </c:pt>
                <c:pt idx="402">
                  <c:v>-1.1584462597805878E-68</c:v>
                </c:pt>
                <c:pt idx="403">
                  <c:v>-3.8893339854072056E-69</c:v>
                </c:pt>
                <c:pt idx="404">
                  <c:v>-1.3057937493715565E-69</c:v>
                </c:pt>
                <c:pt idx="405">
                  <c:v>-4.3840341875893388E-70</c:v>
                </c:pt>
                <c:pt idx="406">
                  <c:v>-1.471882965223418E-70</c:v>
                </c:pt>
                <c:pt idx="407">
                  <c:v>-4.9416573197531266E-71</c:v>
                </c:pt>
                <c:pt idx="408">
                  <c:v>-1.659097743696146E-71</c:v>
                </c:pt>
                <c:pt idx="409">
                  <c:v>-5.5702068051840487E-72</c:v>
                </c:pt>
                <c:pt idx="410">
                  <c:v>-1.870125130988131E-72</c:v>
                </c:pt>
                <c:pt idx="411">
                  <c:v>-6.2787040551141867E-73</c:v>
                </c:pt>
                <c:pt idx="412">
                  <c:v>-2.1079939496282593E-73</c:v>
                </c:pt>
                <c:pt idx="413">
                  <c:v>-7.0773179507479354E-74</c:v>
                </c:pt>
                <c:pt idx="414">
                  <c:v>-2.3761182703969316E-74</c:v>
                </c:pt>
                <c:pt idx="415">
                  <c:v>-7.9775107946329219E-75</c:v>
                </c:pt>
                <c:pt idx="416">
                  <c:v>-2.6783464136174335E-75</c:v>
                </c:pt>
                <c:pt idx="417">
                  <c:v>-8.992114449224044E-76</c:v>
                </c:pt>
                <c:pt idx="418">
                  <c:v>-3.0189568405654871E-76</c:v>
                </c:pt>
                <c:pt idx="419">
                  <c:v>-1.013565881157532E-76</c:v>
                </c:pt>
                <c:pt idx="420">
                  <c:v>-3.4028833458056838E-77</c:v>
                </c:pt>
                <c:pt idx="421">
                  <c:v>-1.142462989375423E-77</c:v>
                </c:pt>
                <c:pt idx="422">
                  <c:v>-3.835634517713968E-78</c:v>
                </c:pt>
                <c:pt idx="423">
                  <c:v>-1.2877521889371548E-78</c:v>
                </c:pt>
                <c:pt idx="424">
                  <c:v>-4.3234194823671075E-79</c:v>
                </c:pt>
                <c:pt idx="425">
                  <c:v>-1.4515180933948833E-79</c:v>
                </c:pt>
                <c:pt idx="426">
                  <c:v>-4.8732369922595863E-80</c:v>
                </c:pt>
                <c:pt idx="427">
                  <c:v>-1.6361104205861616E-80</c:v>
                </c:pt>
                <c:pt idx="428">
                  <c:v>-5.4929758446027099E-81</c:v>
                </c:pt>
                <c:pt idx="429">
                  <c:v>-1.8441777064520488E-81</c:v>
                </c:pt>
                <c:pt idx="430">
                  <c:v>-6.1915280700105159E-82</c:v>
                </c:pt>
                <c:pt idx="431">
                  <c:v>-2.078705306305843E-82</c:v>
                </c:pt>
                <c:pt idx="432">
                  <c:v>-6.9789165156069939E-83</c:v>
                </c:pt>
                <c:pt idx="433">
                  <c:v>-2.3430582287957081E-83</c:v>
                </c:pt>
                <c:pt idx="434">
                  <c:v>-7.8664386531206309E-84</c:v>
                </c:pt>
                <c:pt idx="435">
                  <c:v>-2.6410294171441072E-84</c:v>
                </c:pt>
                <c:pt idx="436">
                  <c:v>-8.866828675328868E-85</c:v>
                </c:pt>
                <c:pt idx="437">
                  <c:v>-2.97689417040463E-85</c:v>
                </c:pt>
                <c:pt idx="438">
                  <c:v>-9.9944402066169217E-86</c:v>
                </c:pt>
                <c:pt idx="439">
                  <c:v>-3.3554714855739606E-86</c:v>
                </c:pt>
                <c:pt idx="440">
                  <c:v>-1.1265452249187169E-86</c:v>
                </c:pt>
                <c:pt idx="441">
                  <c:v>-3.7821932006973347E-87</c:v>
                </c:pt>
                <c:pt idx="442">
                  <c:v>-1.2698101319841185E-87</c:v>
                </c:pt>
                <c:pt idx="443">
                  <c:v>-4.2631819310347211E-88</c:v>
                </c:pt>
                <c:pt idx="444">
                  <c:v>-1.4312943108039585E-88</c:v>
                </c:pt>
                <c:pt idx="445">
                  <c:v>-4.8053389165180703E-89</c:v>
                </c:pt>
                <c:pt idx="446">
                  <c:v>-1.6133147409516823E-89</c:v>
                </c:pt>
                <c:pt idx="447">
                  <c:v>-5.4164430409373925E-90</c:v>
                </c:pt>
                <c:pt idx="448">
                  <c:v>-1.8184830567166912E-90</c:v>
                </c:pt>
                <c:pt idx="449">
                  <c:v>-6.1052624435858155E-91</c:v>
                </c:pt>
                <c:pt idx="450">
                  <c:v>-2.0497430189071333E-91</c:v>
                </c:pt>
                <c:pt idx="451">
                  <c:v>-6.8816803247705855E-92</c:v>
                </c:pt>
                <c:pt idx="452">
                  <c:v>-2.3104127520133885E-92</c:v>
                </c:pt>
                <c:pt idx="453">
                  <c:v>-7.7568367502511538E-93</c:v>
                </c:pt>
                <c:pt idx="454">
                  <c:v>-2.6042323527522766E-93</c:v>
                </c:pt>
                <c:pt idx="455">
                  <c:v>-8.7432884892183244E-94</c:v>
                </c:pt>
                <c:pt idx="456">
                  <c:v>-2.9354175530807318E-94</c:v>
                </c:pt>
                <c:pt idx="457">
                  <c:v>-9.855189179174417E-95</c:v>
                </c:pt>
                <c:pt idx="458">
                  <c:v>-3.3087202076373691E-95</c:v>
                </c:pt>
                <c:pt idx="459">
                  <c:v>-1.1108492402725219E-95</c:v>
                </c:pt>
                <c:pt idx="460">
                  <c:v>-3.7294964734874959E-96</c:v>
                </c:pt>
                <c:pt idx="461">
                  <c:v>-1.2521180590035225E-96</c:v>
                </c:pt>
                <c:pt idx="462">
                  <c:v>-4.2037836604164402E-97</c:v>
                </c:pt>
                <c:pt idx="463">
                  <c:v>-1.4113523031245202E-97</c:v>
                </c:pt>
                <c:pt idx="464">
                  <c:v>-4.7383868544214348E-98</c:v>
                </c:pt>
                <c:pt idx="465">
                  <c:v>-1.5908366700821502E-98</c:v>
                </c:pt>
                <c:pt idx="466">
                  <c:v>-5.3409765572783183E-99</c:v>
                </c:pt>
                <c:pt idx="467">
                  <c:v>-1.7931464066593014E-99</c:v>
                </c:pt>
                <c:pt idx="468">
                  <c:v>-6.0201987431183774E-100</c:v>
                </c:pt>
                <c:pt idx="469">
                  <c:v>-2.0211616432584415E-100</c:v>
                </c:pt>
                <c:pt idx="470">
                  <c:v>-6.7856470566670103E-101</c:v>
                </c:pt>
                <c:pt idx="471">
                  <c:v>-2.2781456461553277E-101</c:v>
                </c:pt>
                <c:pt idx="472">
                  <c:v>-7.6484195858628744E-102</c:v>
                </c:pt>
                <c:pt idx="473">
                  <c:v>-2.5678043131322403E-102</c:v>
                </c:pt>
                <c:pt idx="474">
                  <c:v>-8.6208907821009193E-103</c:v>
                </c:pt>
                <c:pt idx="475">
                  <c:v>-2.8942921194121827E-103</c:v>
                </c:pt>
                <c:pt idx="476">
                  <c:v>-9.7170084672502956E-104</c:v>
                </c:pt>
                <c:pt idx="477">
                  <c:v>-3.2622917679708946E-104</c:v>
                </c:pt>
                <c:pt idx="478">
                  <c:v>-1.0952493882494552E-104</c:v>
                </c:pt>
                <c:pt idx="479">
                  <c:v>-3.6770813519445689E-105</c:v>
                </c:pt>
                <c:pt idx="480">
                  <c:v>-1.2345067172718622E-105</c:v>
                </c:pt>
                <c:pt idx="481">
                  <c:v>-4.144610056515072E-106</c:v>
                </c:pt>
                <c:pt idx="482">
                  <c:v>-1.3914701540488244E-106</c:v>
                </c:pt>
                <c:pt idx="483">
                  <c:v>-4.6715834860389075E-107</c:v>
                </c:pt>
                <c:pt idx="484">
                  <c:v>-1.5683909714865269E-107</c:v>
                </c:pt>
                <c:pt idx="485">
                  <c:v>-5.2655598402377856E-108</c:v>
                </c:pt>
                <c:pt idx="486">
                  <c:v>-1.7678066843783252E-108</c:v>
                </c:pt>
                <c:pt idx="487">
                  <c:v>-5.9350583188730054E-109</c:v>
                </c:pt>
                <c:pt idx="488">
                  <c:v>-1.9925774441118261E-109</c:v>
                </c:pt>
                <c:pt idx="489">
                  <c:v>-6.6896813097148161E-110</c:v>
                </c:pt>
                <c:pt idx="490">
                  <c:v>-2.2459270608423188E-110</c:v>
                </c:pt>
                <c:pt idx="491">
                  <c:v>-7.5402521123070591E-111</c:v>
                </c:pt>
                <c:pt idx="492">
                  <c:v>-2.5314892414995811E-111</c:v>
                </c:pt>
                <c:pt idx="493">
                  <c:v>-8.4989701728519055E-112</c:v>
                </c:pt>
                <c:pt idx="494">
                  <c:v>-2.8533597068039627E-112</c:v>
                </c:pt>
                <c:pt idx="495">
                  <c:v>-9.5795860566956123E-113</c:v>
                </c:pt>
                <c:pt idx="496">
                  <c:v>-3.2161549347883123E-113</c:v>
                </c:pt>
                <c:pt idx="497">
                  <c:v>-1.0797598667985825E-113</c:v>
                </c:pt>
                <c:pt idx="498">
                  <c:v>-3.625078373363973E-114</c:v>
                </c:pt>
                <c:pt idx="499">
                  <c:v>-1.217047754515452E-114</c:v>
                </c:pt>
                <c:pt idx="500">
                  <c:v>-4.0859950715950647E-115</c:v>
                </c:pt>
                <c:pt idx="501">
                  <c:v>-1.3717913420534698E-115</c:v>
                </c:pt>
                <c:pt idx="502">
                  <c:v>-4.6055158000918772E-116</c:v>
                </c:pt>
                <c:pt idx="503">
                  <c:v>-1.5462100637801794E-116</c:v>
                </c:pt>
                <c:pt idx="504">
                  <c:v>-5.1910918670334606E-117</c:v>
                </c:pt>
                <c:pt idx="505">
                  <c:v>-1.7428055477856469E-117</c:v>
                </c:pt>
                <c:pt idx="506">
                  <c:v>-5.8511219897331273E-118</c:v>
                </c:pt>
                <c:pt idx="507">
                  <c:v>-1.9643974958788295E-118</c:v>
                </c:pt>
                <c:pt idx="508">
                  <c:v>-6.59507275456928E-119</c:v>
                </c:pt>
                <c:pt idx="509">
                  <c:v>-2.2141641256065287E-119</c:v>
                </c:pt>
                <c:pt idx="510">
                  <c:v>-7.433614392997105E-120</c:v>
                </c:pt>
                <c:pt idx="511">
                  <c:v>-2.4956877543410043E-120</c:v>
                </c:pt>
                <c:pt idx="512">
                  <c:v>-8.3787738210300649E-121</c:v>
                </c:pt>
                <c:pt idx="513">
                  <c:v>-2.8130061792332005E-121</c:v>
                </c:pt>
                <c:pt idx="514">
                  <c:v>-9.4441071371841398E-122</c:v>
                </c:pt>
                <c:pt idx="515">
                  <c:v>-3.1706705899567261E-122</c:v>
                </c:pt>
                <c:pt idx="516">
                  <c:v>-1.064489405296389E-122</c:v>
                </c:pt>
                <c:pt idx="517">
                  <c:v>-3.5738108448652362E-123</c:v>
                </c:pt>
                <c:pt idx="518">
                  <c:v>-1.1998357044540226E-123</c:v>
                </c:pt>
                <c:pt idx="519">
                  <c:v>-4.0282090467968431E-124</c:v>
                </c:pt>
              </c:numCache>
            </c:numRef>
          </c:val>
          <c:smooth val="0"/>
          <c:extLst>
            <c:ext xmlns:c16="http://schemas.microsoft.com/office/drawing/2014/chart" uri="{C3380CC4-5D6E-409C-BE32-E72D297353CC}">
              <c16:uniqueId val="{00000001-7744-4B44-92D6-CD8912115525}"/>
            </c:ext>
          </c:extLst>
        </c:ser>
        <c:ser>
          <c:idx val="10"/>
          <c:order val="10"/>
          <c:tx>
            <c:strRef>
              <c:f>Ig!$AL$534</c:f>
              <c:strCache>
                <c:ptCount val="1"/>
                <c:pt idx="0">
                  <c:v>Disabled</c:v>
                </c:pt>
              </c:strCache>
            </c:strRef>
          </c:tx>
          <c:spPr>
            <a:ln w="28575" cap="rnd">
              <a:solidFill>
                <a:schemeClr val="accent5">
                  <a:lumMod val="60000"/>
                </a:schemeClr>
              </a:solidFill>
              <a:round/>
            </a:ln>
            <a:effectLst/>
          </c:spPr>
          <c:marker>
            <c:symbol val="none"/>
          </c:marker>
          <c:cat>
            <c:numRef>
              <c:f>Ig!$AA$535:$AA$1054</c:f>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f>Ig!$AL$535:$AL$1054</c:f>
              <c:numCache>
                <c:formatCode>0</c:formatCode>
                <c:ptCount val="520"/>
                <c:pt idx="0">
                  <c:v>0</c:v>
                </c:pt>
                <c:pt idx="1">
                  <c:v>0</c:v>
                </c:pt>
                <c:pt idx="2">
                  <c:v>0</c:v>
                </c:pt>
                <c:pt idx="3">
                  <c:v>-1.4335005021925456E-2</c:v>
                </c:pt>
                <c:pt idx="4">
                  <c:v>-4.7785709841058892E-2</c:v>
                </c:pt>
                <c:pt idx="5">
                  <c:v>-0.10192101409693903</c:v>
                </c:pt>
                <c:pt idx="6">
                  <c:v>-0.17722769986453404</c:v>
                </c:pt>
                <c:pt idx="7">
                  <c:v>-0.27382562689010637</c:v>
                </c:pt>
                <c:pt idx="8">
                  <c:v>-0.39170800509695719</c:v>
                </c:pt>
                <c:pt idx="9">
                  <c:v>-0.5308222055544457</c:v>
                </c:pt>
                <c:pt idx="10">
                  <c:v>-0.69109702744448243</c:v>
                </c:pt>
                <c:pt idx="11">
                  <c:v>-0.87245198339523244</c:v>
                </c:pt>
                <c:pt idx="12">
                  <c:v>-1.0748005435075192</c:v>
                </c:pt>
                <c:pt idx="13">
                  <c:v>-1.2980513471961173</c:v>
                </c:pt>
                <c:pt idx="14">
                  <c:v>-1.5421087290304822</c:v>
                </c:pt>
                <c:pt idx="15">
                  <c:v>-1.8068730106641531</c:v>
                </c:pt>
                <c:pt idx="16">
                  <c:v>-2.0922407107430621</c:v>
                </c:pt>
                <c:pt idx="17">
                  <c:v>-2.3981047238872222</c:v>
                </c:pt>
                <c:pt idx="18">
                  <c:v>-2.7243544859950481</c:v>
                </c:pt>
                <c:pt idx="19">
                  <c:v>-3.0708761317533528</c:v>
                </c:pt>
                <c:pt idx="20">
                  <c:v>-3.4375526464173203</c:v>
                </c:pt>
                <c:pt idx="21">
                  <c:v>-3.8242640126402003</c:v>
                </c:pt>
                <c:pt idx="22">
                  <c:v>-4.2308873526988187</c:v>
                </c:pt>
                <c:pt idx="23">
                  <c:v>-4.6517141335058136</c:v>
                </c:pt>
                <c:pt idx="24">
                  <c:v>-5.0847056263050812</c:v>
                </c:pt>
                <c:pt idx="25">
                  <c:v>-5.5290555654144242</c:v>
                </c:pt>
                <c:pt idx="26">
                  <c:v>-5.984371834672964</c:v>
                </c:pt>
                <c:pt idx="27">
                  <c:v>-6.4504017478385007</c:v>
                </c:pt>
                <c:pt idx="28">
                  <c:v>-6.9269398415887293</c:v>
                </c:pt>
                <c:pt idx="29">
                  <c:v>-7.4137969465924769</c:v>
                </c:pt>
                <c:pt idx="30">
                  <c:v>-7.9107898316878913</c:v>
                </c:pt>
                <c:pt idx="31">
                  <c:v>-8.4177377543441061</c:v>
                </c:pt>
                <c:pt idx="32">
                  <c:v>-8.9344613287504426</c:v>
                </c:pt>
                <c:pt idx="33">
                  <c:v>-9.4607821709089972</c:v>
                </c:pt>
                <c:pt idx="34">
                  <c:v>-9.9965228034948161</c:v>
                </c:pt>
                <c:pt idx="35">
                  <c:v>-10.541506646853872</c:v>
                </c:pt>
                <c:pt idx="36">
                  <c:v>-11.095558037875202</c:v>
                </c:pt>
                <c:pt idx="37">
                  <c:v>-11.658502257207338</c:v>
                </c:pt>
                <c:pt idx="38">
                  <c:v>-12.230165558293251</c:v>
                </c:pt>
                <c:pt idx="39">
                  <c:v>-12.810375196063356</c:v>
                </c:pt>
                <c:pt idx="40">
                  <c:v>-13.398959454590896</c:v>
                </c:pt>
                <c:pt idx="41">
                  <c:v>-13.995747673505058</c:v>
                </c:pt>
                <c:pt idx="42">
                  <c:v>-14.600570273121154</c:v>
                </c:pt>
                <c:pt idx="43">
                  <c:v>-15.21325877830153</c:v>
                </c:pt>
                <c:pt idx="44">
                  <c:v>-15.833645841078296</c:v>
                </c:pt>
                <c:pt idx="45">
                  <c:v>-16.461565262074096</c:v>
                </c:pt>
                <c:pt idx="46">
                  <c:v>-17.096852010758113</c:v>
                </c:pt>
                <c:pt idx="47">
                  <c:v>-17.739342244574146</c:v>
                </c:pt>
                <c:pt idx="48">
                  <c:v>-18.388873326976803</c:v>
                </c:pt>
                <c:pt idx="49">
                  <c:v>-19.0452838444108</c:v>
                </c:pt>
                <c:pt idx="50">
                  <c:v>-19.70841362226755</c:v>
                </c:pt>
                <c:pt idx="51">
                  <c:v>-20.378103739852151</c:v>
                </c:pt>
                <c:pt idx="52">
                  <c:v>-21.054196544392962</c:v>
                </c:pt>
                <c:pt idx="53">
                  <c:v>-21.736414591783603</c:v>
                </c:pt>
                <c:pt idx="54">
                  <c:v>-22.424716207283105</c:v>
                </c:pt>
                <c:pt idx="55">
                  <c:v>-23.118947517587007</c:v>
                </c:pt>
                <c:pt idx="56">
                  <c:v>-23.818996557157899</c:v>
                </c:pt>
                <c:pt idx="57">
                  <c:v>-24.524765995083786</c:v>
                </c:pt>
                <c:pt idx="58">
                  <c:v>-25.236163974462887</c:v>
                </c:pt>
                <c:pt idx="59">
                  <c:v>-25.953101033098935</c:v>
                </c:pt>
                <c:pt idx="60">
                  <c:v>-26.675489065999642</c:v>
                </c:pt>
                <c:pt idx="61">
                  <c:v>-27.40324097340563</c:v>
                </c:pt>
                <c:pt idx="62">
                  <c:v>-28.13627053897935</c:v>
                </c:pt>
                <c:pt idx="63">
                  <c:v>-28.874492385263451</c:v>
                </c:pt>
                <c:pt idx="64">
                  <c:v>-29.617821955076398</c:v>
                </c:pt>
                <c:pt idx="65">
                  <c:v>-30.366175501611529</c:v>
                </c:pt>
                <c:pt idx="66">
                  <c:v>-31.119470081454303</c:v>
                </c:pt>
                <c:pt idx="67">
                  <c:v>-31.877623548576331</c:v>
                </c:pt>
                <c:pt idx="68">
                  <c:v>-32.640554548655437</c:v>
                </c:pt>
                <c:pt idx="69">
                  <c:v>-33.408182513504073</c:v>
                </c:pt>
                <c:pt idx="70">
                  <c:v>-34.180427655534025</c:v>
                </c:pt>
                <c:pt idx="71">
                  <c:v>-34.957210962234086</c:v>
                </c:pt>
                <c:pt idx="72">
                  <c:v>-35.738454190653641</c:v>
                </c:pt>
                <c:pt idx="73">
                  <c:v>-36.524079861890741</c:v>
                </c:pt>
                <c:pt idx="74">
                  <c:v>-37.314011255584902</c:v>
                </c:pt>
                <c:pt idx="75">
                  <c:v>-38.108172404415427</c:v>
                </c:pt>
                <c:pt idx="76">
                  <c:v>-38.90648808860648</c:v>
                </c:pt>
                <c:pt idx="77">
                  <c:v>-39.70888383043966</c:v>
                </c:pt>
                <c:pt idx="78">
                  <c:v>-40.515285888775438</c:v>
                </c:pt>
                <c:pt idx="79">
                  <c:v>-41.32562125358421</c:v>
                </c:pt>
                <c:pt idx="80">
                  <c:v>-42.139817640488076</c:v>
                </c:pt>
                <c:pt idx="81">
                  <c:v>-42.957803485314244</c:v>
                </c:pt>
                <c:pt idx="82">
                  <c:v>-43.779507938660963</c:v>
                </c:pt>
                <c:pt idx="83">
                  <c:v>-44.604860860476805</c:v>
                </c:pt>
                <c:pt idx="84">
                  <c:v>-45.433792814654211</c:v>
                </c:pt>
                <c:pt idx="85">
                  <c:v>-46.266235063638035</c:v>
                </c:pt>
                <c:pt idx="86">
                  <c:v>-47.102119563049897</c:v>
                </c:pt>
                <c:pt idx="87">
                  <c:v>-47.941378956329032</c:v>
                </c:pt>
                <c:pt idx="88">
                  <c:v>-48.783946569390352</c:v>
                </c:pt>
                <c:pt idx="89">
                  <c:v>-49.629756405300505</c:v>
                </c:pt>
                <c:pt idx="90">
                  <c:v>-50.478743138972376</c:v>
                </c:pt>
                <c:pt idx="91">
                  <c:v>-51.330842111878823</c:v>
                </c:pt>
                <c:pt idx="92">
                  <c:v>-52.185989326786199</c:v>
                </c:pt>
                <c:pt idx="93">
                  <c:v>-53.044121442508199</c:v>
                </c:pt>
                <c:pt idx="94">
                  <c:v>-53.905175768680579</c:v>
                </c:pt>
                <c:pt idx="95">
                  <c:v>-54.76909026055732</c:v>
                </c:pt>
                <c:pt idx="96">
                  <c:v>-55.635803513828648</c:v>
                </c:pt>
                <c:pt idx="97">
                  <c:v>-56.505254759461515</c:v>
                </c:pt>
                <c:pt idx="98">
                  <c:v>-57.377383858562794</c:v>
                </c:pt>
                <c:pt idx="99">
                  <c:v>-58.25213129726589</c:v>
                </c:pt>
                <c:pt idx="100">
                  <c:v>-59.129438181640836</c:v>
                </c:pt>
                <c:pt idx="101">
                  <c:v>-60.009246232628648</c:v>
                </c:pt>
                <c:pt idx="102">
                  <c:v>-60.891497780999984</c:v>
                </c:pt>
                <c:pt idx="103">
                  <c:v>-61.776135762338612</c:v>
                </c:pt>
                <c:pt idx="104">
                  <c:v>-62.663103712050045</c:v>
                </c:pt>
                <c:pt idx="105">
                  <c:v>-63.551954853316872</c:v>
                </c:pt>
                <c:pt idx="106">
                  <c:v>-64.443013849078454</c:v>
                </c:pt>
                <c:pt idx="107">
                  <c:v>-65.336225964585793</c:v>
                </c:pt>
                <c:pt idx="108">
                  <c:v>-66.23153704653889</c:v>
                </c:pt>
                <c:pt idx="109">
                  <c:v>-67.128893518207562</c:v>
                </c:pt>
                <c:pt idx="110">
                  <c:v>-68.028242374579094</c:v>
                </c:pt>
                <c:pt idx="111">
                  <c:v>-68.929531177533207</c:v>
                </c:pt>
                <c:pt idx="112">
                  <c:v>-69.832708051044264</c:v>
                </c:pt>
                <c:pt idx="113">
                  <c:v>-70.737721676411155</c:v>
                </c:pt>
                <c:pt idx="114">
                  <c:v>-71.644521287514863</c:v>
                </c:pt>
                <c:pt idx="115">
                  <c:v>-72.553056666103899</c:v>
                </c:pt>
                <c:pt idx="116">
                  <c:v>-73.463278137107935</c:v>
                </c:pt>
                <c:pt idx="117">
                  <c:v>-74.375136563979453</c:v>
                </c:pt>
                <c:pt idx="118">
                  <c:v>-75.288583344063824</c:v>
                </c:pt>
                <c:pt idx="119">
                  <c:v>-76.203570403997929</c:v>
                </c:pt>
                <c:pt idx="120">
                  <c:v>-77.120050195137097</c:v>
                </c:pt>
                <c:pt idx="121">
                  <c:v>-78.037975689010892</c:v>
                </c:pt>
                <c:pt idx="122">
                  <c:v>-78.957300372807595</c:v>
                </c:pt>
                <c:pt idx="123">
                  <c:v>-79.87797824488743</c:v>
                </c:pt>
                <c:pt idx="124">
                  <c:v>-80.799963810324655</c:v>
                </c:pt>
                <c:pt idx="125">
                  <c:v>-81.723212076478802</c:v>
                </c:pt>
                <c:pt idx="126">
                  <c:v>-82.64767854859457</c:v>
                </c:pt>
                <c:pt idx="127">
                  <c:v>-83.573319225431078</c:v>
                </c:pt>
                <c:pt idx="128">
                  <c:v>-84.500090594919897</c:v>
                </c:pt>
                <c:pt idx="129">
                  <c:v>-85.427949629852293</c:v>
                </c:pt>
                <c:pt idx="130">
                  <c:v>-86.356853783595596</c:v>
                </c:pt>
                <c:pt idx="131">
                  <c:v>-87.286760985838583</c:v>
                </c:pt>
                <c:pt idx="132">
                  <c:v>-88.217629638366091</c:v>
                </c:pt>
                <c:pt idx="133">
                  <c:v>-89.14941861086254</c:v>
                </c:pt>
                <c:pt idx="134">
                  <c:v>-90.082087236744655</c:v>
                </c:pt>
                <c:pt idx="135">
                  <c:v>-91.015595309023411</c:v>
                </c:pt>
                <c:pt idx="136">
                  <c:v>-91.949903076194602</c:v>
                </c:pt>
                <c:pt idx="137">
                  <c:v>-92.884971238158954</c:v>
                </c:pt>
                <c:pt idx="138">
                  <c:v>-93.820760942170722</c:v>
                </c:pt>
                <c:pt idx="139">
                  <c:v>-94.757233778815618</c:v>
                </c:pt>
                <c:pt idx="140">
                  <c:v>-95.694351778017321</c:v>
                </c:pt>
                <c:pt idx="141">
                  <c:v>-96.63207740507292</c:v>
                </c:pt>
                <c:pt idx="142">
                  <c:v>-97.5703735567173</c:v>
                </c:pt>
                <c:pt idx="143">
                  <c:v>-98.509203557215955</c:v>
                </c:pt>
                <c:pt idx="144">
                  <c:v>-99.448531154486616</c:v>
                </c:pt>
                <c:pt idx="145">
                  <c:v>-100.38832051624942</c:v>
                </c:pt>
                <c:pt idx="146">
                  <c:v>-101.32853622620563</c:v>
                </c:pt>
                <c:pt idx="147">
                  <c:v>-102.26914328024452</c:v>
                </c:pt>
                <c:pt idx="148">
                  <c:v>-103.21010708267906</c:v>
                </c:pt>
                <c:pt idx="149">
                  <c:v>-104.15139344250926</c:v>
                </c:pt>
                <c:pt idx="150">
                  <c:v>-105.09296856971423</c:v>
                </c:pt>
                <c:pt idx="151">
                  <c:v>-106.03479907157188</c:v>
                </c:pt>
                <c:pt idx="152">
                  <c:v>-106.97685194900683</c:v>
                </c:pt>
                <c:pt idx="153">
                  <c:v>-107.91909459296591</c:v>
                </c:pt>
                <c:pt idx="154">
                  <c:v>-108.86149478082184</c:v>
                </c:pt>
                <c:pt idx="155">
                  <c:v>-109.8040206728041</c:v>
                </c:pt>
                <c:pt idx="156">
                  <c:v>-110.74664080845761</c:v>
                </c:pt>
                <c:pt idx="157">
                  <c:v>-111.68855092809041</c:v>
                </c:pt>
                <c:pt idx="158">
                  <c:v>-112.63048044771135</c:v>
                </c:pt>
                <c:pt idx="159">
                  <c:v>-113.57239902383971</c:v>
                </c:pt>
                <c:pt idx="160">
                  <c:v>-114.51427667925124</c:v>
                </c:pt>
                <c:pt idx="161">
                  <c:v>-115.45608379956013</c:v>
                </c:pt>
                <c:pt idx="162">
                  <c:v>-116.39779112982787</c:v>
                </c:pt>
                <c:pt idx="163">
                  <c:v>-117.33936977119888</c:v>
                </c:pt>
                <c:pt idx="164">
                  <c:v>-118.28079117756296</c:v>
                </c:pt>
                <c:pt idx="165">
                  <c:v>-119.22202715224432</c:v>
                </c:pt>
                <c:pt idx="166">
                  <c:v>-120.16304984471695</c:v>
                </c:pt>
                <c:pt idx="167">
                  <c:v>-121.10383174734639</c:v>
                </c:pt>
                <c:pt idx="168">
                  <c:v>-122.04434569215765</c:v>
                </c:pt>
                <c:pt idx="169">
                  <c:v>-122.9845648476291</c:v>
                </c:pt>
                <c:pt idx="170">
                  <c:v>-123.92446271551242</c:v>
                </c:pt>
                <c:pt idx="171">
                  <c:v>-124.86401312767821</c:v>
                </c:pt>
                <c:pt idx="172">
                  <c:v>-125.80319024298713</c:v>
                </c:pt>
                <c:pt idx="173">
                  <c:v>-126.74196854418663</c:v>
                </c:pt>
                <c:pt idx="174">
                  <c:v>-127.68032283483306</c:v>
                </c:pt>
                <c:pt idx="175">
                  <c:v>-128.61822823623879</c:v>
                </c:pt>
                <c:pt idx="176">
                  <c:v>-129.5556601844446</c:v>
                </c:pt>
                <c:pt idx="177">
                  <c:v>-130.4925944272166</c:v>
                </c:pt>
                <c:pt idx="178">
                  <c:v>-131.42900702106837</c:v>
                </c:pt>
                <c:pt idx="179">
                  <c:v>-132.36487432830739</c:v>
                </c:pt>
                <c:pt idx="180">
                  <c:v>-133.30017301410595</c:v>
                </c:pt>
                <c:pt idx="181">
                  <c:v>-134.23488004359649</c:v>
                </c:pt>
                <c:pt idx="182">
                  <c:v>-135.16897267899083</c:v>
                </c:pt>
                <c:pt idx="183">
                  <c:v>-136.1024284767239</c:v>
                </c:pt>
                <c:pt idx="184">
                  <c:v>-137.03522528462076</c:v>
                </c:pt>
                <c:pt idx="185">
                  <c:v>-137.96734123908763</c:v>
                </c:pt>
                <c:pt idx="186">
                  <c:v>-138.89875476232646</c:v>
                </c:pt>
                <c:pt idx="187">
                  <c:v>-139.82944455957283</c:v>
                </c:pt>
                <c:pt idx="188">
                  <c:v>-140.75938961635717</c:v>
                </c:pt>
                <c:pt idx="189">
                  <c:v>-141.68856919578892</c:v>
                </c:pt>
                <c:pt idx="190">
                  <c:v>-142.61696283586392</c:v>
                </c:pt>
                <c:pt idx="191">
                  <c:v>-143.54455034679427</c:v>
                </c:pt>
                <c:pt idx="192">
                  <c:v>-144.47131180836118</c:v>
                </c:pt>
                <c:pt idx="193">
                  <c:v>-145.39722756728986</c:v>
                </c:pt>
                <c:pt idx="194">
                  <c:v>-146.32227823464726</c:v>
                </c:pt>
                <c:pt idx="195">
                  <c:v>-147.24644468326153</c:v>
                </c:pt>
                <c:pt idx="196">
                  <c:v>-148.16970804516387</c:v>
                </c:pt>
                <c:pt idx="197">
                  <c:v>-149.09204970905211</c:v>
                </c:pt>
                <c:pt idx="198">
                  <c:v>-150.01345131777589</c:v>
                </c:pt>
                <c:pt idx="199">
                  <c:v>-150.93389476584383</c:v>
                </c:pt>
                <c:pt idx="200">
                  <c:v>-151.85336219695159</c:v>
                </c:pt>
                <c:pt idx="201">
                  <c:v>-152.7718360015316</c:v>
                </c:pt>
                <c:pt idx="202">
                  <c:v>-153.68929881432376</c:v>
                </c:pt>
                <c:pt idx="203">
                  <c:v>-154.60573351196717</c:v>
                </c:pt>
                <c:pt idx="204">
                  <c:v>-155.5211232106127</c:v>
                </c:pt>
                <c:pt idx="205">
                  <c:v>-156.43545126355616</c:v>
                </c:pt>
                <c:pt idx="206">
                  <c:v>-157.34870125889188</c:v>
                </c:pt>
                <c:pt idx="207">
                  <c:v>-158.26085701718722</c:v>
                </c:pt>
                <c:pt idx="208">
                  <c:v>-159.17190258917648</c:v>
                </c:pt>
                <c:pt idx="209">
                  <c:v>-160.08065230093928</c:v>
                </c:pt>
                <c:pt idx="210">
                  <c:v>-160.98824733421134</c:v>
                </c:pt>
                <c:pt idx="211">
                  <c:v>-161.89467244202206</c:v>
                </c:pt>
                <c:pt idx="212">
                  <c:v>-162.79991259898731</c:v>
                </c:pt>
                <c:pt idx="213">
                  <c:v>-163.70395299909461</c:v>
                </c:pt>
                <c:pt idx="214">
                  <c:v>-164.60677905350803</c:v>
                </c:pt>
                <c:pt idx="215">
                  <c:v>-165.5083763883917</c:v>
                </c:pt>
                <c:pt idx="216">
                  <c:v>-166.40873084275319</c:v>
                </c:pt>
                <c:pt idx="217">
                  <c:v>-167.30782846630535</c:v>
                </c:pt>
                <c:pt idx="218">
                  <c:v>-168.2056555173474</c:v>
                </c:pt>
                <c:pt idx="219">
                  <c:v>-169.1021984606644</c:v>
                </c:pt>
                <c:pt idx="220">
                  <c:v>-169.99744396544583</c:v>
                </c:pt>
                <c:pt idx="221">
                  <c:v>-170.89137890322181</c:v>
                </c:pt>
                <c:pt idx="222">
                  <c:v>-171.78399034581838</c:v>
                </c:pt>
                <c:pt idx="223">
                  <c:v>-172.67526556333047</c:v>
                </c:pt>
                <c:pt idx="224">
                  <c:v>-173.56519202211294</c:v>
                </c:pt>
                <c:pt idx="225">
                  <c:v>-174.45375738278977</c:v>
                </c:pt>
                <c:pt idx="226">
                  <c:v>-175.34094949828054</c:v>
                </c:pt>
                <c:pt idx="227">
                  <c:v>-176.22675641184478</c:v>
                </c:pt>
                <c:pt idx="228">
                  <c:v>-177.11116635514384</c:v>
                </c:pt>
                <c:pt idx="229">
                  <c:v>-177.99416774631982</c:v>
                </c:pt>
                <c:pt idx="230">
                  <c:v>-178.8757491880917</c:v>
                </c:pt>
                <c:pt idx="231">
                  <c:v>-179.75589946586888</c:v>
                </c:pt>
                <c:pt idx="232">
                  <c:v>-180.63460754588112</c:v>
                </c:pt>
                <c:pt idx="233">
                  <c:v>-181.51186257332569</c:v>
                </c:pt>
                <c:pt idx="234">
                  <c:v>-182.38765387053073</c:v>
                </c:pt>
                <c:pt idx="235">
                  <c:v>-183.26197093513548</c:v>
                </c:pt>
                <c:pt idx="236">
                  <c:v>-184.13480343828684</c:v>
                </c:pt>
                <c:pt idx="237">
                  <c:v>-185.00614122285182</c:v>
                </c:pt>
                <c:pt idx="238">
                  <c:v>-185.87597430164655</c:v>
                </c:pt>
                <c:pt idx="239">
                  <c:v>-186.74429285568098</c:v>
                </c:pt>
                <c:pt idx="240">
                  <c:v>-187.61108723241952</c:v>
                </c:pt>
                <c:pt idx="241">
                  <c:v>-188.47634794405741</c:v>
                </c:pt>
                <c:pt idx="242">
                  <c:v>-189.3400656658128</c:v>
                </c:pt>
                <c:pt idx="243">
                  <c:v>-190.20223123423392</c:v>
                </c:pt>
                <c:pt idx="244">
                  <c:v>-191.06283564552206</c:v>
                </c:pt>
                <c:pt idx="245">
                  <c:v>-191.92187005386944</c:v>
                </c:pt>
                <c:pt idx="246">
                  <c:v>-192.77932576981226</c:v>
                </c:pt>
                <c:pt idx="247">
                  <c:v>-193.63519425859889</c:v>
                </c:pt>
                <c:pt idx="248">
                  <c:v>-194.48946713857248</c:v>
                </c:pt>
                <c:pt idx="249">
                  <c:v>-195.34213617956883</c:v>
                </c:pt>
                <c:pt idx="250">
                  <c:v>-196.19319330132845</c:v>
                </c:pt>
                <c:pt idx="251">
                  <c:v>-197.04263057192316</c:v>
                </c:pt>
                <c:pt idx="252">
                  <c:v>-197.89044020619733</c:v>
                </c:pt>
                <c:pt idx="253">
                  <c:v>-198.73661456422306</c:v>
                </c:pt>
                <c:pt idx="254">
                  <c:v>-199.58114614976944</c:v>
                </c:pt>
                <c:pt idx="255">
                  <c:v>-200.42402760878619</c:v>
                </c:pt>
                <c:pt idx="256">
                  <c:v>-201.26525172790079</c:v>
                </c:pt>
                <c:pt idx="257">
                  <c:v>-202.10481143292958</c:v>
                </c:pt>
                <c:pt idx="258">
                  <c:v>-202.94269978740255</c:v>
                </c:pt>
                <c:pt idx="259">
                  <c:v>-203.77890999110147</c:v>
                </c:pt>
                <c:pt idx="260">
                  <c:v>-204.61343537861157</c:v>
                </c:pt>
                <c:pt idx="261">
                  <c:v>-205.44464946097676</c:v>
                </c:pt>
                <c:pt idx="262">
                  <c:v>-206.2714964853387</c:v>
                </c:pt>
                <c:pt idx="263">
                  <c:v>-207.09311142559517</c:v>
                </c:pt>
                <c:pt idx="264">
                  <c:v>-207.90923259841861</c:v>
                </c:pt>
                <c:pt idx="265">
                  <c:v>-208.71980071640385</c:v>
                </c:pt>
                <c:pt idx="266">
                  <c:v>-209.52482427245855</c:v>
                </c:pt>
                <c:pt idx="267">
                  <c:v>-210.32433434305847</c:v>
                </c:pt>
                <c:pt idx="268">
                  <c:v>-211.11836941330452</c:v>
                </c:pt>
                <c:pt idx="269">
                  <c:v>-211.9069702816407</c:v>
                </c:pt>
                <c:pt idx="270">
                  <c:v>-212.69017834880137</c:v>
                </c:pt>
                <c:pt idx="271">
                  <c:v>-213.46803504304228</c:v>
                </c:pt>
                <c:pt idx="272">
                  <c:v>-214.24058162692131</c:v>
                </c:pt>
                <c:pt idx="273">
                  <c:v>-215.00785913223231</c:v>
                </c:pt>
                <c:pt idx="274">
                  <c:v>-215.76990833801247</c:v>
                </c:pt>
                <c:pt idx="275">
                  <c:v>-216.52676976305762</c:v>
                </c:pt>
                <c:pt idx="276">
                  <c:v>-217.27848366335348</c:v>
                </c:pt>
                <c:pt idx="277">
                  <c:v>-218.02509003119971</c:v>
                </c:pt>
                <c:pt idx="278">
                  <c:v>-218.76662859494431</c:v>
                </c:pt>
                <c:pt idx="279">
                  <c:v>-219.50313881896255</c:v>
                </c:pt>
                <c:pt idx="280">
                  <c:v>-220.2346599037572</c:v>
                </c:pt>
                <c:pt idx="281">
                  <c:v>-220.9612307861359</c:v>
                </c:pt>
                <c:pt idx="282">
                  <c:v>-221.68289013945082</c:v>
                </c:pt>
                <c:pt idx="283">
                  <c:v>-222.39967637389361</c:v>
                </c:pt>
                <c:pt idx="284">
                  <c:v>-223.11162763684234</c:v>
                </c:pt>
                <c:pt idx="285">
                  <c:v>-223.8187818132576</c:v>
                </c:pt>
                <c:pt idx="286">
                  <c:v>-224.52117652612625</c:v>
                </c:pt>
                <c:pt idx="287">
                  <c:v>-225.21884913695101</c:v>
                </c:pt>
                <c:pt idx="288">
                  <c:v>-225.91183674628326</c:v>
                </c:pt>
                <c:pt idx="289">
                  <c:v>-226.60017619429888</c:v>
                </c:pt>
                <c:pt idx="290">
                  <c:v>-227.28390406141406</c:v>
                </c:pt>
                <c:pt idx="291">
                  <c:v>-227.96305666894051</c:v>
                </c:pt>
                <c:pt idx="292">
                  <c:v>-228.63767007977751</c:v>
                </c:pt>
                <c:pt idx="293">
                  <c:v>-229.30778009914087</c:v>
                </c:pt>
                <c:pt idx="294">
                  <c:v>-229.97342227532579</c:v>
                </c:pt>
                <c:pt idx="295">
                  <c:v>-230.63463190050291</c:v>
                </c:pt>
                <c:pt idx="296">
                  <c:v>-231.29144401154645</c:v>
                </c:pt>
                <c:pt idx="297">
                  <c:v>-231.94389339089253</c:v>
                </c:pt>
                <c:pt idx="298">
                  <c:v>-232.59201456742684</c:v>
                </c:pt>
                <c:pt idx="299">
                  <c:v>-233.23584181740051</c:v>
                </c:pt>
                <c:pt idx="300">
                  <c:v>-233.8754091653721</c:v>
                </c:pt>
                <c:pt idx="301">
                  <c:v>-234.5107503851759</c:v>
                </c:pt>
                <c:pt idx="302">
                  <c:v>-235.14189900091438</c:v>
                </c:pt>
                <c:pt idx="303">
                  <c:v>-235.76888828797377</c:v>
                </c:pt>
                <c:pt idx="304">
                  <c:v>-236.39175127406259</c:v>
                </c:pt>
                <c:pt idx="305">
                  <c:v>-237.01052074027081</c:v>
                </c:pt>
                <c:pt idx="306">
                  <c:v>-237.62522922214964</c:v>
                </c:pt>
                <c:pt idx="307">
                  <c:v>-238.2359090108107</c:v>
                </c:pt>
                <c:pt idx="308">
                  <c:v>-238.84259215404336</c:v>
                </c:pt>
                <c:pt idx="309">
                  <c:v>-239.44531045744964</c:v>
                </c:pt>
                <c:pt idx="310">
                  <c:v>-240.04409548559565</c:v>
                </c:pt>
                <c:pt idx="311">
                  <c:v>-240.63897856317894</c:v>
                </c:pt>
                <c:pt idx="312">
                  <c:v>-241.2299907762106</c:v>
                </c:pt>
                <c:pt idx="313">
                  <c:v>-241.81518566352867</c:v>
                </c:pt>
                <c:pt idx="314">
                  <c:v>-242.39656162302225</c:v>
                </c:pt>
                <c:pt idx="315">
                  <c:v>-242.97414912462634</c:v>
                </c:pt>
                <c:pt idx="316">
                  <c:v>-243.54797840346646</c:v>
                </c:pt>
                <c:pt idx="317">
                  <c:v>-244.11807946111307</c:v>
                </c:pt>
                <c:pt idx="318">
                  <c:v>-244.68448206684653</c:v>
                </c:pt>
                <c:pt idx="319">
                  <c:v>-245.24721575893182</c:v>
                </c:pt>
                <c:pt idx="320">
                  <c:v>-245.80630984590238</c:v>
                </c:pt>
                <c:pt idx="321">
                  <c:v>-246.36179340785236</c:v>
                </c:pt>
                <c:pt idx="322">
                  <c:v>-246.91369529773669</c:v>
                </c:pt>
                <c:pt idx="323">
                  <c:v>-247.46204414267837</c:v>
                </c:pt>
                <c:pt idx="324">
                  <c:v>-248.00686834528273</c:v>
                </c:pt>
                <c:pt idx="325">
                  <c:v>-248.54819608495762</c:v>
                </c:pt>
                <c:pt idx="326">
                  <c:v>-249.0860553192397</c:v>
                </c:pt>
                <c:pt idx="327">
                  <c:v>-249.62047378512497</c:v>
                </c:pt>
                <c:pt idx="328">
                  <c:v>-250.15147900040483</c:v>
                </c:pt>
                <c:pt idx="329">
                  <c:v>-250.67909826500599</c:v>
                </c:pt>
                <c:pt idx="330">
                  <c:v>-251.20335866233393</c:v>
                </c:pt>
                <c:pt idx="331">
                  <c:v>-251.72428706061979</c:v>
                </c:pt>
                <c:pt idx="332">
                  <c:v>-252.24191011427021</c:v>
                </c:pt>
                <c:pt idx="333">
                  <c:v>-252.75625426521921</c:v>
                </c:pt>
                <c:pt idx="334">
                  <c:v>-253.26734574428258</c:v>
                </c:pt>
                <c:pt idx="335">
                  <c:v>-253.77521057251329</c:v>
                </c:pt>
                <c:pt idx="336">
                  <c:v>-254.2798745625588</c:v>
                </c:pt>
                <c:pt idx="337">
                  <c:v>-254.7813633200189</c:v>
                </c:pt>
                <c:pt idx="338">
                  <c:v>-255.27970224480384</c:v>
                </c:pt>
                <c:pt idx="339">
                  <c:v>-255.77491653249334</c:v>
                </c:pt>
                <c:pt idx="340">
                  <c:v>-256.26703117569485</c:v>
                </c:pt>
                <c:pt idx="341">
                  <c:v>-256.75607096540176</c:v>
                </c:pt>
                <c:pt idx="342">
                  <c:v>-257.24206049235056</c:v>
                </c:pt>
                <c:pt idx="343">
                  <c:v>-257.72502414837732</c:v>
                </c:pt>
                <c:pt idx="344">
                  <c:v>-258.20498612777249</c:v>
                </c:pt>
                <c:pt idx="345">
                  <c:v>-258.68197042863437</c:v>
                </c:pt>
                <c:pt idx="346">
                  <c:v>-259.15600085422074</c:v>
                </c:pt>
                <c:pt idx="347">
                  <c:v>-259.62710101429809</c:v>
                </c:pt>
                <c:pt idx="348">
                  <c:v>-260.09529432648912</c:v>
                </c:pt>
                <c:pt idx="349">
                  <c:v>-260.56060401761658</c:v>
                </c:pt>
                <c:pt idx="350">
                  <c:v>-261.02305312504598</c:v>
                </c:pt>
                <c:pt idx="351">
                  <c:v>-261.4826644980235</c:v>
                </c:pt>
                <c:pt idx="352">
                  <c:v>-261.93946079901173</c:v>
                </c:pt>
                <c:pt idx="353">
                  <c:v>-262.39346450502205</c:v>
                </c:pt>
                <c:pt idx="354">
                  <c:v>-262.84469790894275</c:v>
                </c:pt>
                <c:pt idx="355">
                  <c:v>-263.29318312086377</c:v>
                </c:pt>
                <c:pt idx="356">
                  <c:v>-263.73894206939786</c:v>
                </c:pt>
                <c:pt idx="357">
                  <c:v>-264.18199650299641</c:v>
                </c:pt>
                <c:pt idx="358">
                  <c:v>-264.62236799126219</c:v>
                </c:pt>
                <c:pt idx="359">
                  <c:v>-265.06007792625724</c:v>
                </c:pt>
                <c:pt idx="360">
                  <c:v>-265.49514752380583</c:v>
                </c:pt>
                <c:pt idx="361">
                  <c:v>-265.92759782479294</c:v>
                </c:pt>
                <c:pt idx="362">
                  <c:v>-266.3574496964581</c:v>
                </c:pt>
                <c:pt idx="363">
                  <c:v>-266.78472383368364</c:v>
                </c:pt>
                <c:pt idx="364">
                  <c:v>-267.20944076027831</c:v>
                </c:pt>
                <c:pt idx="365">
                  <c:v>-267.62925066321191</c:v>
                </c:pt>
                <c:pt idx="366">
                  <c:v>-268.04653648282903</c:v>
                </c:pt>
                <c:pt idx="367">
                  <c:v>-268.46131830372968</c:v>
                </c:pt>
                <c:pt idx="368">
                  <c:v>-268.87361604381817</c:v>
                </c:pt>
                <c:pt idx="369">
                  <c:v>-269.28344945556603</c:v>
                </c:pt>
                <c:pt idx="370">
                  <c:v>-269.69083812727024</c:v>
                </c:pt>
                <c:pt idx="371">
                  <c:v>-270.09580148430405</c:v>
                </c:pt>
                <c:pt idx="372">
                  <c:v>-270.49835879036254</c:v>
                </c:pt>
                <c:pt idx="373">
                  <c:v>-270.89852914870221</c:v>
                </c:pt>
                <c:pt idx="374">
                  <c:v>-271.29633150337418</c:v>
                </c:pt>
                <c:pt idx="375">
                  <c:v>-271.69178464045092</c:v>
                </c:pt>
                <c:pt idx="376">
                  <c:v>-272.08490718924719</c:v>
                </c:pt>
                <c:pt idx="377">
                  <c:v>-272.47571762353425</c:v>
                </c:pt>
                <c:pt idx="378">
                  <c:v>-272.8642342627474</c:v>
                </c:pt>
                <c:pt idx="379">
                  <c:v>-273.25047527318793</c:v>
                </c:pt>
                <c:pt idx="380">
                  <c:v>-273.63445866921745</c:v>
                </c:pt>
                <c:pt idx="381">
                  <c:v>-274.01620231444622</c:v>
                </c:pt>
                <c:pt idx="382">
                  <c:v>-274.3957239229149</c:v>
                </c:pt>
                <c:pt idx="383">
                  <c:v>-274.77304106026941</c:v>
                </c:pt>
                <c:pt idx="384">
                  <c:v>-275.14817114492899</c:v>
                </c:pt>
                <c:pt idx="385">
                  <c:v>-275.52113144924772</c:v>
                </c:pt>
                <c:pt idx="386">
                  <c:v>-275.89193910066922</c:v>
                </c:pt>
                <c:pt idx="387">
                  <c:v>-276.26061108287445</c:v>
                </c:pt>
                <c:pt idx="388">
                  <c:v>-276.62716423692251</c:v>
                </c:pt>
                <c:pt idx="389">
                  <c:v>-276.99161526238504</c:v>
                </c:pt>
                <c:pt idx="390">
                  <c:v>-277.35398071847305</c:v>
                </c:pt>
                <c:pt idx="391">
                  <c:v>-277.71427702515757</c:v>
                </c:pt>
                <c:pt idx="392">
                  <c:v>-278.07252046428289</c:v>
                </c:pt>
                <c:pt idx="393">
                  <c:v>-278.42872718067269</c:v>
                </c:pt>
                <c:pt idx="394">
                  <c:v>-278.78291318322971</c:v>
                </c:pt>
                <c:pt idx="395">
                  <c:v>-279.13509434602815</c:v>
                </c:pt>
                <c:pt idx="396">
                  <c:v>-279.48528640939901</c:v>
                </c:pt>
                <c:pt idx="397">
                  <c:v>-279.8335049810085</c:v>
                </c:pt>
                <c:pt idx="398">
                  <c:v>-280.17976553692984</c:v>
                </c:pt>
                <c:pt idx="399">
                  <c:v>-280.52408342270746</c:v>
                </c:pt>
                <c:pt idx="400">
                  <c:v>-280.86647385441421</c:v>
                </c:pt>
                <c:pt idx="401">
                  <c:v>-281.20695191970191</c:v>
                </c:pt>
                <c:pt idx="402">
                  <c:v>-281.54553257884504</c:v>
                </c:pt>
                <c:pt idx="403">
                  <c:v>-281.88223066577689</c:v>
                </c:pt>
                <c:pt idx="404">
                  <c:v>-282.21706088911867</c:v>
                </c:pt>
                <c:pt idx="405">
                  <c:v>-282.55003783320285</c:v>
                </c:pt>
                <c:pt idx="406">
                  <c:v>-282.88117595908733</c:v>
                </c:pt>
                <c:pt idx="407">
                  <c:v>-283.21048960556465</c:v>
                </c:pt>
                <c:pt idx="408">
                  <c:v>-283.53799299016339</c:v>
                </c:pt>
                <c:pt idx="409">
                  <c:v>-283.86370021014227</c:v>
                </c:pt>
                <c:pt idx="410">
                  <c:v>-284.18762524347841</c:v>
                </c:pt>
                <c:pt idx="411">
                  <c:v>-284.50978194984702</c:v>
                </c:pt>
                <c:pt idx="412">
                  <c:v>-284.83018407159597</c:v>
                </c:pt>
                <c:pt idx="413">
                  <c:v>-285.14884523471204</c:v>
                </c:pt>
                <c:pt idx="414">
                  <c:v>-285.46577894978088</c:v>
                </c:pt>
                <c:pt idx="415">
                  <c:v>-285.78099861294049</c:v>
                </c:pt>
                <c:pt idx="416">
                  <c:v>-286.09451750682661</c:v>
                </c:pt>
                <c:pt idx="417">
                  <c:v>-286.40353394940723</c:v>
                </c:pt>
                <c:pt idx="418">
                  <c:v>-286.71086978230579</c:v>
                </c:pt>
                <c:pt idx="419">
                  <c:v>-287.01653800227467</c:v>
                </c:pt>
                <c:pt idx="420">
                  <c:v>-287.32055149577809</c:v>
                </c:pt>
                <c:pt idx="421">
                  <c:v>-287.62292303990921</c:v>
                </c:pt>
                <c:pt idx="422">
                  <c:v>-287.92366530330173</c:v>
                </c:pt>
                <c:pt idx="423">
                  <c:v>-288.22279084703308</c:v>
                </c:pt>
                <c:pt idx="424">
                  <c:v>-288.52031212552225</c:v>
                </c:pt>
                <c:pt idx="425">
                  <c:v>-288.81624148742037</c:v>
                </c:pt>
                <c:pt idx="426">
                  <c:v>-289.11059117649421</c:v>
                </c:pt>
                <c:pt idx="427">
                  <c:v>-289.40337333250443</c:v>
                </c:pt>
                <c:pt idx="428">
                  <c:v>-289.69459999207515</c:v>
                </c:pt>
                <c:pt idx="429">
                  <c:v>-289.98428308955931</c:v>
                </c:pt>
                <c:pt idx="430">
                  <c:v>-290.27243445789497</c:v>
                </c:pt>
                <c:pt idx="431">
                  <c:v>-290.55906582945761</c:v>
                </c:pt>
                <c:pt idx="432">
                  <c:v>-290.84418883690364</c:v>
                </c:pt>
                <c:pt idx="433">
                  <c:v>-291.12781501400951</c:v>
                </c:pt>
                <c:pt idx="434">
                  <c:v>-291.40995579650246</c:v>
                </c:pt>
                <c:pt idx="435">
                  <c:v>-291.69062252288677</c:v>
                </c:pt>
                <c:pt idx="436">
                  <c:v>-291.96982643526167</c:v>
                </c:pt>
                <c:pt idx="437">
                  <c:v>-292.24757868013478</c:v>
                </c:pt>
                <c:pt idx="438">
                  <c:v>-292.52389030922842</c:v>
                </c:pt>
                <c:pt idx="439">
                  <c:v>-292.79877228027868</c:v>
                </c:pt>
                <c:pt idx="440">
                  <c:v>-293.07223545783035</c:v>
                </c:pt>
                <c:pt idx="441">
                  <c:v>-293.34429061402398</c:v>
                </c:pt>
                <c:pt idx="442">
                  <c:v>-293.61494842937736</c:v>
                </c:pt>
                <c:pt idx="443">
                  <c:v>-293.8842194935612</c:v>
                </c:pt>
                <c:pt idx="444">
                  <c:v>-294.15211430616762</c:v>
                </c:pt>
                <c:pt idx="445">
                  <c:v>-294.41864327747396</c:v>
                </c:pt>
                <c:pt idx="446">
                  <c:v>-294.68381672919998</c:v>
                </c:pt>
                <c:pt idx="447">
                  <c:v>-294.94764489525829</c:v>
                </c:pt>
                <c:pt idx="448">
                  <c:v>-295.21013792250017</c:v>
                </c:pt>
                <c:pt idx="449">
                  <c:v>-295.47130587145477</c:v>
                </c:pt>
                <c:pt idx="450">
                  <c:v>-295.73115871706227</c:v>
                </c:pt>
                <c:pt idx="451">
                  <c:v>-295.98970634940144</c:v>
                </c:pt>
                <c:pt idx="452">
                  <c:v>-296.24695857441162</c:v>
                </c:pt>
                <c:pt idx="453">
                  <c:v>-296.50292511460839</c:v>
                </c:pt>
                <c:pt idx="454">
                  <c:v>-296.75761560979367</c:v>
                </c:pt>
                <c:pt idx="455">
                  <c:v>-297.0110396177609</c:v>
                </c:pt>
                <c:pt idx="456">
                  <c:v>-297.26320661499301</c:v>
                </c:pt>
                <c:pt idx="457">
                  <c:v>-297.51412599735596</c:v>
                </c:pt>
                <c:pt idx="458">
                  <c:v>-297.76380708078659</c:v>
                </c:pt>
                <c:pt idx="459">
                  <c:v>-298.01225910197411</c:v>
                </c:pt>
                <c:pt idx="460">
                  <c:v>-298.25949121903722</c:v>
                </c:pt>
                <c:pt idx="461">
                  <c:v>-298.50551251219474</c:v>
                </c:pt>
                <c:pt idx="462">
                  <c:v>-298.75033198443106</c:v>
                </c:pt>
                <c:pt idx="463">
                  <c:v>-298.99395856215676</c:v>
                </c:pt>
                <c:pt idx="464">
                  <c:v>-299.23640109586302</c:v>
                </c:pt>
                <c:pt idx="465">
                  <c:v>-299.47766836077102</c:v>
                </c:pt>
                <c:pt idx="466">
                  <c:v>-299.7177690574764</c:v>
                </c:pt>
                <c:pt idx="467">
                  <c:v>-299.95671181258768</c:v>
                </c:pt>
                <c:pt idx="468">
                  <c:v>-300.19450517936042</c:v>
                </c:pt>
                <c:pt idx="469">
                  <c:v>-300.42779605467189</c:v>
                </c:pt>
                <c:pt idx="470">
                  <c:v>-300.65994919761266</c:v>
                </c:pt>
                <c:pt idx="471">
                  <c:v>-300.89097298287862</c:v>
                </c:pt>
                <c:pt idx="472">
                  <c:v>-301.12087571392698</c:v>
                </c:pt>
                <c:pt idx="473">
                  <c:v>-301.34966562358829</c:v>
                </c:pt>
                <c:pt idx="474">
                  <c:v>-301.57735087467313</c:v>
                </c:pt>
                <c:pt idx="475">
                  <c:v>-301.80393956057384</c:v>
                </c:pt>
                <c:pt idx="476">
                  <c:v>-302.02943970586142</c:v>
                </c:pt>
                <c:pt idx="477">
                  <c:v>-302.25385926687733</c:v>
                </c:pt>
                <c:pt idx="478">
                  <c:v>-302.47720613232025</c:v>
                </c:pt>
                <c:pt idx="479">
                  <c:v>-302.6994881238283</c:v>
                </c:pt>
                <c:pt idx="480">
                  <c:v>-302.92071299655623</c:v>
                </c:pt>
                <c:pt idx="481">
                  <c:v>-303.14088843974747</c:v>
                </c:pt>
                <c:pt idx="482">
                  <c:v>-303.36002207730218</c:v>
                </c:pt>
                <c:pt idx="483">
                  <c:v>-303.5781214683401</c:v>
                </c:pt>
                <c:pt idx="484">
                  <c:v>-303.79519410775822</c:v>
                </c:pt>
                <c:pt idx="485">
                  <c:v>-304.01124742678462</c:v>
                </c:pt>
                <c:pt idx="486">
                  <c:v>-304.22628879352777</c:v>
                </c:pt>
                <c:pt idx="487">
                  <c:v>-304.44032551352001</c:v>
                </c:pt>
                <c:pt idx="488">
                  <c:v>-304.65336483025777</c:v>
                </c:pt>
                <c:pt idx="489">
                  <c:v>-304.86541392573662</c:v>
                </c:pt>
                <c:pt idx="490">
                  <c:v>-305.0764799209818</c:v>
                </c:pt>
                <c:pt idx="491">
                  <c:v>-305.28656987657473</c:v>
                </c:pt>
                <c:pt idx="492">
                  <c:v>-305.4956907931745</c:v>
                </c:pt>
                <c:pt idx="493">
                  <c:v>-305.70384961203575</c:v>
                </c:pt>
                <c:pt idx="494">
                  <c:v>-305.91105321552101</c:v>
                </c:pt>
                <c:pt idx="495">
                  <c:v>-306.11730842761006</c:v>
                </c:pt>
                <c:pt idx="496">
                  <c:v>-306.3226220144042</c:v>
                </c:pt>
                <c:pt idx="497">
                  <c:v>-306.52700068462605</c:v>
                </c:pt>
                <c:pt idx="498">
                  <c:v>-306.73045109011588</c:v>
                </c:pt>
                <c:pt idx="499">
                  <c:v>-306.93297982632316</c:v>
                </c:pt>
                <c:pt idx="500">
                  <c:v>-307.13459343279442</c:v>
                </c:pt>
                <c:pt idx="501">
                  <c:v>-307.33529839365633</c:v>
                </c:pt>
                <c:pt idx="502">
                  <c:v>-307.53510113809523</c:v>
                </c:pt>
                <c:pt idx="503">
                  <c:v>-307.73400804083241</c:v>
                </c:pt>
                <c:pt idx="504">
                  <c:v>-307.93202542259553</c:v>
                </c:pt>
                <c:pt idx="505">
                  <c:v>-308.12915955058537</c:v>
                </c:pt>
                <c:pt idx="506">
                  <c:v>-308.32541663893971</c:v>
                </c:pt>
                <c:pt idx="507">
                  <c:v>-308.52080284919242</c:v>
                </c:pt>
                <c:pt idx="508">
                  <c:v>-308.71532429072869</c:v>
                </c:pt>
                <c:pt idx="509">
                  <c:v>-308.90898702123712</c:v>
                </c:pt>
                <c:pt idx="510">
                  <c:v>-309.10179704715699</c:v>
                </c:pt>
                <c:pt idx="511">
                  <c:v>-309.29376032412222</c:v>
                </c:pt>
                <c:pt idx="512">
                  <c:v>-309.48488275740146</c:v>
                </c:pt>
                <c:pt idx="513">
                  <c:v>-309.67517020233498</c:v>
                </c:pt>
                <c:pt idx="514">
                  <c:v>-309.86462846476638</c:v>
                </c:pt>
                <c:pt idx="515">
                  <c:v>-310.05326330147233</c:v>
                </c:pt>
                <c:pt idx="516">
                  <c:v>-310.24108042058754</c:v>
                </c:pt>
                <c:pt idx="517">
                  <c:v>-310.42808548202629</c:v>
                </c:pt>
                <c:pt idx="518">
                  <c:v>-310.61428409790079</c:v>
                </c:pt>
                <c:pt idx="519">
                  <c:v>-310.79968183293528</c:v>
                </c:pt>
              </c:numCache>
            </c:numRef>
          </c:val>
          <c:smooth val="0"/>
          <c:extLst>
            <c:ext xmlns:c16="http://schemas.microsoft.com/office/drawing/2014/chart" uri="{C3380CC4-5D6E-409C-BE32-E72D297353CC}">
              <c16:uniqueId val="{00000002-7744-4B44-92D6-CD8912115525}"/>
            </c:ext>
          </c:extLst>
        </c:ser>
        <c:dLbls>
          <c:showLegendKey val="0"/>
          <c:showVal val="0"/>
          <c:showCatName val="0"/>
          <c:showSerName val="0"/>
          <c:showPercent val="0"/>
          <c:showBubbleSize val="0"/>
        </c:dLbls>
        <c:smooth val="0"/>
        <c:axId val="270772616"/>
        <c:axId val="270773272"/>
        <c:extLst>
          <c:ext xmlns:c15="http://schemas.microsoft.com/office/drawing/2012/chart" uri="{02D57815-91ED-43cb-92C2-25804820EDAC}">
            <c15:filteredLineSeries>
              <c15:ser>
                <c:idx val="3"/>
                <c:order val="0"/>
                <c:tx>
                  <c:strRef>
                    <c:extLst>
                      <c:ext uri="{02D57815-91ED-43cb-92C2-25804820EDAC}">
                        <c15:formulaRef>
                          <c15:sqref>Ig!$AB$534</c15:sqref>
                        </c15:formulaRef>
                      </c:ext>
                    </c:extLst>
                    <c:strCache>
                      <c:ptCount val="1"/>
                      <c:pt idx="0">
                        <c:v>Ig</c:v>
                      </c:pt>
                    </c:strCache>
                  </c:strRef>
                </c:tx>
                <c:spPr>
                  <a:ln w="28575" cap="rnd">
                    <a:solidFill>
                      <a:schemeClr val="accent4"/>
                    </a:solidFill>
                    <a:round/>
                  </a:ln>
                  <a:effectLst/>
                </c:spPr>
                <c:marker>
                  <c:symbol val="none"/>
                </c:marker>
                <c:cat>
                  <c:numRef>
                    <c:extLst>
                      <c:ext uri="{02D57815-91ED-43cb-92C2-25804820EDAC}">
                        <c15:formulaRef>
                          <c15:sqref>Ig!$AA$535:$AA$1054</c15:sqref>
                        </c15:formulaRef>
                      </c:ext>
                    </c:extLst>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extLst>
                      <c:ext uri="{02D57815-91ED-43cb-92C2-25804820EDAC}">
                        <c15:formulaRef>
                          <c15:sqref>Ig!$AB$535:$AB$1054</c15:sqref>
                        </c15:formulaRef>
                      </c:ext>
                    </c:extLst>
                    <c:numCache>
                      <c:formatCode>#,##0</c:formatCode>
                      <c:ptCount val="520"/>
                      <c:pt idx="0">
                        <c:v>1000</c:v>
                      </c:pt>
                      <c:pt idx="1">
                        <c:v>999.9309184473401</c:v>
                      </c:pt>
                      <c:pt idx="2">
                        <c:v>999.86184166694113</c:v>
                      </c:pt>
                      <c:pt idx="3">
                        <c:v>999.79276965847339</c:v>
                      </c:pt>
                      <c:pt idx="4">
                        <c:v>999.72370242160719</c:v>
                      </c:pt>
                      <c:pt idx="5">
                        <c:v>999.65463995601294</c:v>
                      </c:pt>
                      <c:pt idx="6">
                        <c:v>999.58558226136108</c:v>
                      </c:pt>
                      <c:pt idx="7">
                        <c:v>999.51652933732203</c:v>
                      </c:pt>
                      <c:pt idx="8">
                        <c:v>999.44748118356608</c:v>
                      </c:pt>
                      <c:pt idx="9">
                        <c:v>999.3784377997639</c:v>
                      </c:pt>
                      <c:pt idx="10">
                        <c:v>999.30939918558579</c:v>
                      </c:pt>
                      <c:pt idx="11">
                        <c:v>999.2403653407024</c:v>
                      </c:pt>
                      <c:pt idx="12">
                        <c:v>999.17133626478414</c:v>
                      </c:pt>
                      <c:pt idx="13">
                        <c:v>999.10231195750168</c:v>
                      </c:pt>
                      <c:pt idx="14">
                        <c:v>999.03329241852555</c:v>
                      </c:pt>
                      <c:pt idx="15">
                        <c:v>998.96427764752627</c:v>
                      </c:pt>
                      <c:pt idx="16">
                        <c:v>998.89526764417451</c:v>
                      </c:pt>
                      <c:pt idx="17">
                        <c:v>998.82626240814102</c:v>
                      </c:pt>
                      <c:pt idx="18">
                        <c:v>998.75726193909634</c:v>
                      </c:pt>
                      <c:pt idx="19">
                        <c:v>998.68826623671123</c:v>
                      </c:pt>
                      <c:pt idx="20">
                        <c:v>609.15775793340038</c:v>
                      </c:pt>
                      <c:pt idx="21">
                        <c:v>605.72238576674954</c:v>
                      </c:pt>
                      <c:pt idx="22">
                        <c:v>602.30638753364826</c:v>
                      </c:pt>
                      <c:pt idx="23">
                        <c:v>598.90965397393984</c:v>
                      </c:pt>
                      <c:pt idx="24">
                        <c:v>595.53207644364511</c:v>
                      </c:pt>
                      <c:pt idx="25">
                        <c:v>592.17354691148728</c:v>
                      </c:pt>
                      <c:pt idx="26">
                        <c:v>588.83395795543709</c:v>
                      </c:pt>
                      <c:pt idx="27">
                        <c:v>585.51320275927628</c:v>
                      </c:pt>
                      <c:pt idx="28">
                        <c:v>582.21117510918157</c:v>
                      </c:pt>
                      <c:pt idx="29">
                        <c:v>578.92776939032694</c:v>
                      </c:pt>
                      <c:pt idx="30">
                        <c:v>575.66288058350619</c:v>
                      </c:pt>
                      <c:pt idx="31">
                        <c:v>572.41640426177332</c:v>
                      </c:pt>
                      <c:pt idx="32">
                        <c:v>569.18823658710289</c:v>
                      </c:pt>
                      <c:pt idx="33">
                        <c:v>565.97827430706866</c:v>
                      </c:pt>
                      <c:pt idx="34">
                        <c:v>562.78641475154086</c:v>
                      </c:pt>
                      <c:pt idx="35">
                        <c:v>559.6125558294026</c:v>
                      </c:pt>
                      <c:pt idx="36">
                        <c:v>556.45659602528417</c:v>
                      </c:pt>
                      <c:pt idx="37">
                        <c:v>553.31843439631655</c:v>
                      </c:pt>
                      <c:pt idx="38">
                        <c:v>550.19797056890229</c:v>
                      </c:pt>
                      <c:pt idx="39">
                        <c:v>547.0951047355054</c:v>
                      </c:pt>
                      <c:pt idx="40">
                        <c:v>544.00973765145886</c:v>
                      </c:pt>
                      <c:pt idx="41">
                        <c:v>540.94177063179029</c:v>
                      </c:pt>
                      <c:pt idx="42">
                        <c:v>537.89110554806587</c:v>
                      </c:pt>
                      <c:pt idx="43">
                        <c:v>534.85764482525099</c:v>
                      </c:pt>
                      <c:pt idx="44">
                        <c:v>531.84129143859025</c:v>
                      </c:pt>
                      <c:pt idx="45">
                        <c:v>528.84194891050322</c:v>
                      </c:pt>
                      <c:pt idx="46">
                        <c:v>525.85952130749922</c:v>
                      </c:pt>
                      <c:pt idx="47">
                        <c:v>522.8939132371089</c:v>
                      </c:pt>
                      <c:pt idx="48">
                        <c:v>519.94502984483279</c:v>
                      </c:pt>
                      <c:pt idx="49">
                        <c:v>517.01277681110764</c:v>
                      </c:pt>
                      <c:pt idx="50">
                        <c:v>514.09706034828957</c:v>
                      </c:pt>
                      <c:pt idx="51">
                        <c:v>511.19778719765412</c:v>
                      </c:pt>
                      <c:pt idx="52">
                        <c:v>508.31486462641379</c:v>
                      </c:pt>
                      <c:pt idx="53">
                        <c:v>508.27691833191284</c:v>
                      </c:pt>
                      <c:pt idx="54">
                        <c:v>508.23897487014676</c:v>
                      </c:pt>
                      <c:pt idx="55">
                        <c:v>508.20103424090416</c:v>
                      </c:pt>
                      <c:pt idx="56">
                        <c:v>508.16309644397353</c:v>
                      </c:pt>
                      <c:pt idx="57">
                        <c:v>508.12516147914351</c:v>
                      </c:pt>
                      <c:pt idx="58">
                        <c:v>508.08722934620261</c:v>
                      </c:pt>
                      <c:pt idx="59">
                        <c:v>508.04930004493946</c:v>
                      </c:pt>
                      <c:pt idx="60">
                        <c:v>508.01137357514267</c:v>
                      </c:pt>
                      <c:pt idx="61">
                        <c:v>507.97344993660084</c:v>
                      </c:pt>
                      <c:pt idx="62">
                        <c:v>507.93552912910263</c:v>
                      </c:pt>
                      <c:pt idx="63">
                        <c:v>507.8976111524367</c:v>
                      </c:pt>
                      <c:pt idx="64">
                        <c:v>507.85969600639174</c:v>
                      </c:pt>
                      <c:pt idx="65">
                        <c:v>507.82178369075643</c:v>
                      </c:pt>
                      <c:pt idx="66">
                        <c:v>507.78387420531948</c:v>
                      </c:pt>
                      <c:pt idx="67">
                        <c:v>507.74596754986959</c:v>
                      </c:pt>
                      <c:pt idx="68">
                        <c:v>507.70806372419554</c:v>
                      </c:pt>
                      <c:pt idx="69">
                        <c:v>507.67016272808604</c:v>
                      </c:pt>
                      <c:pt idx="70">
                        <c:v>507.63226456132992</c:v>
                      </c:pt>
                      <c:pt idx="71">
                        <c:v>507.59436922371589</c:v>
                      </c:pt>
                      <c:pt idx="72">
                        <c:v>507.55647671503277</c:v>
                      </c:pt>
                      <c:pt idx="73">
                        <c:v>507.5185870350694</c:v>
                      </c:pt>
                      <c:pt idx="74">
                        <c:v>507.48070018361466</c:v>
                      </c:pt>
                      <c:pt idx="75">
                        <c:v>507.44281616045731</c:v>
                      </c:pt>
                      <c:pt idx="76">
                        <c:v>507.40493496538625</c:v>
                      </c:pt>
                      <c:pt idx="77">
                        <c:v>507.36705659819035</c:v>
                      </c:pt>
                      <c:pt idx="78">
                        <c:v>507.32918105865855</c:v>
                      </c:pt>
                      <c:pt idx="79">
                        <c:v>507.29130834657968</c:v>
                      </c:pt>
                      <c:pt idx="80">
                        <c:v>507.25343846174275</c:v>
                      </c:pt>
                      <c:pt idx="81">
                        <c:v>507.21557140393668</c:v>
                      </c:pt>
                      <c:pt idx="82">
                        <c:v>507.17770717295042</c:v>
                      </c:pt>
                      <c:pt idx="83">
                        <c:v>507.13984576857291</c:v>
                      </c:pt>
                      <c:pt idx="84">
                        <c:v>507.10198719059321</c:v>
                      </c:pt>
                      <c:pt idx="85">
                        <c:v>507.06413143880025</c:v>
                      </c:pt>
                      <c:pt idx="86">
                        <c:v>507.02627851298308</c:v>
                      </c:pt>
                      <c:pt idx="87">
                        <c:v>506.98842841293077</c:v>
                      </c:pt>
                      <c:pt idx="88">
                        <c:v>506.95058113843237</c:v>
                      </c:pt>
                      <c:pt idx="89">
                        <c:v>506.91273668927693</c:v>
                      </c:pt>
                      <c:pt idx="90">
                        <c:v>506.8748950652535</c:v>
                      </c:pt>
                      <c:pt idx="91">
                        <c:v>506.83705626615125</c:v>
                      </c:pt>
                      <c:pt idx="92">
                        <c:v>506.79922029175924</c:v>
                      </c:pt>
                      <c:pt idx="93">
                        <c:v>506.76138714186663</c:v>
                      </c:pt>
                      <c:pt idx="94">
                        <c:v>506.72355681626254</c:v>
                      </c:pt>
                      <c:pt idx="95">
                        <c:v>506.68572931473619</c:v>
                      </c:pt>
                      <c:pt idx="96">
                        <c:v>506.64790463707669</c:v>
                      </c:pt>
                      <c:pt idx="97">
                        <c:v>506.61008278307327</c:v>
                      </c:pt>
                      <c:pt idx="98">
                        <c:v>506.57226375251514</c:v>
                      </c:pt>
                      <c:pt idx="99">
                        <c:v>506.53444754519154</c:v>
                      </c:pt>
                      <c:pt idx="100">
                        <c:v>506.49663416089169</c:v>
                      </c:pt>
                      <c:pt idx="101">
                        <c:v>506.45882359940487</c:v>
                      </c:pt>
                      <c:pt idx="102">
                        <c:v>506.42101586052036</c:v>
                      </c:pt>
                      <c:pt idx="103">
                        <c:v>506.38321094402738</c:v>
                      </c:pt>
                      <c:pt idx="104">
                        <c:v>506.34540884971534</c:v>
                      </c:pt>
                      <c:pt idx="105">
                        <c:v>506.30449530635468</c:v>
                      </c:pt>
                      <c:pt idx="106">
                        <c:v>506.26358506887573</c:v>
                      </c:pt>
                      <c:pt idx="107">
                        <c:v>506.22267813701137</c:v>
                      </c:pt>
                      <c:pt idx="108">
                        <c:v>506.18177451049451</c:v>
                      </c:pt>
                      <c:pt idx="109">
                        <c:v>506.14087418905808</c:v>
                      </c:pt>
                      <c:pt idx="110">
                        <c:v>506.09997717243499</c:v>
                      </c:pt>
                      <c:pt idx="111">
                        <c:v>506.05908346035824</c:v>
                      </c:pt>
                      <c:pt idx="112">
                        <c:v>506.01819305256083</c:v>
                      </c:pt>
                      <c:pt idx="113">
                        <c:v>505.97730594877572</c:v>
                      </c:pt>
                      <c:pt idx="114">
                        <c:v>505.93642214873597</c:v>
                      </c:pt>
                      <c:pt idx="115">
                        <c:v>505.89554165217464</c:v>
                      </c:pt>
                      <c:pt idx="116">
                        <c:v>505.8546644588248</c:v>
                      </c:pt>
                      <c:pt idx="117">
                        <c:v>505.81379056841956</c:v>
                      </c:pt>
                      <c:pt idx="118">
                        <c:v>505.772919980692</c:v>
                      </c:pt>
                      <c:pt idx="119">
                        <c:v>505.73205269537527</c:v>
                      </c:pt>
                      <c:pt idx="120">
                        <c:v>505.69118871220252</c:v>
                      </c:pt>
                      <c:pt idx="121">
                        <c:v>505.65032803090696</c:v>
                      </c:pt>
                      <c:pt idx="122">
                        <c:v>505.60947065122178</c:v>
                      </c:pt>
                      <c:pt idx="123">
                        <c:v>505.56861657288022</c:v>
                      </c:pt>
                      <c:pt idx="124">
                        <c:v>505.52776579561549</c:v>
                      </c:pt>
                      <c:pt idx="125">
                        <c:v>505.48691831916085</c:v>
                      </c:pt>
                      <c:pt idx="126">
                        <c:v>505.44607414324963</c:v>
                      </c:pt>
                      <c:pt idx="127">
                        <c:v>505.40523326761513</c:v>
                      </c:pt>
                      <c:pt idx="128">
                        <c:v>505.36439569199064</c:v>
                      </c:pt>
                      <c:pt idx="129">
                        <c:v>505.32356141610956</c:v>
                      </c:pt>
                      <c:pt idx="130">
                        <c:v>505.28273043970529</c:v>
                      </c:pt>
                      <c:pt idx="131">
                        <c:v>505.24190276251119</c:v>
                      </c:pt>
                      <c:pt idx="132">
                        <c:v>505.20107838426065</c:v>
                      </c:pt>
                      <c:pt idx="133">
                        <c:v>505.16025730468715</c:v>
                      </c:pt>
                      <c:pt idx="134">
                        <c:v>505.11943952352414</c:v>
                      </c:pt>
                      <c:pt idx="135">
                        <c:v>505.07862504050513</c:v>
                      </c:pt>
                      <c:pt idx="136">
                        <c:v>505.03781385536359</c:v>
                      </c:pt>
                      <c:pt idx="137">
                        <c:v>504.99700596783305</c:v>
                      </c:pt>
                      <c:pt idx="138">
                        <c:v>504.95620137764706</c:v>
                      </c:pt>
                      <c:pt idx="139">
                        <c:v>504.91540008453921</c:v>
                      </c:pt>
                      <c:pt idx="140">
                        <c:v>504.87460208824308</c:v>
                      </c:pt>
                      <c:pt idx="141">
                        <c:v>504.83380738849223</c:v>
                      </c:pt>
                      <c:pt idx="142">
                        <c:v>504.79301598502036</c:v>
                      </c:pt>
                      <c:pt idx="143">
                        <c:v>504.7522278775611</c:v>
                      </c:pt>
                      <c:pt idx="144">
                        <c:v>504.71144306584813</c:v>
                      </c:pt>
                      <c:pt idx="145">
                        <c:v>504.67066154961515</c:v>
                      </c:pt>
                      <c:pt idx="146">
                        <c:v>504.62988332859589</c:v>
                      </c:pt>
                      <c:pt idx="147">
                        <c:v>504.58910840252406</c:v>
                      </c:pt>
                      <c:pt idx="148">
                        <c:v>504.54833677113345</c:v>
                      </c:pt>
                      <c:pt idx="149">
                        <c:v>504.50756843415786</c:v>
                      </c:pt>
                      <c:pt idx="150">
                        <c:v>504.46680339133104</c:v>
                      </c:pt>
                      <c:pt idx="151">
                        <c:v>504.42604164238685</c:v>
                      </c:pt>
                      <c:pt idx="152">
                        <c:v>504.38528318705914</c:v>
                      </c:pt>
                      <c:pt idx="153">
                        <c:v>504.34452802508179</c:v>
                      </c:pt>
                      <c:pt idx="154">
                        <c:v>504.30377615618869</c:v>
                      </c:pt>
                      <c:pt idx="155">
                        <c:v>504.26302758011371</c:v>
                      </c:pt>
                      <c:pt idx="156">
                        <c:v>504.22228229659083</c:v>
                      </c:pt>
                      <c:pt idx="157">
                        <c:v>504.17805008294579</c:v>
                      </c:pt>
                      <c:pt idx="158">
                        <c:v>504.13382174951147</c:v>
                      </c:pt>
                      <c:pt idx="159">
                        <c:v>504.08959729594756</c:v>
                      </c:pt>
                      <c:pt idx="160">
                        <c:v>504.04537672191361</c:v>
                      </c:pt>
                      <c:pt idx="161">
                        <c:v>504.00116002706937</c:v>
                      </c:pt>
                      <c:pt idx="162">
                        <c:v>503.95694721107452</c:v>
                      </c:pt>
                      <c:pt idx="163">
                        <c:v>503.91273827358879</c:v>
                      </c:pt>
                      <c:pt idx="164">
                        <c:v>503.86853321427196</c:v>
                      </c:pt>
                      <c:pt idx="165">
                        <c:v>503.82433203278384</c:v>
                      </c:pt>
                      <c:pt idx="166">
                        <c:v>503.78013472878422</c:v>
                      </c:pt>
                      <c:pt idx="167">
                        <c:v>503.73594130193294</c:v>
                      </c:pt>
                      <c:pt idx="168">
                        <c:v>503.69175175188991</c:v>
                      </c:pt>
                      <c:pt idx="169">
                        <c:v>503.64756607831504</c:v>
                      </c:pt>
                      <c:pt idx="170">
                        <c:v>503.60338428086823</c:v>
                      </c:pt>
                      <c:pt idx="171">
                        <c:v>503.5592063592095</c:v>
                      </c:pt>
                      <c:pt idx="172">
                        <c:v>503.51503231299881</c:v>
                      </c:pt>
                      <c:pt idx="173">
                        <c:v>503.47086214189625</c:v>
                      </c:pt>
                      <c:pt idx="174">
                        <c:v>503.42669584556182</c:v>
                      </c:pt>
                      <c:pt idx="175">
                        <c:v>503.38253342365567</c:v>
                      </c:pt>
                      <c:pt idx="176">
                        <c:v>503.33837487583787</c:v>
                      </c:pt>
                      <c:pt idx="177">
                        <c:v>503.29422020176861</c:v>
                      </c:pt>
                      <c:pt idx="178">
                        <c:v>503.25006940110802</c:v>
                      </c:pt>
                      <c:pt idx="179">
                        <c:v>503.20592247351635</c:v>
                      </c:pt>
                      <c:pt idx="180">
                        <c:v>503.16177941865385</c:v>
                      </c:pt>
                      <c:pt idx="181">
                        <c:v>503.11764023618076</c:v>
                      </c:pt>
                      <c:pt idx="182">
                        <c:v>503.07350492575739</c:v>
                      </c:pt>
                      <c:pt idx="183">
                        <c:v>503.0293734870441</c:v>
                      </c:pt>
                      <c:pt idx="184">
                        <c:v>502.98524591970124</c:v>
                      </c:pt>
                      <c:pt idx="185">
                        <c:v>502.94112222338919</c:v>
                      </c:pt>
                      <c:pt idx="186">
                        <c:v>502.89700239776835</c:v>
                      </c:pt>
                      <c:pt idx="187">
                        <c:v>502.85288644249914</c:v>
                      </c:pt>
                      <c:pt idx="188">
                        <c:v>502.8087743572421</c:v>
                      </c:pt>
                      <c:pt idx="189">
                        <c:v>502.76466614165776</c:v>
                      </c:pt>
                      <c:pt idx="190">
                        <c:v>502.72056179540658</c:v>
                      </c:pt>
                      <c:pt idx="191">
                        <c:v>502.67646131814917</c:v>
                      </c:pt>
                      <c:pt idx="192">
                        <c:v>502.6323647095461</c:v>
                      </c:pt>
                      <c:pt idx="193">
                        <c:v>502.58827196925802</c:v>
                      </c:pt>
                      <c:pt idx="194">
                        <c:v>502.54418309694563</c:v>
                      </c:pt>
                      <c:pt idx="195">
                        <c:v>502.50009809226952</c:v>
                      </c:pt>
                      <c:pt idx="196">
                        <c:v>502.45601695489052</c:v>
                      </c:pt>
                      <c:pt idx="197">
                        <c:v>502.4119396844693</c:v>
                      </c:pt>
                      <c:pt idx="198">
                        <c:v>502.36786628066665</c:v>
                      </c:pt>
                      <c:pt idx="199">
                        <c:v>502.32379674314336</c:v>
                      </c:pt>
                      <c:pt idx="200">
                        <c:v>502.27973107156032</c:v>
                      </c:pt>
                      <c:pt idx="201">
                        <c:v>502.23566926557834</c:v>
                      </c:pt>
                      <c:pt idx="202">
                        <c:v>502.19161132485834</c:v>
                      </c:pt>
                      <c:pt idx="203">
                        <c:v>502.14755724906126</c:v>
                      </c:pt>
                      <c:pt idx="204">
                        <c:v>502.10350703784803</c:v>
                      </c:pt>
                      <c:pt idx="205">
                        <c:v>502.05946069087963</c:v>
                      </c:pt>
                      <c:pt idx="206">
                        <c:v>502.01541820781711</c:v>
                      </c:pt>
                      <c:pt idx="207">
                        <c:v>501.97137958832144</c:v>
                      </c:pt>
                      <c:pt idx="208">
                        <c:v>501.92734483205379</c:v>
                      </c:pt>
                      <c:pt idx="209">
                        <c:v>501.87964594159854</c:v>
                      </c:pt>
                      <c:pt idx="210">
                        <c:v>501.83195158403868</c:v>
                      </c:pt>
                      <c:pt idx="211">
                        <c:v>501.78426175894344</c:v>
                      </c:pt>
                      <c:pt idx="212">
                        <c:v>501.73657646588214</c:v>
                      </c:pt>
                      <c:pt idx="213">
                        <c:v>501.688895704424</c:v>
                      </c:pt>
                      <c:pt idx="214">
                        <c:v>501.64121947413844</c:v>
                      </c:pt>
                      <c:pt idx="215">
                        <c:v>501.59354777459487</c:v>
                      </c:pt>
                      <c:pt idx="216">
                        <c:v>501.5458806053627</c:v>
                      </c:pt>
                      <c:pt idx="217">
                        <c:v>501.4982179660114</c:v>
                      </c:pt>
                      <c:pt idx="218">
                        <c:v>501.45055985611049</c:v>
                      </c:pt>
                      <c:pt idx="219">
                        <c:v>501.40290627522955</c:v>
                      </c:pt>
                      <c:pt idx="220">
                        <c:v>501.35525722293818</c:v>
                      </c:pt>
                      <c:pt idx="221">
                        <c:v>501.307612698806</c:v>
                      </c:pt>
                      <c:pt idx="222">
                        <c:v>501.25997270240271</c:v>
                      </c:pt>
                      <c:pt idx="223">
                        <c:v>501.21233723329806</c:v>
                      </c:pt>
                      <c:pt idx="224">
                        <c:v>501.16470629106175</c:v>
                      </c:pt>
                      <c:pt idx="225">
                        <c:v>501.11707987526364</c:v>
                      </c:pt>
                      <c:pt idx="226">
                        <c:v>501.06945798547355</c:v>
                      </c:pt>
                      <c:pt idx="227">
                        <c:v>501.02184062126133</c:v>
                      </c:pt>
                      <c:pt idx="228">
                        <c:v>500.97422778219698</c:v>
                      </c:pt>
                      <c:pt idx="229">
                        <c:v>500.92661946785046</c:v>
                      </c:pt>
                      <c:pt idx="230">
                        <c:v>500.87901567779176</c:v>
                      </c:pt>
                      <c:pt idx="231">
                        <c:v>500.83141641159091</c:v>
                      </c:pt>
                      <c:pt idx="232">
                        <c:v>500.78382166881801</c:v>
                      </c:pt>
                      <c:pt idx="233">
                        <c:v>500.7362314490432</c:v>
                      </c:pt>
                      <c:pt idx="234">
                        <c:v>500.68864575183665</c:v>
                      </c:pt>
                      <c:pt idx="235">
                        <c:v>500.64106457676854</c:v>
                      </c:pt>
                      <c:pt idx="236">
                        <c:v>500.59348792340921</c:v>
                      </c:pt>
                      <c:pt idx="237">
                        <c:v>500.54591579132892</c:v>
                      </c:pt>
                      <c:pt idx="238">
                        <c:v>500.49834818009799</c:v>
                      </c:pt>
                      <c:pt idx="239">
                        <c:v>500.4507850892868</c:v>
                      </c:pt>
                      <c:pt idx="240">
                        <c:v>500.40322651846571</c:v>
                      </c:pt>
                      <c:pt idx="241">
                        <c:v>500.3556724672053</c:v>
                      </c:pt>
                      <c:pt idx="242">
                        <c:v>500.30812293507597</c:v>
                      </c:pt>
                      <c:pt idx="243">
                        <c:v>500.26057792164829</c:v>
                      </c:pt>
                      <c:pt idx="244">
                        <c:v>500.21303742649286</c:v>
                      </c:pt>
                      <c:pt idx="245">
                        <c:v>500.16550144918028</c:v>
                      </c:pt>
                      <c:pt idx="246">
                        <c:v>500.11796998928122</c:v>
                      </c:pt>
                      <c:pt idx="247">
                        <c:v>500.07044304636639</c:v>
                      </c:pt>
                      <c:pt idx="248">
                        <c:v>500.02292062000652</c:v>
                      </c:pt>
                      <c:pt idx="249">
                        <c:v>499.97540270977242</c:v>
                      </c:pt>
                      <c:pt idx="250">
                        <c:v>499.92788931523489</c:v>
                      </c:pt>
                      <c:pt idx="251">
                        <c:v>499.88038043596481</c:v>
                      </c:pt>
                      <c:pt idx="252">
                        <c:v>499.83287607153306</c:v>
                      </c:pt>
                      <c:pt idx="253">
                        <c:v>499.78537622151066</c:v>
                      </c:pt>
                      <c:pt idx="254">
                        <c:v>499.73788088546854</c:v>
                      </c:pt>
                      <c:pt idx="255">
                        <c:v>499.69039006297771</c:v>
                      </c:pt>
                      <c:pt idx="256">
                        <c:v>499.64290375360929</c:v>
                      </c:pt>
                      <c:pt idx="257">
                        <c:v>499.59542195693439</c:v>
                      </c:pt>
                      <c:pt idx="258">
                        <c:v>499.54794467252412</c:v>
                      </c:pt>
                      <c:pt idx="259">
                        <c:v>499.50047189994973</c:v>
                      </c:pt>
                      <c:pt idx="260">
                        <c:v>499.45300363878243</c:v>
                      </c:pt>
                      <c:pt idx="261">
                        <c:v>499.40160204412678</c:v>
                      </c:pt>
                      <c:pt idx="262">
                        <c:v>499.35020573950624</c:v>
                      </c:pt>
                      <c:pt idx="263">
                        <c:v>499.29881472437643</c:v>
                      </c:pt>
                      <c:pt idx="264">
                        <c:v>499.2474289981929</c:v>
                      </c:pt>
                      <c:pt idx="265">
                        <c:v>499.19604856041144</c:v>
                      </c:pt>
                      <c:pt idx="266">
                        <c:v>499.14467341048771</c:v>
                      </c:pt>
                      <c:pt idx="267">
                        <c:v>499.0933035478775</c:v>
                      </c:pt>
                      <c:pt idx="268">
                        <c:v>499.04193897203669</c:v>
                      </c:pt>
                      <c:pt idx="269">
                        <c:v>498.99057968242118</c:v>
                      </c:pt>
                      <c:pt idx="270">
                        <c:v>498.93922567848699</c:v>
                      </c:pt>
                      <c:pt idx="271">
                        <c:v>498.88787695969006</c:v>
                      </c:pt>
                      <c:pt idx="272">
                        <c:v>498.83653352548652</c:v>
                      </c:pt>
                      <c:pt idx="273">
                        <c:v>498.78519537533248</c:v>
                      </c:pt>
                      <c:pt idx="274">
                        <c:v>498.73386250868413</c:v>
                      </c:pt>
                      <c:pt idx="275">
                        <c:v>498.6825349249977</c:v>
                      </c:pt>
                      <c:pt idx="276">
                        <c:v>498.63121262372948</c:v>
                      </c:pt>
                      <c:pt idx="277">
                        <c:v>498.57989560433583</c:v>
                      </c:pt>
                      <c:pt idx="278">
                        <c:v>498.52858386627321</c:v>
                      </c:pt>
                      <c:pt idx="279">
                        <c:v>498.47727740899802</c:v>
                      </c:pt>
                      <c:pt idx="280">
                        <c:v>498.42597623196684</c:v>
                      </c:pt>
                      <c:pt idx="281">
                        <c:v>498.37468033463625</c:v>
                      </c:pt>
                      <c:pt idx="282">
                        <c:v>498.32338971646283</c:v>
                      </c:pt>
                      <c:pt idx="283">
                        <c:v>498.27210437690331</c:v>
                      </c:pt>
                      <c:pt idx="284">
                        <c:v>498.22082431541446</c:v>
                      </c:pt>
                      <c:pt idx="285">
                        <c:v>498.16954953145301</c:v>
                      </c:pt>
                      <c:pt idx="286">
                        <c:v>498.11828002447589</c:v>
                      </c:pt>
                      <c:pt idx="287">
                        <c:v>498.06701579394002</c:v>
                      </c:pt>
                      <c:pt idx="288">
                        <c:v>498.0157568393023</c:v>
                      </c:pt>
                      <c:pt idx="289">
                        <c:v>497.96450316001983</c:v>
                      </c:pt>
                      <c:pt idx="290">
                        <c:v>497.91325475554964</c:v>
                      </c:pt>
                      <c:pt idx="291">
                        <c:v>497.86201162534888</c:v>
                      </c:pt>
                      <c:pt idx="292">
                        <c:v>497.81077376887475</c:v>
                      </c:pt>
                      <c:pt idx="293">
                        <c:v>497.75954118558451</c:v>
                      </c:pt>
                      <c:pt idx="294">
                        <c:v>497.70831387493547</c:v>
                      </c:pt>
                      <c:pt idx="295">
                        <c:v>497.65709183638495</c:v>
                      </c:pt>
                      <c:pt idx="296">
                        <c:v>497.60587506939044</c:v>
                      </c:pt>
                      <c:pt idx="297">
                        <c:v>497.55466357340936</c:v>
                      </c:pt>
                      <c:pt idx="298">
                        <c:v>497.50345734789926</c:v>
                      </c:pt>
                      <c:pt idx="299">
                        <c:v>497.45225639231774</c:v>
                      </c:pt>
                      <c:pt idx="300">
                        <c:v>497.40106070612239</c:v>
                      </c:pt>
                      <c:pt idx="301">
                        <c:v>497.34987028877094</c:v>
                      </c:pt>
                      <c:pt idx="302">
                        <c:v>497.29868513972116</c:v>
                      </c:pt>
                      <c:pt idx="303">
                        <c:v>497.24750525843081</c:v>
                      </c:pt>
                      <c:pt idx="304">
                        <c:v>497.19633064435777</c:v>
                      </c:pt>
                      <c:pt idx="305">
                        <c:v>497.14516129696</c:v>
                      </c:pt>
                      <c:pt idx="306">
                        <c:v>497.09399721569542</c:v>
                      </c:pt>
                      <c:pt idx="307">
                        <c:v>497.04283840002211</c:v>
                      </c:pt>
                      <c:pt idx="308">
                        <c:v>496.99168484939815</c:v>
                      </c:pt>
                      <c:pt idx="309">
                        <c:v>496.94053656328168</c:v>
                      </c:pt>
                      <c:pt idx="310">
                        <c:v>496.88939354113086</c:v>
                      </c:pt>
                      <c:pt idx="311">
                        <c:v>496.83825578240396</c:v>
                      </c:pt>
                      <c:pt idx="312">
                        <c:v>496.78712328655934</c:v>
                      </c:pt>
                      <c:pt idx="313">
                        <c:v>496.73193430291877</c:v>
                      </c:pt>
                      <c:pt idx="314">
                        <c:v>496.67675145032263</c:v>
                      </c:pt>
                      <c:pt idx="315">
                        <c:v>496.62157472808974</c:v>
                      </c:pt>
                      <c:pt idx="316">
                        <c:v>496.56640413553913</c:v>
                      </c:pt>
                      <c:pt idx="317">
                        <c:v>496.51123967198987</c:v>
                      </c:pt>
                      <c:pt idx="318">
                        <c:v>496.45608133676103</c:v>
                      </c:pt>
                      <c:pt idx="319">
                        <c:v>496.4009291291718</c:v>
                      </c:pt>
                      <c:pt idx="320">
                        <c:v>496.34578304854148</c:v>
                      </c:pt>
                      <c:pt idx="321">
                        <c:v>496.29064309418936</c:v>
                      </c:pt>
                      <c:pt idx="322">
                        <c:v>496.23550926543493</c:v>
                      </c:pt>
                      <c:pt idx="323">
                        <c:v>496.18038156159764</c:v>
                      </c:pt>
                      <c:pt idx="324">
                        <c:v>496.12525998199709</c:v>
                      </c:pt>
                      <c:pt idx="325">
                        <c:v>496.07014452595291</c:v>
                      </c:pt>
                      <c:pt idx="326">
                        <c:v>496.01503519278481</c:v>
                      </c:pt>
                      <c:pt idx="327">
                        <c:v>495.95993198181259</c:v>
                      </c:pt>
                      <c:pt idx="328">
                        <c:v>495.90483489235618</c:v>
                      </c:pt>
                      <c:pt idx="329">
                        <c:v>495.84974392373545</c:v>
                      </c:pt>
                      <c:pt idx="330">
                        <c:v>495.79465907527049</c:v>
                      </c:pt>
                      <c:pt idx="331">
                        <c:v>495.73958034628134</c:v>
                      </c:pt>
                      <c:pt idx="332">
                        <c:v>495.68450773608822</c:v>
                      </c:pt>
                      <c:pt idx="333">
                        <c:v>495.62944124401139</c:v>
                      </c:pt>
                      <c:pt idx="334">
                        <c:v>495.57438086937117</c:v>
                      </c:pt>
                      <c:pt idx="335">
                        <c:v>495.51932661148794</c:v>
                      </c:pt>
                      <c:pt idx="336">
                        <c:v>495.4642784696822</c:v>
                      </c:pt>
                      <c:pt idx="337">
                        <c:v>495.40923644327449</c:v>
                      </c:pt>
                      <c:pt idx="338">
                        <c:v>495.35420053158543</c:v>
                      </c:pt>
                      <c:pt idx="339">
                        <c:v>495.29917073393574</c:v>
                      </c:pt>
                      <c:pt idx="340">
                        <c:v>495.24414704964619</c:v>
                      </c:pt>
                      <c:pt idx="341">
                        <c:v>495.18912947803767</c:v>
                      </c:pt>
                      <c:pt idx="342">
                        <c:v>495.13411801843108</c:v>
                      </c:pt>
                      <c:pt idx="343">
                        <c:v>495.07911267014742</c:v>
                      </c:pt>
                      <c:pt idx="344">
                        <c:v>495.02411343250782</c:v>
                      </c:pt>
                      <c:pt idx="345">
                        <c:v>494.96912030483338</c:v>
                      </c:pt>
                      <c:pt idx="346">
                        <c:v>494.91413328644535</c:v>
                      </c:pt>
                      <c:pt idx="347">
                        <c:v>494.85915237666507</c:v>
                      </c:pt>
                      <c:pt idx="348">
                        <c:v>494.80417757481388</c:v>
                      </c:pt>
                      <c:pt idx="349">
                        <c:v>494.74920888021325</c:v>
                      </c:pt>
                      <c:pt idx="350">
                        <c:v>494.69424629218469</c:v>
                      </c:pt>
                      <c:pt idx="351">
                        <c:v>494.63928981004989</c:v>
                      </c:pt>
                      <c:pt idx="352">
                        <c:v>494.58433943313048</c:v>
                      </c:pt>
                      <c:pt idx="353">
                        <c:v>494.52939516074821</c:v>
                      </c:pt>
                      <c:pt idx="354">
                        <c:v>494.47445699222493</c:v>
                      </c:pt>
                      <c:pt idx="355">
                        <c:v>494.41952492688256</c:v>
                      </c:pt>
                      <c:pt idx="356">
                        <c:v>494.36459896404307</c:v>
                      </c:pt>
                      <c:pt idx="357">
                        <c:v>494.30967910302854</c:v>
                      </c:pt>
                      <c:pt idx="358">
                        <c:v>494.25476534316113</c:v>
                      </c:pt>
                      <c:pt idx="359">
                        <c:v>494.19985768376296</c:v>
                      </c:pt>
                      <c:pt idx="360">
                        <c:v>494.14495612415641</c:v>
                      </c:pt>
                      <c:pt idx="361">
                        <c:v>494.09006066366379</c:v>
                      </c:pt>
                      <c:pt idx="362">
                        <c:v>494.03517130160759</c:v>
                      </c:pt>
                      <c:pt idx="363">
                        <c:v>493.98028803731029</c:v>
                      </c:pt>
                      <c:pt idx="364">
                        <c:v>493.92541087009448</c:v>
                      </c:pt>
                      <c:pt idx="365">
                        <c:v>493.8661660422751</c:v>
                      </c:pt>
                      <c:pt idx="366">
                        <c:v>493.80692832068985</c:v>
                      </c:pt>
                      <c:pt idx="367">
                        <c:v>493.74769770448637</c:v>
                      </c:pt>
                      <c:pt idx="368">
                        <c:v>493.68847419281241</c:v>
                      </c:pt>
                      <c:pt idx="369">
                        <c:v>493.62925778481582</c:v>
                      </c:pt>
                      <c:pt idx="370">
                        <c:v>493.57004847964447</c:v>
                      </c:pt>
                      <c:pt idx="371">
                        <c:v>493.51084627644644</c:v>
                      </c:pt>
                      <c:pt idx="372">
                        <c:v>493.45165117436989</c:v>
                      </c:pt>
                      <c:pt idx="373">
                        <c:v>493.39246317256305</c:v>
                      </c:pt>
                      <c:pt idx="374">
                        <c:v>493.33328227017427</c:v>
                      </c:pt>
                      <c:pt idx="375">
                        <c:v>493.27410846635195</c:v>
                      </c:pt>
                      <c:pt idx="376">
                        <c:v>493.2149417602447</c:v>
                      </c:pt>
                      <c:pt idx="377">
                        <c:v>493.15578215100112</c:v>
                      </c:pt>
                      <c:pt idx="378">
                        <c:v>493.09662963776998</c:v>
                      </c:pt>
                      <c:pt idx="379">
                        <c:v>493.03748421970016</c:v>
                      </c:pt>
                      <c:pt idx="380">
                        <c:v>492.97834589594061</c:v>
                      </c:pt>
                      <c:pt idx="381">
                        <c:v>492.91921466564037</c:v>
                      </c:pt>
                      <c:pt idx="382">
                        <c:v>492.86009052794861</c:v>
                      </c:pt>
                      <c:pt idx="383">
                        <c:v>492.80097348201463</c:v>
                      </c:pt>
                      <c:pt idx="384">
                        <c:v>492.74186352698774</c:v>
                      </c:pt>
                      <c:pt idx="385">
                        <c:v>492.68276066201742</c:v>
                      </c:pt>
                      <c:pt idx="386">
                        <c:v>492.62366488625321</c:v>
                      </c:pt>
                      <c:pt idx="387">
                        <c:v>492.56457619884486</c:v>
                      </c:pt>
                      <c:pt idx="388">
                        <c:v>492.50549459894211</c:v>
                      </c:pt>
                      <c:pt idx="389">
                        <c:v>492.4464200856948</c:v>
                      </c:pt>
                      <c:pt idx="390">
                        <c:v>492.38735265825295</c:v>
                      </c:pt>
                      <c:pt idx="391">
                        <c:v>492.32829231576665</c:v>
                      </c:pt>
                      <c:pt idx="392">
                        <c:v>492.26923905738602</c:v>
                      </c:pt>
                      <c:pt idx="393">
                        <c:v>492.21019288226137</c:v>
                      </c:pt>
                      <c:pt idx="394">
                        <c:v>492.15115378954312</c:v>
                      </c:pt>
                      <c:pt idx="395">
                        <c:v>492.09212177838174</c:v>
                      </c:pt>
                      <c:pt idx="396">
                        <c:v>492.03309684792777</c:v>
                      </c:pt>
                      <c:pt idx="397">
                        <c:v>491.97407899733196</c:v>
                      </c:pt>
                      <c:pt idx="398">
                        <c:v>491.91506822574507</c:v>
                      </c:pt>
                      <c:pt idx="399">
                        <c:v>491.85606453231804</c:v>
                      </c:pt>
                      <c:pt idx="400">
                        <c:v>491.79706791620185</c:v>
                      </c:pt>
                      <c:pt idx="401">
                        <c:v>491.73807837654755</c:v>
                      </c:pt>
                      <c:pt idx="402">
                        <c:v>491.6790959125064</c:v>
                      </c:pt>
                      <c:pt idx="403">
                        <c:v>491.62012052322967</c:v>
                      </c:pt>
                      <c:pt idx="404">
                        <c:v>491.56115220786876</c:v>
                      </c:pt>
                      <c:pt idx="405">
                        <c:v>491.50219096557521</c:v>
                      </c:pt>
                      <c:pt idx="406">
                        <c:v>491.44323679550058</c:v>
                      </c:pt>
                      <c:pt idx="407">
                        <c:v>491.3842896967966</c:v>
                      </c:pt>
                      <c:pt idx="408">
                        <c:v>491.3253496686151</c:v>
                      </c:pt>
                      <c:pt idx="409">
                        <c:v>491.26641671010799</c:v>
                      </c:pt>
                      <c:pt idx="410">
                        <c:v>491.20749082042727</c:v>
                      </c:pt>
                      <c:pt idx="411">
                        <c:v>491.14857199872506</c:v>
                      </c:pt>
                      <c:pt idx="412">
                        <c:v>491.08966024415355</c:v>
                      </c:pt>
                      <c:pt idx="413">
                        <c:v>491.03075555586508</c:v>
                      </c:pt>
                      <c:pt idx="414">
                        <c:v>490.97185793301207</c:v>
                      </c:pt>
                      <c:pt idx="415">
                        <c:v>490.91296737474704</c:v>
                      </c:pt>
                      <c:pt idx="416">
                        <c:v>490.85408388022262</c:v>
                      </c:pt>
                      <c:pt idx="417">
                        <c:v>490.79038382673781</c:v>
                      </c:pt>
                      <c:pt idx="418">
                        <c:v>490.72669203985794</c:v>
                      </c:pt>
                      <c:pt idx="419">
                        <c:v>490.66300851851025</c:v>
                      </c:pt>
                      <c:pt idx="420">
                        <c:v>490.59933326162212</c:v>
                      </c:pt>
                      <c:pt idx="421">
                        <c:v>490.53566626812102</c:v>
                      </c:pt>
                      <c:pt idx="422">
                        <c:v>490.4720075369346</c:v>
                      </c:pt>
                      <c:pt idx="423">
                        <c:v>490.40835706699056</c:v>
                      </c:pt>
                      <c:pt idx="424">
                        <c:v>490.3447148572169</c:v>
                      </c:pt>
                      <c:pt idx="425">
                        <c:v>490.2810809065416</c:v>
                      </c:pt>
                      <c:pt idx="426">
                        <c:v>490.21745521389283</c:v>
                      </c:pt>
                      <c:pt idx="427">
                        <c:v>490.15383777819898</c:v>
                      </c:pt>
                      <c:pt idx="428">
                        <c:v>490.09022859838848</c:v>
                      </c:pt>
                      <c:pt idx="429">
                        <c:v>490.0266276733899</c:v>
                      </c:pt>
                      <c:pt idx="430">
                        <c:v>489.96303500213202</c:v>
                      </c:pt>
                      <c:pt idx="431">
                        <c:v>489.89945058354368</c:v>
                      </c:pt>
                      <c:pt idx="432">
                        <c:v>489.83587441655396</c:v>
                      </c:pt>
                      <c:pt idx="433">
                        <c:v>489.77230650009199</c:v>
                      </c:pt>
                      <c:pt idx="434">
                        <c:v>489.70874683308705</c:v>
                      </c:pt>
                      <c:pt idx="435">
                        <c:v>489.64519541446856</c:v>
                      </c:pt>
                      <c:pt idx="436">
                        <c:v>489.58165224316616</c:v>
                      </c:pt>
                      <c:pt idx="437">
                        <c:v>489.51811731810949</c:v>
                      </c:pt>
                      <c:pt idx="438">
                        <c:v>489.45459063822847</c:v>
                      </c:pt>
                      <c:pt idx="439">
                        <c:v>489.39107220245302</c:v>
                      </c:pt>
                      <c:pt idx="440">
                        <c:v>489.32756200971335</c:v>
                      </c:pt>
                      <c:pt idx="441">
                        <c:v>489.26406005893966</c:v>
                      </c:pt>
                      <c:pt idx="442">
                        <c:v>489.2005663490624</c:v>
                      </c:pt>
                      <c:pt idx="443">
                        <c:v>489.1370808790121</c:v>
                      </c:pt>
                      <c:pt idx="444">
                        <c:v>489.07360364771944</c:v>
                      </c:pt>
                      <c:pt idx="445">
                        <c:v>489.01013465411523</c:v>
                      </c:pt>
                      <c:pt idx="446">
                        <c:v>488.94667389713049</c:v>
                      </c:pt>
                      <c:pt idx="447">
                        <c:v>488.88322137569628</c:v>
                      </c:pt>
                      <c:pt idx="448">
                        <c:v>488.81977708874388</c:v>
                      </c:pt>
                      <c:pt idx="449">
                        <c:v>488.75634103520463</c:v>
                      </c:pt>
                      <c:pt idx="450">
                        <c:v>488.69291321401005</c:v>
                      </c:pt>
                      <c:pt idx="451">
                        <c:v>488.62949362409177</c:v>
                      </c:pt>
                      <c:pt idx="452">
                        <c:v>488.56608226438163</c:v>
                      </c:pt>
                      <c:pt idx="453">
                        <c:v>488.50267913381157</c:v>
                      </c:pt>
                      <c:pt idx="454">
                        <c:v>488.43928423131359</c:v>
                      </c:pt>
                      <c:pt idx="455">
                        <c:v>488.37589755581996</c:v>
                      </c:pt>
                      <c:pt idx="456">
                        <c:v>488.31251910626304</c:v>
                      </c:pt>
                      <c:pt idx="457">
                        <c:v>488.24914888157531</c:v>
                      </c:pt>
                      <c:pt idx="458">
                        <c:v>488.18578688068936</c:v>
                      </c:pt>
                      <c:pt idx="459">
                        <c:v>488.12243310253803</c:v>
                      </c:pt>
                      <c:pt idx="460">
                        <c:v>488.05908754605417</c:v>
                      </c:pt>
                      <c:pt idx="461">
                        <c:v>487.9957502101708</c:v>
                      </c:pt>
                      <c:pt idx="462">
                        <c:v>487.93242109382112</c:v>
                      </c:pt>
                      <c:pt idx="463">
                        <c:v>487.86910019593847</c:v>
                      </c:pt>
                      <c:pt idx="464">
                        <c:v>487.8057875154563</c:v>
                      </c:pt>
                      <c:pt idx="465">
                        <c:v>487.74248305130823</c:v>
                      </c:pt>
                      <c:pt idx="466">
                        <c:v>487.67918680242792</c:v>
                      </c:pt>
                      <c:pt idx="467">
                        <c:v>487.61589876774929</c:v>
                      </c:pt>
                      <c:pt idx="468">
                        <c:v>487.55261894620634</c:v>
                      </c:pt>
                      <c:pt idx="469">
                        <c:v>487.48389272199262</c:v>
                      </c:pt>
                      <c:pt idx="470">
                        <c:v>487.41517618554121</c:v>
                      </c:pt>
                      <c:pt idx="471">
                        <c:v>487.34646933548652</c:v>
                      </c:pt>
                      <c:pt idx="472">
                        <c:v>487.27777217046315</c:v>
                      </c:pt>
                      <c:pt idx="473">
                        <c:v>487.20908468910585</c:v>
                      </c:pt>
                      <c:pt idx="474">
                        <c:v>487.14040689004963</c:v>
                      </c:pt>
                      <c:pt idx="475">
                        <c:v>487.07173877192969</c:v>
                      </c:pt>
                      <c:pt idx="476">
                        <c:v>487.00308033338132</c:v>
                      </c:pt>
                      <c:pt idx="477">
                        <c:v>486.93443157304011</c:v>
                      </c:pt>
                      <c:pt idx="478">
                        <c:v>486.86579248954178</c:v>
                      </c:pt>
                      <c:pt idx="479">
                        <c:v>486.79716308152229</c:v>
                      </c:pt>
                      <c:pt idx="480">
                        <c:v>486.72854334761774</c:v>
                      </c:pt>
                      <c:pt idx="481">
                        <c:v>486.65993328646448</c:v>
                      </c:pt>
                      <c:pt idx="482">
                        <c:v>486.59133289669899</c:v>
                      </c:pt>
                      <c:pt idx="483">
                        <c:v>486.52274217695799</c:v>
                      </c:pt>
                      <c:pt idx="484">
                        <c:v>486.45416112587839</c:v>
                      </c:pt>
                      <c:pt idx="485">
                        <c:v>486.3855897420973</c:v>
                      </c:pt>
                      <c:pt idx="486">
                        <c:v>486.31702802425195</c:v>
                      </c:pt>
                      <c:pt idx="487">
                        <c:v>486.24847597097983</c:v>
                      </c:pt>
                      <c:pt idx="488">
                        <c:v>486.1799335809186</c:v>
                      </c:pt>
                      <c:pt idx="489">
                        <c:v>486.11140085270614</c:v>
                      </c:pt>
                      <c:pt idx="490">
                        <c:v>486.04287778498053</c:v>
                      </c:pt>
                      <c:pt idx="491">
                        <c:v>485.97436437637998</c:v>
                      </c:pt>
                      <c:pt idx="492">
                        <c:v>485.90586062554291</c:v>
                      </c:pt>
                      <c:pt idx="493">
                        <c:v>485.83736653110793</c:v>
                      </c:pt>
                      <c:pt idx="494">
                        <c:v>485.76888209171386</c:v>
                      </c:pt>
                      <c:pt idx="495">
                        <c:v>485.70040730599976</c:v>
                      </c:pt>
                      <c:pt idx="496">
                        <c:v>485.63194217260479</c:v>
                      </c:pt>
                      <c:pt idx="497">
                        <c:v>485.56348669016836</c:v>
                      </c:pt>
                      <c:pt idx="498">
                        <c:v>485.49504085733003</c:v>
                      </c:pt>
                      <c:pt idx="499">
                        <c:v>485.42660467272958</c:v>
                      </c:pt>
                      <c:pt idx="500">
                        <c:v>485.35817813500705</c:v>
                      </c:pt>
                      <c:pt idx="501">
                        <c:v>485.28976124280251</c:v>
                      </c:pt>
                      <c:pt idx="502">
                        <c:v>485.22135399475638</c:v>
                      </c:pt>
                      <c:pt idx="503">
                        <c:v>485.15295638950914</c:v>
                      </c:pt>
                      <c:pt idx="504">
                        <c:v>485.08456842570155</c:v>
                      </c:pt>
                      <c:pt idx="505">
                        <c:v>485.01619010197453</c:v>
                      </c:pt>
                      <c:pt idx="506">
                        <c:v>484.94782141696925</c:v>
                      </c:pt>
                      <c:pt idx="507">
                        <c:v>484.87946236932697</c:v>
                      </c:pt>
                      <c:pt idx="508">
                        <c:v>484.8111129576892</c:v>
                      </c:pt>
                      <c:pt idx="509">
                        <c:v>484.74277318069761</c:v>
                      </c:pt>
                      <c:pt idx="510">
                        <c:v>484.67444303699415</c:v>
                      </c:pt>
                      <c:pt idx="511">
                        <c:v>484.60612252522083</c:v>
                      </c:pt>
                      <c:pt idx="512">
                        <c:v>484.53781164401994</c:v>
                      </c:pt>
                      <c:pt idx="513">
                        <c:v>484.46951039203395</c:v>
                      </c:pt>
                      <c:pt idx="514">
                        <c:v>484.4012187679055</c:v>
                      </c:pt>
                      <c:pt idx="515">
                        <c:v>484.3329367702774</c:v>
                      </c:pt>
                      <c:pt idx="516">
                        <c:v>484.26466439779273</c:v>
                      </c:pt>
                      <c:pt idx="517">
                        <c:v>484.1964016490947</c:v>
                      </c:pt>
                      <c:pt idx="518">
                        <c:v>484.12814852282673</c:v>
                      </c:pt>
                      <c:pt idx="519">
                        <c:v>484.05990501763239</c:v>
                      </c:pt>
                    </c:numCache>
                  </c:numRef>
                </c:val>
                <c:smooth val="0"/>
                <c:extLst>
                  <c:ext xmlns:c16="http://schemas.microsoft.com/office/drawing/2014/chart" uri="{C3380CC4-5D6E-409C-BE32-E72D297353CC}">
                    <c16:uniqueId val="{00000003-7744-4B44-92D6-CD8912115525}"/>
                  </c:ext>
                </c:extLst>
              </c15:ser>
            </c15:filteredLineSeries>
            <c15:filteredLineSeries>
              <c15:ser>
                <c:idx val="5"/>
                <c:order val="2"/>
                <c:tx>
                  <c:strRef>
                    <c:extLst xmlns:c15="http://schemas.microsoft.com/office/drawing/2012/chart">
                      <c:ext xmlns:c15="http://schemas.microsoft.com/office/drawing/2012/chart" uri="{02D57815-91ED-43cb-92C2-25804820EDAC}">
                        <c15:formulaRef>
                          <c15:sqref>Ig!$AD$534</c15:sqref>
                        </c15:formulaRef>
                      </c:ext>
                    </c:extLst>
                    <c:strCache>
                      <c:ptCount val="1"/>
                      <c:pt idx="0">
                        <c:v>Steroids no AE</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Ig!$AA$535:$AA$1054</c15:sqref>
                        </c15:formulaRef>
                      </c:ext>
                    </c:extLst>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extLst xmlns:c15="http://schemas.microsoft.com/office/drawing/2012/chart">
                      <c:ext xmlns:c15="http://schemas.microsoft.com/office/drawing/2012/chart" uri="{02D57815-91ED-43cb-92C2-25804820EDAC}">
                        <c15:formulaRef>
                          <c15:sqref>Ig!$AD$535:$AD$1054</c15:sqref>
                        </c15:formulaRef>
                      </c:ext>
                    </c:extLst>
                    <c:numCache>
                      <c:formatCode>0.000</c:formatCode>
                      <c:ptCount val="520"/>
                      <c:pt idx="0">
                        <c:v>-1000</c:v>
                      </c:pt>
                      <c:pt idx="1">
                        <c:v>-996.49376920294583</c:v>
                      </c:pt>
                      <c:pt idx="2">
                        <c:v>-992.99983206029367</c:v>
                      </c:pt>
                      <c:pt idx="3">
                        <c:v>-989.51814546765411</c:v>
                      </c:pt>
                      <c:pt idx="4">
                        <c:v>-986.04866647177141</c:v>
                      </c:pt>
                      <c:pt idx="5">
                        <c:v>-982.59135226999365</c:v>
                      </c:pt>
                      <c:pt idx="6">
                        <c:v>-979.14616020974529</c:v>
                      </c:pt>
                      <c:pt idx="7">
                        <c:v>-975.71304778800038</c:v>
                      </c:pt>
                      <c:pt idx="8">
                        <c:v>-972.29197265075823</c:v>
                      </c:pt>
                      <c:pt idx="9">
                        <c:v>-968.88289259252133</c:v>
                      </c:pt>
                      <c:pt idx="10">
                        <c:v>-965.48576555577426</c:v>
                      </c:pt>
                      <c:pt idx="11">
                        <c:v>-962.10054963046514</c:v>
                      </c:pt>
                      <c:pt idx="12">
                        <c:v>-958.72720305348798</c:v>
                      </c:pt>
                      <c:pt idx="13">
                        <c:v>-955.3656842081682</c:v>
                      </c:pt>
                      <c:pt idx="14">
                        <c:v>-952.01595162374861</c:v>
                      </c:pt>
                      <c:pt idx="15">
                        <c:v>-948.67796397487837</c:v>
                      </c:pt>
                      <c:pt idx="16">
                        <c:v>-945.35168008110281</c:v>
                      </c:pt>
                      <c:pt idx="17">
                        <c:v>-942.03705890635547</c:v>
                      </c:pt>
                      <c:pt idx="18">
                        <c:v>-938.73405955845135</c:v>
                      </c:pt>
                      <c:pt idx="19">
                        <c:v>-935.44264128858367</c:v>
                      </c:pt>
                      <c:pt idx="20">
                        <c:v>-542.70124612356369</c:v>
                      </c:pt>
                      <c:pt idx="21">
                        <c:v>-537.40511969788747</c:v>
                      </c:pt>
                      <c:pt idx="22">
                        <c:v>-532.14669932649633</c:v>
                      </c:pt>
                      <c:pt idx="23">
                        <c:v>-526.92574488148625</c:v>
                      </c:pt>
                      <c:pt idx="24">
                        <c:v>-521.74201768552689</c:v>
                      </c:pt>
                      <c:pt idx="25">
                        <c:v>-516.59528050334234</c:v>
                      </c:pt>
                      <c:pt idx="26">
                        <c:v>-511.48529753324328</c:v>
                      </c:pt>
                      <c:pt idx="27">
                        <c:v>-506.41183439870531</c:v>
                      </c:pt>
                      <c:pt idx="28">
                        <c:v>-501.37465813999847</c:v>
                      </c:pt>
                      <c:pt idx="29">
                        <c:v>-496.37353720586339</c:v>
                      </c:pt>
                      <c:pt idx="30">
                        <c:v>-491.40824144523606</c:v>
                      </c:pt>
                      <c:pt idx="31">
                        <c:v>-486.47854209902101</c:v>
                      </c:pt>
                      <c:pt idx="32">
                        <c:v>-481.58421179191117</c:v>
                      </c:pt>
                      <c:pt idx="33">
                        <c:v>-476.72502452425618</c:v>
                      </c:pt>
                      <c:pt idx="34">
                        <c:v>-471.90075566397593</c:v>
                      </c:pt>
                      <c:pt idx="35">
                        <c:v>-467.11118193852246</c:v>
                      </c:pt>
                      <c:pt idx="36">
                        <c:v>-462.35608142688739</c:v>
                      </c:pt>
                      <c:pt idx="37">
                        <c:v>-457.63523355165654</c:v>
                      </c:pt>
                      <c:pt idx="38">
                        <c:v>-452.94841907110987</c:v>
                      </c:pt>
                      <c:pt idx="39">
                        <c:v>-448.29542007136604</c:v>
                      </c:pt>
                      <c:pt idx="40">
                        <c:v>-443.67601995857461</c:v>
                      </c:pt>
                      <c:pt idx="41">
                        <c:v>-439.09000345115203</c:v>
                      </c:pt>
                      <c:pt idx="42">
                        <c:v>-434.53715657206232</c:v>
                      </c:pt>
                      <c:pt idx="43">
                        <c:v>-430.01726664114329</c:v>
                      </c:pt>
                      <c:pt idx="44">
                        <c:v>-425.530122267477</c:v>
                      </c:pt>
                      <c:pt idx="45">
                        <c:v>-421.07551334180272</c:v>
                      </c:pt>
                      <c:pt idx="46">
                        <c:v>-416.65323102897651</c:v>
                      </c:pt>
                      <c:pt idx="47">
                        <c:v>-412.26306776047318</c:v>
                      </c:pt>
                      <c:pt idx="48">
                        <c:v>-407.90481722693005</c:v>
                      </c:pt>
                      <c:pt idx="49">
                        <c:v>-403.57827437073655</c:v>
                      </c:pt>
                      <c:pt idx="50">
                        <c:v>-399.28323537866498</c:v>
                      </c:pt>
                      <c:pt idx="51">
                        <c:v>-395.01949767454414</c:v>
                      </c:pt>
                      <c:pt idx="52">
                        <c:v>-390.78685991197631</c:v>
                      </c:pt>
                      <c:pt idx="53">
                        <c:v>-389.41450194071655</c:v>
                      </c:pt>
                      <c:pt idx="54">
                        <c:v>-388.04696339046217</c:v>
                      </c:pt>
                      <c:pt idx="55">
                        <c:v>-386.68422733646082</c:v>
                      </c:pt>
                      <c:pt idx="56">
                        <c:v>-385.32627691339627</c:v>
                      </c:pt>
                      <c:pt idx="57">
                        <c:v>-383.97309531517902</c:v>
                      </c:pt>
                      <c:pt idx="58">
                        <c:v>-382.62466579473988</c:v>
                      </c:pt>
                      <c:pt idx="59">
                        <c:v>-381.28097166382076</c:v>
                      </c:pt>
                      <c:pt idx="60">
                        <c:v>-379.94199629276977</c:v>
                      </c:pt>
                      <c:pt idx="61">
                        <c:v>-378.6077231103344</c:v>
                      </c:pt>
                      <c:pt idx="62">
                        <c:v>-377.27813560345646</c:v>
                      </c:pt>
                      <c:pt idx="63">
                        <c:v>-375.95321731706861</c:v>
                      </c:pt>
                      <c:pt idx="64">
                        <c:v>-374.63295185388984</c:v>
                      </c:pt>
                      <c:pt idx="65">
                        <c:v>-373.31732287422273</c:v>
                      </c:pt>
                      <c:pt idx="66">
                        <c:v>-372.00631409575152</c:v>
                      </c:pt>
                      <c:pt idx="67">
                        <c:v>-370.69990929334017</c:v>
                      </c:pt>
                      <c:pt idx="68">
                        <c:v>-369.39809229883173</c:v>
                      </c:pt>
                      <c:pt idx="69">
                        <c:v>-368.10084700084866</c:v>
                      </c:pt>
                      <c:pt idx="70">
                        <c:v>-366.80815734459242</c:v>
                      </c:pt>
                      <c:pt idx="71">
                        <c:v>-365.52000733164601</c:v>
                      </c:pt>
                      <c:pt idx="72">
                        <c:v>-364.23638101977491</c:v>
                      </c:pt>
                      <c:pt idx="73">
                        <c:v>-362.9572625227305</c:v>
                      </c:pt>
                      <c:pt idx="74">
                        <c:v>-361.68263601005333</c:v>
                      </c:pt>
                      <c:pt idx="75">
                        <c:v>-360.41248570687668</c:v>
                      </c:pt>
                      <c:pt idx="76">
                        <c:v>-359.14679589373185</c:v>
                      </c:pt>
                      <c:pt idx="77">
                        <c:v>-357.88555090635373</c:v>
                      </c:pt>
                      <c:pt idx="78">
                        <c:v>-356.62873513548664</c:v>
                      </c:pt>
                      <c:pt idx="79">
                        <c:v>-355.37633302669093</c:v>
                      </c:pt>
                      <c:pt idx="80">
                        <c:v>-354.12832908015065</c:v>
                      </c:pt>
                      <c:pt idx="81">
                        <c:v>-352.88470785048202</c:v>
                      </c:pt>
                      <c:pt idx="82">
                        <c:v>-351.64545394654215</c:v>
                      </c:pt>
                      <c:pt idx="83">
                        <c:v>-350.41055203123852</c:v>
                      </c:pt>
                      <c:pt idx="84">
                        <c:v>-349.1799868213389</c:v>
                      </c:pt>
                      <c:pt idx="85">
                        <c:v>-347.95374308728259</c:v>
                      </c:pt>
                      <c:pt idx="86">
                        <c:v>-346.73180565299162</c:v>
                      </c:pt>
                      <c:pt idx="87">
                        <c:v>-345.51415939568312</c:v>
                      </c:pt>
                      <c:pt idx="88">
                        <c:v>-344.30078924568232</c:v>
                      </c:pt>
                      <c:pt idx="89">
                        <c:v>-343.09168018623558</c:v>
                      </c:pt>
                      <c:pt idx="90">
                        <c:v>-341.88681725332498</c:v>
                      </c:pt>
                      <c:pt idx="91">
                        <c:v>-340.68618553548276</c:v>
                      </c:pt>
                      <c:pt idx="92">
                        <c:v>-339.48977017360733</c:v>
                      </c:pt>
                      <c:pt idx="93">
                        <c:v>-338.29755636077897</c:v>
                      </c:pt>
                      <c:pt idx="94">
                        <c:v>-337.10952934207631</c:v>
                      </c:pt>
                      <c:pt idx="95">
                        <c:v>-335.92567441439411</c:v>
                      </c:pt>
                      <c:pt idx="96">
                        <c:v>-334.74597692626156</c:v>
                      </c:pt>
                      <c:pt idx="97">
                        <c:v>-333.57042227766004</c:v>
                      </c:pt>
                      <c:pt idx="98">
                        <c:v>-332.39899591984351</c:v>
                      </c:pt>
                      <c:pt idx="99">
                        <c:v>-331.23168335515771</c:v>
                      </c:pt>
                      <c:pt idx="100">
                        <c:v>-330.06847013686115</c:v>
                      </c:pt>
                      <c:pt idx="101">
                        <c:v>-328.90934186894572</c:v>
                      </c:pt>
                      <c:pt idx="102">
                        <c:v>-327.75428420595949</c:v>
                      </c:pt>
                      <c:pt idx="103">
                        <c:v>-326.60328285282816</c:v>
                      </c:pt>
                      <c:pt idx="104">
                        <c:v>-325.45632356467894</c:v>
                      </c:pt>
                      <c:pt idx="105">
                        <c:v>-324.31139731233964</c:v>
                      </c:pt>
                      <c:pt idx="106">
                        <c:v>-323.17049880820616</c:v>
                      </c:pt>
                      <c:pt idx="107">
                        <c:v>-322.03361388302</c:v>
                      </c:pt>
                      <c:pt idx="108">
                        <c:v>-320.90072841736981</c:v>
                      </c:pt>
                      <c:pt idx="109">
                        <c:v>-319.77182834151421</c:v>
                      </c:pt>
                      <c:pt idx="110">
                        <c:v>-318.64689963520811</c:v>
                      </c:pt>
                      <c:pt idx="111">
                        <c:v>-317.52592832752856</c:v>
                      </c:pt>
                      <c:pt idx="112">
                        <c:v>-316.40890049670094</c:v>
                      </c:pt>
                      <c:pt idx="113">
                        <c:v>-315.29580226992613</c:v>
                      </c:pt>
                      <c:pt idx="114">
                        <c:v>-314.18661982320828</c:v>
                      </c:pt>
                      <c:pt idx="115">
                        <c:v>-313.0813393811834</c:v>
                      </c:pt>
                      <c:pt idx="116">
                        <c:v>-311.97994721694772</c:v>
                      </c:pt>
                      <c:pt idx="117">
                        <c:v>-310.88242965188761</c:v>
                      </c:pt>
                      <c:pt idx="118">
                        <c:v>-309.78877305550964</c:v>
                      </c:pt>
                      <c:pt idx="119">
                        <c:v>-308.69896384527078</c:v>
                      </c:pt>
                      <c:pt idx="120">
                        <c:v>-307.61298848641076</c:v>
                      </c:pt>
                      <c:pt idx="121">
                        <c:v>-306.53083349178314</c:v>
                      </c:pt>
                      <c:pt idx="122">
                        <c:v>-305.4524854216881</c:v>
                      </c:pt>
                      <c:pt idx="123">
                        <c:v>-304.37793088370546</c:v>
                      </c:pt>
                      <c:pt idx="124">
                        <c:v>-303.30715653252832</c:v>
                      </c:pt>
                      <c:pt idx="125">
                        <c:v>-302.24014906979738</c:v>
                      </c:pt>
                      <c:pt idx="126">
                        <c:v>-301.17689524393609</c:v>
                      </c:pt>
                      <c:pt idx="127">
                        <c:v>-300.11738184998507</c:v>
                      </c:pt>
                      <c:pt idx="128">
                        <c:v>-299.0615957294396</c:v>
                      </c:pt>
                      <c:pt idx="129">
                        <c:v>-298.00952377008474</c:v>
                      </c:pt>
                      <c:pt idx="130">
                        <c:v>-296.9611529058335</c:v>
                      </c:pt>
                      <c:pt idx="131">
                        <c:v>-295.91647011656431</c:v>
                      </c:pt>
                      <c:pt idx="132">
                        <c:v>-294.87546242795906</c:v>
                      </c:pt>
                      <c:pt idx="133">
                        <c:v>-293.83811691134207</c:v>
                      </c:pt>
                      <c:pt idx="134">
                        <c:v>-292.8044206835196</c:v>
                      </c:pt>
                      <c:pt idx="135">
                        <c:v>-291.77436090662025</c:v>
                      </c:pt>
                      <c:pt idx="136">
                        <c:v>-290.74792478793444</c:v>
                      </c:pt>
                      <c:pt idx="137">
                        <c:v>-289.72509957975666</c:v>
                      </c:pt>
                      <c:pt idx="138">
                        <c:v>-288.7058725792262</c:v>
                      </c:pt>
                      <c:pt idx="139">
                        <c:v>-287.69023112817047</c:v>
                      </c:pt>
                      <c:pt idx="140">
                        <c:v>-286.67816261294683</c:v>
                      </c:pt>
                      <c:pt idx="141">
                        <c:v>-285.66965446428645</c:v>
                      </c:pt>
                      <c:pt idx="142">
                        <c:v>-284.6646941571384</c:v>
                      </c:pt>
                      <c:pt idx="143">
                        <c:v>-283.66326921051285</c:v>
                      </c:pt>
                      <c:pt idx="144">
                        <c:v>-282.665367187328</c:v>
                      </c:pt>
                      <c:pt idx="145">
                        <c:v>-281.67097569425385</c:v>
                      </c:pt>
                      <c:pt idx="146">
                        <c:v>-280.6800823815592</c:v>
                      </c:pt>
                      <c:pt idx="147">
                        <c:v>-279.6926749429586</c:v>
                      </c:pt>
                      <c:pt idx="148">
                        <c:v>-278.70874111545834</c:v>
                      </c:pt>
                      <c:pt idx="149">
                        <c:v>-277.72826867920492</c:v>
                      </c:pt>
                      <c:pt idx="150">
                        <c:v>-276.75124545733343</c:v>
                      </c:pt>
                      <c:pt idx="151">
                        <c:v>-275.77765931581638</c:v>
                      </c:pt>
                      <c:pt idx="152">
                        <c:v>-274.80749816331195</c:v>
                      </c:pt>
                      <c:pt idx="153">
                        <c:v>-273.84074995101514</c:v>
                      </c:pt>
                      <c:pt idx="154">
                        <c:v>-272.87740267250723</c:v>
                      </c:pt>
                      <c:pt idx="155">
                        <c:v>-271.91744436360727</c:v>
                      </c:pt>
                      <c:pt idx="156">
                        <c:v>-270.96086310222336</c:v>
                      </c:pt>
                      <c:pt idx="157">
                        <c:v>-270.00577786650655</c:v>
                      </c:pt>
                      <c:pt idx="158">
                        <c:v>-269.05405912363705</c:v>
                      </c:pt>
                      <c:pt idx="159">
                        <c:v>-268.10569500737103</c:v>
                      </c:pt>
                      <c:pt idx="160">
                        <c:v>-267.16067369329113</c:v>
                      </c:pt>
                      <c:pt idx="161">
                        <c:v>-266.21898339865862</c:v>
                      </c:pt>
                      <c:pt idx="162">
                        <c:v>-265.28061238226695</c:v>
                      </c:pt>
                      <c:pt idx="163">
                        <c:v>-264.34554894429493</c:v>
                      </c:pt>
                      <c:pt idx="164">
                        <c:v>-263.41378142616122</c:v>
                      </c:pt>
                      <c:pt idx="165">
                        <c:v>-262.4852982103784</c:v>
                      </c:pt>
                      <c:pt idx="166">
                        <c:v>-261.56008772040866</c:v>
                      </c:pt>
                      <c:pt idx="167">
                        <c:v>-260.63813842051911</c:v>
                      </c:pt>
                      <c:pt idx="168">
                        <c:v>-259.71943881563857</c:v>
                      </c:pt>
                      <c:pt idx="169">
                        <c:v>-258.80397745121326</c:v>
                      </c:pt>
                      <c:pt idx="170">
                        <c:v>-257.89174291306466</c:v>
                      </c:pt>
                      <c:pt idx="171">
                        <c:v>-256.98272382724718</c:v>
                      </c:pt>
                      <c:pt idx="172">
                        <c:v>-256.07690885990587</c:v>
                      </c:pt>
                      <c:pt idx="173">
                        <c:v>-255.17428671713594</c:v>
                      </c:pt>
                      <c:pt idx="174">
                        <c:v>-254.27484614484138</c:v>
                      </c:pt>
                      <c:pt idx="175">
                        <c:v>-253.3785759285945</c:v>
                      </c:pt>
                      <c:pt idx="176">
                        <c:v>-252.48546489349633</c:v>
                      </c:pt>
                      <c:pt idx="177">
                        <c:v>-251.59550190403741</c:v>
                      </c:pt>
                      <c:pt idx="178">
                        <c:v>-250.70867586395855</c:v>
                      </c:pt>
                      <c:pt idx="179">
                        <c:v>-249.82497571611293</c:v>
                      </c:pt>
                      <c:pt idx="180">
                        <c:v>-248.94439044232843</c:v>
                      </c:pt>
                      <c:pt idx="181">
                        <c:v>-248.06690906326941</c:v>
                      </c:pt>
                      <c:pt idx="182">
                        <c:v>-247.19252063830027</c:v>
                      </c:pt>
                      <c:pt idx="183">
                        <c:v>-246.32121426534928</c:v>
                      </c:pt>
                      <c:pt idx="184">
                        <c:v>-245.45297908077248</c:v>
                      </c:pt>
                      <c:pt idx="185">
                        <c:v>-244.58780425921793</c:v>
                      </c:pt>
                      <c:pt idx="186">
                        <c:v>-243.72567901349129</c:v>
                      </c:pt>
                      <c:pt idx="187">
                        <c:v>-242.86659259442047</c:v>
                      </c:pt>
                      <c:pt idx="188">
                        <c:v>-242.01053429072283</c:v>
                      </c:pt>
                      <c:pt idx="189">
                        <c:v>-241.1574934288704</c:v>
                      </c:pt>
                      <c:pt idx="190">
                        <c:v>-240.30745937295791</c:v>
                      </c:pt>
                      <c:pt idx="191">
                        <c:v>-239.46042152456903</c:v>
                      </c:pt>
                      <c:pt idx="192">
                        <c:v>-238.6163693226452</c:v>
                      </c:pt>
                      <c:pt idx="193">
                        <c:v>-237.77529224335348</c:v>
                      </c:pt>
                      <c:pt idx="194">
                        <c:v>-236.93717979995546</c:v>
                      </c:pt>
                      <c:pt idx="195">
                        <c:v>-236.10202154267625</c:v>
                      </c:pt>
                      <c:pt idx="196">
                        <c:v>-235.26980705857488</c:v>
                      </c:pt>
                      <c:pt idx="197">
                        <c:v>-234.44052597141359</c:v>
                      </c:pt>
                      <c:pt idx="198">
                        <c:v>-233.61416794152916</c:v>
                      </c:pt>
                      <c:pt idx="199">
                        <c:v>-232.79072266570341</c:v>
                      </c:pt>
                      <c:pt idx="200">
                        <c:v>-231.97017987703538</c:v>
                      </c:pt>
                      <c:pt idx="201">
                        <c:v>-231.15252934481248</c:v>
                      </c:pt>
                      <c:pt idx="202">
                        <c:v>-230.33776087438389</c:v>
                      </c:pt>
                      <c:pt idx="203">
                        <c:v>-229.52586430703275</c:v>
                      </c:pt>
                      <c:pt idx="204">
                        <c:v>-228.71682951984997</c:v>
                      </c:pt>
                      <c:pt idx="205">
                        <c:v>-227.91064642560758</c:v>
                      </c:pt>
                      <c:pt idx="206">
                        <c:v>-227.1073049726329</c:v>
                      </c:pt>
                      <c:pt idx="207">
                        <c:v>-226.30679514468426</c:v>
                      </c:pt>
                      <c:pt idx="208">
                        <c:v>-225.5091069608246</c:v>
                      </c:pt>
                      <c:pt idx="209">
                        <c:v>-224.71258815901132</c:v>
                      </c:pt>
                      <c:pt idx="210">
                        <c:v>-223.91888273449445</c:v>
                      </c:pt>
                      <c:pt idx="211">
                        <c:v>-223.12798075016778</c:v>
                      </c:pt>
                      <c:pt idx="212">
                        <c:v>-222.33987230402423</c:v>
                      </c:pt>
                      <c:pt idx="213">
                        <c:v>-221.55454752903114</c:v>
                      </c:pt>
                      <c:pt idx="214">
                        <c:v>-220.77199659300723</c:v>
                      </c:pt>
                      <c:pt idx="215">
                        <c:v>-219.99220969849964</c:v>
                      </c:pt>
                      <c:pt idx="216">
                        <c:v>-219.21517708266055</c:v>
                      </c:pt>
                      <c:pt idx="217">
                        <c:v>-218.44088901712578</c:v>
                      </c:pt>
                      <c:pt idx="218">
                        <c:v>-217.66933580789254</c:v>
                      </c:pt>
                      <c:pt idx="219">
                        <c:v>-216.90050779519819</c:v>
                      </c:pt>
                      <c:pt idx="220">
                        <c:v>-216.13439535339901</c:v>
                      </c:pt>
                      <c:pt idx="221">
                        <c:v>-215.37098889085013</c:v>
                      </c:pt>
                      <c:pt idx="222">
                        <c:v>-214.61027884978535</c:v>
                      </c:pt>
                      <c:pt idx="223">
                        <c:v>-213.85225570619704</c:v>
                      </c:pt>
                      <c:pt idx="224">
                        <c:v>-213.09690996971747</c:v>
                      </c:pt>
                      <c:pt idx="225">
                        <c:v>-212.34423218349986</c:v>
                      </c:pt>
                      <c:pt idx="226">
                        <c:v>-211.59421292409968</c:v>
                      </c:pt>
                      <c:pt idx="227">
                        <c:v>-210.8468428013569</c:v>
                      </c:pt>
                      <c:pt idx="228">
                        <c:v>-210.10211245827844</c:v>
                      </c:pt>
                      <c:pt idx="229">
                        <c:v>-209.36001257092104</c:v>
                      </c:pt>
                      <c:pt idx="230">
                        <c:v>-208.62053384827436</c:v>
                      </c:pt>
                      <c:pt idx="231">
                        <c:v>-207.88366703214473</c:v>
                      </c:pt>
                      <c:pt idx="232">
                        <c:v>-207.14940289703935</c:v>
                      </c:pt>
                      <c:pt idx="233">
                        <c:v>-206.41773225005065</c:v>
                      </c:pt>
                      <c:pt idx="234">
                        <c:v>-205.68864593074122</c:v>
                      </c:pt>
                      <c:pt idx="235">
                        <c:v>-204.96213481102927</c:v>
                      </c:pt>
                      <c:pt idx="236">
                        <c:v>-204.23818979507416</c:v>
                      </c:pt>
                      <c:pt idx="237">
                        <c:v>-203.51680181916268</c:v>
                      </c:pt>
                      <c:pt idx="238">
                        <c:v>-202.7979618515954</c:v>
                      </c:pt>
                      <c:pt idx="239">
                        <c:v>-202.08166089257358</c:v>
                      </c:pt>
                      <c:pt idx="240">
                        <c:v>-201.36788997408675</c:v>
                      </c:pt>
                      <c:pt idx="241">
                        <c:v>-200.65664015980016</c:v>
                      </c:pt>
                      <c:pt idx="242">
                        <c:v>-199.94790254494316</c:v>
                      </c:pt>
                      <c:pt idx="243">
                        <c:v>-199.24166825619739</c:v>
                      </c:pt>
                      <c:pt idx="244">
                        <c:v>-198.537928451586</c:v>
                      </c:pt>
                      <c:pt idx="245">
                        <c:v>-197.83667432036285</c:v>
                      </c:pt>
                      <c:pt idx="246">
                        <c:v>-197.13789708290199</c:v>
                      </c:pt>
                      <c:pt idx="247">
                        <c:v>-196.44158799058783</c:v>
                      </c:pt>
                      <c:pt idx="248">
                        <c:v>-195.74773832570605</c:v>
                      </c:pt>
                      <c:pt idx="249">
                        <c:v>-195.0563394013339</c:v>
                      </c:pt>
                      <c:pt idx="250">
                        <c:v>-194.36738256123158</c:v>
                      </c:pt>
                      <c:pt idx="251">
                        <c:v>-193.68085917973394</c:v>
                      </c:pt>
                      <c:pt idx="252">
                        <c:v>-192.99676066164264</c:v>
                      </c:pt>
                      <c:pt idx="253">
                        <c:v>-192.31507844211811</c:v>
                      </c:pt>
                      <c:pt idx="254">
                        <c:v>-191.63580398657277</c:v>
                      </c:pt>
                      <c:pt idx="255">
                        <c:v>-190.95892879056387</c:v>
                      </c:pt>
                      <c:pt idx="256">
                        <c:v>-190.28444437968724</c:v>
                      </c:pt>
                      <c:pt idx="257">
                        <c:v>-189.61234230947099</c:v>
                      </c:pt>
                      <c:pt idx="258">
                        <c:v>-188.94261416526976</c:v>
                      </c:pt>
                      <c:pt idx="259">
                        <c:v>-188.27525156215987</c:v>
                      </c:pt>
                      <c:pt idx="260">
                        <c:v>-188.07304562512343</c:v>
                      </c:pt>
                      <c:pt idx="261">
                        <c:v>-187.86957548021522</c:v>
                      </c:pt>
                      <c:pt idx="262">
                        <c:v>-187.66632546307554</c:v>
                      </c:pt>
                      <c:pt idx="263">
                        <c:v>-187.46329533555547</c:v>
                      </c:pt>
                      <c:pt idx="264">
                        <c:v>-187.26048485976344</c:v>
                      </c:pt>
                      <c:pt idx="265">
                        <c:v>-187.05789379806538</c:v>
                      </c:pt>
                      <c:pt idx="266">
                        <c:v>-186.85552191308409</c:v>
                      </c:pt>
                      <c:pt idx="267">
                        <c:v>-186.65336896769958</c:v>
                      </c:pt>
                      <c:pt idx="268">
                        <c:v>-186.45143472504813</c:v>
                      </c:pt>
                      <c:pt idx="269">
                        <c:v>-186.24971894852231</c:v>
                      </c:pt>
                      <c:pt idx="270">
                        <c:v>-186.0482214017708</c:v>
                      </c:pt>
                      <c:pt idx="271">
                        <c:v>-185.84694184869761</c:v>
                      </c:pt>
                      <c:pt idx="272">
                        <c:v>-185.64588005346263</c:v>
                      </c:pt>
                      <c:pt idx="273">
                        <c:v>-185.44503578048074</c:v>
                      </c:pt>
                      <c:pt idx="274">
                        <c:v>-185.24440879442153</c:v>
                      </c:pt>
                      <c:pt idx="275">
                        <c:v>-185.04399886020926</c:v>
                      </c:pt>
                      <c:pt idx="276">
                        <c:v>-184.84380574302264</c:v>
                      </c:pt>
                      <c:pt idx="277">
                        <c:v>-184.64382920829436</c:v>
                      </c:pt>
                      <c:pt idx="278">
                        <c:v>-184.44406902171082</c:v>
                      </c:pt>
                      <c:pt idx="279">
                        <c:v>-184.24452494921198</c:v>
                      </c:pt>
                      <c:pt idx="280">
                        <c:v>-184.04519675699095</c:v>
                      </c:pt>
                      <c:pt idx="281">
                        <c:v>-183.84608421149397</c:v>
                      </c:pt>
                      <c:pt idx="282">
                        <c:v>-183.64718707941967</c:v>
                      </c:pt>
                      <c:pt idx="283">
                        <c:v>-183.44850512771933</c:v>
                      </c:pt>
                      <c:pt idx="284">
                        <c:v>-183.25003812359634</c:v>
                      </c:pt>
                      <c:pt idx="285">
                        <c:v>-183.05178583450564</c:v>
                      </c:pt>
                      <c:pt idx="286">
                        <c:v>-182.85374802815426</c:v>
                      </c:pt>
                      <c:pt idx="287">
                        <c:v>-182.65592447249998</c:v>
                      </c:pt>
                      <c:pt idx="288">
                        <c:v>-182.45831493575213</c:v>
                      </c:pt>
                      <c:pt idx="289">
                        <c:v>-182.26091918637039</c:v>
                      </c:pt>
                      <c:pt idx="290">
                        <c:v>-182.06373699306528</c:v>
                      </c:pt>
                      <c:pt idx="291">
                        <c:v>-181.86676812479723</c:v>
                      </c:pt>
                      <c:pt idx="292">
                        <c:v>-181.67001235077686</c:v>
                      </c:pt>
                      <c:pt idx="293">
                        <c:v>-181.47346944046447</c:v>
                      </c:pt>
                      <c:pt idx="294">
                        <c:v>-181.27713916356956</c:v>
                      </c:pt>
                      <c:pt idx="295">
                        <c:v>-181.0810212900511</c:v>
                      </c:pt>
                      <c:pt idx="296">
                        <c:v>-180.88511559011661</c:v>
                      </c:pt>
                      <c:pt idx="297">
                        <c:v>-180.68942183422232</c:v>
                      </c:pt>
                      <c:pt idx="298">
                        <c:v>-180.49393979307297</c:v>
                      </c:pt>
                      <c:pt idx="299">
                        <c:v>-180.29866923762108</c:v>
                      </c:pt>
                      <c:pt idx="300">
                        <c:v>-180.10360993906718</c:v>
                      </c:pt>
                      <c:pt idx="301">
                        <c:v>-179.90876166885926</c:v>
                      </c:pt>
                      <c:pt idx="302">
                        <c:v>-179.71412419869259</c:v>
                      </c:pt>
                      <c:pt idx="303">
                        <c:v>-179.51969730050942</c:v>
                      </c:pt>
                      <c:pt idx="304">
                        <c:v>-179.32548074649864</c:v>
                      </c:pt>
                      <c:pt idx="305">
                        <c:v>-179.13147430909581</c:v>
                      </c:pt>
                      <c:pt idx="306">
                        <c:v>-178.93767776098261</c:v>
                      </c:pt>
                      <c:pt idx="307">
                        <c:v>-178.74409087508653</c:v>
                      </c:pt>
                      <c:pt idx="308">
                        <c:v>-178.55071342458081</c:v>
                      </c:pt>
                      <c:pt idx="309">
                        <c:v>-178.35754518288408</c:v>
                      </c:pt>
                      <c:pt idx="310">
                        <c:v>-178.16458592365998</c:v>
                      </c:pt>
                      <c:pt idx="311">
                        <c:v>-177.97183542081737</c:v>
                      </c:pt>
                      <c:pt idx="312">
                        <c:v>-177.77929344850935</c:v>
                      </c:pt>
                      <c:pt idx="313">
                        <c:v>-177.5855076740506</c:v>
                      </c:pt>
                      <c:pt idx="314">
                        <c:v>-177.39193313300186</c:v>
                      </c:pt>
                      <c:pt idx="315">
                        <c:v>-177.19856959511122</c:v>
                      </c:pt>
                      <c:pt idx="316">
                        <c:v>-177.00541683037758</c:v>
                      </c:pt>
                      <c:pt idx="317">
                        <c:v>-176.81247460905084</c:v>
                      </c:pt>
                      <c:pt idx="318">
                        <c:v>-176.61974270163097</c:v>
                      </c:pt>
                      <c:pt idx="319">
                        <c:v>-176.42722087886852</c:v>
                      </c:pt>
                      <c:pt idx="320">
                        <c:v>-176.23490891176363</c:v>
                      </c:pt>
                      <c:pt idx="321">
                        <c:v>-176.04280657156602</c:v>
                      </c:pt>
                      <c:pt idx="322">
                        <c:v>-175.85091362977499</c:v>
                      </c:pt>
                      <c:pt idx="323">
                        <c:v>-175.65922985813887</c:v>
                      </c:pt>
                      <c:pt idx="324">
                        <c:v>-175.46775502865466</c:v>
                      </c:pt>
                      <c:pt idx="325">
                        <c:v>-175.2764889135679</c:v>
                      </c:pt>
                      <c:pt idx="326">
                        <c:v>-175.08543128537252</c:v>
                      </c:pt>
                      <c:pt idx="327">
                        <c:v>-174.89458191681038</c:v>
                      </c:pt>
                      <c:pt idx="328">
                        <c:v>-174.70394058087103</c:v>
                      </c:pt>
                      <c:pt idx="329">
                        <c:v>-174.51350705079145</c:v>
                      </c:pt>
                      <c:pt idx="330">
                        <c:v>-174.32328110005579</c:v>
                      </c:pt>
                      <c:pt idx="331">
                        <c:v>-174.13326250239535</c:v>
                      </c:pt>
                      <c:pt idx="332">
                        <c:v>-173.94345103178767</c:v>
                      </c:pt>
                      <c:pt idx="333">
                        <c:v>-173.75384646245692</c:v>
                      </c:pt>
                      <c:pt idx="334">
                        <c:v>-173.56444856887344</c:v>
                      </c:pt>
                      <c:pt idx="335">
                        <c:v>-173.37525712575322</c:v>
                      </c:pt>
                      <c:pt idx="336">
                        <c:v>-173.18627190805785</c:v>
                      </c:pt>
                      <c:pt idx="337">
                        <c:v>-172.99749269099439</c:v>
                      </c:pt>
                      <c:pt idx="338">
                        <c:v>-172.80891925001464</c:v>
                      </c:pt>
                      <c:pt idx="339">
                        <c:v>-172.62055136081537</c:v>
                      </c:pt>
                      <c:pt idx="340">
                        <c:v>-172.43238879933782</c:v>
                      </c:pt>
                      <c:pt idx="341">
                        <c:v>-172.24443134176735</c:v>
                      </c:pt>
                      <c:pt idx="342">
                        <c:v>-172.0566787645335</c:v>
                      </c:pt>
                      <c:pt idx="343">
                        <c:v>-171.86913084430941</c:v>
                      </c:pt>
                      <c:pt idx="344">
                        <c:v>-171.68178735801158</c:v>
                      </c:pt>
                      <c:pt idx="345">
                        <c:v>-171.49464808279973</c:v>
                      </c:pt>
                      <c:pt idx="346">
                        <c:v>-171.30771279607649</c:v>
                      </c:pt>
                      <c:pt idx="347">
                        <c:v>-171.12098127548717</c:v>
                      </c:pt>
                      <c:pt idx="348">
                        <c:v>-170.93445329891941</c:v>
                      </c:pt>
                      <c:pt idx="349">
                        <c:v>-170.74812864450288</c:v>
                      </c:pt>
                      <c:pt idx="350">
                        <c:v>-170.56200709060931</c:v>
                      </c:pt>
                      <c:pt idx="351">
                        <c:v>-170.37608841585165</c:v>
                      </c:pt>
                      <c:pt idx="352">
                        <c:v>-170.19037239908471</c:v>
                      </c:pt>
                      <c:pt idx="353">
                        <c:v>-170.00485881940381</c:v>
                      </c:pt>
                      <c:pt idx="354">
                        <c:v>-169.81954745614536</c:v>
                      </c:pt>
                      <c:pt idx="355">
                        <c:v>-169.6344380888863</c:v>
                      </c:pt>
                      <c:pt idx="356">
                        <c:v>-169.4495304974437</c:v>
                      </c:pt>
                      <c:pt idx="357">
                        <c:v>-169.26482446187489</c:v>
                      </c:pt>
                      <c:pt idx="358">
                        <c:v>-169.08031976247653</c:v>
                      </c:pt>
                      <c:pt idx="359">
                        <c:v>-168.89601617978522</c:v>
                      </c:pt>
                      <c:pt idx="360">
                        <c:v>-168.71191349457641</c:v>
                      </c:pt>
                      <c:pt idx="361">
                        <c:v>-168.52801148786477</c:v>
                      </c:pt>
                      <c:pt idx="362">
                        <c:v>-168.3443099409036</c:v>
                      </c:pt>
                      <c:pt idx="363">
                        <c:v>-168.16080863518442</c:v>
                      </c:pt>
                      <c:pt idx="364">
                        <c:v>-167.97750735243736</c:v>
                      </c:pt>
                      <c:pt idx="365">
                        <c:v>-167.79291987394905</c:v>
                      </c:pt>
                      <c:pt idx="366">
                        <c:v>-167.60853523533936</c:v>
                      </c:pt>
                      <c:pt idx="367">
                        <c:v>-167.42435321371127</c:v>
                      </c:pt>
                      <c:pt idx="368">
                        <c:v>-167.24037358641263</c:v>
                      </c:pt>
                      <c:pt idx="369">
                        <c:v>-167.0565961310358</c:v>
                      </c:pt>
                      <c:pt idx="370">
                        <c:v>-166.87302062541787</c:v>
                      </c:pt>
                      <c:pt idx="371">
                        <c:v>-166.68964684763972</c:v>
                      </c:pt>
                      <c:pt idx="372">
                        <c:v>-166.50647457602625</c:v>
                      </c:pt>
                      <c:pt idx="373">
                        <c:v>-166.3235035891459</c:v>
                      </c:pt>
                      <c:pt idx="374">
                        <c:v>-166.14073366581056</c:v>
                      </c:pt>
                      <c:pt idx="375">
                        <c:v>-165.95816458507505</c:v>
                      </c:pt>
                      <c:pt idx="376">
                        <c:v>-165.77579612623697</c:v>
                      </c:pt>
                      <c:pt idx="377">
                        <c:v>-165.59362806883675</c:v>
                      </c:pt>
                      <c:pt idx="378">
                        <c:v>-165.41166019265663</c:v>
                      </c:pt>
                      <c:pt idx="379">
                        <c:v>-165.22989227772106</c:v>
                      </c:pt>
                      <c:pt idx="380">
                        <c:v>-165.04832410429623</c:v>
                      </c:pt>
                      <c:pt idx="381">
                        <c:v>-164.86695545288975</c:v>
                      </c:pt>
                      <c:pt idx="382">
                        <c:v>-164.68578610425044</c:v>
                      </c:pt>
                      <c:pt idx="383">
                        <c:v>-164.50481583936804</c:v>
                      </c:pt>
                      <c:pt idx="384">
                        <c:v>-164.324044439473</c:v>
                      </c:pt>
                      <c:pt idx="385">
                        <c:v>-164.14347168603612</c:v>
                      </c:pt>
                      <c:pt idx="386">
                        <c:v>-163.96309736076842</c:v>
                      </c:pt>
                      <c:pt idx="387">
                        <c:v>-163.78292124562068</c:v>
                      </c:pt>
                      <c:pt idx="388">
                        <c:v>-163.60294312278339</c:v>
                      </c:pt>
                      <c:pt idx="389">
                        <c:v>-163.42316277468626</c:v>
                      </c:pt>
                      <c:pt idx="390">
                        <c:v>-163.24357998399827</c:v>
                      </c:pt>
                      <c:pt idx="391">
                        <c:v>-163.06419453362705</c:v>
                      </c:pt>
                      <c:pt idx="392">
                        <c:v>-162.8850062067188</c:v>
                      </c:pt>
                      <c:pt idx="393">
                        <c:v>-162.70601478665819</c:v>
                      </c:pt>
                      <c:pt idx="394">
                        <c:v>-162.52722005706778</c:v>
                      </c:pt>
                      <c:pt idx="395">
                        <c:v>-162.34862180180784</c:v>
                      </c:pt>
                      <c:pt idx="396">
                        <c:v>-162.17021980497628</c:v>
                      </c:pt>
                      <c:pt idx="397">
                        <c:v>-161.99201385090828</c:v>
                      </c:pt>
                      <c:pt idx="398">
                        <c:v>-161.81400372417602</c:v>
                      </c:pt>
                      <c:pt idx="399">
                        <c:v>-161.63618920958805</c:v>
                      </c:pt>
                      <c:pt idx="400">
                        <c:v>-161.45857009219</c:v>
                      </c:pt>
                      <c:pt idx="401">
                        <c:v>-161.28114615726324</c:v>
                      </c:pt>
                      <c:pt idx="402">
                        <c:v>-161.10391719032538</c:v>
                      </c:pt>
                      <c:pt idx="403">
                        <c:v>-160.92688297712934</c:v>
                      </c:pt>
                      <c:pt idx="404">
                        <c:v>-160.75004330366392</c:v>
                      </c:pt>
                      <c:pt idx="405">
                        <c:v>-160.57339795615277</c:v>
                      </c:pt>
                      <c:pt idx="406">
                        <c:v>-160.39694672105466</c:v>
                      </c:pt>
                      <c:pt idx="407">
                        <c:v>-160.22068938506297</c:v>
                      </c:pt>
                      <c:pt idx="408">
                        <c:v>-160.04462573510543</c:v>
                      </c:pt>
                      <c:pt idx="409">
                        <c:v>-159.86875555834371</c:v>
                      </c:pt>
                      <c:pt idx="410">
                        <c:v>-159.69307864217384</c:v>
                      </c:pt>
                      <c:pt idx="411">
                        <c:v>-159.5175947742251</c:v>
                      </c:pt>
                      <c:pt idx="412">
                        <c:v>-159.34230374236023</c:v>
                      </c:pt>
                      <c:pt idx="413">
                        <c:v>-159.16720533467512</c:v>
                      </c:pt>
                      <c:pt idx="414">
                        <c:v>-158.99229933949852</c:v>
                      </c:pt>
                      <c:pt idx="415">
                        <c:v>-158.81758554539167</c:v>
                      </c:pt>
                      <c:pt idx="416">
                        <c:v>-158.64306374114847</c:v>
                      </c:pt>
                      <c:pt idx="417">
                        <c:v>-158.46717625713256</c:v>
                      </c:pt>
                      <c:pt idx="418">
                        <c:v>-158.29148377948059</c:v>
                      </c:pt>
                      <c:pt idx="419">
                        <c:v>-158.11598609198921</c:v>
                      </c:pt>
                      <c:pt idx="420">
                        <c:v>-157.94068297869458</c:v>
                      </c:pt>
                      <c:pt idx="421">
                        <c:v>-157.76557422387242</c:v>
                      </c:pt>
                      <c:pt idx="422">
                        <c:v>-157.59065961203768</c:v>
                      </c:pt>
                      <c:pt idx="423">
                        <c:v>-157.41593892794401</c:v>
                      </c:pt>
                      <c:pt idx="424">
                        <c:v>-157.24141195658387</c:v>
                      </c:pt>
                      <c:pt idx="425">
                        <c:v>-157.06707848318806</c:v>
                      </c:pt>
                      <c:pt idx="426">
                        <c:v>-156.89293829322548</c:v>
                      </c:pt>
                      <c:pt idx="427">
                        <c:v>-156.71899117240287</c:v>
                      </c:pt>
                      <c:pt idx="428">
                        <c:v>-156.54523690666446</c:v>
                      </c:pt>
                      <c:pt idx="429">
                        <c:v>-156.37167528219211</c:v>
                      </c:pt>
                      <c:pt idx="430">
                        <c:v>-156.1983060854044</c:v>
                      </c:pt>
                      <c:pt idx="431">
                        <c:v>-156.02512910295695</c:v>
                      </c:pt>
                      <c:pt idx="432">
                        <c:v>-155.85214412174184</c:v>
                      </c:pt>
                      <c:pt idx="433">
                        <c:v>-155.67935092888726</c:v>
                      </c:pt>
                      <c:pt idx="434">
                        <c:v>-155.50674931175757</c:v>
                      </c:pt>
                      <c:pt idx="435">
                        <c:v>-155.33433905795303</c:v>
                      </c:pt>
                      <c:pt idx="436">
                        <c:v>-155.16211995530915</c:v>
                      </c:pt>
                      <c:pt idx="437">
                        <c:v>-154.99009179189676</c:v>
                      </c:pt>
                      <c:pt idx="438">
                        <c:v>-154.81825435602153</c:v>
                      </c:pt>
                      <c:pt idx="439">
                        <c:v>-154.64660743622389</c:v>
                      </c:pt>
                      <c:pt idx="440">
                        <c:v>-154.4751508212789</c:v>
                      </c:pt>
                      <c:pt idx="441">
                        <c:v>-154.3038843001957</c:v>
                      </c:pt>
                      <c:pt idx="442">
                        <c:v>-154.13280766221723</c:v>
                      </c:pt>
                      <c:pt idx="443">
                        <c:v>-153.96192069682019</c:v>
                      </c:pt>
                      <c:pt idx="444">
                        <c:v>-153.79122319371461</c:v>
                      </c:pt>
                      <c:pt idx="445">
                        <c:v>-153.6207149428439</c:v>
                      </c:pt>
                      <c:pt idx="446">
                        <c:v>-153.45039573438413</c:v>
                      </c:pt>
                      <c:pt idx="447">
                        <c:v>-153.28026535874412</c:v>
                      </c:pt>
                      <c:pt idx="448">
                        <c:v>-153.11032360656489</c:v>
                      </c:pt>
                      <c:pt idx="449">
                        <c:v>-152.94057026871988</c:v>
                      </c:pt>
                      <c:pt idx="450">
                        <c:v>-152.77100513631407</c:v>
                      </c:pt>
                      <c:pt idx="451">
                        <c:v>-152.60162800068426</c:v>
                      </c:pt>
                      <c:pt idx="452">
                        <c:v>-152.43243865339852</c:v>
                      </c:pt>
                      <c:pt idx="453">
                        <c:v>-152.26343688625596</c:v>
                      </c:pt>
                      <c:pt idx="454">
                        <c:v>-152.09462249128669</c:v>
                      </c:pt>
                      <c:pt idx="455">
                        <c:v>-151.92599526075119</c:v>
                      </c:pt>
                      <c:pt idx="456">
                        <c:v>-151.75755498714037</c:v>
                      </c:pt>
                      <c:pt idx="457">
                        <c:v>-151.58930146317516</c:v>
                      </c:pt>
                      <c:pt idx="458">
                        <c:v>-151.42123448180624</c:v>
                      </c:pt>
                      <c:pt idx="459">
                        <c:v>-151.25335383621396</c:v>
                      </c:pt>
                      <c:pt idx="460">
                        <c:v>-151.08565931980809</c:v>
                      </c:pt>
                      <c:pt idx="461">
                        <c:v>-150.91815072622714</c:v>
                      </c:pt>
                      <c:pt idx="462">
                        <c:v>-150.75082784933872</c:v>
                      </c:pt>
                      <c:pt idx="463">
                        <c:v>-150.58369048323871</c:v>
                      </c:pt>
                      <c:pt idx="464">
                        <c:v>-150.41673842225137</c:v>
                      </c:pt>
                      <c:pt idx="465">
                        <c:v>-150.24997146092912</c:v>
                      </c:pt>
                      <c:pt idx="466">
                        <c:v>-150.08338939405198</c:v>
                      </c:pt>
                      <c:pt idx="467">
                        <c:v>-149.91699201662755</c:v>
                      </c:pt>
                      <c:pt idx="468">
                        <c:v>-149.75077912389074</c:v>
                      </c:pt>
                      <c:pt idx="469">
                        <c:v>-149.58307677793988</c:v>
                      </c:pt>
                      <c:pt idx="470">
                        <c:v>-149.41556223786887</c:v>
                      </c:pt>
                      <c:pt idx="471">
                        <c:v>-149.24823529335828</c:v>
                      </c:pt>
                      <c:pt idx="472">
                        <c:v>-149.08109573432452</c:v>
                      </c:pt>
                      <c:pt idx="473">
                        <c:v>-148.91414335091895</c:v>
                      </c:pt>
                      <c:pt idx="474">
                        <c:v>-148.74737793352796</c:v>
                      </c:pt>
                      <c:pt idx="475">
                        <c:v>-148.58079927277274</c:v>
                      </c:pt>
                      <c:pt idx="476">
                        <c:v>-148.41440715950901</c:v>
                      </c:pt>
                      <c:pt idx="477">
                        <c:v>-148.24820138482664</c:v>
                      </c:pt>
                      <c:pt idx="478">
                        <c:v>-148.08218174004955</c:v>
                      </c:pt>
                      <c:pt idx="479">
                        <c:v>-147.91634801673524</c:v>
                      </c:pt>
                      <c:pt idx="480">
                        <c:v>-147.75070000667469</c:v>
                      </c:pt>
                      <c:pt idx="481">
                        <c:v>-147.58523750189192</c:v>
                      </c:pt>
                      <c:pt idx="482">
                        <c:v>-147.41996029464406</c:v>
                      </c:pt>
                      <c:pt idx="483">
                        <c:v>-147.25486817742063</c:v>
                      </c:pt>
                      <c:pt idx="484">
                        <c:v>-147.089960942944</c:v>
                      </c:pt>
                      <c:pt idx="485">
                        <c:v>-146.92523838416815</c:v>
                      </c:pt>
                      <c:pt idx="486">
                        <c:v>-146.76070029427925</c:v>
                      </c:pt>
                      <c:pt idx="487">
                        <c:v>-146.59634646669488</c:v>
                      </c:pt>
                      <c:pt idx="488">
                        <c:v>-146.43217669506413</c:v>
                      </c:pt>
                      <c:pt idx="489">
                        <c:v>-146.26819077326701</c:v>
                      </c:pt>
                      <c:pt idx="490">
                        <c:v>-146.10438849541447</c:v>
                      </c:pt>
                      <c:pt idx="491">
                        <c:v>-145.94076965584804</c:v>
                      </c:pt>
                      <c:pt idx="492">
                        <c:v>-145.77733404913963</c:v>
                      </c:pt>
                      <c:pt idx="493">
                        <c:v>-145.61408147009104</c:v>
                      </c:pt>
                      <c:pt idx="494">
                        <c:v>-145.45101171373389</c:v>
                      </c:pt>
                      <c:pt idx="495">
                        <c:v>-145.28812457532945</c:v>
                      </c:pt>
                      <c:pt idx="496">
                        <c:v>-145.12541985036816</c:v>
                      </c:pt>
                      <c:pt idx="497">
                        <c:v>-144.96289733456948</c:v>
                      </c:pt>
                      <c:pt idx="498">
                        <c:v>-144.80055682388175</c:v>
                      </c:pt>
                      <c:pt idx="499">
                        <c:v>-144.63839811448182</c:v>
                      </c:pt>
                      <c:pt idx="500">
                        <c:v>-144.47642100277466</c:v>
                      </c:pt>
                      <c:pt idx="501">
                        <c:v>-144.3146252853933</c:v>
                      </c:pt>
                      <c:pt idx="502">
                        <c:v>-144.15301075919862</c:v>
                      </c:pt>
                      <c:pt idx="503">
                        <c:v>-143.99157722127896</c:v>
                      </c:pt>
                      <c:pt idx="504">
                        <c:v>-143.83032446894958</c:v>
                      </c:pt>
                      <c:pt idx="505">
                        <c:v>-143.6692522997532</c:v>
                      </c:pt>
                      <c:pt idx="506">
                        <c:v>-143.50836051145905</c:v>
                      </c:pt>
                      <c:pt idx="507">
                        <c:v>-143.34764890206284</c:v>
                      </c:pt>
                      <c:pt idx="508">
                        <c:v>-143.18711726978637</c:v>
                      </c:pt>
                      <c:pt idx="509">
                        <c:v>-143.02676541307761</c:v>
                      </c:pt>
                      <c:pt idx="510">
                        <c:v>-142.8665931306102</c:v>
                      </c:pt>
                      <c:pt idx="511">
                        <c:v>-142.70660022128314</c:v>
                      </c:pt>
                      <c:pt idx="512">
                        <c:v>-142.54678648422072</c:v>
                      </c:pt>
                      <c:pt idx="513">
                        <c:v>-142.3871517187722</c:v>
                      </c:pt>
                      <c:pt idx="514">
                        <c:v>-142.22769572451151</c:v>
                      </c:pt>
                      <c:pt idx="515">
                        <c:v>-142.06841830123705</c:v>
                      </c:pt>
                      <c:pt idx="516">
                        <c:v>-141.90931924897137</c:v>
                      </c:pt>
                      <c:pt idx="517">
                        <c:v>-141.75039836796097</c:v>
                      </c:pt>
                      <c:pt idx="518">
                        <c:v>-141.59165545867623</c:v>
                      </c:pt>
                      <c:pt idx="519">
                        <c:v>-141.43309032181071</c:v>
                      </c:pt>
                    </c:numCache>
                  </c:numRef>
                </c:val>
                <c:smooth val="0"/>
                <c:extLst xmlns:c15="http://schemas.microsoft.com/office/drawing/2012/chart">
                  <c:ext xmlns:c16="http://schemas.microsoft.com/office/drawing/2014/chart" uri="{C3380CC4-5D6E-409C-BE32-E72D297353CC}">
                    <c16:uniqueId val="{00000004-7744-4B44-92D6-CD8912115525}"/>
                  </c:ext>
                </c:extLst>
              </c15:ser>
            </c15:filteredLineSeries>
            <c15:filteredLineSeries>
              <c15:ser>
                <c:idx val="6"/>
                <c:order val="3"/>
                <c:tx>
                  <c:strRef>
                    <c:extLst xmlns:c15="http://schemas.microsoft.com/office/drawing/2012/chart">
                      <c:ext xmlns:c15="http://schemas.microsoft.com/office/drawing/2012/chart" uri="{02D57815-91ED-43cb-92C2-25804820EDAC}">
                        <c15:formulaRef>
                          <c15:sqref>Ig!$AE$534</c15:sqref>
                        </c15:formulaRef>
                      </c:ext>
                    </c:extLst>
                    <c:strCache>
                      <c:ptCount val="1"/>
                      <c:pt idx="0">
                        <c:v>Fracture</c:v>
                      </c:pt>
                    </c:strCache>
                  </c:strRef>
                </c:tx>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Ig!$AA$535:$AA$1054</c15:sqref>
                        </c15:formulaRef>
                      </c:ext>
                    </c:extLst>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extLst xmlns:c15="http://schemas.microsoft.com/office/drawing/2012/chart">
                      <c:ext xmlns:c15="http://schemas.microsoft.com/office/drawing/2012/chart" uri="{02D57815-91ED-43cb-92C2-25804820EDAC}">
                        <c15:formulaRef>
                          <c15:sqref>Ig!$AE$535:$AE$1054</c15:sqref>
                        </c15:formulaRef>
                      </c:ext>
                    </c:extLst>
                    <c:numCache>
                      <c:formatCode>#,##0</c:formatCode>
                      <c:ptCount val="520"/>
                      <c:pt idx="0">
                        <c:v>0</c:v>
                      </c:pt>
                      <c:pt idx="1">
                        <c:v>-0.22825678001030647</c:v>
                      </c:pt>
                      <c:pt idx="2">
                        <c:v>-0.44961245956942592</c:v>
                      </c:pt>
                      <c:pt idx="3">
                        <c:v>-0.66425429535284575</c:v>
                      </c:pt>
                      <c:pt idx="4">
                        <c:v>-0.87236452925631491</c:v>
                      </c:pt>
                      <c:pt idx="5">
                        <c:v>-1.0741205224638863</c:v>
                      </c:pt>
                      <c:pt idx="6">
                        <c:v>-1.2696948859325077</c:v>
                      </c:pt>
                      <c:pt idx="7">
                        <c:v>-1.4592556073889382</c:v>
                      </c:pt>
                      <c:pt idx="8">
                        <c:v>-1.6429661749322089</c:v>
                      </c:pt>
                      <c:pt idx="9">
                        <c:v>-1.8209856973323539</c:v>
                      </c:pt>
                      <c:pt idx="10">
                        <c:v>-1.9934690211137136</c:v>
                      </c:pt>
                      <c:pt idx="11">
                        <c:v>-2.1605668445087507</c:v>
                      </c:pt>
                      <c:pt idx="12">
                        <c:v>-2.3224258283660246</c:v>
                      </c:pt>
                      <c:pt idx="13">
                        <c:v>-2.4791887040937324</c:v>
                      </c:pt>
                      <c:pt idx="14">
                        <c:v>-2.6309943787180483</c:v>
                      </c:pt>
                      <c:pt idx="15">
                        <c:v>-2.7779780371333787</c:v>
                      </c:pt>
                      <c:pt idx="16">
                        <c:v>-2.9202712416195871</c:v>
                      </c:pt>
                      <c:pt idx="17">
                        <c:v>-3.0580020286992311</c:v>
                      </c:pt>
                      <c:pt idx="18">
                        <c:v>-3.1912950034059193</c:v>
                      </c:pt>
                      <c:pt idx="19">
                        <c:v>-3.3202714310329688</c:v>
                      </c:pt>
                      <c:pt idx="20">
                        <c:v>-3.4450493264297215</c:v>
                      </c:pt>
                      <c:pt idx="21">
                        <c:v>-3.4768463090188804</c:v>
                      </c:pt>
                      <c:pt idx="22">
                        <c:v>-3.5065845545261123</c:v>
                      </c:pt>
                      <c:pt idx="23">
                        <c:v>-3.534327694927919</c:v>
                      </c:pt>
                      <c:pt idx="24">
                        <c:v>-3.5601376066533881</c:v>
                      </c:pt>
                      <c:pt idx="25">
                        <c:v>-3.5840744578370503</c:v>
                      </c:pt>
                      <c:pt idx="26">
                        <c:v>-3.6061967543068238</c:v>
                      </c:pt>
                      <c:pt idx="27">
                        <c:v>-3.6265613843408842</c:v>
                      </c:pt>
                      <c:pt idx="28">
                        <c:v>-3.6452236622263512</c:v>
                      </c:pt>
                      <c:pt idx="29">
                        <c:v>-3.6622373706518521</c:v>
                      </c:pt>
                      <c:pt idx="30">
                        <c:v>-3.6776548019651223</c:v>
                      </c:pt>
                      <c:pt idx="31">
                        <c:v>-3.6915267983260014</c:v>
                      </c:pt>
                      <c:pt idx="32">
                        <c:v>-3.7039027907843476</c:v>
                      </c:pt>
                      <c:pt idx="33">
                        <c:v>-3.714830837311629</c:v>
                      </c:pt>
                      <c:pt idx="34">
                        <c:v>-3.7243576598141557</c:v>
                      </c:pt>
                      <c:pt idx="35">
                        <c:v>-3.7325286801551929</c:v>
                      </c:pt>
                      <c:pt idx="36">
                        <c:v>-3.7393880552124461</c:v>
                      </c:pt>
                      <c:pt idx="37">
                        <c:v>-3.7449787109967203</c:v>
                      </c:pt>
                      <c:pt idx="38">
                        <c:v>-3.7493423758568456</c:v>
                      </c:pt>
                      <c:pt idx="39">
                        <c:v>-3.752519612795318</c:v>
                      </c:pt>
                      <c:pt idx="40">
                        <c:v>-3.754549850918413</c:v>
                      </c:pt>
                      <c:pt idx="41">
                        <c:v>-3.7554714160439358</c:v>
                      </c:pt>
                      <c:pt idx="42">
                        <c:v>-3.7553215604891248</c:v>
                      </c:pt>
                      <c:pt idx="43">
                        <c:v>-3.7541364920606251</c:v>
                      </c:pt>
                      <c:pt idx="44">
                        <c:v>-3.7519514022678768</c:v>
                      </c:pt>
                      <c:pt idx="45">
                        <c:v>-3.748800493780688</c:v>
                      </c:pt>
                      <c:pt idx="46">
                        <c:v>-3.7447170071511877</c:v>
                      </c:pt>
                      <c:pt idx="47">
                        <c:v>-3.7397332468198563</c:v>
                      </c:pt>
                      <c:pt idx="48">
                        <c:v>-3.7338806064247478</c:v>
                      </c:pt>
                      <c:pt idx="49">
                        <c:v>-3.7271895934325592</c:v>
                      </c:pt>
                      <c:pt idx="50">
                        <c:v>-3.7196898531096805</c:v>
                      </c:pt>
                      <c:pt idx="51">
                        <c:v>-3.7114101918508648</c:v>
                      </c:pt>
                      <c:pt idx="52">
                        <c:v>-3.702378599882707</c:v>
                      </c:pt>
                      <c:pt idx="53">
                        <c:v>-3.6926014193898902</c:v>
                      </c:pt>
                      <c:pt idx="54">
                        <c:v>-3.6827723659687268</c:v>
                      </c:pt>
                      <c:pt idx="55">
                        <c:v>-3.6728939264080673</c:v>
                      </c:pt>
                      <c:pt idx="56">
                        <c:v>-3.6629685171537649</c:v>
                      </c:pt>
                      <c:pt idx="57">
                        <c:v>-3.6529984862027391</c:v>
                      </c:pt>
                      <c:pt idx="58">
                        <c:v>-3.6429861149463512</c:v>
                      </c:pt>
                      <c:pt idx="59">
                        <c:v>-3.6329336199644557</c:v>
                      </c:pt>
                      <c:pt idx="60">
                        <c:v>-3.6228431547714428</c:v>
                      </c:pt>
                      <c:pt idx="61">
                        <c:v>-3.6127168115155595</c:v>
                      </c:pt>
                      <c:pt idx="62">
                        <c:v>-3.6025566226327532</c:v>
                      </c:pt>
                      <c:pt idx="63">
                        <c:v>-3.5923645624562526</c:v>
                      </c:pt>
                      <c:pt idx="64">
                        <c:v>-3.58214254878308</c:v>
                      </c:pt>
                      <c:pt idx="65">
                        <c:v>-3.5718924443986309</c:v>
                      </c:pt>
                      <c:pt idx="66">
                        <c:v>-3.5616160585604599</c:v>
                      </c:pt>
                      <c:pt idx="67">
                        <c:v>-3.5513151484423431</c:v>
                      </c:pt>
                      <c:pt idx="68">
                        <c:v>-3.5409914205397022</c:v>
                      </c:pt>
                      <c:pt idx="69">
                        <c:v>-3.5306465320374003</c:v>
                      </c:pt>
                      <c:pt idx="70">
                        <c:v>-3.5202820921409317</c:v>
                      </c:pt>
                      <c:pt idx="71">
                        <c:v>-3.5098996633719795</c:v>
                      </c:pt>
                      <c:pt idx="72">
                        <c:v>-3.4995007628292938</c:v>
                      </c:pt>
                      <c:pt idx="73">
                        <c:v>-3.4890868634158148</c:v>
                      </c:pt>
                      <c:pt idx="74">
                        <c:v>-3.4786593950329454</c:v>
                      </c:pt>
                      <c:pt idx="75">
                        <c:v>-3.4682197457428594</c:v>
                      </c:pt>
                      <c:pt idx="76">
                        <c:v>-3.4577692628996823</c:v>
                      </c:pt>
                      <c:pt idx="77">
                        <c:v>-3.447309254250396</c:v>
                      </c:pt>
                      <c:pt idx="78">
                        <c:v>-3.4368409890062614</c:v>
                      </c:pt>
                      <c:pt idx="79">
                        <c:v>-3.4263656988855629</c:v>
                      </c:pt>
                      <c:pt idx="80">
                        <c:v>-3.4158845791284236</c:v>
                      </c:pt>
                      <c:pt idx="81">
                        <c:v>-3.4053987894844542</c:v>
                      </c:pt>
                      <c:pt idx="82">
                        <c:v>-3.394909455173948</c:v>
                      </c:pt>
                      <c:pt idx="83">
                        <c:v>-3.384417667823346</c:v>
                      </c:pt>
                      <c:pt idx="84">
                        <c:v>-3.3739244863756457</c:v>
                      </c:pt>
                      <c:pt idx="85">
                        <c:v>-3.3634309379764211</c:v>
                      </c:pt>
                      <c:pt idx="86">
                        <c:v>-3.3529380188361304</c:v>
                      </c:pt>
                      <c:pt idx="87">
                        <c:v>-3.342446695069309</c:v>
                      </c:pt>
                      <c:pt idx="88">
                        <c:v>-3.3319579035113014</c:v>
                      </c:pt>
                      <c:pt idx="89">
                        <c:v>-3.3214725525131072</c:v>
                      </c:pt>
                      <c:pt idx="90">
                        <c:v>-3.3109915227149402</c:v>
                      </c:pt>
                      <c:pt idx="91">
                        <c:v>-3.3005156677990581</c:v>
                      </c:pt>
                      <c:pt idx="92">
                        <c:v>-3.2900458152224372</c:v>
                      </c:pt>
                      <c:pt idx="93">
                        <c:v>-3.2795827669298072</c:v>
                      </c:pt>
                      <c:pt idx="94">
                        <c:v>-3.2691273000475864</c:v>
                      </c:pt>
                      <c:pt idx="95">
                        <c:v>-3.2586801675592225</c:v>
                      </c:pt>
                      <c:pt idx="96">
                        <c:v>-3.2482420989624416</c:v>
                      </c:pt>
                      <c:pt idx="97">
                        <c:v>-3.2378138009088815</c:v>
                      </c:pt>
                      <c:pt idx="98">
                        <c:v>-3.2273959578265838</c:v>
                      </c:pt>
                      <c:pt idx="99">
                        <c:v>-3.2169892325258052</c:v>
                      </c:pt>
                      <c:pt idx="100">
                        <c:v>-3.2065942667885929</c:v>
                      </c:pt>
                      <c:pt idx="101">
                        <c:v>-3.1962116819425552</c:v>
                      </c:pt>
                      <c:pt idx="102">
                        <c:v>-3.1858420794192606</c:v>
                      </c:pt>
                      <c:pt idx="103">
                        <c:v>-3.175486041297654</c:v>
                      </c:pt>
                      <c:pt idx="104">
                        <c:v>-3.1651441308329171</c:v>
                      </c:pt>
                      <c:pt idx="105">
                        <c:v>-3.1547972176927264</c:v>
                      </c:pt>
                      <c:pt idx="106">
                        <c:v>-3.1444656393772252</c:v>
                      </c:pt>
                      <c:pt idx="107">
                        <c:v>-3.1341499051944033</c:v>
                      </c:pt>
                      <c:pt idx="108">
                        <c:v>-3.1238505075995278</c:v>
                      </c:pt>
                      <c:pt idx="109">
                        <c:v>-3.1135679226571629</c:v>
                      </c:pt>
                      <c:pt idx="110">
                        <c:v>-3.1033026104907693</c:v>
                      </c:pt>
                      <c:pt idx="111">
                        <c:v>-3.0930550157202665</c:v>
                      </c:pt>
                      <c:pt idx="112">
                        <c:v>-3.0828255678878396</c:v>
                      </c:pt>
                      <c:pt idx="113">
                        <c:v>-3.0726146818723241</c:v>
                      </c:pt>
                      <c:pt idx="114">
                        <c:v>-3.062422758292473</c:v>
                      </c:pt>
                      <c:pt idx="115">
                        <c:v>-3.0522501838994027</c:v>
                      </c:pt>
                      <c:pt idx="116">
                        <c:v>-3.0420973319585016</c:v>
                      </c:pt>
                      <c:pt idx="117">
                        <c:v>-3.0319645626210905</c:v>
                      </c:pt>
                      <c:pt idx="118">
                        <c:v>-3.0218522232861051</c:v>
                      </c:pt>
                      <c:pt idx="119">
                        <c:v>-3.0117606489520719</c:v>
                      </c:pt>
                      <c:pt idx="120">
                        <c:v>-3.0016901625596266</c:v>
                      </c:pt>
                      <c:pt idx="121">
                        <c:v>-2.9916410753248437</c:v>
                      </c:pt>
                      <c:pt idx="122">
                        <c:v>-2.9816136870636099</c:v>
                      </c:pt>
                      <c:pt idx="123">
                        <c:v>-2.9716082865072826</c:v>
                      </c:pt>
                      <c:pt idx="124">
                        <c:v>-2.9616251516098826</c:v>
                      </c:pt>
                      <c:pt idx="125">
                        <c:v>-2.9516645498470182</c:v>
                      </c:pt>
                      <c:pt idx="126">
                        <c:v>-2.9417267385067896</c:v>
                      </c:pt>
                      <c:pt idx="127">
                        <c:v>-2.9318119649728747</c:v>
                      </c:pt>
                      <c:pt idx="128">
                        <c:v>-2.9219204670000032</c:v>
                      </c:pt>
                      <c:pt idx="129">
                        <c:v>-2.9120524729820345</c:v>
                      </c:pt>
                      <c:pt idx="130">
                        <c:v>-2.9022082022128251</c:v>
                      </c:pt>
                      <c:pt idx="131">
                        <c:v>-2.8923878651400847</c:v>
                      </c:pt>
                      <c:pt idx="132">
                        <c:v>-2.8825916636124083</c:v>
                      </c:pt>
                      <c:pt idx="133">
                        <c:v>-2.8728197911196647</c:v>
                      </c:pt>
                      <c:pt idx="134">
                        <c:v>-2.8630724330269199</c:v>
                      </c:pt>
                      <c:pt idx="135">
                        <c:v>-2.8533497668020726</c:v>
                      </c:pt>
                      <c:pt idx="136">
                        <c:v>-2.8436519622373613</c:v>
                      </c:pt>
                      <c:pt idx="137">
                        <c:v>-2.8339791816649149</c:v>
                      </c:pt>
                      <c:pt idx="138">
                        <c:v>-2.824331580166501</c:v>
                      </c:pt>
                      <c:pt idx="139">
                        <c:v>-2.8147093057776358</c:v>
                      </c:pt>
                      <c:pt idx="140">
                        <c:v>-2.8051124996861936</c:v>
                      </c:pt>
                      <c:pt idx="141">
                        <c:v>-2.7955412964256707</c:v>
                      </c:pt>
                      <c:pt idx="142">
                        <c:v>-2.7859958240632485</c:v>
                      </c:pt>
                      <c:pt idx="143">
                        <c:v>-2.7764762043827909</c:v>
                      </c:pt>
                      <c:pt idx="144">
                        <c:v>-2.7669825530629124</c:v>
                      </c:pt>
                      <c:pt idx="145">
                        <c:v>-2.7575149798502498</c:v>
                      </c:pt>
                      <c:pt idx="146">
                        <c:v>-2.7480735887280665</c:v>
                      </c:pt>
                      <c:pt idx="147">
                        <c:v>-2.7386584780803132</c:v>
                      </c:pt>
                      <c:pt idx="148">
                        <c:v>-2.7292697408512634</c:v>
                      </c:pt>
                      <c:pt idx="149">
                        <c:v>-2.7199074647008512</c:v>
                      </c:pt>
                      <c:pt idx="150">
                        <c:v>-2.7105717321558145</c:v>
                      </c:pt>
                      <c:pt idx="151">
                        <c:v>-2.7012626207567689</c:v>
                      </c:pt>
                      <c:pt idx="152">
                        <c:v>-2.6919802032013056</c:v>
                      </c:pt>
                      <c:pt idx="153">
                        <c:v>-2.6827245474832382</c:v>
                      </c:pt>
                      <c:pt idx="154">
                        <c:v>-2.6734957170280866</c:v>
                      </c:pt>
                      <c:pt idx="155">
                        <c:v>-2.6642937708249033</c:v>
                      </c:pt>
                      <c:pt idx="156">
                        <c:v>-2.6551187635545426</c:v>
                      </c:pt>
                      <c:pt idx="157">
                        <c:v>-2.6459521736967462</c:v>
                      </c:pt>
                      <c:pt idx="158">
                        <c:v>-2.6368127538171668</c:v>
                      </c:pt>
                      <c:pt idx="159">
                        <c:v>-2.6277005456351481</c:v>
                      </c:pt>
                      <c:pt idx="160">
                        <c:v>-2.6186155870457024</c:v>
                      </c:pt>
                      <c:pt idx="161">
                        <c:v>-2.6095579122313448</c:v>
                      </c:pt>
                      <c:pt idx="162">
                        <c:v>-2.6005275517709032</c:v>
                      </c:pt>
                      <c:pt idx="163">
                        <c:v>-2.5915245327453791</c:v>
                      </c:pt>
                      <c:pt idx="164">
                        <c:v>-2.582548878840949</c:v>
                      </c:pt>
                      <c:pt idx="165">
                        <c:v>-2.5736006104491769</c:v>
                      </c:pt>
                      <c:pt idx="166">
                        <c:v>-2.5646797447645096</c:v>
                      </c:pt>
                      <c:pt idx="167">
                        <c:v>-2.5557862958791353</c:v>
                      </c:pt>
                      <c:pt idx="168">
                        <c:v>-2.5469202748752728</c:v>
                      </c:pt>
                      <c:pt idx="169">
                        <c:v>-2.5380816899149532</c:v>
                      </c:pt>
                      <c:pt idx="170">
                        <c:v>-2.5292705463273761</c:v>
                      </c:pt>
                      <c:pt idx="171">
                        <c:v>-2.5204868466938901</c:v>
                      </c:pt>
                      <c:pt idx="172">
                        <c:v>-2.5117305909306711</c:v>
                      </c:pt>
                      <c:pt idx="173">
                        <c:v>-2.5030017763691554</c:v>
                      </c:pt>
                      <c:pt idx="174">
                        <c:v>-2.4943003978342912</c:v>
                      </c:pt>
                      <c:pt idx="175">
                        <c:v>-2.485626447720664</c:v>
                      </c:pt>
                      <c:pt idx="176">
                        <c:v>-2.4769799160665511</c:v>
                      </c:pt>
                      <c:pt idx="177">
                        <c:v>-2.4683607906259688</c:v>
                      </c:pt>
                      <c:pt idx="178">
                        <c:v>-2.4597690569387605</c:v>
                      </c:pt>
                      <c:pt idx="179">
                        <c:v>-2.4512046983987705</c:v>
                      </c:pt>
                      <c:pt idx="180">
                        <c:v>-2.4426676963201719</c:v>
                      </c:pt>
                      <c:pt idx="181">
                        <c:v>-2.4341580300019845</c:v>
                      </c:pt>
                      <c:pt idx="182">
                        <c:v>-2.4256756767908394</c:v>
                      </c:pt>
                      <c:pt idx="183">
                        <c:v>-2.4172206121420285</c:v>
                      </c:pt>
                      <c:pt idx="184">
                        <c:v>-2.4087928096788951</c:v>
                      </c:pt>
                      <c:pt idx="185">
                        <c:v>-2.4003922412505991</c:v>
                      </c:pt>
                      <c:pt idx="186">
                        <c:v>-2.3920188769883119</c:v>
                      </c:pt>
                      <c:pt idx="187">
                        <c:v>-2.3836726853598775</c:v>
                      </c:pt>
                      <c:pt idx="188">
                        <c:v>-2.3753536332229741</c:v>
                      </c:pt>
                      <c:pt idx="189">
                        <c:v>-2.3670616858768345</c:v>
                      </c:pt>
                      <c:pt idx="190">
                        <c:v>-2.3587968071125385</c:v>
                      </c:pt>
                      <c:pt idx="191">
                        <c:v>-2.3505589592619418</c:v>
                      </c:pt>
                      <c:pt idx="192">
                        <c:v>-2.3423481032452633</c:v>
                      </c:pt>
                      <c:pt idx="193">
                        <c:v>-2.3341641986173629</c:v>
                      </c:pt>
                      <c:pt idx="194">
                        <c:v>-2.3260072036127619</c:v>
                      </c:pt>
                      <c:pt idx="195">
                        <c:v>-2.3178770751894189</c:v>
                      </c:pt>
                      <c:pt idx="196">
                        <c:v>-2.3097737690713123</c:v>
                      </c:pt>
                      <c:pt idx="197">
                        <c:v>-2.3016972397898527</c:v>
                      </c:pt>
                      <c:pt idx="198">
                        <c:v>-2.2936474407241545</c:v>
                      </c:pt>
                      <c:pt idx="199">
                        <c:v>-2.2856243241402066</c:v>
                      </c:pt>
                      <c:pt idx="200">
                        <c:v>-2.2776278412289606</c:v>
                      </c:pt>
                      <c:pt idx="201">
                        <c:v>-2.2696579421433736</c:v>
                      </c:pt>
                      <c:pt idx="202">
                        <c:v>-2.261714576034433</c:v>
                      </c:pt>
                      <c:pt idx="203">
                        <c:v>-2.2537976910861826</c:v>
                      </c:pt>
                      <c:pt idx="204">
                        <c:v>-2.2459072345497888</c:v>
                      </c:pt>
                      <c:pt idx="205">
                        <c:v>-2.2380431527766653</c:v>
                      </c:pt>
                      <c:pt idx="206">
                        <c:v>-2.2302053912506801</c:v>
                      </c:pt>
                      <c:pt idx="207">
                        <c:v>-2.222393894619477</c:v>
                      </c:pt>
                      <c:pt idx="208">
                        <c:v>-2.2146086067249269</c:v>
                      </c:pt>
                      <c:pt idx="209">
                        <c:v>-2.2068331171834226</c:v>
                      </c:pt>
                      <c:pt idx="210">
                        <c:v>-2.1990838417157677</c:v>
                      </c:pt>
                      <c:pt idx="211">
                        <c:v>-2.1913607211641928</c:v>
                      </c:pt>
                      <c:pt idx="212">
                        <c:v>-2.1836636956854392</c:v>
                      </c:pt>
                      <c:pt idx="213">
                        <c:v>-2.1759927047771139</c:v>
                      </c:pt>
                      <c:pt idx="214">
                        <c:v>-2.1683476873033047</c:v>
                      </c:pt>
                      <c:pt idx="215">
                        <c:v>-2.1607285815194843</c:v>
                      </c:pt>
                      <c:pt idx="216">
                        <c:v>-2.15313532509672</c:v>
                      </c:pt>
                      <c:pt idx="217">
                        <c:v>-2.1455678551452073</c:v>
                      </c:pt>
                      <c:pt idx="218">
                        <c:v>-2.1380261082371437</c:v>
                      </c:pt>
                      <c:pt idx="219">
                        <c:v>-2.1305100204289671</c:v>
                      </c:pt>
                      <c:pt idx="220">
                        <c:v>-2.1230195272829691</c:v>
                      </c:pt>
                      <c:pt idx="221">
                        <c:v>-2.1155545638883049</c:v>
                      </c:pt>
                      <c:pt idx="222">
                        <c:v>-2.1081150648814053</c:v>
                      </c:pt>
                      <c:pt idx="223">
                        <c:v>-2.1007009644658283</c:v>
                      </c:pt>
                      <c:pt idx="224">
                        <c:v>-2.0933121964315404</c:v>
                      </c:pt>
                      <c:pt idx="225">
                        <c:v>-2.0859486941736658</c:v>
                      </c:pt>
                      <c:pt idx="226">
                        <c:v>-2.0786103907106912</c:v>
                      </c:pt>
                      <c:pt idx="227">
                        <c:v>-2.0712972187021768</c:v>
                      </c:pt>
                      <c:pt idx="228">
                        <c:v>-2.0640091104659475</c:v>
                      </c:pt>
                      <c:pt idx="229">
                        <c:v>-2.0567459979948119</c:v>
                      </c:pt>
                      <c:pt idx="230">
                        <c:v>-2.0495078129727999</c:v>
                      </c:pt>
                      <c:pt idx="231">
                        <c:v>-2.0422944867909343</c:v>
                      </c:pt>
                      <c:pt idx="232">
                        <c:v>-2.0351059505625719</c:v>
                      </c:pt>
                      <c:pt idx="233">
                        <c:v>-2.0279421351382854</c:v>
                      </c:pt>
                      <c:pt idx="234">
                        <c:v>-2.0208029711203364</c:v>
                      </c:pt>
                      <c:pt idx="235">
                        <c:v>-2.013688388876727</c:v>
                      </c:pt>
                      <c:pt idx="236">
                        <c:v>-2.0065983185548584</c:v>
                      </c:pt>
                      <c:pt idx="237">
                        <c:v>-1.9995326900947821</c:v>
                      </c:pt>
                      <c:pt idx="238">
                        <c:v>-1.9924914332420895</c:v>
                      </c:pt>
                      <c:pt idx="239">
                        <c:v>-1.9854744775604165</c:v>
                      </c:pt>
                      <c:pt idx="240">
                        <c:v>-1.9784817524435927</c:v>
                      </c:pt>
                      <c:pt idx="241">
                        <c:v>-1.9715131871274441</c:v>
                      </c:pt>
                      <c:pt idx="242">
                        <c:v>-1.9645687107012448</c:v>
                      </c:pt>
                      <c:pt idx="243">
                        <c:v>-1.9576482521188447</c:v>
                      </c:pt>
                      <c:pt idx="244">
                        <c:v>-1.9507517402094736</c:v>
                      </c:pt>
                      <c:pt idx="245">
                        <c:v>-1.9438791036882264</c:v>
                      </c:pt>
                      <c:pt idx="246">
                        <c:v>-1.9370302711662437</c:v>
                      </c:pt>
                      <c:pt idx="247">
                        <c:v>-1.9302051711606016</c:v>
                      </c:pt>
                      <c:pt idx="248">
                        <c:v>-1.9234037321039006</c:v>
                      </c:pt>
                      <c:pt idx="249">
                        <c:v>-1.9166258823535802</c:v>
                      </c:pt>
                      <c:pt idx="250">
                        <c:v>-1.9098715502009598</c:v>
                      </c:pt>
                      <c:pt idx="251">
                        <c:v>-1.9031406638800119</c:v>
                      </c:pt>
                      <c:pt idx="252">
                        <c:v>-1.896433151575871</c:v>
                      </c:pt>
                      <c:pt idx="253">
                        <c:v>-1.8897489414330955</c:v>
                      </c:pt>
                      <c:pt idx="254">
                        <c:v>-1.8830879615636871</c:v>
                      </c:pt>
                      <c:pt idx="255">
                        <c:v>-1.8764501400548594</c:v>
                      </c:pt>
                      <c:pt idx="256">
                        <c:v>-1.8698354049765884</c:v>
                      </c:pt>
                      <c:pt idx="257">
                        <c:v>-1.8632436843889253</c:v>
                      </c:pt>
                      <c:pt idx="258">
                        <c:v>-1.8566749063490975</c:v>
                      </c:pt>
                      <c:pt idx="259">
                        <c:v>-1.8501289989183887</c:v>
                      </c:pt>
                      <c:pt idx="260">
                        <c:v>-1.8436058901688188</c:v>
                      </c:pt>
                      <c:pt idx="261">
                        <c:v>-1.8371964540877035</c:v>
                      </c:pt>
                      <c:pt idx="262">
                        <c:v>-1.8309120997316959</c:v>
                      </c:pt>
                      <c:pt idx="263">
                        <c:v>-1.8247495300195373</c:v>
                      </c:pt>
                      <c:pt idx="264">
                        <c:v>-1.8187055360491522</c:v>
                      </c:pt>
                      <c:pt idx="265">
                        <c:v>-1.8127769947379297</c:v>
                      </c:pt>
                      <c:pt idx="266">
                        <c:v>-1.8069608665261647</c:v>
                      </c:pt>
                      <c:pt idx="267">
                        <c:v>-1.8012541931419475</c:v>
                      </c:pt>
                      <c:pt idx="268">
                        <c:v>-1.7956540954258702</c:v>
                      </c:pt>
                      <c:pt idx="269">
                        <c:v>-1.7901577712139516</c:v>
                      </c:pt>
                      <c:pt idx="270">
                        <c:v>-1.7847624932772077</c:v>
                      </c:pt>
                      <c:pt idx="271">
                        <c:v>-1.7794656073163724</c:v>
                      </c:pt>
                      <c:pt idx="272">
                        <c:v>-1.7742645300102708</c:v>
                      </c:pt>
                      <c:pt idx="273">
                        <c:v>-1.7691567471164285</c:v>
                      </c:pt>
                      <c:pt idx="274">
                        <c:v>-1.764139811622506</c:v>
                      </c:pt>
                      <c:pt idx="275">
                        <c:v>-1.7592113419472057</c:v>
                      </c:pt>
                      <c:pt idx="276">
                        <c:v>-1.7543690201893212</c:v>
                      </c:pt>
                      <c:pt idx="277">
                        <c:v>-1.7496105904236463</c:v>
                      </c:pt>
                      <c:pt idx="278">
                        <c:v>-1.7449338570424884</c:v>
                      </c:pt>
                      <c:pt idx="279">
                        <c:v>-1.7403366831415601</c:v>
                      </c:pt>
                      <c:pt idx="280">
                        <c:v>-1.7358169889490722</c:v>
                      </c:pt>
                      <c:pt idx="281">
                        <c:v>-1.7313727502968588</c:v>
                      </c:pt>
                      <c:pt idx="282">
                        <c:v>-1.7270019971324244</c:v>
                      </c:pt>
                      <c:pt idx="283">
                        <c:v>-1.7227028120708057</c:v>
                      </c:pt>
                      <c:pt idx="284">
                        <c:v>-1.7184733289851852</c:v>
                      </c:pt>
                      <c:pt idx="285">
                        <c:v>-1.7143117316352281</c:v>
                      </c:pt>
                      <c:pt idx="286">
                        <c:v>-1.7102162523321176</c:v>
                      </c:pt>
                      <c:pt idx="287">
                        <c:v>-1.7061851706393254</c:v>
                      </c:pt>
                      <c:pt idx="288">
                        <c:v>-1.702216812108142</c:v>
                      </c:pt>
                      <c:pt idx="289">
                        <c:v>-1.6983095470470491</c:v>
                      </c:pt>
                      <c:pt idx="290">
                        <c:v>-1.694461789324027</c:v>
                      </c:pt>
                      <c:pt idx="291">
                        <c:v>-1.6906719952009099</c:v>
                      </c:pt>
                      <c:pt idx="292">
                        <c:v>-1.6869386621989366</c:v>
                      </c:pt>
                      <c:pt idx="293">
                        <c:v>-1.6832603279946614</c:v>
                      </c:pt>
                      <c:pt idx="294">
                        <c:v>-1.679635569345409</c:v>
                      </c:pt>
                      <c:pt idx="295">
                        <c:v>-1.6760630010434898</c:v>
                      </c:pt>
                      <c:pt idx="296">
                        <c:v>-1.6725412748983932</c:v>
                      </c:pt>
                      <c:pt idx="297">
                        <c:v>-1.669069078746229</c:v>
                      </c:pt>
                      <c:pt idx="298">
                        <c:v>-1.6656451354856694</c:v>
                      </c:pt>
                      <c:pt idx="299">
                        <c:v>-1.6622682021396926</c:v>
                      </c:pt>
                      <c:pt idx="300">
                        <c:v>-1.6589370689424372</c:v>
                      </c:pt>
                      <c:pt idx="301">
                        <c:v>-1.6556505584504879</c:v>
                      </c:pt>
                      <c:pt idx="302">
                        <c:v>-1.6524075246779519</c:v>
                      </c:pt>
                      <c:pt idx="303">
                        <c:v>-1.6492068522546746</c:v>
                      </c:pt>
                      <c:pt idx="304">
                        <c:v>-1.6460474556069855</c:v>
                      </c:pt>
                      <c:pt idx="305">
                        <c:v>-1.6429282781603674</c:v>
                      </c:pt>
                      <c:pt idx="306">
                        <c:v>-1.6398482915634642</c:v>
                      </c:pt>
                      <c:pt idx="307">
                        <c:v>-1.6368064949328527</c:v>
                      </c:pt>
                      <c:pt idx="308">
                        <c:v>-1.6338019141180282</c:v>
                      </c:pt>
                      <c:pt idx="309">
                        <c:v>-1.630833600986056</c:v>
                      </c:pt>
                      <c:pt idx="310">
                        <c:v>-1.6279006327253711</c:v>
                      </c:pt>
                      <c:pt idx="311">
                        <c:v>-1.6250021111682043</c:v>
                      </c:pt>
                      <c:pt idx="312">
                        <c:v>-1.6221371621311438</c:v>
                      </c:pt>
                      <c:pt idx="313">
                        <c:v>-1.6192915095674678</c:v>
                      </c:pt>
                      <c:pt idx="314">
                        <c:v>-1.6164778017223567</c:v>
                      </c:pt>
                      <c:pt idx="315">
                        <c:v>-1.6136952316754176</c:v>
                      </c:pt>
                      <c:pt idx="316">
                        <c:v>-1.6109430140542991</c:v>
                      </c:pt>
                      <c:pt idx="317">
                        <c:v>-1.608220384457923</c:v>
                      </c:pt>
                      <c:pt idx="318">
                        <c:v>-1.6055265988951604</c:v>
                      </c:pt>
                      <c:pt idx="319">
                        <c:v>-1.6028609332385289</c:v>
                      </c:pt>
                      <c:pt idx="320">
                        <c:v>-1.600222682692517</c:v>
                      </c:pt>
                      <c:pt idx="321">
                        <c:v>-1.5976111612761417</c:v>
                      </c:pt>
                      <c:pt idx="322">
                        <c:v>-1.5950257013193534</c:v>
                      </c:pt>
                      <c:pt idx="323">
                        <c:v>-1.5924656529729264</c:v>
                      </c:pt>
                      <c:pt idx="324">
                        <c:v>-1.5899303837314651</c:v>
                      </c:pt>
                      <c:pt idx="325">
                        <c:v>-1.5874192779691829</c:v>
                      </c:pt>
                      <c:pt idx="326">
                        <c:v>-1.5849317364881041</c:v>
                      </c:pt>
                      <c:pt idx="327">
                        <c:v>-1.5824671760783622</c:v>
                      </c:pt>
                      <c:pt idx="328">
                        <c:v>-1.5800250290902675</c:v>
                      </c:pt>
                      <c:pt idx="329">
                        <c:v>-1.5776047430178306</c:v>
                      </c:pt>
                      <c:pt idx="330">
                        <c:v>-1.5752057800934356</c:v>
                      </c:pt>
                      <c:pt idx="331">
                        <c:v>-1.5728276168933606</c:v>
                      </c:pt>
                      <c:pt idx="332">
                        <c:v>-1.5704697439538609</c:v>
                      </c:pt>
                      <c:pt idx="333">
                        <c:v>-1.5681316653975272</c:v>
                      </c:pt>
                      <c:pt idx="334">
                        <c:v>-1.56581289856965</c:v>
                      </c:pt>
                      <c:pt idx="335">
                        <c:v>-1.5635129736843103</c:v>
                      </c:pt>
                      <c:pt idx="336">
                        <c:v>-1.5612314334799526</c:v>
                      </c:pt>
                      <c:pt idx="337">
                        <c:v>-1.5589678328841716</c:v>
                      </c:pt>
                      <c:pt idx="338">
                        <c:v>-1.5567217386874754</c:v>
                      </c:pt>
                      <c:pt idx="339">
                        <c:v>-1.5544927292257817</c:v>
                      </c:pt>
                      <c:pt idx="340">
                        <c:v>-1.5522803940714121</c:v>
                      </c:pt>
                      <c:pt idx="341">
                        <c:v>-1.5500843337323587</c:v>
                      </c:pt>
                      <c:pt idx="342">
                        <c:v>-1.5479041593596001</c:v>
                      </c:pt>
                      <c:pt idx="343">
                        <c:v>-1.5457394924622543</c:v>
                      </c:pt>
                      <c:pt idx="344">
                        <c:v>-1.5435899646303555</c:v>
                      </c:pt>
                      <c:pt idx="345">
                        <c:v>-1.5414552172650502</c:v>
                      </c:pt>
                      <c:pt idx="346">
                        <c:v>-1.5393349013160194</c:v>
                      </c:pt>
                      <c:pt idx="347">
                        <c:v>-1.537228677025926</c:v>
                      </c:pt>
                      <c:pt idx="348">
                        <c:v>-1.5351362136817046</c:v>
                      </c:pt>
                      <c:pt idx="349">
                        <c:v>-1.533057189372512</c:v>
                      </c:pt>
                      <c:pt idx="350">
                        <c:v>-1.5309912907541505</c:v>
                      </c:pt>
                      <c:pt idx="351">
                        <c:v>-1.5289382128198032</c:v>
                      </c:pt>
                      <c:pt idx="352">
                        <c:v>-1.5268976586769032</c:v>
                      </c:pt>
                      <c:pt idx="353">
                        <c:v>-1.5248693393299779</c:v>
                      </c:pt>
                      <c:pt idx="354">
                        <c:v>-1.5228529734693046</c:v>
                      </c:pt>
                      <c:pt idx="355">
                        <c:v>-1.5208482872652247</c:v>
                      </c:pt>
                      <c:pt idx="356">
                        <c:v>-1.5188550141679631</c:v>
                      </c:pt>
                      <c:pt idx="357">
                        <c:v>-1.5168728947128067</c:v>
                      </c:pt>
                      <c:pt idx="358">
                        <c:v>-1.5149016763304983</c:v>
                      </c:pt>
                      <c:pt idx="359">
                        <c:v>-1.5129411131627044</c:v>
                      </c:pt>
                      <c:pt idx="360">
                        <c:v>-1.5109909658824245</c:v>
                      </c:pt>
                      <c:pt idx="361">
                        <c:v>-1.5090510015192098</c:v>
                      </c:pt>
                      <c:pt idx="362">
                        <c:v>-1.507120993289053</c:v>
                      </c:pt>
                      <c:pt idx="363">
                        <c:v>-1.5052007204288422</c:v>
                      </c:pt>
                      <c:pt idx="364">
                        <c:v>-1.5032899680352365</c:v>
                      </c:pt>
                      <c:pt idx="365">
                        <c:v>-1.5013750453797774</c:v>
                      </c:pt>
                      <c:pt idx="366">
                        <c:v>-1.4994692691681197</c:v>
                      </c:pt>
                      <c:pt idx="367">
                        <c:v>-1.4975724407747537</c:v>
                      </c:pt>
                      <c:pt idx="368">
                        <c:v>-1.4956843668420718</c:v>
                      </c:pt>
                      <c:pt idx="369">
                        <c:v>-1.493804859139362</c:v>
                      </c:pt>
                      <c:pt idx="370">
                        <c:v>-1.4919337344255748</c:v>
                      </c:pt>
                      <c:pt idx="371">
                        <c:v>-1.4900708143157677</c:v>
                      </c:pt>
                      <c:pt idx="372">
                        <c:v>-1.4882159251511238</c:v>
                      </c:pt>
                      <c:pt idx="373">
                        <c:v>-1.4863688978724521</c:v>
                      </c:pt>
                      <c:pt idx="374">
                        <c:v>-1.4845295678970736</c:v>
                      </c:pt>
                      <c:pt idx="375">
                        <c:v>-1.4826977749990056</c:v>
                      </c:pt>
                      <c:pt idx="376">
                        <c:v>-1.480873363192355</c:v>
                      </c:pt>
                      <c:pt idx="377">
                        <c:v>-1.4790561806178311</c:v>
                      </c:pt>
                      <c:pt idx="378">
                        <c:v>-1.4772460794323008</c:v>
                      </c:pt>
                      <c:pt idx="379">
                        <c:v>-1.4754429157012992</c:v>
                      </c:pt>
                      <c:pt idx="380">
                        <c:v>-1.4736465492944175</c:v>
                      </c:pt>
                      <c:pt idx="381">
                        <c:v>-1.4718568437834956</c:v>
                      </c:pt>
                      <c:pt idx="382">
                        <c:v>-1.4700736663435361</c:v>
                      </c:pt>
                      <c:pt idx="383">
                        <c:v>-1.4682968876562774</c:v>
                      </c:pt>
                      <c:pt idx="384">
                        <c:v>-1.4665263818163428</c:v>
                      </c:pt>
                      <c:pt idx="385">
                        <c:v>-1.4647620262399059</c:v>
                      </c:pt>
                      <c:pt idx="386">
                        <c:v>-1.4630037015758035</c:v>
                      </c:pt>
                      <c:pt idx="387">
                        <c:v>-1.4612512916190232</c:v>
                      </c:pt>
                      <c:pt idx="388">
                        <c:v>-1.4595046832265133</c:v>
                      </c:pt>
                      <c:pt idx="389">
                        <c:v>-1.4577637662352427</c:v>
                      </c:pt>
                      <c:pt idx="390">
                        <c:v>-1.4560284333824594</c:v>
                      </c:pt>
                      <c:pt idx="391">
                        <c:v>-1.4542985802280775</c:v>
                      </c:pt>
                      <c:pt idx="392">
                        <c:v>-1.4525741050791512</c:v>
                      </c:pt>
                      <c:pt idx="393">
                        <c:v>-1.4508549089163632</c:v>
                      </c:pt>
                      <c:pt idx="394">
                        <c:v>-1.449140895322486</c:v>
                      </c:pt>
                      <c:pt idx="395">
                        <c:v>-1.4474319704127585</c:v>
                      </c:pt>
                      <c:pt idx="396">
                        <c:v>-1.4457280427671246</c:v>
                      </c:pt>
                      <c:pt idx="397">
                        <c:v>-1.4440290233642887</c:v>
                      </c:pt>
                      <c:pt idx="398">
                        <c:v>-1.4423348255175359</c:v>
                      </c:pt>
                      <c:pt idx="399">
                        <c:v>-1.4406453648122703</c:v>
                      </c:pt>
                      <c:pt idx="400">
                        <c:v>-1.4389605590452281</c:v>
                      </c:pt>
                      <c:pt idx="401">
                        <c:v>-1.4372803281653135</c:v>
                      </c:pt>
                      <c:pt idx="402">
                        <c:v>-1.4356045942160256</c:v>
                      </c:pt>
                      <c:pt idx="403">
                        <c:v>-1.4339332812794212</c:v>
                      </c:pt>
                      <c:pt idx="404">
                        <c:v>-1.4322663154215816</c:v>
                      </c:pt>
                      <c:pt idx="405">
                        <c:v>-1.4306036246395359</c:v>
                      </c:pt>
                      <c:pt idx="406">
                        <c:v>-1.428945138809611</c:v>
                      </c:pt>
                      <c:pt idx="407">
                        <c:v>-1.4272907896371596</c:v>
                      </c:pt>
                      <c:pt idx="408">
                        <c:v>-1.4256405106076371</c:v>
                      </c:pt>
                      <c:pt idx="409">
                        <c:v>-1.4239942369389857</c:v>
                      </c:pt>
                      <c:pt idx="410">
                        <c:v>-1.4223519055352991</c:v>
                      </c:pt>
                      <c:pt idx="411">
                        <c:v>-1.4207134549417213</c:v>
                      </c:pt>
                      <c:pt idx="412">
                        <c:v>-1.4190788253005566</c:v>
                      </c:pt>
                      <c:pt idx="413">
                        <c:v>-1.4174479583085546</c:v>
                      </c:pt>
                      <c:pt idx="414">
                        <c:v>-1.4158207971753396</c:v>
                      </c:pt>
                      <c:pt idx="415">
                        <c:v>-1.4141972865829493</c:v>
                      </c:pt>
                      <c:pt idx="416">
                        <c:v>-1.412577372646463</c:v>
                      </c:pt>
                      <c:pt idx="417">
                        <c:v>-1.4109469425749126</c:v>
                      </c:pt>
                      <c:pt idx="418">
                        <c:v>-1.409320042771997</c:v>
                      </c:pt>
                      <c:pt idx="419">
                        <c:v>-1.407696623179042</c:v>
                      </c:pt>
                      <c:pt idx="420">
                        <c:v>-1.4060766350289788</c:v>
                      </c:pt>
                      <c:pt idx="421">
                        <c:v>-1.4044600308117998</c:v>
                      </c:pt>
                      <c:pt idx="422">
                        <c:v>-1.402846764240941</c:v>
                      </c:pt>
                      <c:pt idx="423">
                        <c:v>-1.4012367902205609</c:v>
                      </c:pt>
                      <c:pt idx="424">
                        <c:v>-1.3996300648137014</c:v>
                      </c:pt>
                      <c:pt idx="425">
                        <c:v>-1.3980265452112957</c:v>
                      </c:pt>
                      <c:pt idx="426">
                        <c:v>-1.3964261897020114</c:v>
                      </c:pt>
                      <c:pt idx="427">
                        <c:v>-1.3948289576428983</c:v>
                      </c:pt>
                      <c:pt idx="428">
                        <c:v>-1.3932348094308225</c:v>
                      </c:pt>
                      <c:pt idx="429">
                        <c:v>-1.3916437064746672</c:v>
                      </c:pt>
                      <c:pt idx="430">
                        <c:v>-1.390055611168278</c:v>
                      </c:pt>
                      <c:pt idx="431">
                        <c:v>-1.3884704868641309</c:v>
                      </c:pt>
                      <c:pt idx="432">
                        <c:v>-1.3868882978477077</c:v>
                      </c:pt>
                      <c:pt idx="433">
                        <c:v>-1.3853090093125566</c:v>
                      </c:pt>
                      <c:pt idx="434">
                        <c:v>-1.3837325873360218</c:v>
                      </c:pt>
                      <c:pt idx="435">
                        <c:v>-1.3821589988556213</c:v>
                      </c:pt>
                      <c:pt idx="436">
                        <c:v>-1.3805882116460608</c:v>
                      </c:pt>
                      <c:pt idx="437">
                        <c:v>-1.3790201942968592</c:v>
                      </c:pt>
                      <c:pt idx="438">
                        <c:v>-1.3774549161905763</c:v>
                      </c:pt>
                      <c:pt idx="439">
                        <c:v>-1.3758923474816223</c:v>
                      </c:pt>
                      <c:pt idx="440">
                        <c:v>-1.3743324590756352</c:v>
                      </c:pt>
                      <c:pt idx="441">
                        <c:v>-1.3727752226094128</c:v>
                      </c:pt>
                      <c:pt idx="442">
                        <c:v>-1.3712206104313769</c:v>
                      </c:pt>
                      <c:pt idx="443">
                        <c:v>-1.3696685955825658</c:v>
                      </c:pt>
                      <c:pt idx="444">
                        <c:v>-1.3681191517781337</c:v>
                      </c:pt>
                      <c:pt idx="445">
                        <c:v>-1.3665722533893467</c:v>
                      </c:pt>
                      <c:pt idx="446">
                        <c:v>-1.3650278754260592</c:v>
                      </c:pt>
                      <c:pt idx="447">
                        <c:v>-1.3634859935196615</c:v>
                      </c:pt>
                      <c:pt idx="448">
                        <c:v>-1.3619465839064839</c:v>
                      </c:pt>
                      <c:pt idx="449">
                        <c:v>-1.3604096234116432</c:v>
                      </c:pt>
                      <c:pt idx="450">
                        <c:v>-1.3588750894333244</c:v>
                      </c:pt>
                      <c:pt idx="451">
                        <c:v>-1.3573429599274829</c:v>
                      </c:pt>
                      <c:pt idx="452">
                        <c:v>-1.3558132133929566</c:v>
                      </c:pt>
                      <c:pt idx="453">
                        <c:v>-1.3542858288569739</c:v>
                      </c:pt>
                      <c:pt idx="454">
                        <c:v>-1.3527607858610542</c:v>
                      </c:pt>
                      <c:pt idx="455">
                        <c:v>-1.3512380644472832</c:v>
                      </c:pt>
                      <c:pt idx="456">
                        <c:v>-1.3497176451449564</c:v>
                      </c:pt>
                      <c:pt idx="457">
                        <c:v>-1.3481995089575807</c:v>
                      </c:pt>
                      <c:pt idx="458">
                        <c:v>-1.3466836373502238</c:v>
                      </c:pt>
                      <c:pt idx="459">
                        <c:v>-1.3451700122372032</c:v>
                      </c:pt>
                      <c:pt idx="460">
                        <c:v>-1.3436586159701027</c:v>
                      </c:pt>
                      <c:pt idx="461">
                        <c:v>-1.3421494313261135</c:v>
                      </c:pt>
                      <c:pt idx="462">
                        <c:v>-1.3406424414966829</c:v>
                      </c:pt>
                      <c:pt idx="463">
                        <c:v>-1.3391376300764728</c:v>
                      </c:pt>
                      <c:pt idx="464">
                        <c:v>-1.3376349810526074</c:v>
                      </c:pt>
                      <c:pt idx="465">
                        <c:v>-1.3361344787942142</c:v>
                      </c:pt>
                      <c:pt idx="466">
                        <c:v>-1.3346361080422435</c:v>
                      </c:pt>
                      <c:pt idx="467">
                        <c:v>-1.3331398538995585</c:v>
                      </c:pt>
                      <c:pt idx="468">
                        <c:v>-1.3316457018212926</c:v>
                      </c:pt>
                      <c:pt idx="469">
                        <c:v>-1.3301385468660731</c:v>
                      </c:pt>
                      <c:pt idx="470">
                        <c:v>-1.3286335052073921</c:v>
                      </c:pt>
                      <c:pt idx="471">
                        <c:v>-1.3271305630766057</c:v>
                      </c:pt>
                      <c:pt idx="472">
                        <c:v>-1.3256297070260465</c:v>
                      </c:pt>
                      <c:pt idx="473">
                        <c:v>-1.3241309239204788</c:v>
                      </c:pt>
                      <c:pt idx="474">
                        <c:v>-1.3226342009287773</c:v>
                      </c:pt>
                      <c:pt idx="475">
                        <c:v>-1.32113952551583</c:v>
                      </c:pt>
                      <c:pt idx="476">
                        <c:v>-1.3196468854346624</c:v>
                      </c:pt>
                      <c:pt idx="477">
                        <c:v>-1.3181562687187671</c:v>
                      </c:pt>
                      <c:pt idx="478">
                        <c:v>-1.3166676636746406</c:v>
                      </c:pt>
                      <c:pt idx="479">
                        <c:v>-1.315181058874521</c:v>
                      </c:pt>
                      <c:pt idx="480">
                        <c:v>-1.3136964431493217</c:v>
                      </c:pt>
                      <c:pt idx="481">
                        <c:v>-1.3122138055817509</c:v>
                      </c:pt>
                      <c:pt idx="482">
                        <c:v>-1.3107331354996152</c:v>
                      </c:pt>
                      <c:pt idx="483">
                        <c:v>-1.3092544224693083</c:v>
                      </c:pt>
                      <c:pt idx="484">
                        <c:v>-1.3077776562894676</c:v>
                      </c:pt>
                      <c:pt idx="485">
                        <c:v>-1.3063028269848049</c:v>
                      </c:pt>
                      <c:pt idx="486">
                        <c:v>-1.3048299248000994</c:v>
                      </c:pt>
                      <c:pt idx="487">
                        <c:v>-1.3033589401943546</c:v>
                      </c:pt>
                      <c:pt idx="488">
                        <c:v>-1.3018898638351086</c:v>
                      </c:pt>
                      <c:pt idx="489">
                        <c:v>-1.3004226865929007</c:v>
                      </c:pt>
                      <c:pt idx="490">
                        <c:v>-1.2989573995358814</c:v>
                      </c:pt>
                      <c:pt idx="491">
                        <c:v>-1.2974939939245713</c:v>
                      </c:pt>
                      <c:pt idx="492">
                        <c:v>-1.2960324612067584</c:v>
                      </c:pt>
                      <c:pt idx="493">
                        <c:v>-1.2945727930125308</c:v>
                      </c:pt>
                      <c:pt idx="494">
                        <c:v>-1.2931149811494436</c:v>
                      </c:pt>
                      <c:pt idx="495">
                        <c:v>-1.2916590175978186</c:v>
                      </c:pt>
                      <c:pt idx="496">
                        <c:v>-1.2902048945061635</c:v>
                      </c:pt>
                      <c:pt idx="497">
                        <c:v>-1.2887526041867181</c:v>
                      </c:pt>
                      <c:pt idx="498">
                        <c:v>-1.287302139111119</c:v>
                      </c:pt>
                      <c:pt idx="499">
                        <c:v>-1.2858534919061801</c:v>
                      </c:pt>
                      <c:pt idx="500">
                        <c:v>-1.2844066553497868</c:v>
                      </c:pt>
                      <c:pt idx="501">
                        <c:v>-1.2829616223668978</c:v>
                      </c:pt>
                      <c:pt idx="502">
                        <c:v>-1.2815183860256572</c:v>
                      </c:pt>
                      <c:pt idx="503">
                        <c:v>-1.2800769395336096</c:v>
                      </c:pt>
                      <c:pt idx="504">
                        <c:v>-1.278637276234015</c:v>
                      </c:pt>
                      <c:pt idx="505">
                        <c:v>-1.2771993896022655</c:v>
                      </c:pt>
                      <c:pt idx="506">
                        <c:v>-1.2757632732423936</c:v>
                      </c:pt>
                      <c:pt idx="507">
                        <c:v>-1.2743289208836786</c:v>
                      </c:pt>
                      <c:pt idx="508">
                        <c:v>-1.2728963263773412</c:v>
                      </c:pt>
                      <c:pt idx="509">
                        <c:v>-1.2714654836933277</c:v>
                      </c:pt>
                      <c:pt idx="510">
                        <c:v>-1.2700363869171789</c:v>
                      </c:pt>
                      <c:pt idx="511">
                        <c:v>-1.2686090302469846</c:v>
                      </c:pt>
                      <c:pt idx="512">
                        <c:v>-1.267183407990419</c:v>
                      </c:pt>
                      <c:pt idx="513">
                        <c:v>-1.2657595145618539</c:v>
                      </c:pt>
                      <c:pt idx="514">
                        <c:v>-1.2643373444795534</c:v>
                      </c:pt>
                      <c:pt idx="515">
                        <c:v>-1.2629168923629388</c:v>
                      </c:pt>
                      <c:pt idx="516">
                        <c:v>-1.2614981529299296</c:v>
                      </c:pt>
                      <c:pt idx="517">
                        <c:v>-1.2600811209943552</c:v>
                      </c:pt>
                      <c:pt idx="518">
                        <c:v>-1.2586657914634354</c:v>
                      </c:pt>
                      <c:pt idx="519">
                        <c:v>-1.2572521593353294</c:v>
                      </c:pt>
                    </c:numCache>
                  </c:numRef>
                </c:val>
                <c:smooth val="0"/>
                <c:extLst xmlns:c15="http://schemas.microsoft.com/office/drawing/2012/chart">
                  <c:ext xmlns:c16="http://schemas.microsoft.com/office/drawing/2014/chart" uri="{C3380CC4-5D6E-409C-BE32-E72D297353CC}">
                    <c16:uniqueId val="{00000005-7744-4B44-92D6-CD8912115525}"/>
                  </c:ext>
                </c:extLst>
              </c15:ser>
            </c15:filteredLineSeries>
            <c15:filteredLineSeries>
              <c15:ser>
                <c:idx val="7"/>
                <c:order val="4"/>
                <c:tx>
                  <c:strRef>
                    <c:extLst xmlns:c15="http://schemas.microsoft.com/office/drawing/2012/chart">
                      <c:ext xmlns:c15="http://schemas.microsoft.com/office/drawing/2012/chart" uri="{02D57815-91ED-43cb-92C2-25804820EDAC}">
                        <c15:formulaRef>
                          <c15:sqref>Ig!$AF$534</c15:sqref>
                        </c15:formulaRef>
                      </c:ext>
                    </c:extLst>
                    <c:strCache>
                      <c:ptCount val="1"/>
                      <c:pt idx="0">
                        <c:v>Diabetes</c:v>
                      </c:pt>
                    </c:strCache>
                  </c:strRef>
                </c:tx>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Ig!$AA$535:$AA$1054</c15:sqref>
                        </c15:formulaRef>
                      </c:ext>
                    </c:extLst>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extLst xmlns:c15="http://schemas.microsoft.com/office/drawing/2012/chart">
                      <c:ext xmlns:c15="http://schemas.microsoft.com/office/drawing/2012/chart" uri="{02D57815-91ED-43cb-92C2-25804820EDAC}">
                        <c15:formulaRef>
                          <c15:sqref>Ig!$AF$535:$AF$1054</c15:sqref>
                        </c15:formulaRef>
                      </c:ext>
                    </c:extLst>
                    <c:numCache>
                      <c:formatCode>#,##0</c:formatCode>
                      <c:ptCount val="520"/>
                      <c:pt idx="0">
                        <c:v>0</c:v>
                      </c:pt>
                      <c:pt idx="1">
                        <c:v>-0.44744268281686722</c:v>
                      </c:pt>
                      <c:pt idx="2">
                        <c:v>-0.8813578060591245</c:v>
                      </c:pt>
                      <c:pt idx="3">
                        <c:v>-1.3021124191492726</c:v>
                      </c:pt>
                      <c:pt idx="4">
                        <c:v>-1.7100637421574041</c:v>
                      </c:pt>
                      <c:pt idx="5">
                        <c:v>-2.1055594285762087</c:v>
                      </c:pt>
                      <c:pt idx="6">
                        <c:v>-2.4889378210725996</c:v>
                      </c:pt>
                      <c:pt idx="7">
                        <c:v>-2.8605282004036741</c:v>
                      </c:pt>
                      <c:pt idx="8">
                        <c:v>-3.2206510276797058</c:v>
                      </c:pt>
                      <c:pt idx="9">
                        <c:v>-3.5696181801519824</c:v>
                      </c:pt>
                      <c:pt idx="10">
                        <c:v>-3.907733180698548</c:v>
                      </c:pt>
                      <c:pt idx="11">
                        <c:v>-4.2352914211762904</c:v>
                      </c:pt>
                      <c:pt idx="12">
                        <c:v>-4.5525803798032971</c:v>
                      </c:pt>
                      <c:pt idx="13">
                        <c:v>-4.8598798327310488</c:v>
                      </c:pt>
                      <c:pt idx="14">
                        <c:v>-5.1574620599617207</c:v>
                      </c:pt>
                      <c:pt idx="15">
                        <c:v>-5.4455920457617468</c:v>
                      </c:pt>
                      <c:pt idx="16">
                        <c:v>-5.7245276737187307</c:v>
                      </c:pt>
                      <c:pt idx="17">
                        <c:v>-5.9945199165848786</c:v>
                      </c:pt>
                      <c:pt idx="18">
                        <c:v>-6.2558130210462908</c:v>
                      </c:pt>
                      <c:pt idx="19">
                        <c:v>-6.5086446875537369</c:v>
                      </c:pt>
                      <c:pt idx="20">
                        <c:v>-6.753246245346892</c:v>
                      </c:pt>
                      <c:pt idx="21">
                        <c:v>-6.8155811166157729</c:v>
                      </c:pt>
                      <c:pt idx="22">
                        <c:v>-6.8738802616753336</c:v>
                      </c:pt>
                      <c:pt idx="23">
                        <c:v>-6.9282684139716162</c:v>
                      </c:pt>
                      <c:pt idx="24">
                        <c:v>-6.9788668657782118</c:v>
                      </c:pt>
                      <c:pt idx="25">
                        <c:v>-7.0257935608169229</c:v>
                      </c:pt>
                      <c:pt idx="26">
                        <c:v>-7.069163184399156</c:v>
                      </c:pt>
                      <c:pt idx="27">
                        <c:v>-7.1090872511543353</c:v>
                      </c:pt>
                      <c:pt idx="28">
                        <c:v>-7.1456741904098422</c:v>
                      </c:pt>
                      <c:pt idx="29">
                        <c:v>-7.1790294292852774</c:v>
                      </c:pt>
                      <c:pt idx="30">
                        <c:v>-7.2092554735621599</c:v>
                      </c:pt>
                      <c:pt idx="31">
                        <c:v>-7.2364519863885137</c:v>
                      </c:pt>
                      <c:pt idx="32">
                        <c:v>-7.2607158648762722</c:v>
                      </c:pt>
                      <c:pt idx="33">
                        <c:v>-7.2821413146477996</c:v>
                      </c:pt>
                      <c:pt idx="34">
                        <c:v>-7.300819922386391</c:v>
                      </c:pt>
                      <c:pt idx="35">
                        <c:v>-7.3168407264441129</c:v>
                      </c:pt>
                      <c:pt idx="36">
                        <c:v>-7.3302902855589087</c:v>
                      </c:pt>
                      <c:pt idx="37">
                        <c:v>-7.3412527457315582</c:v>
                      </c:pt>
                      <c:pt idx="38">
                        <c:v>-7.3498099053116537</c:v>
                      </c:pt>
                      <c:pt idx="39">
                        <c:v>-7.3560412783405145</c:v>
                      </c:pt>
                      <c:pt idx="40">
                        <c:v>-7.3600241561976283</c:v>
                      </c:pt>
                      <c:pt idx="41">
                        <c:v>-7.3618336675959695</c:v>
                      </c:pt>
                      <c:pt idx="42">
                        <c:v>-7.3615428369703935</c:v>
                      </c:pt>
                      <c:pt idx="43">
                        <c:v>-7.3592226413020052</c:v>
                      </c:pt>
                      <c:pt idx="44">
                        <c:v>-7.3549420654203743</c:v>
                      </c:pt>
                      <c:pt idx="45">
                        <c:v>-7.3487681558242928</c:v>
                      </c:pt>
                      <c:pt idx="46">
                        <c:v>-7.3407660730606574</c:v>
                      </c:pt>
                      <c:pt idx="47">
                        <c:v>-7.3309991427000831</c:v>
                      </c:pt>
                      <c:pt idx="48">
                        <c:v>-7.3195289049467194</c:v>
                      </c:pt>
                      <c:pt idx="49">
                        <c:v>-7.3064151629188441</c:v>
                      </c:pt>
                      <c:pt idx="50">
                        <c:v>-7.2917160296357322</c:v>
                      </c:pt>
                      <c:pt idx="51">
                        <c:v>-7.2754879737454257</c:v>
                      </c:pt>
                      <c:pt idx="52">
                        <c:v>-7.2577858640270669</c:v>
                      </c:pt>
                      <c:pt idx="53">
                        <c:v>-7.2386226475900255</c:v>
                      </c:pt>
                      <c:pt idx="54">
                        <c:v>-7.2193576589791917</c:v>
                      </c:pt>
                      <c:pt idx="55">
                        <c:v>-7.1999957751966521</c:v>
                      </c:pt>
                      <c:pt idx="56">
                        <c:v>-7.1805417352984318</c:v>
                      </c:pt>
                      <c:pt idx="57">
                        <c:v>-7.1610001441086952</c:v>
                      </c:pt>
                      <c:pt idx="58">
                        <c:v>-7.1413754758345602</c:v>
                      </c:pt>
                      <c:pt idx="59">
                        <c:v>-7.1216720775841997</c:v>
                      </c:pt>
                      <c:pt idx="60">
                        <c:v>-7.1018941727907992</c:v>
                      </c:pt>
                      <c:pt idx="61">
                        <c:v>-7.0820458645448889</c:v>
                      </c:pt>
                      <c:pt idx="62">
                        <c:v>-7.0621311388374988</c:v>
                      </c:pt>
                      <c:pt idx="63">
                        <c:v>-7.0421538677165376</c:v>
                      </c:pt>
                      <c:pt idx="64">
                        <c:v>-7.0221178123586894</c:v>
                      </c:pt>
                      <c:pt idx="65">
                        <c:v>-7.0020266260591191</c:v>
                      </c:pt>
                      <c:pt idx="66">
                        <c:v>-6.9818838571411383</c:v>
                      </c:pt>
                      <c:pt idx="67">
                        <c:v>-6.9616929517880255</c:v>
                      </c:pt>
                      <c:pt idx="68">
                        <c:v>-6.9414572567990405</c:v>
                      </c:pt>
                      <c:pt idx="69">
                        <c:v>-6.9211800222716748</c:v>
                      </c:pt>
                      <c:pt idx="70">
                        <c:v>-6.9008644042121183</c:v>
                      </c:pt>
                      <c:pt idx="71">
                        <c:v>-6.8805134670758425</c:v>
                      </c:pt>
                      <c:pt idx="72">
                        <c:v>-6.8601301862401867</c:v>
                      </c:pt>
                      <c:pt idx="73">
                        <c:v>-6.8397174504107587</c:v>
                      </c:pt>
                      <c:pt idx="74">
                        <c:v>-6.8192780639634112</c:v>
                      </c:pt>
                      <c:pt idx="75">
                        <c:v>-6.7988147492235305</c:v>
                      </c:pt>
                      <c:pt idx="76">
                        <c:v>-6.7783301486843044</c:v>
                      </c:pt>
                      <c:pt idx="77">
                        <c:v>-6.7578268271656006</c:v>
                      </c:pt>
                      <c:pt idx="78">
                        <c:v>-6.7373072739150555</c:v>
                      </c:pt>
                      <c:pt idx="79">
                        <c:v>-6.7167739046529045</c:v>
                      </c:pt>
                      <c:pt idx="80">
                        <c:v>-6.6962290635620523</c:v>
                      </c:pt>
                      <c:pt idx="81">
                        <c:v>-6.6756750252248791</c:v>
                      </c:pt>
                      <c:pt idx="82">
                        <c:v>-6.6551139965081649</c:v>
                      </c:pt>
                      <c:pt idx="83">
                        <c:v>-6.6345481183975563</c:v>
                      </c:pt>
                      <c:pt idx="84">
                        <c:v>-6.6139794677829009</c:v>
                      </c:pt>
                      <c:pt idx="85">
                        <c:v>-6.5934100591957687</c:v>
                      </c:pt>
                      <c:pt idx="86">
                        <c:v>-6.5728418465004452</c:v>
                      </c:pt>
                      <c:pt idx="87">
                        <c:v>-6.5522767245396407</c:v>
                      </c:pt>
                      <c:pt idx="88">
                        <c:v>-6.5317165307361025</c:v>
                      </c:pt>
                      <c:pt idx="89">
                        <c:v>-6.5111630466513546</c:v>
                      </c:pt>
                      <c:pt idx="90">
                        <c:v>-6.4906179995026712</c:v>
                      </c:pt>
                      <c:pt idx="91">
                        <c:v>-6.4700830636394144</c:v>
                      </c:pt>
                      <c:pt idx="92">
                        <c:v>-6.4495598619798287</c:v>
                      </c:pt>
                      <c:pt idx="93">
                        <c:v>-6.4290499674093375</c:v>
                      </c:pt>
                      <c:pt idx="94">
                        <c:v>-6.4085549041413792</c:v>
                      </c:pt>
                      <c:pt idx="95">
                        <c:v>-6.3880761490417939</c:v>
                      </c:pt>
                      <c:pt idx="96">
                        <c:v>-6.3676151329177095</c:v>
                      </c:pt>
                      <c:pt idx="97">
                        <c:v>-6.3471732417719036</c:v>
                      </c:pt>
                      <c:pt idx="98">
                        <c:v>-6.3267518180235367</c:v>
                      </c:pt>
                      <c:pt idx="99">
                        <c:v>-6.3063521616961893</c:v>
                      </c:pt>
                      <c:pt idx="100">
                        <c:v>-6.2859755315740529</c:v>
                      </c:pt>
                      <c:pt idx="101">
                        <c:v>-6.2656231463271279</c:v>
                      </c:pt>
                      <c:pt idx="102">
                        <c:v>-6.2452961856062679</c:v>
                      </c:pt>
                      <c:pt idx="103">
                        <c:v>-6.2249957911088689</c:v>
                      </c:pt>
                      <c:pt idx="104">
                        <c:v>-6.2047230676159968</c:v>
                      </c:pt>
                      <c:pt idx="105">
                        <c:v>-6.1844410003393104</c:v>
                      </c:pt>
                      <c:pt idx="106">
                        <c:v>-6.1641889570949351</c:v>
                      </c:pt>
                      <c:pt idx="107">
                        <c:v>-6.1439679372582532</c:v>
                      </c:pt>
                      <c:pt idx="108">
                        <c:v>-6.123778907143242</c:v>
                      </c:pt>
                      <c:pt idx="109">
                        <c:v>-6.1036228009087887</c:v>
                      </c:pt>
                      <c:pt idx="110">
                        <c:v>-6.083500521440679</c:v>
                      </c:pt>
                      <c:pt idx="111">
                        <c:v>-6.063412941209938</c:v>
                      </c:pt>
                      <c:pt idx="112">
                        <c:v>-6.0433609031081268</c:v>
                      </c:pt>
                      <c:pt idx="113">
                        <c:v>-6.0233452212602465</c:v>
                      </c:pt>
                      <c:pt idx="114">
                        <c:v>-6.0033666818158098</c:v>
                      </c:pt>
                      <c:pt idx="115">
                        <c:v>-5.9834260437186986</c:v>
                      </c:pt>
                      <c:pt idx="116">
                        <c:v>-5.9635240394563551</c:v>
                      </c:pt>
                      <c:pt idx="117">
                        <c:v>-5.9436613757888574</c:v>
                      </c:pt>
                      <c:pt idx="118">
                        <c:v>-5.9238387344584389</c:v>
                      </c:pt>
                      <c:pt idx="119">
                        <c:v>-5.9040567728799447</c:v>
                      </c:pt>
                      <c:pt idx="120">
                        <c:v>-5.8843161248127656</c:v>
                      </c:pt>
                      <c:pt idx="121">
                        <c:v>-5.8646174010147192</c:v>
                      </c:pt>
                      <c:pt idx="122">
                        <c:v>-5.844961189878374</c:v>
                      </c:pt>
                      <c:pt idx="123">
                        <c:v>-5.8253480580502899</c:v>
                      </c:pt>
                      <c:pt idx="124">
                        <c:v>-5.8057785510336188</c:v>
                      </c:pt>
                      <c:pt idx="125">
                        <c:v>-5.7862531937745283</c:v>
                      </c:pt>
                      <c:pt idx="126">
                        <c:v>-5.766772491232862</c:v>
                      </c:pt>
                      <c:pt idx="127">
                        <c:v>-5.7473369289374734</c:v>
                      </c:pt>
                      <c:pt idx="128">
                        <c:v>-5.7279469735266302</c:v>
                      </c:pt>
                      <c:pt idx="129">
                        <c:v>-5.7086030732739026</c:v>
                      </c:pt>
                      <c:pt idx="130">
                        <c:v>-5.689305658599916</c:v>
                      </c:pt>
                      <c:pt idx="131">
                        <c:v>-5.6700551425703534</c:v>
                      </c:pt>
                      <c:pt idx="132">
                        <c:v>-5.6508519213805481</c:v>
                      </c:pt>
                      <c:pt idx="133">
                        <c:v>-5.6316963748270732</c:v>
                      </c:pt>
                      <c:pt idx="134">
                        <c:v>-5.612588866766635</c:v>
                      </c:pt>
                      <c:pt idx="135">
                        <c:v>-5.5935297455626234</c:v>
                      </c:pt>
                      <c:pt idx="136">
                        <c:v>-5.5745193445196621</c:v>
                      </c:pt>
                      <c:pt idx="137">
                        <c:v>-5.5555579823064498</c:v>
                      </c:pt>
                      <c:pt idx="138">
                        <c:v>-5.5366459633672518</c:v>
                      </c:pt>
                      <c:pt idx="139">
                        <c:v>-5.5177835783222848</c:v>
                      </c:pt>
                      <c:pt idx="140">
                        <c:v>-5.498971104357353</c:v>
                      </c:pt>
                      <c:pt idx="141">
                        <c:v>-5.4802088056029836</c:v>
                      </c:pt>
                      <c:pt idx="142">
                        <c:v>-5.4614969335033523</c:v>
                      </c:pt>
                      <c:pt idx="143">
                        <c:v>-5.4428357271752859</c:v>
                      </c:pt>
                      <c:pt idx="144">
                        <c:v>-5.4242254137575845</c:v>
                      </c:pt>
                      <c:pt idx="145">
                        <c:v>-5.405666208750934</c:v>
                      </c:pt>
                      <c:pt idx="146">
                        <c:v>-5.3871583163486738</c:v>
                      </c:pt>
                      <c:pt idx="147">
                        <c:v>-5.3687019297586405</c:v>
                      </c:pt>
                      <c:pt idx="148">
                        <c:v>-5.3502972315163344</c:v>
                      </c:pt>
                      <c:pt idx="149">
                        <c:v>-5.3319443937896622</c:v>
                      </c:pt>
                      <c:pt idx="150">
                        <c:v>-5.3136435786754337</c:v>
                      </c:pt>
                      <c:pt idx="151">
                        <c:v>-5.2953949384878944</c:v>
                      </c:pt>
                      <c:pt idx="152">
                        <c:v>-5.2771986160394571</c:v>
                      </c:pt>
                      <c:pt idx="153">
                        <c:v>-5.2590547449138585</c:v>
                      </c:pt>
                      <c:pt idx="154">
                        <c:v>-5.2409634497319564</c:v>
                      </c:pt>
                      <c:pt idx="155">
                        <c:v>-5.2229248464103426</c:v>
                      </c:pt>
                      <c:pt idx="156">
                        <c:v>-5.204939042412982</c:v>
                      </c:pt>
                      <c:pt idx="157">
                        <c:v>-5.1869701888240831</c:v>
                      </c:pt>
                      <c:pt idx="158">
                        <c:v>-5.1690545741329812</c:v>
                      </c:pt>
                      <c:pt idx="159">
                        <c:v>-5.1511922807503359</c:v>
                      </c:pt>
                      <c:pt idx="160">
                        <c:v>-5.1333833835733618</c:v>
                      </c:pt>
                      <c:pt idx="161">
                        <c:v>-5.1156279502055053</c:v>
                      </c:pt>
                      <c:pt idx="162">
                        <c:v>-5.0979260411701537</c:v>
                      </c:pt>
                      <c:pt idx="163">
                        <c:v>-5.0802777101185779</c:v>
                      </c:pt>
                      <c:pt idx="164">
                        <c:v>-5.0626830040322446</c:v>
                      </c:pt>
                      <c:pt idx="165">
                        <c:v>-5.0451419634196535</c:v>
                      </c:pt>
                      <c:pt idx="166">
                        <c:v>-5.0276546225078391</c:v>
                      </c:pt>
                      <c:pt idx="167">
                        <c:v>-5.0102210094286956</c:v>
                      </c:pt>
                      <c:pt idx="168">
                        <c:v>-4.9928411464002442</c:v>
                      </c:pt>
                      <c:pt idx="169">
                        <c:v>-4.9755150499029996</c:v>
                      </c:pt>
                      <c:pt idx="170">
                        <c:v>-4.9582427308515413</c:v>
                      </c:pt>
                      <c:pt idx="171">
                        <c:v>-4.9410241947614457</c:v>
                      </c:pt>
                      <c:pt idx="172">
                        <c:v>-4.9238594419116808</c:v>
                      </c:pt>
                      <c:pt idx="173">
                        <c:v>-4.9067484675025961</c:v>
                      </c:pt>
                      <c:pt idx="174">
                        <c:v>-4.8896912618096247</c:v>
                      </c:pt>
                      <c:pt idx="175">
                        <c:v>-4.8726878103328204</c:v>
                      </c:pt>
                      <c:pt idx="176">
                        <c:v>-4.855738093942314</c:v>
                      </c:pt>
                      <c:pt idx="177">
                        <c:v>-4.8388420890198311</c:v>
                      </c:pt>
                      <c:pt idx="178">
                        <c:v>-4.8219997675963597</c:v>
                      </c:pt>
                      <c:pt idx="179">
                        <c:v>-4.8052110974860716</c:v>
                      </c:pt>
                      <c:pt idx="180">
                        <c:v>-4.7884760424165975</c:v>
                      </c:pt>
                      <c:pt idx="181">
                        <c:v>-4.7717945621557636</c:v>
                      </c:pt>
                      <c:pt idx="182">
                        <c:v>-4.7551666126348833</c:v>
                      </c:pt>
                      <c:pt idx="183">
                        <c:v>-4.7385921460686591</c:v>
                      </c:pt>
                      <c:pt idx="184">
                        <c:v>-4.7220711110718536</c:v>
                      </c:pt>
                      <c:pt idx="185">
                        <c:v>-4.7056034527727615</c:v>
                      </c:pt>
                      <c:pt idx="186">
                        <c:v>-4.6891891129235841</c:v>
                      </c:pt>
                      <c:pt idx="187">
                        <c:v>-4.6728280300077998</c:v>
                      </c:pt>
                      <c:pt idx="188">
                        <c:v>-4.6565201393445967</c:v>
                      </c:pt>
                      <c:pt idx="189">
                        <c:v>-4.6402653731904531</c:v>
                      </c:pt>
                      <c:pt idx="190">
                        <c:v>-4.6240636608379493</c:v>
                      </c:pt>
                      <c:pt idx="191">
                        <c:v>-4.607914928711863</c:v>
                      </c:pt>
                      <c:pt idx="192">
                        <c:v>-4.5918191004626401</c:v>
                      </c:pt>
                      <c:pt idx="193">
                        <c:v>-4.5757760970573198</c:v>
                      </c:pt>
                      <c:pt idx="194">
                        <c:v>-4.5597858368679551</c:v>
                      </c:pt>
                      <c:pt idx="195">
                        <c:v>-4.5438482357576024</c:v>
                      </c:pt>
                      <c:pt idx="196">
                        <c:v>-4.5279632071639826</c:v>
                      </c:pt>
                      <c:pt idx="197">
                        <c:v>-4.5121306621808088</c:v>
                      </c:pt>
                      <c:pt idx="198">
                        <c:v>-4.4963505096369065</c:v>
                      </c:pt>
                      <c:pt idx="199">
                        <c:v>-4.480622656173157</c:v>
                      </c:pt>
                      <c:pt idx="200">
                        <c:v>-4.4649470063173169</c:v>
                      </c:pt>
                      <c:pt idx="201">
                        <c:v>-4.449323462556781</c:v>
                      </c:pt>
                      <c:pt idx="202">
                        <c:v>-4.4337519254093456</c:v>
                      </c:pt>
                      <c:pt idx="203">
                        <c:v>-4.4182322934920206</c:v>
                      </c:pt>
                      <c:pt idx="204">
                        <c:v>-4.402764463587947</c:v>
                      </c:pt>
                      <c:pt idx="205">
                        <c:v>-4.3873483307114611</c:v>
                      </c:pt>
                      <c:pt idx="206">
                        <c:v>-4.3719837881713666</c:v>
                      </c:pt>
                      <c:pt idx="207">
                        <c:v>-4.3566707276324586</c:v>
                      </c:pt>
                      <c:pt idx="208">
                        <c:v>-4.3414090391753462</c:v>
                      </c:pt>
                      <c:pt idx="209">
                        <c:v>-4.3261669574876613</c:v>
                      </c:pt>
                      <c:pt idx="210">
                        <c:v>-4.3109762464231389</c:v>
                      </c:pt>
                      <c:pt idx="211">
                        <c:v>-4.2958367905015074</c:v>
                      </c:pt>
                      <c:pt idx="212">
                        <c:v>-4.2807484728856675</c:v>
                      </c:pt>
                      <c:pt idx="213">
                        <c:v>-4.265711175433692</c:v>
                      </c:pt>
                      <c:pt idx="214">
                        <c:v>-4.2507247787493805</c:v>
                      </c:pt>
                      <c:pt idx="215">
                        <c:v>-4.2357891622314128</c:v>
                      </c:pt>
                      <c:pt idx="216">
                        <c:v>-4.2209042041211235</c:v>
                      </c:pt>
                      <c:pt idx="217">
                        <c:v>-4.2060697815489458</c:v>
                      </c:pt>
                      <c:pt idx="218">
                        <c:v>-4.1912857705795625</c:v>
                      </c:pt>
                      <c:pt idx="219">
                        <c:v>-4.1765520462557904</c:v>
                      </c:pt>
                      <c:pt idx="220">
                        <c:v>-4.1618684826412338</c:v>
                      </c:pt>
                      <c:pt idx="221">
                        <c:v>-4.1472349528617523</c:v>
                      </c:pt>
                      <c:pt idx="222">
                        <c:v>-4.1326513291457587</c:v>
                      </c:pt>
                      <c:pt idx="223">
                        <c:v>-4.1181174828633793</c:v>
                      </c:pt>
                      <c:pt idx="224">
                        <c:v>-4.1036332845645287</c:v>
                      </c:pt>
                      <c:pt idx="225">
                        <c:v>-4.0891986040158974</c:v>
                      </c:pt>
                      <c:pt idx="226">
                        <c:v>-4.0748133102369</c:v>
                      </c:pt>
                      <c:pt idx="227">
                        <c:v>-4.0604772715346265</c:v>
                      </c:pt>
                      <c:pt idx="228">
                        <c:v>-4.0461903555377727</c:v>
                      </c:pt>
                      <c:pt idx="229">
                        <c:v>-4.0319524292296407</c:v>
                      </c:pt>
                      <c:pt idx="230">
                        <c:v>-4.0177633589801909</c:v>
                      </c:pt>
                      <c:pt idx="231">
                        <c:v>-4.0036230105771775</c:v>
                      </c:pt>
                      <c:pt idx="232">
                        <c:v>-3.9895312492564168</c:v>
                      </c:pt>
                      <c:pt idx="233">
                        <c:v>-3.9754879397311749</c:v>
                      </c:pt>
                      <c:pt idx="234">
                        <c:v>-3.9614929462207353</c:v>
                      </c:pt>
                      <c:pt idx="235">
                        <c:v>-3.9475461324781351</c:v>
                      </c:pt>
                      <c:pt idx="236">
                        <c:v>-3.9336473618171226</c:v>
                      </c:pt>
                      <c:pt idx="237">
                        <c:v>-3.9197964971383268</c:v>
                      </c:pt>
                      <c:pt idx="238">
                        <c:v>-3.9059934009546868</c:v>
                      </c:pt>
                      <c:pt idx="239">
                        <c:v>-3.8922379354161505</c:v>
                      </c:pt>
                      <c:pt idx="240">
                        <c:v>-3.8785299623336558</c:v>
                      </c:pt>
                      <c:pt idx="241">
                        <c:v>-3.8648693432024235</c:v>
                      </c:pt>
                      <c:pt idx="242">
                        <c:v>-3.851255939224572</c:v>
                      </c:pt>
                      <c:pt idx="243">
                        <c:v>-3.8376896113310925</c:v>
                      </c:pt>
                      <c:pt idx="244">
                        <c:v>-3.824170220203162</c:v>
                      </c:pt>
                      <c:pt idx="245">
                        <c:v>-3.8106976262928578</c:v>
                      </c:pt>
                      <c:pt idx="246">
                        <c:v>-3.7972716898432557</c:v>
                      </c:pt>
                      <c:pt idx="247">
                        <c:v>-3.7838922709079492</c:v>
                      </c:pt>
                      <c:pt idx="248">
                        <c:v>-3.7705592293699883</c:v>
                      </c:pt>
                      <c:pt idx="249">
                        <c:v>-3.7572724249602745</c:v>
                      </c:pt>
                      <c:pt idx="250">
                        <c:v>-3.7440317172754005</c:v>
                      </c:pt>
                      <c:pt idx="251">
                        <c:v>-3.7308369657949818</c:v>
                      </c:pt>
                      <c:pt idx="252">
                        <c:v>-3.7176880298984551</c:v>
                      </c:pt>
                      <c:pt idx="253">
                        <c:v>-3.7045847688813991</c:v>
                      </c:pt>
                      <c:pt idx="254">
                        <c:v>-3.6915270419713559</c:v>
                      </c:pt>
                      <c:pt idx="255">
                        <c:v>-3.6785147083431893</c:v>
                      </c:pt>
                      <c:pt idx="256">
                        <c:v>-3.6655476271339795</c:v>
                      </c:pt>
                      <c:pt idx="257">
                        <c:v>-3.6526256574574774</c:v>
                      </c:pt>
                      <c:pt idx="258">
                        <c:v>-3.6397486584181209</c:v>
                      </c:pt>
                      <c:pt idx="259">
                        <c:v>-3.6269164891246239</c:v>
                      </c:pt>
                      <c:pt idx="260">
                        <c:v>-3.6141290087031663</c:v>
                      </c:pt>
                      <c:pt idx="261">
                        <c:v>-3.6015647160470845</c:v>
                      </c:pt>
                      <c:pt idx="262">
                        <c:v>-3.5892456031466526</c:v>
                      </c:pt>
                      <c:pt idx="263">
                        <c:v>-3.5771652075329667</c:v>
                      </c:pt>
                      <c:pt idx="264">
                        <c:v>-3.5653172395649113</c:v>
                      </c:pt>
                      <c:pt idx="265">
                        <c:v>-3.5536955778044419</c:v>
                      </c:pt>
                      <c:pt idx="266">
                        <c:v>-3.5422942645156237</c:v>
                      </c:pt>
                      <c:pt idx="267">
                        <c:v>-3.531107501284108</c:v>
                      </c:pt>
                      <c:pt idx="268">
                        <c:v>-3.5201296447538306</c:v>
                      </c:pt>
                      <c:pt idx="269">
                        <c:v>-3.5093552024778054</c:v>
                      </c:pt>
                      <c:pt idx="270">
                        <c:v>-3.49877882887994</c:v>
                      </c:pt>
                      <c:pt idx="271">
                        <c:v>-3.4883953213249153</c:v>
                      </c:pt>
                      <c:pt idx="272">
                        <c:v>-3.4781996162932316</c:v>
                      </c:pt>
                      <c:pt idx="273">
                        <c:v>-3.4681867856586188</c:v>
                      </c:pt>
                      <c:pt idx="274">
                        <c:v>-3.458352033065045</c:v>
                      </c:pt>
                      <c:pt idx="275">
                        <c:v>-3.4486906904006966</c:v>
                      </c:pt>
                      <c:pt idx="276">
                        <c:v>-3.4391982143662969</c:v>
                      </c:pt>
                      <c:pt idx="277">
                        <c:v>-3.4298701831352632</c:v>
                      </c:pt>
                      <c:pt idx="278">
                        <c:v>-3.4207022931032354</c:v>
                      </c:pt>
                      <c:pt idx="279">
                        <c:v>-3.411690355724589</c:v>
                      </c:pt>
                      <c:pt idx="280">
                        <c:v>-3.4028302944335991</c:v>
                      </c:pt>
                      <c:pt idx="281">
                        <c:v>-3.3941181416479935</c:v>
                      </c:pt>
                      <c:pt idx="282">
                        <c:v>-3.3855500358526927</c:v>
                      </c:pt>
                      <c:pt idx="283">
                        <c:v>-3.3771222187615866</c:v>
                      </c:pt>
                      <c:pt idx="284">
                        <c:v>-3.3688310325552582</c:v>
                      </c:pt>
                      <c:pt idx="285">
                        <c:v>-3.3606729171926344</c:v>
                      </c:pt>
                      <c:pt idx="286">
                        <c:v>-3.3526444077945623</c:v>
                      </c:pt>
                      <c:pt idx="287">
                        <c:v>-3.3447421320974149</c:v>
                      </c:pt>
                      <c:pt idx="288">
                        <c:v>-3.3369628079748272</c:v>
                      </c:pt>
                      <c:pt idx="289">
                        <c:v>-3.3293032410257566</c:v>
                      </c:pt>
                      <c:pt idx="290">
                        <c:v>-3.3217603222270795</c:v>
                      </c:pt>
                      <c:pt idx="291">
                        <c:v>-3.3143310256490111</c:v>
                      </c:pt>
                      <c:pt idx="292">
                        <c:v>-3.3070124062316557</c:v>
                      </c:pt>
                      <c:pt idx="293">
                        <c:v>-3.299801597621058</c:v>
                      </c:pt>
                      <c:pt idx="294">
                        <c:v>-3.2926958100631576</c:v>
                      </c:pt>
                      <c:pt idx="295">
                        <c:v>-3.2856923283541013</c:v>
                      </c:pt>
                      <c:pt idx="296">
                        <c:v>-3.2787885098454144</c:v>
                      </c:pt>
                      <c:pt idx="297">
                        <c:v>-3.2719817825025372</c:v>
                      </c:pt>
                      <c:pt idx="298">
                        <c:v>-3.2652696430153236</c:v>
                      </c:pt>
                      <c:pt idx="299">
                        <c:v>-3.2586496549591031</c:v>
                      </c:pt>
                      <c:pt idx="300">
                        <c:v>-3.2521194470049499</c:v>
                      </c:pt>
                      <c:pt idx="301">
                        <c:v>-3.245676711177842</c:v>
                      </c:pt>
                      <c:pt idx="302">
                        <c:v>-3.23931920116144</c:v>
                      </c:pt>
                      <c:pt idx="303">
                        <c:v>-3.2330447306482184</c:v>
                      </c:pt>
                      <c:pt idx="304">
                        <c:v>-3.2268511717337538</c:v>
                      </c:pt>
                      <c:pt idx="305">
                        <c:v>-3.2207364533539833</c:v>
                      </c:pt>
                      <c:pt idx="306">
                        <c:v>-3.2146985597642761</c:v>
                      </c:pt>
                      <c:pt idx="307">
                        <c:v>-3.2087355290592061</c:v>
                      </c:pt>
                      <c:pt idx="308">
                        <c:v>-3.2028454517319367</c:v>
                      </c:pt>
                      <c:pt idx="309">
                        <c:v>-3.1970264692721564</c:v>
                      </c:pt>
                      <c:pt idx="310">
                        <c:v>-3.1912767728015301</c:v>
                      </c:pt>
                      <c:pt idx="311">
                        <c:v>-3.1855946017456667</c:v>
                      </c:pt>
                      <c:pt idx="312">
                        <c:v>-3.1799782425416296</c:v>
                      </c:pt>
                      <c:pt idx="313">
                        <c:v>-3.1744000409630999</c:v>
                      </c:pt>
                      <c:pt idx="314">
                        <c:v>-3.1688844509778678</c:v>
                      </c:pt>
                      <c:pt idx="315">
                        <c:v>-3.1634298911245207</c:v>
                      </c:pt>
                      <c:pt idx="316">
                        <c:v>-3.1580348221708126</c:v>
                      </c:pt>
                      <c:pt idx="317">
                        <c:v>-3.1526977459833923</c:v>
                      </c:pt>
                      <c:pt idx="318">
                        <c:v>-3.1474172044277906</c:v>
                      </c:pt>
                      <c:pt idx="319">
                        <c:v>-3.1421917782978537</c:v>
                      </c:pt>
                      <c:pt idx="320">
                        <c:v>-3.1370200862738291</c:v>
                      </c:pt>
                      <c:pt idx="321">
                        <c:v>-3.1319007839083421</c:v>
                      </c:pt>
                      <c:pt idx="322">
                        <c:v>-3.1268325626395215</c:v>
                      </c:pt>
                      <c:pt idx="323">
                        <c:v>-3.1218141488305311</c:v>
                      </c:pt>
                      <c:pt idx="324">
                        <c:v>-3.1168443028348189</c:v>
                      </c:pt>
                      <c:pt idx="325">
                        <c:v>-3.111921818086385</c:v>
                      </c:pt>
                      <c:pt idx="326">
                        <c:v>-3.1070455202143972</c:v>
                      </c:pt>
                      <c:pt idx="327">
                        <c:v>-3.102214266181512</c:v>
                      </c:pt>
                      <c:pt idx="328">
                        <c:v>-3.0974269434452597</c:v>
                      </c:pt>
                      <c:pt idx="329">
                        <c:v>-3.0926824691418724</c:v>
                      </c:pt>
                      <c:pt idx="330">
                        <c:v>-3.0879797892919636</c:v>
                      </c:pt>
                      <c:pt idx="331">
                        <c:v>-3.0833178780274695</c:v>
                      </c:pt>
                      <c:pt idx="332">
                        <c:v>-3.07869573683928</c:v>
                      </c:pt>
                      <c:pt idx="333">
                        <c:v>-3.0741123938450121</c:v>
                      </c:pt>
                      <c:pt idx="334">
                        <c:v>-3.0695669030763839</c:v>
                      </c:pt>
                      <c:pt idx="335">
                        <c:v>-3.0650583437856591</c:v>
                      </c:pt>
                      <c:pt idx="336">
                        <c:v>-3.0605858197706621</c:v>
                      </c:pt>
                      <c:pt idx="337">
                        <c:v>-3.0561484587178573</c:v>
                      </c:pt>
                      <c:pt idx="338">
                        <c:v>-3.0517454115630138</c:v>
                      </c:pt>
                      <c:pt idx="339">
                        <c:v>-3.04737585186898</c:v>
                      </c:pt>
                      <c:pt idx="340">
                        <c:v>-3.0430389752201226</c:v>
                      </c:pt>
                      <c:pt idx="341">
                        <c:v>-3.0387339986329631</c:v>
                      </c:pt>
                      <c:pt idx="342">
                        <c:v>-3.0344601599826011</c:v>
                      </c:pt>
                      <c:pt idx="343">
                        <c:v>-3.0302167174444845</c:v>
                      </c:pt>
                      <c:pt idx="344">
                        <c:v>-3.0260029489511209</c:v>
                      </c:pt>
                      <c:pt idx="345">
                        <c:v>-3.0218181516633367</c:v>
                      </c:pt>
                      <c:pt idx="346">
                        <c:v>-3.0176616414556885</c:v>
                      </c:pt>
                      <c:pt idx="347">
                        <c:v>-3.013532752415645</c:v>
                      </c:pt>
                      <c:pt idx="348">
                        <c:v>-3.0094308363561764</c:v>
                      </c:pt>
                      <c:pt idx="349">
                        <c:v>-3.0053552623413884</c:v>
                      </c:pt>
                      <c:pt idx="350">
                        <c:v>-3.0013054162248629</c:v>
                      </c:pt>
                      <c:pt idx="351">
                        <c:v>-2.9972807002003434</c:v>
                      </c:pt>
                      <c:pt idx="352">
                        <c:v>-2.9932805323644578</c:v>
                      </c:pt>
                      <c:pt idx="353">
                        <c:v>-2.9893043462911386</c:v>
                      </c:pt>
                      <c:pt idx="354">
                        <c:v>-2.9853515906174386</c:v>
                      </c:pt>
                      <c:pt idx="355">
                        <c:v>-2.9814217286404334</c:v>
                      </c:pt>
                      <c:pt idx="356">
                        <c:v>-2.9775142379249129</c:v>
                      </c:pt>
                      <c:pt idx="357">
                        <c:v>-2.973628609921573</c:v>
                      </c:pt>
                      <c:pt idx="358">
                        <c:v>-2.9697643495954305</c:v>
                      </c:pt>
                      <c:pt idx="359">
                        <c:v>-2.9659209750641797</c:v>
                      </c:pt>
                      <c:pt idx="360">
                        <c:v>-2.9620980172462335</c:v>
                      </c:pt>
                      <c:pt idx="361">
                        <c:v>-2.9582950195181832</c:v>
                      </c:pt>
                      <c:pt idx="362">
                        <c:v>-2.9545115373814284</c:v>
                      </c:pt>
                      <c:pt idx="363">
                        <c:v>-2.9507471381377273</c:v>
                      </c:pt>
                      <c:pt idx="364">
                        <c:v>-2.9470014005734386</c:v>
                      </c:pt>
                      <c:pt idx="365">
                        <c:v>-2.9432478191410434</c:v>
                      </c:pt>
                      <c:pt idx="366">
                        <c:v>-2.9395121569611846</c:v>
                      </c:pt>
                      <c:pt idx="367">
                        <c:v>-2.935794024975535</c:v>
                      </c:pt>
                      <c:pt idx="368">
                        <c:v>-2.9320930444436164</c:v>
                      </c:pt>
                      <c:pt idx="369">
                        <c:v>-2.9284088466666347</c:v>
                      </c:pt>
                      <c:pt idx="370">
                        <c:v>-2.9247410727187138</c:v>
                      </c:pt>
                      <c:pt idx="371">
                        <c:v>-2.9210893731853118</c:v>
                      </c:pt>
                      <c:pt idx="372">
                        <c:v>-2.9174534079086598</c:v>
                      </c:pt>
                      <c:pt idx="373">
                        <c:v>-2.9138328457400045</c:v>
                      </c:pt>
                      <c:pt idx="374">
                        <c:v>-2.9102273642984873</c:v>
                      </c:pt>
                      <c:pt idx="375">
                        <c:v>-2.9066366497364835</c:v>
                      </c:pt>
                      <c:pt idx="376">
                        <c:v>-2.9030603965112194</c:v>
                      </c:pt>
                      <c:pt idx="377">
                        <c:v>-2.8994983071625069</c:v>
                      </c:pt>
                      <c:pt idx="378">
                        <c:v>-2.8959500920964305</c:v>
                      </c:pt>
                      <c:pt idx="379">
                        <c:v>-2.8924154693748267</c:v>
                      </c:pt>
                      <c:pt idx="380">
                        <c:v>-2.8888941645103965</c:v>
                      </c:pt>
                      <c:pt idx="381">
                        <c:v>-2.8853859102673067</c:v>
                      </c:pt>
                      <c:pt idx="382">
                        <c:v>-2.8818904464671329</c:v>
                      </c:pt>
                      <c:pt idx="383">
                        <c:v>-2.8784075197999881</c:v>
                      </c:pt>
                      <c:pt idx="384">
                        <c:v>-2.8749368836407228</c:v>
                      </c:pt>
                      <c:pt idx="385">
                        <c:v>-2.8714782978700386</c:v>
                      </c:pt>
                      <c:pt idx="386">
                        <c:v>-2.8680315287003912</c:v>
                      </c:pt>
                      <c:pt idx="387">
                        <c:v>-2.8645963485065526</c:v>
                      </c:pt>
                      <c:pt idx="388">
                        <c:v>-2.8611725356607232</c:v>
                      </c:pt>
                      <c:pt idx="389">
                        <c:v>-2.8577598743720398</c:v>
                      </c:pt>
                      <c:pt idx="390">
                        <c:v>-2.8543581545303955</c:v>
                      </c:pt>
                      <c:pt idx="391">
                        <c:v>-2.8509671715544358</c:v>
                      </c:pt>
                      <c:pt idx="392">
                        <c:v>-2.8475867262436276</c:v>
                      </c:pt>
                      <c:pt idx="393">
                        <c:v>-2.8442166246342806</c:v>
                      </c:pt>
                      <c:pt idx="394">
                        <c:v>-2.840856677859438</c:v>
                      </c:pt>
                      <c:pt idx="395">
                        <c:v>-2.8375067020125044</c:v>
                      </c:pt>
                      <c:pt idx="396">
                        <c:v>-2.8341665180145359</c:v>
                      </c:pt>
                      <c:pt idx="397">
                        <c:v>-2.8308359514850769</c:v>
                      </c:pt>
                      <c:pt idx="398">
                        <c:v>-2.8275148326164583</c:v>
                      </c:pt>
                      <c:pt idx="399">
                        <c:v>-2.8242029960514623</c:v>
                      </c:pt>
                      <c:pt idx="400">
                        <c:v>-2.8209002807642585</c:v>
                      </c:pt>
                      <c:pt idx="401">
                        <c:v>-2.8176065299445328</c:v>
                      </c:pt>
                      <c:pt idx="402">
                        <c:v>-2.8143215908847159</c:v>
                      </c:pt>
                      <c:pt idx="403">
                        <c:v>-2.8110453148702343</c:v>
                      </c:pt>
                      <c:pt idx="404">
                        <c:v>-2.8077775570726935</c:v>
                      </c:pt>
                      <c:pt idx="405">
                        <c:v>-2.8045181764459293</c:v>
                      </c:pt>
                      <c:pt idx="406">
                        <c:v>-2.8012670356248361</c:v>
                      </c:pt>
                      <c:pt idx="407">
                        <c:v>-2.7980240008269073</c:v>
                      </c:pt>
                      <c:pt idx="408">
                        <c:v>-2.7947889417564147</c:v>
                      </c:pt>
                      <c:pt idx="409">
                        <c:v>-2.7915617315111421</c:v>
                      </c:pt>
                      <c:pt idx="410">
                        <c:v>-2.7883422464916312</c:v>
                      </c:pt>
                      <c:pt idx="411">
                        <c:v>-2.7851303663128495</c:v>
                      </c:pt>
                      <c:pt idx="412">
                        <c:v>-2.7819259737182191</c:v>
                      </c:pt>
                      <c:pt idx="413">
                        <c:v>-2.7787289544959579</c:v>
                      </c:pt>
                      <c:pt idx="414">
                        <c:v>-2.7755391973976535</c:v>
                      </c:pt>
                      <c:pt idx="415">
                        <c:v>-2.772356594059016</c:v>
                      </c:pt>
                      <c:pt idx="416">
                        <c:v>-2.769181038922762</c:v>
                      </c:pt>
                      <c:pt idx="417">
                        <c:v>-2.765985213380143</c:v>
                      </c:pt>
                      <c:pt idx="418">
                        <c:v>-2.7627962963278145</c:v>
                      </c:pt>
                      <c:pt idx="419">
                        <c:v>-2.7596141899640481</c:v>
                      </c:pt>
                      <c:pt idx="420">
                        <c:v>-2.7564387990101014</c:v>
                      </c:pt>
                      <c:pt idx="421">
                        <c:v>-2.7532700306427342</c:v>
                      </c:pt>
                      <c:pt idx="422">
                        <c:v>-2.7501077944285539</c:v>
                      </c:pt>
                      <c:pt idx="423">
                        <c:v>-2.7469520022600964</c:v>
                      </c:pt>
                      <c:pt idx="424">
                        <c:v>-2.7438025682936433</c:v>
                      </c:pt>
                      <c:pt idx="425">
                        <c:v>-2.7406594088886806</c:v>
                      </c:pt>
                      <c:pt idx="426">
                        <c:v>-2.7375224425489981</c:v>
                      </c:pt>
                      <c:pt idx="427">
                        <c:v>-2.7343915898653552</c:v>
                      </c:pt>
                      <c:pt idx="428">
                        <c:v>-2.7312667734596867</c:v>
                      </c:pt>
                      <c:pt idx="429">
                        <c:v>-2.7281479179308001</c:v>
                      </c:pt>
                      <c:pt idx="430">
                        <c:v>-2.7250349498015352</c:v>
                      </c:pt>
                      <c:pt idx="431">
                        <c:v>-2.7219277974673237</c:v>
                      </c:pt>
                      <c:pt idx="432">
                        <c:v>-2.7188263911461457</c:v>
                      </c:pt>
                      <c:pt idx="433">
                        <c:v>-2.715730662829813</c:v>
                      </c:pt>
                      <c:pt idx="434">
                        <c:v>-2.7126405462365568</c:v>
                      </c:pt>
                      <c:pt idx="435">
                        <c:v>-2.7095559767648942</c:v>
                      </c:pt>
                      <c:pt idx="436">
                        <c:v>-2.7064768914487267</c:v>
                      </c:pt>
                      <c:pt idx="437">
                        <c:v>-2.7034032289136367</c:v>
                      </c:pt>
                      <c:pt idx="438">
                        <c:v>-2.7003349293343595</c:v>
                      </c:pt>
                      <c:pt idx="439">
                        <c:v>-2.6972719343933909</c:v>
                      </c:pt>
                      <c:pt idx="440">
                        <c:v>-2.6942141872407088</c:v>
                      </c:pt>
                      <c:pt idx="441">
                        <c:v>-2.6911616324545711</c:v>
                      </c:pt>
                      <c:pt idx="442">
                        <c:v>-2.6881142160033558</c:v>
                      </c:pt>
                      <c:pt idx="443">
                        <c:v>-2.6850718852084374</c:v>
                      </c:pt>
                      <c:pt idx="444">
                        <c:v>-2.6820345887080448</c:v>
                      </c:pt>
                      <c:pt idx="445">
                        <c:v>-2.6790022764220969</c:v>
                      </c:pt>
                      <c:pt idx="446">
                        <c:v>-2.6759748995179717</c:v>
                      </c:pt>
                      <c:pt idx="447">
                        <c:v>-2.6729524103771984</c:v>
                      </c:pt>
                      <c:pt idx="448">
                        <c:v>-2.6699347625630372</c:v>
                      </c:pt>
                      <c:pt idx="449">
                        <c:v>-2.6669219107889344</c:v>
                      </c:pt>
                      <c:pt idx="450">
                        <c:v>-2.6639138108878102</c:v>
                      </c:pt>
                      <c:pt idx="451">
                        <c:v>-2.6609104197821836</c:v>
                      </c:pt>
                      <c:pt idx="452">
                        <c:v>-2.6579116954550828</c:v>
                      </c:pt>
                      <c:pt idx="453">
                        <c:v>-2.6549175969217473</c:v>
                      </c:pt>
                      <c:pt idx="454">
                        <c:v>-2.6519280842020816</c:v>
                      </c:pt>
                      <c:pt idx="455">
                        <c:v>-2.6489431182938445</c:v>
                      </c:pt>
                      <c:pt idx="456">
                        <c:v>-2.645962661146565</c:v>
                      </c:pt>
                      <c:pt idx="457">
                        <c:v>-2.6429866756361462</c:v>
                      </c:pt>
                      <c:pt idx="458">
                        <c:v>-2.6400151255401547</c:v>
                      </c:pt>
                      <c:pt idx="459">
                        <c:v>-2.6370479755137755</c:v>
                      </c:pt>
                      <c:pt idx="460">
                        <c:v>-2.6340851910664034</c:v>
                      </c:pt>
                      <c:pt idx="461">
                        <c:v>-2.6311267385388653</c:v>
                      </c:pt>
                      <c:pt idx="462">
                        <c:v>-2.6281725850812534</c:v>
                      </c:pt>
                      <c:pt idx="463">
                        <c:v>-2.6252226986313474</c:v>
                      </c:pt>
                      <c:pt idx="464">
                        <c:v>-2.6222770478936224</c:v>
                      </c:pt>
                      <c:pt idx="465">
                        <c:v>-2.6193356023188121</c:v>
                      </c:pt>
                      <c:pt idx="466">
                        <c:v>-2.6163983320840187</c:v>
                      </c:pt>
                      <c:pt idx="467">
                        <c:v>-2.6134652080733631</c:v>
                      </c:pt>
                      <c:pt idx="468">
                        <c:v>-2.6105362018591469</c:v>
                      </c:pt>
                      <c:pt idx="469">
                        <c:v>-2.6075820753961962</c:v>
                      </c:pt>
                      <c:pt idx="470">
                        <c:v>-2.604632078483573</c:v>
                      </c:pt>
                      <c:pt idx="471">
                        <c:v>-2.6016861844885781</c:v>
                      </c:pt>
                      <c:pt idx="472">
                        <c:v>-2.5987443673980883</c:v>
                      </c:pt>
                      <c:pt idx="473">
                        <c:v>-2.595806601802054</c:v>
                      </c:pt>
                      <c:pt idx="474">
                        <c:v>-2.5928728628774493</c:v>
                      </c:pt>
                      <c:pt idx="475">
                        <c:v>-2.5899431263726416</c:v>
                      </c:pt>
                      <c:pt idx="476">
                        <c:v>-2.5870173685921904</c:v>
                      </c:pt>
                      <c:pt idx="477">
                        <c:v>-2.5840955663820453</c:v>
                      </c:pt>
                      <c:pt idx="478">
                        <c:v>-2.5811776971151437</c:v>
                      </c:pt>
                      <c:pt idx="479">
                        <c:v>-2.5782637386773919</c:v>
                      </c:pt>
                      <c:pt idx="480">
                        <c:v>-2.5753536694540258</c:v>
                      </c:pt>
                      <c:pt idx="481">
                        <c:v>-2.5724474683163354</c:v>
                      </c:pt>
                      <c:pt idx="482">
                        <c:v>-2.5695451146087422</c:v>
                      </c:pt>
                      <c:pt idx="483">
                        <c:v>-2.5666465881362273</c:v>
                      </c:pt>
                      <c:pt idx="484">
                        <c:v>-2.5637518691520924</c:v>
                      </c:pt>
                      <c:pt idx="485">
                        <c:v>-2.5608609383460497</c:v>
                      </c:pt>
                      <c:pt idx="486">
                        <c:v>-2.5579737768326334</c:v>
                      </c:pt>
                      <c:pt idx="487">
                        <c:v>-2.5550903661399182</c:v>
                      </c:pt>
                      <c:pt idx="488">
                        <c:v>-2.5522106881985414</c:v>
                      </c:pt>
                      <c:pt idx="489">
                        <c:v>-2.5493347253310188</c:v>
                      </c:pt>
                      <c:pt idx="490">
                        <c:v>-2.5464624602413468</c:v>
                      </c:pt>
                      <c:pt idx="491">
                        <c:v>-2.5435938760048851</c:v>
                      </c:pt>
                      <c:pt idx="492">
                        <c:v>-2.5407289560585045</c:v>
                      </c:pt>
                      <c:pt idx="493">
                        <c:v>-2.5378676841910068</c:v>
                      </c:pt>
                      <c:pt idx="494">
                        <c:v>-2.5350100445337973</c:v>
                      </c:pt>
                      <c:pt idx="495">
                        <c:v>-2.5321560215518013</c:v>
                      </c:pt>
                      <c:pt idx="496">
                        <c:v>-2.5293056000346361</c:v>
                      </c:pt>
                      <c:pt idx="497">
                        <c:v>-2.5264587650880075</c:v>
                      </c:pt>
                      <c:pt idx="498">
                        <c:v>-2.5236155021253461</c:v>
                      </c:pt>
                      <c:pt idx="499">
                        <c:v>-2.5207757968596609</c:v>
                      </c:pt>
                      <c:pt idx="500">
                        <c:v>-2.5179396352956163</c:v>
                      </c:pt>
                      <c:pt idx="501">
                        <c:v>-2.5151070037218171</c:v>
                      </c:pt>
                      <c:pt idx="502">
                        <c:v>-2.5122778887033022</c:v>
                      </c:pt>
                      <c:pt idx="503">
                        <c:v>-2.5094522770742365</c:v>
                      </c:pt>
                      <c:pt idx="504">
                        <c:v>-2.5066301559308064</c:v>
                      </c:pt>
                      <c:pt idx="505">
                        <c:v>-2.5038115126242948</c:v>
                      </c:pt>
                      <c:pt idx="506">
                        <c:v>-2.5009963347543489</c:v>
                      </c:pt>
                      <c:pt idx="507">
                        <c:v>-2.4981846101624297</c:v>
                      </c:pt>
                      <c:pt idx="508">
                        <c:v>-2.4953763269254257</c:v>
                      </c:pt>
                      <c:pt idx="509">
                        <c:v>-2.4925714733494519</c:v>
                      </c:pt>
                      <c:pt idx="510">
                        <c:v>-2.4897700379638072</c:v>
                      </c:pt>
                      <c:pt idx="511">
                        <c:v>-2.4869720095150933</c:v>
                      </c:pt>
                      <c:pt idx="512">
                        <c:v>-2.4841773769614912</c:v>
                      </c:pt>
                      <c:pt idx="513">
                        <c:v>-2.4813861294671962</c:v>
                      </c:pt>
                      <c:pt idx="514">
                        <c:v>-2.4785982563969946</c:v>
                      </c:pt>
                      <c:pt idx="515">
                        <c:v>-2.4758137473109927</c:v>
                      </c:pt>
                      <c:pt idx="516">
                        <c:v>-2.4730325919594796</c:v>
                      </c:pt>
                      <c:pt idx="517">
                        <c:v>-2.4702547802779318</c:v>
                      </c:pt>
                      <c:pt idx="518">
                        <c:v>-2.4674803023821514</c:v>
                      </c:pt>
                      <c:pt idx="519">
                        <c:v>-2.4647091485635375</c:v>
                      </c:pt>
                    </c:numCache>
                  </c:numRef>
                </c:val>
                <c:smooth val="0"/>
                <c:extLst xmlns:c15="http://schemas.microsoft.com/office/drawing/2012/chart">
                  <c:ext xmlns:c16="http://schemas.microsoft.com/office/drawing/2014/chart" uri="{C3380CC4-5D6E-409C-BE32-E72D297353CC}">
                    <c16:uniqueId val="{00000006-7744-4B44-92D6-CD8912115525}"/>
                  </c:ext>
                </c:extLst>
              </c15:ser>
            </c15:filteredLineSeries>
            <c15:filteredLineSeries>
              <c15:ser>
                <c:idx val="8"/>
                <c:order val="5"/>
                <c:tx>
                  <c:strRef>
                    <c:extLst xmlns:c15="http://schemas.microsoft.com/office/drawing/2012/chart">
                      <c:ext xmlns:c15="http://schemas.microsoft.com/office/drawing/2012/chart" uri="{02D57815-91ED-43cb-92C2-25804820EDAC}">
                        <c15:formulaRef>
                          <c15:sqref>Ig!$AG$534</c15:sqref>
                        </c15:formulaRef>
                      </c:ext>
                    </c:extLst>
                    <c:strCache>
                      <c:ptCount val="1"/>
                      <c:pt idx="0">
                        <c:v>Cataract</c:v>
                      </c:pt>
                    </c:strCache>
                  </c:strRef>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Ig!$AA$535:$AA$1054</c15:sqref>
                        </c15:formulaRef>
                      </c:ext>
                    </c:extLst>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extLst xmlns:c15="http://schemas.microsoft.com/office/drawing/2012/chart">
                      <c:ext xmlns:c15="http://schemas.microsoft.com/office/drawing/2012/chart" uri="{02D57815-91ED-43cb-92C2-25804820EDAC}">
                        <c15:formulaRef>
                          <c15:sqref>Ig!$AG$535:$AG$1054</c15:sqref>
                        </c15:formulaRef>
                      </c:ext>
                    </c:extLst>
                    <c:numCache>
                      <c:formatCode>#,##0</c:formatCode>
                      <c:ptCount val="520"/>
                      <c:pt idx="0">
                        <c:v>0</c:v>
                      </c:pt>
                      <c:pt idx="1">
                        <c:v>-0.2204747318509292</c:v>
                      </c:pt>
                      <c:pt idx="2">
                        <c:v>-0.43428385606931369</c:v>
                      </c:pt>
                      <c:pt idx="3">
                        <c:v>-0.64160823310288873</c:v>
                      </c:pt>
                      <c:pt idx="4">
                        <c:v>-0.8426238800845649</c:v>
                      </c:pt>
                      <c:pt idx="5">
                        <c:v>-1.0375021003117986</c:v>
                      </c:pt>
                      <c:pt idx="6">
                        <c:v>-1.2264096092652825</c:v>
                      </c:pt>
                      <c:pt idx="7">
                        <c:v>-1.4095086572594517</c:v>
                      </c:pt>
                      <c:pt idx="8">
                        <c:v>-1.5869571488148231</c:v>
                      </c:pt>
                      <c:pt idx="9">
                        <c:v>-1.7589087588397851</c:v>
                      </c:pt>
                      <c:pt idx="10">
                        <c:v>-1.9255130457071123</c:v>
                      </c:pt>
                      <c:pt idx="11">
                        <c:v>-2.0869155613081958</c:v>
                      </c:pt>
                      <c:pt idx="12">
                        <c:v>-2.2432579581657697</c:v>
                      </c:pt>
                      <c:pt idx="13">
                        <c:v>-2.3946780936837468</c:v>
                      </c:pt>
                      <c:pt idx="14">
                        <c:v>-2.5413101316106843</c:v>
                      </c:pt>
                      <c:pt idx="15">
                        <c:v>-2.6832846407913449</c:v>
                      </c:pt>
                      <c:pt idx="16">
                        <c:v>-2.8207286912788403</c:v>
                      </c:pt>
                      <c:pt idx="17">
                        <c:v>-2.9537659478778937</c:v>
                      </c:pt>
                      <c:pt idx="18">
                        <c:v>-3.082516761187887</c:v>
                      </c:pt>
                      <c:pt idx="19">
                        <c:v>-3.207098256212511</c:v>
                      </c:pt>
                      <c:pt idx="20">
                        <c:v>-3.3276244186010522</c:v>
                      </c:pt>
                      <c:pt idx="21">
                        <c:v>-3.3583397549768255</c:v>
                      </c:pt>
                      <c:pt idx="22">
                        <c:v>-3.3870665082803311</c:v>
                      </c:pt>
                      <c:pt idx="23">
                        <c:v>-3.4138661401000734</c:v>
                      </c:pt>
                      <c:pt idx="24">
                        <c:v>-3.4387984164141074</c:v>
                      </c:pt>
                      <c:pt idx="25">
                        <c:v>-3.4619214532280038</c:v>
                      </c:pt>
                      <c:pt idx="26">
                        <c:v>-3.483291760991182</c:v>
                      </c:pt>
                      <c:pt idx="27">
                        <c:v>-3.5029642878242746</c:v>
                      </c:pt>
                      <c:pt idx="28">
                        <c:v>-3.5209924615893038</c:v>
                      </c:pt>
                      <c:pt idx="29">
                        <c:v>-3.5374282308336151</c:v>
                      </c:pt>
                      <c:pt idx="30">
                        <c:v>-3.5523221046376801</c:v>
                      </c:pt>
                      <c:pt idx="31">
                        <c:v>-3.5657231913960734</c:v>
                      </c:pt>
                      <c:pt idx="32">
                        <c:v>-3.5776792365601366</c:v>
                      </c:pt>
                      <c:pt idx="33">
                        <c:v>-3.588236659370116</c:v>
                      </c:pt>
                      <c:pt idx="34">
                        <c:v>-3.5974405886037619</c:v>
                      </c:pt>
                      <c:pt idx="35">
                        <c:v>-3.6053348973677108</c:v>
                      </c:pt>
                      <c:pt idx="36">
                        <c:v>-3.61196223695723</c:v>
                      </c:pt>
                      <c:pt idx="37">
                        <c:v>-3.6173640698092422</c:v>
                      </c:pt>
                      <c:pt idx="38">
                        <c:v>-3.6215807015728689</c:v>
                      </c:pt>
                      <c:pt idx="39">
                        <c:v>-3.6246513123210939</c:v>
                      </c:pt>
                      <c:pt idx="40">
                        <c:v>-3.6266139869265075</c:v>
                      </c:pt>
                      <c:pt idx="41">
                        <c:v>-3.6275057446234769</c:v>
                      </c:pt>
                      <c:pt idx="42">
                        <c:v>-3.6273625677785195</c:v>
                      </c:pt>
                      <c:pt idx="43">
                        <c:v>-3.6262194298900221</c:v>
                      </c:pt>
                      <c:pt idx="44">
                        <c:v>-3.6241103228379323</c:v>
                      </c:pt>
                      <c:pt idx="45">
                        <c:v>-3.6210682834034742</c:v>
                      </c:pt>
                      <c:pt idx="46">
                        <c:v>-3.6171254190783988</c:v>
                      </c:pt>
                      <c:pt idx="47">
                        <c:v>-3.6123129331827841</c:v>
                      </c:pt>
                      <c:pt idx="48">
                        <c:v>-3.6066611493098577</c:v>
                      </c:pt>
                      <c:pt idx="49">
                        <c:v>-3.6001995351158462</c:v>
                      </c:pt>
                      <c:pt idx="50">
                        <c:v>-3.5929567254723684</c:v>
                      </c:pt>
                      <c:pt idx="51">
                        <c:v>-3.5849605449984092</c:v>
                      </c:pt>
                      <c:pt idx="52">
                        <c:v>-3.5762380299884833</c:v>
                      </c:pt>
                      <c:pt idx="53">
                        <c:v>-3.5667955826176669</c:v>
                      </c:pt>
                      <c:pt idx="54">
                        <c:v>-3.5573029837653469</c:v>
                      </c:pt>
                      <c:pt idx="55">
                        <c:v>-3.5477626366439847</c:v>
                      </c:pt>
                      <c:pt idx="56">
                        <c:v>-3.5381768764915025</c:v>
                      </c:pt>
                      <c:pt idx="57">
                        <c:v>-3.5285479724014963</c:v>
                      </c:pt>
                      <c:pt idx="58">
                        <c:v>-3.5188781291044728</c:v>
                      </c:pt>
                      <c:pt idx="59">
                        <c:v>-3.5091694887014273</c:v>
                      </c:pt>
                      <c:pt idx="60">
                        <c:v>-3.4994241323510331</c:v>
                      </c:pt>
                      <c:pt idx="61">
                        <c:v>-3.4896440819116834</c:v>
                      </c:pt>
                      <c:pt idx="62">
                        <c:v>-3.4798313015395896</c:v>
                      </c:pt>
                      <c:pt idx="63">
                        <c:v>-3.4699876992441183</c:v>
                      </c:pt>
                      <c:pt idx="64">
                        <c:v>-3.4601151284015028</c:v>
                      </c:pt>
                      <c:pt idx="65">
                        <c:v>-3.4502153892280458</c:v>
                      </c:pt>
                      <c:pt idx="66">
                        <c:v>-3.4402902302138965</c:v>
                      </c:pt>
                      <c:pt idx="67">
                        <c:v>-3.43034134951845</c:v>
                      </c:pt>
                      <c:pt idx="68">
                        <c:v>-3.420370396328408</c:v>
                      </c:pt>
                      <c:pt idx="69">
                        <c:v>-3.4103789721794877</c:v>
                      </c:pt>
                      <c:pt idx="70">
                        <c:v>-3.4003686322427487</c:v>
                      </c:pt>
                      <c:pt idx="71">
                        <c:v>-3.390340886576503</c:v>
                      </c:pt>
                      <c:pt idx="72">
                        <c:v>-3.3802972013447019</c:v>
                      </c:pt>
                      <c:pt idx="73">
                        <c:v>-3.3702390000027136</c:v>
                      </c:pt>
                      <c:pt idx="74">
                        <c:v>-3.3601676644513625</c:v>
                      </c:pt>
                      <c:pt idx="75">
                        <c:v>-3.3500845361600731</c:v>
                      </c:pt>
                      <c:pt idx="76">
                        <c:v>-3.339990917259942</c:v>
                      </c:pt>
                      <c:pt idx="77">
                        <c:v>-3.3298880716075514</c:v>
                      </c:pt>
                      <c:pt idx="78">
                        <c:v>-3.3197772258203035</c:v>
                      </c:pt>
                      <c:pt idx="79">
                        <c:v>-3.309659570284031</c:v>
                      </c:pt>
                      <c:pt idx="80">
                        <c:v>-3.29953626013363</c:v>
                      </c:pt>
                      <c:pt idx="81">
                        <c:v>-3.2894084162074368</c:v>
                      </c:pt>
                      <c:pt idx="82">
                        <c:v>-3.2792771259760531</c:v>
                      </c:pt>
                      <c:pt idx="83">
                        <c:v>-3.2691434444462919</c:v>
                      </c:pt>
                      <c:pt idx="84">
                        <c:v>-3.2590083950409277</c:v>
                      </c:pt>
                      <c:pt idx="85">
                        <c:v>-3.2488729704548751</c:v>
                      </c:pt>
                      <c:pt idx="86">
                        <c:v>-3.2387381334884497</c:v>
                      </c:pt>
                      <c:pt idx="87">
                        <c:v>-3.2286048178583018</c:v>
                      </c:pt>
                      <c:pt idx="88">
                        <c:v>-3.21847392898664</c:v>
                      </c:pt>
                      <c:pt idx="89">
                        <c:v>-3.2083463447693088</c:v>
                      </c:pt>
                      <c:pt idx="90">
                        <c:v>-3.198222916323298</c:v>
                      </c:pt>
                      <c:pt idx="91">
                        <c:v>-3.188104468714227</c:v>
                      </c:pt>
                      <c:pt idx="92">
                        <c:v>-3.1779918016643354</c:v>
                      </c:pt>
                      <c:pt idx="93">
                        <c:v>-3.1678856902415196</c:v>
                      </c:pt>
                      <c:pt idx="94">
                        <c:v>-3.1577868855298954</c:v>
                      </c:pt>
                      <c:pt idx="95">
                        <c:v>-3.147696115282403</c:v>
                      </c:pt>
                      <c:pt idx="96">
                        <c:v>-3.1376140845559228</c:v>
                      </c:pt>
                      <c:pt idx="97">
                        <c:v>-3.1275414763293758</c:v>
                      </c:pt>
                      <c:pt idx="98">
                        <c:v>-3.1174789521052575</c:v>
                      </c:pt>
                      <c:pt idx="99">
                        <c:v>-3.1074271524950565</c:v>
                      </c:pt>
                      <c:pt idx="100">
                        <c:v>-3.0973866977889779</c:v>
                      </c:pt>
                      <c:pt idx="101">
                        <c:v>-3.0873581885104029</c:v>
                      </c:pt>
                      <c:pt idx="102">
                        <c:v>-3.0773422059554787</c:v>
                      </c:pt>
                      <c:pt idx="103">
                        <c:v>-3.0673393127182553</c:v>
                      </c:pt>
                      <c:pt idx="104">
                        <c:v>-3.0573500532017417</c:v>
                      </c:pt>
                      <c:pt idx="105">
                        <c:v>-3.0473562098749492</c:v>
                      </c:pt>
                      <c:pt idx="106">
                        <c:v>-3.0373771591248824</c:v>
                      </c:pt>
                      <c:pt idx="107">
                        <c:v>-3.0274133934316385</c:v>
                      </c:pt>
                      <c:pt idx="108">
                        <c:v>-3.0174653889833771</c:v>
                      </c:pt>
                      <c:pt idx="109">
                        <c:v>-3.0075336061229283</c:v>
                      </c:pt>
                      <c:pt idx="110">
                        <c:v>-2.9976184897824196</c:v>
                      </c:pt>
                      <c:pt idx="111">
                        <c:v>-2.9877204699062392</c:v>
                      </c:pt>
                      <c:pt idx="112">
                        <c:v>-2.9778399618626592</c:v>
                      </c:pt>
                      <c:pt idx="113">
                        <c:v>-2.9679773668444045</c:v>
                      </c:pt>
                      <c:pt idx="114">
                        <c:v>-2.9581330722584829</c:v>
                      </c:pt>
                      <c:pt idx="115">
                        <c:v>-2.9483074521055475</c:v>
                      </c:pt>
                      <c:pt idx="116">
                        <c:v>-2.9385008673490787</c:v>
                      </c:pt>
                      <c:pt idx="117">
                        <c:v>-2.9287136662746605</c:v>
                      </c:pt>
                      <c:pt idx="118">
                        <c:v>-2.9189461848396103</c:v>
                      </c:pt>
                      <c:pt idx="119">
                        <c:v>-2.9091987470132223</c:v>
                      </c:pt>
                      <c:pt idx="120">
                        <c:v>-2.8994716651078769</c:v>
                      </c:pt>
                      <c:pt idx="121">
                        <c:v>-2.889765240101259</c:v>
                      </c:pt>
                      <c:pt idx="122">
                        <c:v>-2.8800797619499301</c:v>
                      </c:pt>
                      <c:pt idx="123">
                        <c:v>-2.8704155098944626</c:v>
                      </c:pt>
                      <c:pt idx="124">
                        <c:v>-2.860772752756402</c:v>
                      </c:pt>
                      <c:pt idx="125">
                        <c:v>-2.8511517492272285</c:v>
                      </c:pt>
                      <c:pt idx="126">
                        <c:v>-2.8415527481495739</c:v>
                      </c:pt>
                      <c:pt idx="127">
                        <c:v>-2.8319759887908735</c:v>
                      </c:pt>
                      <c:pt idx="128">
                        <c:v>-2.8224217011096679</c:v>
                      </c:pt>
                      <c:pt idx="129">
                        <c:v>-2.8128901060147435</c:v>
                      </c:pt>
                      <c:pt idx="130">
                        <c:v>-2.80338141561732</c:v>
                      </c:pt>
                      <c:pt idx="131">
                        <c:v>-2.7938958334764417</c:v>
                      </c:pt>
                      <c:pt idx="132">
                        <c:v>-2.7844335548377899</c:v>
                      </c:pt>
                      <c:pt idx="133">
                        <c:v>-2.7749947668660582</c:v>
                      </c:pt>
                      <c:pt idx="134">
                        <c:v>-2.7655796488710891</c:v>
                      </c:pt>
                      <c:pt idx="135">
                        <c:v>-2.756188372527927</c:v>
                      </c:pt>
                      <c:pt idx="136">
                        <c:v>-2.7468211020909483</c:v>
                      </c:pt>
                      <c:pt idx="137">
                        <c:v>-2.7374779946022332</c:v>
                      </c:pt>
                      <c:pt idx="138">
                        <c:v>-2.7281592000943347</c:v>
                      </c:pt>
                      <c:pt idx="139">
                        <c:v>-2.7188648617875826</c:v>
                      </c:pt>
                      <c:pt idx="140">
                        <c:v>-2.7095951162820873</c:v>
                      </c:pt>
                      <c:pt idx="141">
                        <c:v>-2.7003500937445679</c:v>
                      </c:pt>
                      <c:pt idx="142">
                        <c:v>-2.6911299180901498</c:v>
                      </c:pt>
                      <c:pt idx="143">
                        <c:v>-2.6819347071592725</c:v>
                      </c:pt>
                      <c:pt idx="144">
                        <c:v>-2.6727645728898297</c:v>
                      </c:pt>
                      <c:pt idx="145">
                        <c:v>-2.6636196214846701</c:v>
                      </c:pt>
                      <c:pt idx="146">
                        <c:v>-2.6544999535745943</c:v>
                      </c:pt>
                      <c:pt idx="147">
                        <c:v>-2.6454056643769448</c:v>
                      </c:pt>
                      <c:pt idx="148">
                        <c:v>-2.6363368438499366</c:v>
                      </c:pt>
                      <c:pt idx="149">
                        <c:v>-2.6272935768428218</c:v>
                      </c:pt>
                      <c:pt idx="150">
                        <c:v>-2.6182759432419984</c:v>
                      </c:pt>
                      <c:pt idx="151">
                        <c:v>-2.6092840181131933</c:v>
                      </c:pt>
                      <c:pt idx="152">
                        <c:v>-2.600317871839799</c:v>
                      </c:pt>
                      <c:pt idx="153">
                        <c:v>-2.5913775702574804</c:v>
                      </c:pt>
                      <c:pt idx="154">
                        <c:v>-2.5824631747851523</c:v>
                      </c:pt>
                      <c:pt idx="155">
                        <c:v>-2.5735747425524229</c:v>
                      </c:pt>
                      <c:pt idx="156">
                        <c:v>-2.5647123265235869</c:v>
                      </c:pt>
                      <c:pt idx="157">
                        <c:v>-2.5558582824365859</c:v>
                      </c:pt>
                      <c:pt idx="158">
                        <c:v>-2.5470304705662379</c:v>
                      </c:pt>
                      <c:pt idx="159">
                        <c:v>-2.5382289315475144</c:v>
                      </c:pt>
                      <c:pt idx="160">
                        <c:v>-2.529453702312451</c:v>
                      </c:pt>
                      <c:pt idx="161">
                        <c:v>-2.5207048161984029</c:v>
                      </c:pt>
                      <c:pt idx="162">
                        <c:v>-2.5119823030533719</c:v>
                      </c:pt>
                      <c:pt idx="163">
                        <c:v>-2.5032861893384912</c:v>
                      </c:pt>
                      <c:pt idx="164">
                        <c:v>-2.4946164982277228</c:v>
                      </c:pt>
                      <c:pt idx="165">
                        <c:v>-2.485973249704871</c:v>
                      </c:pt>
                      <c:pt idx="166">
                        <c:v>-2.477356460657961</c:v>
                      </c:pt>
                      <c:pt idx="167">
                        <c:v>-2.4687661449710609</c:v>
                      </c:pt>
                      <c:pt idx="168">
                        <c:v>-2.4602023136136224</c:v>
                      </c:pt>
                      <c:pt idx="169">
                        <c:v>-2.4516649747273971</c:v>
                      </c:pt>
                      <c:pt idx="170">
                        <c:v>-2.4431541337109892</c:v>
                      </c:pt>
                      <c:pt idx="171">
                        <c:v>-2.4346697933021311</c:v>
                      </c:pt>
                      <c:pt idx="172">
                        <c:v>-2.42621195365771</c:v>
                      </c:pt>
                      <c:pt idx="173">
                        <c:v>-2.4177806124316379</c:v>
                      </c:pt>
                      <c:pt idx="174">
                        <c:v>-2.4093757648505978</c:v>
                      </c:pt>
                      <c:pt idx="175">
                        <c:v>-2.4009974037877355</c:v>
                      </c:pt>
                      <c:pt idx="176">
                        <c:v>-2.3926455198343546</c:v>
                      </c:pt>
                      <c:pt idx="177">
                        <c:v>-2.3843201013696538</c:v>
                      </c:pt>
                      <c:pt idx="178">
                        <c:v>-2.3760211346285782</c:v>
                      </c:pt>
                      <c:pt idx="179">
                        <c:v>-2.3677486037678168</c:v>
                      </c:pt>
                      <c:pt idx="180">
                        <c:v>-2.3595024909300122</c:v>
                      </c:pt>
                      <c:pt idx="181">
                        <c:v>-2.3512827763062161</c:v>
                      </c:pt>
                      <c:pt idx="182">
                        <c:v>-2.3430894381966456</c:v>
                      </c:pt>
                      <c:pt idx="183">
                        <c:v>-2.3349224530697912</c:v>
                      </c:pt>
                      <c:pt idx="184">
                        <c:v>-2.3267817956199006</c:v>
                      </c:pt>
                      <c:pt idx="185">
                        <c:v>-2.3186674388229083</c:v>
                      </c:pt>
                      <c:pt idx="186">
                        <c:v>-2.3105793539908341</c:v>
                      </c:pt>
                      <c:pt idx="187">
                        <c:v>-2.3025175108246936</c:v>
                      </c:pt>
                      <c:pt idx="188">
                        <c:v>-2.2944818774659677</c:v>
                      </c:pt>
                      <c:pt idx="189">
                        <c:v>-2.2864724205466689</c:v>
                      </c:pt>
                      <c:pt idx="190">
                        <c:v>-2.2784891052380343</c:v>
                      </c:pt>
                      <c:pt idx="191">
                        <c:v>-2.2705318952978844</c:v>
                      </c:pt>
                      <c:pt idx="192">
                        <c:v>-2.2626007531166947</c:v>
                      </c:pt>
                      <c:pt idx="193">
                        <c:v>-2.2546956397624029</c:v>
                      </c:pt>
                      <c:pt idx="194">
                        <c:v>-2.2468165150239816</c:v>
                      </c:pt>
                      <c:pt idx="195">
                        <c:v>-2.2389633374538267</c:v>
                      </c:pt>
                      <c:pt idx="196">
                        <c:v>-2.2311360644089775</c:v>
                      </c:pt>
                      <c:pt idx="197">
                        <c:v>-2.2233346520912067</c:v>
                      </c:pt>
                      <c:pt idx="198">
                        <c:v>-2.2155590555860081</c:v>
                      </c:pt>
                      <c:pt idx="199">
                        <c:v>-2.20780922890052</c:v>
                      </c:pt>
                      <c:pt idx="200">
                        <c:v>-2.2000851250003981</c:v>
                      </c:pt>
                      <c:pt idx="201">
                        <c:v>-2.1923866958456744</c:v>
                      </c:pt>
                      <c:pt idx="202">
                        <c:v>-2.1847138924256342</c:v>
                      </c:pt>
                      <c:pt idx="203">
                        <c:v>-2.1770666647927288</c:v>
                      </c:pt>
                      <c:pt idx="204">
                        <c:v>-2.1694449620955512</c:v>
                      </c:pt>
                      <c:pt idx="205">
                        <c:v>-2.1618487326109066</c:v>
                      </c:pt>
                      <c:pt idx="206">
                        <c:v>-2.1542779237749934</c:v>
                      </c:pt>
                      <c:pt idx="207">
                        <c:v>-2.1467324822137259</c:v>
                      </c:pt>
                      <c:pt idx="208">
                        <c:v>-2.1392123537722139</c:v>
                      </c:pt>
                      <c:pt idx="209">
                        <c:v>-2.1317019039589331</c:v>
                      </c:pt>
                      <c:pt idx="210">
                        <c:v>-2.1242167660241775</c:v>
                      </c:pt>
                      <c:pt idx="211">
                        <c:v>-2.116756883086957</c:v>
                      </c:pt>
                      <c:pt idx="212">
                        <c:v>-2.1093221975971361</c:v>
                      </c:pt>
                      <c:pt idx="213">
                        <c:v>-2.1019126513610775</c:v>
                      </c:pt>
                      <c:pt idx="214">
                        <c:v>-2.0945281855665625</c:v>
                      </c:pt>
                      <c:pt idx="215">
                        <c:v>-2.0871687408070283</c:v>
                      </c:pt>
                      <c:pt idx="216">
                        <c:v>-2.0798342571051212</c:v>
                      </c:pt>
                      <c:pt idx="217">
                        <c:v>-2.0725246739355963</c:v>
                      </c:pt>
                      <c:pt idx="218">
                        <c:v>-2.0652399302475781</c:v>
                      </c:pt>
                      <c:pt idx="219">
                        <c:v>-2.0579799644861967</c:v>
                      </c:pt>
                      <c:pt idx="220">
                        <c:v>-2.0507447146136202</c:v>
                      </c:pt>
                      <c:pt idx="221">
                        <c:v>-2.043534118129497</c:v>
                      </c:pt>
                      <c:pt idx="222">
                        <c:v>-2.0363481120908249</c:v>
                      </c:pt>
                      <c:pt idx="223">
                        <c:v>-2.0291866331312618</c:v>
                      </c:pt>
                      <c:pt idx="224">
                        <c:v>-2.0220496174798948</c:v>
                      </c:pt>
                      <c:pt idx="225">
                        <c:v>-2.0149370009794767</c:v>
                      </c:pt>
                      <c:pt idx="226">
                        <c:v>-2.0078487191041545</c:v>
                      </c:pt>
                      <c:pt idx="227">
                        <c:v>-2.0007847069766953</c:v>
                      </c:pt>
                      <c:pt idx="228">
                        <c:v>-1.99374489938522</c:v>
                      </c:pt>
                      <c:pt idx="229">
                        <c:v>-1.9867292307994737</c:v>
                      </c:pt>
                      <c:pt idx="230">
                        <c:v>-1.9797376353866256</c:v>
                      </c:pt>
                      <c:pt idx="231">
                        <c:v>-1.9727700470266236</c:v>
                      </c:pt>
                      <c:pt idx="232">
                        <c:v>-1.9658263993271174</c:v>
                      </c:pt>
                      <c:pt idx="233">
                        <c:v>-1.9589066256379488</c:v>
                      </c:pt>
                      <c:pt idx="234">
                        <c:v>-1.9520106590652335</c:v>
                      </c:pt>
                      <c:pt idx="235">
                        <c:v>-1.9451384324850411</c:v>
                      </c:pt>
                      <c:pt idx="236">
                        <c:v>-1.9382898785566818</c:v>
                      </c:pt>
                      <c:pt idx="237">
                        <c:v>-1.9314649297356108</c:v>
                      </c:pt>
                      <c:pt idx="238">
                        <c:v>-1.9246635182859699</c:v>
                      </c:pt>
                      <c:pt idx="239">
                        <c:v>-1.9178855762927598</c:v>
                      </c:pt>
                      <c:pt idx="240">
                        <c:v>-1.9111310356736695</c:v>
                      </c:pt>
                      <c:pt idx="241">
                        <c:v>-1.9043998281905536</c:v>
                      </c:pt>
                      <c:pt idx="242">
                        <c:v>-1.897691885460592</c:v>
                      </c:pt>
                      <c:pt idx="243">
                        <c:v>-1.8910071389671161</c:v>
                      </c:pt>
                      <c:pt idx="244">
                        <c:v>-1.8843455200701231</c:v>
                      </c:pt>
                      <c:pt idx="245">
                        <c:v>-1.8777069600164862</c:v>
                      </c:pt>
                      <c:pt idx="246">
                        <c:v>-1.8710913899498656</c:v>
                      </c:pt>
                      <c:pt idx="247">
                        <c:v>-1.8644987409203315</c:v>
                      </c:pt>
                      <c:pt idx="248">
                        <c:v>-1.8579289438937048</c:v>
                      </c:pt>
                      <c:pt idx="249">
                        <c:v>-1.8513819297606231</c:v>
                      </c:pt>
                      <c:pt idx="250">
                        <c:v>-1.8448576293453409</c:v>
                      </c:pt>
                      <c:pt idx="251">
                        <c:v>-1.8383559734142687</c:v>
                      </c:pt>
                      <c:pt idx="252">
                        <c:v>-1.8318768926842646</c:v>
                      </c:pt>
                      <c:pt idx="253">
                        <c:v>-1.8254203178306727</c:v>
                      </c:pt>
                      <c:pt idx="254">
                        <c:v>-1.8189861794951301</c:v>
                      </c:pt>
                      <c:pt idx="255">
                        <c:v>-1.8125744082931359</c:v>
                      </c:pt>
                      <c:pt idx="256">
                        <c:v>-1.8061849348213994</c:v>
                      </c:pt>
                      <c:pt idx="257">
                        <c:v>-1.7998176896649629</c:v>
                      </c:pt>
                      <c:pt idx="258">
                        <c:v>-1.7934726034041137</c:v>
                      </c:pt>
                      <c:pt idx="259">
                        <c:v>-1.7871496066210861</c:v>
                      </c:pt>
                      <c:pt idx="260">
                        <c:v>-1.7808486299065631</c:v>
                      </c:pt>
                      <c:pt idx="261">
                        <c:v>-1.7746576434104968</c:v>
                      </c:pt>
                      <c:pt idx="262">
                        <c:v>-1.7685874672182715</c:v>
                      </c:pt>
                      <c:pt idx="263">
                        <c:v>-1.7626349170159006</c:v>
                      </c:pt>
                      <c:pt idx="264">
                        <c:v>-1.7567968936481131</c:v>
                      </c:pt>
                      <c:pt idx="265">
                        <c:v>-1.7510703808395913</c:v>
                      </c:pt>
                      <c:pt idx="266">
                        <c:v>-1.7454524429771872</c:v>
                      </c:pt>
                      <c:pt idx="267">
                        <c:v>-1.7399402229514835</c:v>
                      </c:pt>
                      <c:pt idx="268">
                        <c:v>-1.734530940056116</c:v>
                      </c:pt>
                      <c:pt idx="269">
                        <c:v>-1.7292218879433121</c:v>
                      </c:pt>
                      <c:pt idx="270">
                        <c:v>-1.7240104326341301</c:v>
                      </c:pt>
                      <c:pt idx="271">
                        <c:v>-1.7188940105819535</c:v>
                      </c:pt>
                      <c:pt idx="272">
                        <c:v>-1.7138701267877978</c:v>
                      </c:pt>
                      <c:pt idx="273">
                        <c:v>-1.7089363529660564</c:v>
                      </c:pt>
                      <c:pt idx="274">
                        <c:v>-1.7040903257593267</c:v>
                      </c:pt>
                      <c:pt idx="275">
                        <c:v>-1.6993297450010092</c:v>
                      </c:pt>
                      <c:pt idx="276">
                        <c:v>-1.6946523720243982</c:v>
                      </c:pt>
                      <c:pt idx="277">
                        <c:v>-1.6900560280170198</c:v>
                      </c:pt>
                      <c:pt idx="278">
                        <c:v>-1.6855385924190076</c:v>
                      </c:pt>
                      <c:pt idx="279">
                        <c:v>-1.6810980013643391</c:v>
                      </c:pt>
                      <c:pt idx="280">
                        <c:v>-1.6767322461637812</c:v>
                      </c:pt>
                      <c:pt idx="281">
                        <c:v>-1.6724393718284327</c:v>
                      </c:pt>
                      <c:pt idx="282">
                        <c:v>-1.6682174756327777</c:v>
                      </c:pt>
                      <c:pt idx="283">
                        <c:v>-1.6640647057161893</c:v>
                      </c:pt>
                      <c:pt idx="284">
                        <c:v>-1.6599792597218559</c:v>
                      </c:pt>
                      <c:pt idx="285">
                        <c:v>-1.6559593834721327</c:v>
                      </c:pt>
                      <c:pt idx="286">
                        <c:v>-1.6520033696793359</c:v>
                      </c:pt>
                      <c:pt idx="287">
                        <c:v>-1.6481095566910411</c:v>
                      </c:pt>
                      <c:pt idx="288">
                        <c:v>-1.6442763272689491</c:v>
                      </c:pt>
                      <c:pt idx="289">
                        <c:v>-1.6405021074004387</c:v>
                      </c:pt>
                      <c:pt idx="290">
                        <c:v>-1.6367853651419126</c:v>
                      </c:pt>
                      <c:pt idx="291">
                        <c:v>-1.6331246094931009</c:v>
                      </c:pt>
                      <c:pt idx="292">
                        <c:v>-1.6295183893014864</c:v>
                      </c:pt>
                      <c:pt idx="293">
                        <c:v>-1.6259652921960459</c:v>
                      </c:pt>
                      <c:pt idx="294">
                        <c:v>-1.6224639435495252</c:v>
                      </c:pt>
                      <c:pt idx="295">
                        <c:v>-1.6190130054684815</c:v>
                      </c:pt>
                      <c:pt idx="296">
                        <c:v>-1.6156111758103557</c:v>
                      </c:pt>
                      <c:pt idx="297">
                        <c:v>-1.6122571872268434</c:v>
                      </c:pt>
                      <c:pt idx="298">
                        <c:v>-1.6089498062328675</c:v>
                      </c:pt>
                      <c:pt idx="299">
                        <c:v>-1.6056878323004635</c:v>
                      </c:pt>
                      <c:pt idx="300">
                        <c:v>-1.6024700969769123</c:v>
                      </c:pt>
                      <c:pt idx="301">
                        <c:v>-1.599295463026472</c:v>
                      </c:pt>
                      <c:pt idx="302">
                        <c:v>-1.5961628235950753</c:v>
                      </c:pt>
                      <c:pt idx="303">
                        <c:v>-1.5930711013973811</c:v>
                      </c:pt>
                      <c:pt idx="304">
                        <c:v>-1.5900192479255795</c:v>
                      </c:pt>
                      <c:pt idx="305">
                        <c:v>-1.5870062426793679</c:v>
                      </c:pt>
                      <c:pt idx="306">
                        <c:v>-1.5840310924165326</c:v>
                      </c:pt>
                      <c:pt idx="307">
                        <c:v>-1.5810928304235885</c:v>
                      </c:pt>
                      <c:pt idx="308">
                        <c:v>-1.5781905158059297</c:v>
                      </c:pt>
                      <c:pt idx="309">
                        <c:v>-1.5753232327969797</c:v>
                      </c:pt>
                      <c:pt idx="310">
                        <c:v>-1.5724900900858294</c:v>
                      </c:pt>
                      <c:pt idx="311">
                        <c:v>-1.5696902201628629</c:v>
                      </c:pt>
                      <c:pt idx="312">
                        <c:v>-1.5669227786828972</c:v>
                      </c:pt>
                      <c:pt idx="313">
                        <c:v>-1.5641741536779852</c:v>
                      </c:pt>
                      <c:pt idx="314">
                        <c:v>-1.5614563797980956</c:v>
                      </c:pt>
                      <c:pt idx="315">
                        <c:v>-1.5587686778011827</c:v>
                      </c:pt>
                      <c:pt idx="316">
                        <c:v>-1.5561102892529055</c:v>
                      </c:pt>
                      <c:pt idx="317">
                        <c:v>-1.5534804759697116</c:v>
                      </c:pt>
                      <c:pt idx="318">
                        <c:v>-1.5508785194768262</c:v>
                      </c:pt>
                      <c:pt idx="319">
                        <c:v>-1.5483037204807499</c:v>
                      </c:pt>
                      <c:pt idx="320">
                        <c:v>-1.5457553983558749</c:v>
                      </c:pt>
                      <c:pt idx="321">
                        <c:v>-1.5432328906448478</c:v>
                      </c:pt>
                      <c:pt idx="322">
                        <c:v>-1.5407355525723008</c:v>
                      </c:pt>
                      <c:pt idx="323">
                        <c:v>-1.5382627565716021</c:v>
                      </c:pt>
                      <c:pt idx="324">
                        <c:v>-1.5358138918242759</c:v>
                      </c:pt>
                      <c:pt idx="325">
                        <c:v>-1.5333883638117451</c:v>
                      </c:pt>
                      <c:pt idx="326">
                        <c:v>-1.53098559387908</c:v>
                      </c:pt>
                      <c:pt idx="327">
                        <c:v>-1.5286050188104179</c:v>
                      </c:pt>
                      <c:pt idx="328">
                        <c:v>-1.5262460904157504</c:v>
                      </c:pt>
                      <c:pt idx="329">
                        <c:v>-1.5239082751287736</c:v>
                      </c:pt>
                      <c:pt idx="330">
                        <c:v>-1.5215910536154984</c:v>
                      </c:pt>
                      <c:pt idx="331">
                        <c:v>-1.5192939203933415</c:v>
                      </c:pt>
                      <c:pt idx="332">
                        <c:v>-1.5170163834604093</c:v>
                      </c:pt>
                      <c:pt idx="333">
                        <c:v>-1.5147579639347053</c:v>
                      </c:pt>
                      <c:pt idx="334">
                        <c:v>-1.5125181957029987</c:v>
                      </c:pt>
                      <c:pt idx="335">
                        <c:v>-1.5102966250790848</c:v>
                      </c:pt>
                      <c:pt idx="336">
                        <c:v>-1.5080928104712001</c:v>
                      </c:pt>
                      <c:pt idx="337">
                        <c:v>-1.5059063220583364</c:v>
                      </c:pt>
                      <c:pt idx="338">
                        <c:v>-1.503736741475219</c:v>
                      </c:pt>
                      <c:pt idx="339">
                        <c:v>-1.5015836615057168</c:v>
                      </c:pt>
                      <c:pt idx="340">
                        <c:v>-1.4994466857844637</c:v>
                      </c:pt>
                      <c:pt idx="341">
                        <c:v>-1.4973254285064581</c:v>
                      </c:pt>
                      <c:pt idx="342">
                        <c:v>-1.4952195141444447</c:v>
                      </c:pt>
                      <c:pt idx="343">
                        <c:v>-1.4931285771738552</c:v>
                      </c:pt>
                      <c:pt idx="344">
                        <c:v>-1.4910522618051152</c:v>
                      </c:pt>
                      <c:pt idx="345">
                        <c:v>-1.4889902217231139</c:v>
                      </c:pt>
                      <c:pt idx="346">
                        <c:v>-1.4869421198336485</c:v>
                      </c:pt>
                      <c:pt idx="347">
                        <c:v>-1.4849076280166584</c:v>
                      </c:pt>
                      <c:pt idx="348">
                        <c:v>-1.4828864268860582</c:v>
                      </c:pt>
                      <c:pt idx="349">
                        <c:v>-1.480878205556005</c:v>
                      </c:pt>
                      <c:pt idx="350">
                        <c:v>-1.4788826614134225</c:v>
                      </c:pt>
                      <c:pt idx="351">
                        <c:v>-1.4768994998966085</c:v>
                      </c:pt>
                      <c:pt idx="352">
                        <c:v>-1.4749284342797735</c:v>
                      </c:pt>
                      <c:pt idx="353">
                        <c:v>-1.472969185463346</c:v>
                      </c:pt>
                      <c:pt idx="354">
                        <c:v>-1.4710214817698883</c:v>
                      </c:pt>
                      <c:pt idx="355">
                        <c:v>-1.4690850587454767</c:v>
                      </c:pt>
                      <c:pt idx="356">
                        <c:v>-1.4671596589663978</c:v>
                      </c:pt>
                      <c:pt idx="357">
                        <c:v>-1.4652450318510211</c:v>
                      </c:pt>
                      <c:pt idx="358">
                        <c:v>-1.4633409334767051</c:v>
                      </c:pt>
                      <c:pt idx="359">
                        <c:v>-1.4614471264016022</c:v>
                      </c:pt>
                      <c:pt idx="360">
                        <c:v>-1.4595633794912388</c:v>
                      </c:pt>
                      <c:pt idx="361">
                        <c:v>-1.4576894677497336</c:v>
                      </c:pt>
                      <c:pt idx="362">
                        <c:v>-1.4558251721555355</c:v>
                      </c:pt>
                      <c:pt idx="363">
                        <c:v>-1.4539702795015552</c:v>
                      </c:pt>
                      <c:pt idx="364">
                        <c:v>-1.4521245822395805</c:v>
                      </c:pt>
                      <c:pt idx="365">
                        <c:v>-1.4502750344633875</c:v>
                      </c:pt>
                      <c:pt idx="366">
                        <c:v>-1.4484343158475581</c:v>
                      </c:pt>
                      <c:pt idx="367">
                        <c:v>-1.4466022346990257</c:v>
                      </c:pt>
                      <c:pt idx="368">
                        <c:v>-1.4447786044084061</c:v>
                      </c:pt>
                      <c:pt idx="369">
                        <c:v>-1.442963243313929</c:v>
                      </c:pt>
                      <c:pt idx="370">
                        <c:v>-1.4411559745690128</c:v>
                      </c:pt>
                      <c:pt idx="371">
                        <c:v>-1.4393566260133872</c:v>
                      </c:pt>
                      <c:pt idx="372">
                        <c:v>-1.4375650300476643</c:v>
                      </c:pt>
                      <c:pt idx="373">
                        <c:v>-1.4357810235112691</c:v>
                      </c:pt>
                      <c:pt idx="374">
                        <c:v>-1.4340044475636382</c:v>
                      </c:pt>
                      <c:pt idx="375">
                        <c:v>-1.432235147568599</c:v>
                      </c:pt>
                      <c:pt idx="376">
                        <c:v>-1.4304729729818475</c:v>
                      </c:pt>
                      <c:pt idx="377">
                        <c:v>-1.4287177772414357</c:v>
                      </c:pt>
                      <c:pt idx="378">
                        <c:v>-1.426969417661192</c:v>
                      </c:pt>
                      <c:pt idx="379">
                        <c:v>-1.4252277553269956</c:v>
                      </c:pt>
                      <c:pt idx="380">
                        <c:v>-1.4234926549958316</c:v>
                      </c:pt>
                      <c:pt idx="381">
                        <c:v>-1.4217639849975412</c:v>
                      </c:pt>
                      <c:pt idx="382">
                        <c:v>-1.4200416171392105</c:v>
                      </c:pt>
                      <c:pt idx="383">
                        <c:v>-1.4183254266121148</c:v>
                      </c:pt>
                      <c:pt idx="384">
                        <c:v>-1.4166152919011552</c:v>
                      </c:pt>
                      <c:pt idx="385">
                        <c:v>-1.4149110946967227</c:v>
                      </c:pt>
                      <c:pt idx="386">
                        <c:v>-1.4132127198089179</c:v>
                      </c:pt>
                      <c:pt idx="387">
                        <c:v>-1.4115200550840723</c:v>
                      </c:pt>
                      <c:pt idx="388">
                        <c:v>-1.4098329913234995</c:v>
                      </c:pt>
                      <c:pt idx="389">
                        <c:v>-1.4081514222044262</c:v>
                      </c:pt>
                      <c:pt idx="390">
                        <c:v>-1.4064752442030395</c:v>
                      </c:pt>
                      <c:pt idx="391">
                        <c:v>-1.4048043565195922</c:v>
                      </c:pt>
                      <c:pt idx="392">
                        <c:v>-1.4031386610055168</c:v>
                      </c:pt>
                      <c:pt idx="393">
                        <c:v>-1.401478062092488</c:v>
                      </c:pt>
                      <c:pt idx="394">
                        <c:v>-1.3998224667233867</c:v>
                      </c:pt>
                      <c:pt idx="395">
                        <c:v>-1.398171784285112</c:v>
                      </c:pt>
                      <c:pt idx="396">
                        <c:v>-1.3965259265431917</c:v>
                      </c:pt>
                      <c:pt idx="397">
                        <c:v>-1.3948848075781433</c:v>
                      </c:pt>
                      <c:pt idx="398">
                        <c:v>-1.3932483437235408</c:v>
                      </c:pt>
                      <c:pt idx="399">
                        <c:v>-1.3916164535057378</c:v>
                      </c:pt>
                      <c:pt idx="400">
                        <c:v>-1.3899890575852045</c:v>
                      </c:pt>
                      <c:pt idx="401">
                        <c:v>-1.3883660786994383</c:v>
                      </c:pt>
                      <c:pt idx="402">
                        <c:v>-1.386747441607399</c:v>
                      </c:pt>
                      <c:pt idx="403">
                        <c:v>-1.3851330730354334</c:v>
                      </c:pt>
                      <c:pt idx="404">
                        <c:v>-1.3835229016246504</c:v>
                      </c:pt>
                      <c:pt idx="405">
                        <c:v>-1.3819168578796999</c:v>
                      </c:pt>
                      <c:pt idx="406">
                        <c:v>-1.3803148741189275</c:v>
                      </c:pt>
                      <c:pt idx="407">
                        <c:v>-1.3787168844258617</c:v>
                      </c:pt>
                      <c:pt idx="408">
                        <c:v>-1.3771228246020024</c:v>
                      </c:pt>
                      <c:pt idx="409">
                        <c:v>-1.3755326321208687</c:v>
                      </c:pt>
                      <c:pt idx="410">
                        <c:v>-1.3739462460832823</c:v>
                      </c:pt>
                      <c:pt idx="411">
                        <c:v>-1.3723636071738463</c:v>
                      </c:pt>
                      <c:pt idx="412">
                        <c:v>-1.3707846576185867</c:v>
                      </c:pt>
                      <c:pt idx="413">
                        <c:v>-1.3692093411437323</c:v>
                      </c:pt>
                      <c:pt idx="414">
                        <c:v>-1.3676376029355954</c:v>
                      </c:pt>
                      <c:pt idx="415">
                        <c:v>-1.366069389601529</c:v>
                      </c:pt>
                      <c:pt idx="416">
                        <c:v>-1.3645046491319248</c:v>
                      </c:pt>
                      <c:pt idx="417">
                        <c:v>-1.3629299356158155</c:v>
                      </c:pt>
                      <c:pt idx="418">
                        <c:v>-1.3613586257021668</c:v>
                      </c:pt>
                      <c:pt idx="419">
                        <c:v>-1.3597906712140573</c:v>
                      </c:pt>
                      <c:pt idx="420">
                        <c:v>-1.3582260252173604</c:v>
                      </c:pt>
                      <c:pt idx="421">
                        <c:v>-1.356664641987507</c:v>
                      </c:pt>
                      <c:pt idx="422">
                        <c:v>-1.3551064769771395</c:v>
                      </c:pt>
                      <c:pt idx="423">
                        <c:v>-1.3535514867846312</c:v>
                      </c:pt>
                      <c:pt idx="424">
                        <c:v>-1.3519996291234504</c:v>
                      </c:pt>
                      <c:pt idx="425">
                        <c:v>-1.3504508627923439</c:v>
                      </c:pt>
                      <c:pt idx="426">
                        <c:v>-1.3489051476463196</c:v>
                      </c:pt>
                      <c:pt idx="427">
                        <c:v>-1.347362444568406</c:v>
                      </c:pt>
                      <c:pt idx="428">
                        <c:v>-1.3458227154421689</c:v>
                      </c:pt>
                      <c:pt idx="429">
                        <c:v>-1.3442859231249624</c:v>
                      </c:pt>
                      <c:pt idx="430">
                        <c:v>-1.3427520314218988</c:v>
                      </c:pt>
                      <c:pt idx="431">
                        <c:v>-1.3412210050605138</c:v>
                      </c:pt>
                      <c:pt idx="432">
                        <c:v>-1.33969280966611</c:v>
                      </c:pt>
                      <c:pt idx="433">
                        <c:v>-1.338167411737764</c:v>
                      </c:pt>
                      <c:pt idx="434">
                        <c:v>-1.3366447786249702</c:v>
                      </c:pt>
                      <c:pt idx="435">
                        <c:v>-1.3351248785049172</c:v>
                      </c:pt>
                      <c:pt idx="436">
                        <c:v>-1.3336076803603669</c:v>
                      </c:pt>
                      <c:pt idx="437">
                        <c:v>-1.3320931539581298</c:v>
                      </c:pt>
                      <c:pt idx="438">
                        <c:v>-1.330581269828115</c:v>
                      </c:pt>
                      <c:pt idx="439">
                        <c:v>-1.3290719992429407</c:v>
                      </c:pt>
                      <c:pt idx="440">
                        <c:v>-1.3275653141980948</c:v>
                      </c:pt>
                      <c:pt idx="441">
                        <c:v>-1.3260611873926207</c:v>
                      </c:pt>
                      <c:pt idx="442">
                        <c:v>-1.3245595922103262</c:v>
                      </c:pt>
                      <c:pt idx="443">
                        <c:v>-1.3230605027014908</c:v>
                      </c:pt>
                      <c:pt idx="444">
                        <c:v>-1.3215638935650664</c:v>
                      </c:pt>
                      <c:pt idx="445">
                        <c:v>-1.3200697401313541</c:v>
                      </c:pt>
                      <c:pt idx="446">
                        <c:v>-1.3185780183451437</c:v>
                      </c:pt>
                      <c:pt idx="447">
                        <c:v>-1.3170887047493043</c:v>
                      </c:pt>
                      <c:pt idx="448">
                        <c:v>-1.3156017764688184</c:v>
                      </c:pt>
                      <c:pt idx="449">
                        <c:v>-1.3141172111952379</c:v>
                      </c:pt>
                      <c:pt idx="450">
                        <c:v>-1.3126349871715612</c:v>
                      </c:pt>
                      <c:pt idx="451">
                        <c:v>-1.3111550831775123</c:v>
                      </c:pt>
                      <c:pt idx="452">
                        <c:v>-1.3096774785152157</c:v>
                      </c:pt>
                      <c:pt idx="453">
                        <c:v>-1.3082021529952534</c:v>
                      </c:pt>
                      <c:pt idx="454">
                        <c:v>-1.3067290869230992</c:v>
                      </c:pt>
                      <c:pt idx="455">
                        <c:v>-1.3052582610859089</c:v>
                      </c:pt>
                      <c:pt idx="456">
                        <c:v>-1.3037896567396741</c:v>
                      </c:pt>
                      <c:pt idx="457">
                        <c:v>-1.3023232555967115</c:v>
                      </c:pt>
                      <c:pt idx="458">
                        <c:v>-1.3008590398134909</c:v>
                      </c:pt>
                      <c:pt idx="459">
                        <c:v>-1.29939699197879</c:v>
                      </c:pt>
                      <c:pt idx="460">
                        <c:v>-1.2979370951021638</c:v>
                      </c:pt>
                      <c:pt idx="461">
                        <c:v>-1.2964793326027257</c:v>
                      </c:pt>
                      <c:pt idx="462">
                        <c:v>-1.2950236882982276</c:v>
                      </c:pt>
                      <c:pt idx="463">
                        <c:v>-1.2935701463944305</c:v>
                      </c:pt>
                      <c:pt idx="464">
                        <c:v>-1.2921186914747655</c:v>
                      </c:pt>
                      <c:pt idx="465">
                        <c:v>-1.2906693084902634</c:v>
                      </c:pt>
                      <c:pt idx="466">
                        <c:v>-1.2892219827497615</c:v>
                      </c:pt>
                      <c:pt idx="467">
                        <c:v>-1.2877766999103681</c:v>
                      </c:pt>
                      <c:pt idx="468">
                        <c:v>-1.2863334459681872</c:v>
                      </c:pt>
                      <c:pt idx="469">
                        <c:v>-1.2848778303362032</c:v>
                      </c:pt>
                      <c:pt idx="470">
                        <c:v>-1.2834242489432339</c:v>
                      </c:pt>
                      <c:pt idx="471">
                        <c:v>-1.2819726886818397</c:v>
                      </c:pt>
                      <c:pt idx="472">
                        <c:v>-1.280523136749451</c:v>
                      </c:pt>
                      <c:pt idx="473">
                        <c:v>-1.2790755806402478</c:v>
                      </c:pt>
                      <c:pt idx="474">
                        <c:v>-1.2776300081372653</c:v>
                      </c:pt>
                      <c:pt idx="475">
                        <c:v>-1.2761864073046996</c:v>
                      </c:pt>
                      <c:pt idx="476">
                        <c:v>-1.2747447664804288</c:v>
                      </c:pt>
                      <c:pt idx="477">
                        <c:v>-1.2733050742687291</c:v>
                      </c:pt>
                      <c:pt idx="478">
                        <c:v>-1.2718673195331884</c:v>
                      </c:pt>
                      <c:pt idx="479">
                        <c:v>-1.2704314913898098</c:v>
                      </c:pt>
                      <c:pt idx="480">
                        <c:v>-1.268997579200299</c:v>
                      </c:pt>
                      <c:pt idx="481">
                        <c:v>-1.2675655725655313</c:v>
                      </c:pt>
                      <c:pt idx="482">
                        <c:v>-1.2661354613191937</c:v>
                      </c:pt>
                      <c:pt idx="483">
                        <c:v>-1.2647072355215985</c:v>
                      </c:pt>
                      <c:pt idx="484">
                        <c:v>-1.2632808854536617</c:v>
                      </c:pt>
                      <c:pt idx="485">
                        <c:v>-1.2618564016110418</c:v>
                      </c:pt>
                      <c:pt idx="486">
                        <c:v>-1.260433774698438</c:v>
                      </c:pt>
                      <c:pt idx="487">
                        <c:v>-1.2590129956240383</c:v>
                      </c:pt>
                      <c:pt idx="488">
                        <c:v>-1.257594055494119</c:v>
                      </c:pt>
                      <c:pt idx="489">
                        <c:v>-1.2561769456077871</c:v>
                      </c:pt>
                      <c:pt idx="490">
                        <c:v>-1.2547616574518645</c:v>
                      </c:pt>
                      <c:pt idx="491">
                        <c:v>-1.2533481826959068</c:v>
                      </c:pt>
                      <c:pt idx="492">
                        <c:v>-1.2519365131873594</c:v>
                      </c:pt>
                      <c:pt idx="493">
                        <c:v>-1.2505266409468407</c:v>
                      </c:pt>
                      <c:pt idx="494">
                        <c:v>-1.2491185581635533</c:v>
                      </c:pt>
                      <c:pt idx="495">
                        <c:v>-1.2477122571908161</c:v>
                      </c:pt>
                      <c:pt idx="496">
                        <c:v>-1.2463077305417176</c:v>
                      </c:pt>
                      <c:pt idx="497">
                        <c:v>-1.2449049708848838</c:v>
                      </c:pt>
                      <c:pt idx="498">
                        <c:v>-1.243503971040363</c:v>
                      </c:pt>
                      <c:pt idx="499">
                        <c:v>-1.2421047239756178</c:v>
                      </c:pt>
                      <c:pt idx="500">
                        <c:v>-1.2407072228016243</c:v>
                      </c:pt>
                      <c:pt idx="501">
                        <c:v>-1.2393114607690772</c:v>
                      </c:pt>
                      <c:pt idx="502">
                        <c:v>-1.2379174312646977</c:v>
                      </c:pt>
                      <c:pt idx="503">
                        <c:v>-1.2365251278076355</c:v>
                      </c:pt>
                      <c:pt idx="504">
                        <c:v>-1.235134544045974</c:v>
                      </c:pt>
                      <c:pt idx="505">
                        <c:v>-1.2337456737533221</c:v>
                      </c:pt>
                      <c:pt idx="506">
                        <c:v>-1.2323585108255022</c:v>
                      </c:pt>
                      <c:pt idx="507">
                        <c:v>-1.2309730492773256</c:v>
                      </c:pt>
                      <c:pt idx="508">
                        <c:v>-1.2295892832394524</c:v>
                      </c:pt>
                      <c:pt idx="509">
                        <c:v>-1.2282072069553382</c:v>
                      </c:pt>
                      <c:pt idx="510">
                        <c:v>-1.2268268147782619</c:v>
                      </c:pt>
                      <c:pt idx="511">
                        <c:v>-1.2254481011684315</c:v>
                      </c:pt>
                      <c:pt idx="512">
                        <c:v>-1.2240710606901681</c:v>
                      </c:pt>
                      <c:pt idx="513">
                        <c:v>-1.2226956880091662</c:v>
                      </c:pt>
                      <c:pt idx="514">
                        <c:v>-1.2213219778898277</c:v>
                      </c:pt>
                      <c:pt idx="515">
                        <c:v>-1.2199499251926649</c:v>
                      </c:pt>
                      <c:pt idx="516">
                        <c:v>-1.2185795248717757</c:v>
                      </c:pt>
                      <c:pt idx="517">
                        <c:v>-1.2172107719723839</c:v>
                      </c:pt>
                      <c:pt idx="518">
                        <c:v>-1.2158436616284491</c:v>
                      </c:pt>
                      <c:pt idx="519">
                        <c:v>-1.2144781890603362</c:v>
                      </c:pt>
                    </c:numCache>
                  </c:numRef>
                </c:val>
                <c:smooth val="0"/>
                <c:extLst xmlns:c15="http://schemas.microsoft.com/office/drawing/2012/chart">
                  <c:ext xmlns:c16="http://schemas.microsoft.com/office/drawing/2014/chart" uri="{C3380CC4-5D6E-409C-BE32-E72D297353CC}">
                    <c16:uniqueId val="{00000007-7744-4B44-92D6-CD8912115525}"/>
                  </c:ext>
                </c:extLst>
              </c15:ser>
            </c15:filteredLineSeries>
            <c15:filteredLineSeries>
              <c15:ser>
                <c:idx val="0"/>
                <c:order val="6"/>
                <c:tx>
                  <c:strRef>
                    <c:extLst xmlns:c15="http://schemas.microsoft.com/office/drawing/2012/chart">
                      <c:ext xmlns:c15="http://schemas.microsoft.com/office/drawing/2012/chart" uri="{02D57815-91ED-43cb-92C2-25804820EDAC}">
                        <c15:formulaRef>
                          <c15:sqref>Ig!$AH$534</c15:sqref>
                        </c15:formulaRef>
                      </c:ext>
                    </c:extLst>
                    <c:strCache>
                      <c:ptCount val="1"/>
                      <c:pt idx="0">
                        <c:v>Glaucoma</c:v>
                      </c:pt>
                    </c:strCache>
                  </c:strRef>
                </c:tx>
                <c:spPr>
                  <a:ln w="28575" cap="rnd">
                    <a:solidFill>
                      <a:schemeClr val="accent1"/>
                    </a:solidFill>
                    <a:round/>
                  </a:ln>
                  <a:effectLst/>
                </c:spPr>
                <c:marker>
                  <c:symbol val="none"/>
                </c:marker>
                <c:cat>
                  <c:numRef>
                    <c:extLst xmlns:c15="http://schemas.microsoft.com/office/drawing/2012/chart">
                      <c:ext xmlns:c15="http://schemas.microsoft.com/office/drawing/2012/chart" uri="{02D57815-91ED-43cb-92C2-25804820EDAC}">
                        <c15:formulaRef>
                          <c15:sqref>Ig!$AA$535:$AA$1054</c15:sqref>
                        </c15:formulaRef>
                      </c:ext>
                    </c:extLst>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extLst xmlns:c15="http://schemas.microsoft.com/office/drawing/2012/chart">
                      <c:ext xmlns:c15="http://schemas.microsoft.com/office/drawing/2012/chart" uri="{02D57815-91ED-43cb-92C2-25804820EDAC}">
                        <c15:formulaRef>
                          <c15:sqref>Ig!$AH$535:$AH$1054</c15:sqref>
                        </c15:formulaRef>
                      </c:ext>
                    </c:extLst>
                    <c:numCache>
                      <c:formatCode>#,##0</c:formatCode>
                      <c:ptCount val="520"/>
                      <c:pt idx="0">
                        <c:v>0</c:v>
                      </c:pt>
                      <c:pt idx="1">
                        <c:v>-1.5389709296329488E-2</c:v>
                      </c:pt>
                      <c:pt idx="2">
                        <c:v>-3.0314141856014085E-2</c:v>
                      </c:pt>
                      <c:pt idx="3">
                        <c:v>-4.4785922208361445E-2</c:v>
                      </c:pt>
                      <c:pt idx="4">
                        <c:v>-5.8817336806716691E-2</c:v>
                      </c:pt>
                      <c:pt idx="5">
                        <c:v>-7.2420343066459017E-2</c:v>
                      </c:pt>
                      <c:pt idx="6">
                        <c:v>-8.5606578161433813E-2</c:v>
                      </c:pt>
                      <c:pt idx="7">
                        <c:v>-9.8387367585276678E-2</c:v>
                      </c:pt>
                      <c:pt idx="8">
                        <c:v>-0.11077373348391303</c:v>
                      </c:pt>
                      <c:pt idx="9">
                        <c:v>-0.122776402765349</c:v>
                      </c:pt>
                      <c:pt idx="10">
                        <c:v>-0.13440581499270601</c:v>
                      </c:pt>
                      <c:pt idx="11">
                        <c:v>-0.14567213006629204</c:v>
                      </c:pt>
                      <c:pt idx="12">
                        <c:v>-0.15658523570034838</c:v>
                      </c:pt>
                      <c:pt idx="13">
                        <c:v>-0.16715475469995916</c:v>
                      </c:pt>
                      <c:pt idx="14">
                        <c:v>-0.17739005204346478</c:v>
                      </c:pt>
                      <c:pt idx="15">
                        <c:v>-0.18730024177557772</c:v>
                      </c:pt>
                      <c:pt idx="16">
                        <c:v>-0.1968941937162598</c:v>
                      </c:pt>
                      <c:pt idx="17">
                        <c:v>-0.20618053999028518</c:v>
                      </c:pt>
                      <c:pt idx="18">
                        <c:v>-0.21516768138228157</c:v>
                      </c:pt>
                      <c:pt idx="19">
                        <c:v>-0.22386379352191402</c:v>
                      </c:pt>
                      <c:pt idx="20">
                        <c:v>-0.23227683290375117</c:v>
                      </c:pt>
                      <c:pt idx="21">
                        <c:v>-0.23442084321184284</c:v>
                      </c:pt>
                      <c:pt idx="22">
                        <c:v>-0.23642604525316901</c:v>
                      </c:pt>
                      <c:pt idx="23">
                        <c:v>-0.23829672920634581</c:v>
                      </c:pt>
                      <c:pt idx="24">
                        <c:v>-0.24003706689197313</c:v>
                      </c:pt>
                      <c:pt idx="25">
                        <c:v>-0.24165111495828306</c:v>
                      </c:pt>
                      <c:pt idx="26">
                        <c:v>-0.24314281798151566</c:v>
                      </c:pt>
                      <c:pt idx="27">
                        <c:v>-0.24451601148330082</c:v>
                      </c:pt>
                      <c:pt idx="28">
                        <c:v>-0.24577442486726669</c:v>
                      </c:pt>
                      <c:pt idx="29">
                        <c:v>-0.24692168427703215</c:v>
                      </c:pt>
                      <c:pt idx="30">
                        <c:v>-0.24796131537768712</c:v>
                      </c:pt>
                      <c:pt idx="31">
                        <c:v>-0.24889674606280521</c:v>
                      </c:pt>
                      <c:pt idx="32">
                        <c:v>-0.24973130908898064</c:v>
                      </c:pt>
                      <c:pt idx="33">
                        <c:v>-0.25046824463982587</c:v>
                      </c:pt>
                      <c:pt idx="34">
                        <c:v>-0.25111070282131753</c:v>
                      </c:pt>
                      <c:pt idx="35">
                        <c:v>-0.25166174609032488</c:v>
                      </c:pt>
                      <c:pt idx="36">
                        <c:v>-0.25212435161810798</c:v>
                      </c:pt>
                      <c:pt idx="37">
                        <c:v>-0.25250141359052497</c:v>
                      </c:pt>
                      <c:pt idx="38">
                        <c:v>-0.25279574544663885</c:v>
                      </c:pt>
                      <c:pt idx="39">
                        <c:v>-0.25301008205737269</c:v>
                      </c:pt>
                      <c:pt idx="40">
                        <c:v>-0.25314708184581558</c:v>
                      </c:pt>
                      <c:pt idx="41">
                        <c:v>-0.25320932885073955</c:v>
                      </c:pt>
                      <c:pt idx="42">
                        <c:v>-0.25319933473484535</c:v>
                      </c:pt>
                      <c:pt idx="43">
                        <c:v>-0.25311954073921639</c:v>
                      </c:pt>
                      <c:pt idx="44">
                        <c:v>-0.25297231958541794</c:v>
                      </c:pt>
                      <c:pt idx="45">
                        <c:v>-0.25275997732664174</c:v>
                      </c:pt>
                      <c:pt idx="46">
                        <c:v>-0.25248475514925955</c:v>
                      </c:pt>
                      <c:pt idx="47">
                        <c:v>-0.25214883112610992</c:v>
                      </c:pt>
                      <c:pt idx="48">
                        <c:v>-0.25175432192281122</c:v>
                      </c:pt>
                      <c:pt idx="49">
                        <c:v>-0.25130328445835426</c:v>
                      </c:pt>
                      <c:pt idx="50">
                        <c:v>-0.25079771752119995</c:v>
                      </c:pt>
                      <c:pt idx="51">
                        <c:v>-0.2502395633420697</c:v>
                      </c:pt>
                      <c:pt idx="52">
                        <c:v>-0.24963070912458785</c:v>
                      </c:pt>
                      <c:pt idx="53">
                        <c:v>-0.24897160175721381</c:v>
                      </c:pt>
                      <c:pt idx="54">
                        <c:v>-0.24830899368608728</c:v>
                      </c:pt>
                      <c:pt idx="55">
                        <c:v>-0.24764305266168402</c:v>
                      </c:pt>
                      <c:pt idx="56">
                        <c:v>-0.24697394168968032</c:v>
                      </c:pt>
                      <c:pt idx="57">
                        <c:v>-0.24630181915870644</c:v>
                      </c:pt>
                      <c:pt idx="58">
                        <c:v>-0.24562683896468188</c:v>
                      </c:pt>
                      <c:pt idx="59">
                        <c:v>-0.24494915063182343</c:v>
                      </c:pt>
                      <c:pt idx="60">
                        <c:v>-0.24426889943041546</c:v>
                      </c:pt>
                      <c:pt idx="61">
                        <c:v>-0.24358622649142853</c:v>
                      </c:pt>
                      <c:pt idx="62">
                        <c:v>-0.24290126891807101</c:v>
                      </c:pt>
                      <c:pt idx="63">
                        <c:v>-0.24221415989435566</c:v>
                      </c:pt>
                      <c:pt idx="64">
                        <c:v>-0.24152502879076052</c:v>
                      </c:pt>
                      <c:pt idx="65">
                        <c:v>-0.24083400126706225</c:v>
                      </c:pt>
                      <c:pt idx="66">
                        <c:v>-0.24014119937241757</c:v>
                      </c:pt>
                      <c:pt idx="67">
                        <c:v>-0.2394467416427658</c:v>
                      </c:pt>
                      <c:pt idx="68">
                        <c:v>-0.23875074319562492</c:v>
                      </c:pt>
                      <c:pt idx="69">
                        <c:v>-0.23805331582235034</c:v>
                      </c:pt>
                      <c:pt idx="70">
                        <c:v>-0.23735456807792404</c:v>
                      </c:pt>
                      <c:pt idx="71">
                        <c:v>-0.23665460536834071</c:v>
                      </c:pt>
                      <c:pt idx="72">
                        <c:v>-0.23595353003565459</c:v>
                      </c:pt>
                      <c:pt idx="73">
                        <c:v>-0.23525144144075011</c:v>
                      </c:pt>
                      <c:pt idx="74">
                        <c:v>-0.23454843604389647</c:v>
                      </c:pt>
                      <c:pt idx="75">
                        <c:v>-0.23384460748314578</c:v>
                      </c:pt>
                      <c:pt idx="76">
                        <c:v>-0.23314004665063282</c:v>
                      </c:pt>
                      <c:pt idx="77">
                        <c:v>-0.23243484176683191</c:v>
                      </c:pt>
                      <c:pt idx="78">
                        <c:v>-0.23172907845282567</c:v>
                      </c:pt>
                      <c:pt idx="79">
                        <c:v>-0.2310228398006389</c:v>
                      </c:pt>
                      <c:pt idx="80">
                        <c:v>-0.23031620644168957</c:v>
                      </c:pt>
                      <c:pt idx="81">
                        <c:v>-0.22960925661340673</c:v>
                      </c:pt>
                      <c:pt idx="82">
                        <c:v>-0.22890206622406459</c:v>
                      </c:pt>
                      <c:pt idx="83">
                        <c:v>-0.22819470891588087</c:v>
                      </c:pt>
                      <c:pt idx="84">
                        <c:v>-0.22748725612642492</c:v>
                      </c:pt>
                      <c:pt idx="85">
                        <c:v>-0.22677977714838185</c:v>
                      </c:pt>
                      <c:pt idx="86">
                        <c:v>-0.22607233918771594</c:v>
                      </c:pt>
                      <c:pt idx="87">
                        <c:v>-0.22536500742027613</c:v>
                      </c:pt>
                      <c:pt idx="88">
                        <c:v>-0.22465784504688574</c:v>
                      </c:pt>
                      <c:pt idx="89">
                        <c:v>-0.22395091334695644</c:v>
                      </c:pt>
                      <c:pt idx="90">
                        <c:v>-0.22324427173066616</c:v>
                      </c:pt>
                      <c:pt idx="91">
                        <c:v>-0.22253797778973947</c:v>
                      </c:pt>
                      <c:pt idx="92">
                        <c:v>-0.22183208734686727</c:v>
                      </c:pt>
                      <c:pt idx="93">
                        <c:v>-0.22112665450380295</c:v>
                      </c:pt>
                      <c:pt idx="94">
                        <c:v>-0.22042173168816989</c:v>
                      </c:pt>
                      <c:pt idx="95">
                        <c:v>-0.21971736969901476</c:v>
                      </c:pt>
                      <c:pt idx="96">
                        <c:v>-0.21901361775114023</c:v>
                      </c:pt>
                      <c:pt idx="97">
                        <c:v>-0.21831052351825017</c:v>
                      </c:pt>
                      <c:pt idx="98">
                        <c:v>-0.21760813317493796</c:v>
                      </c:pt>
                      <c:pt idx="99">
                        <c:v>-0.21690649143755042</c:v>
                      </c:pt>
                      <c:pt idx="100">
                        <c:v>-0.216205641603956</c:v>
                      </c:pt>
                      <c:pt idx="101">
                        <c:v>-0.21550562559224731</c:v>
                      </c:pt>
                      <c:pt idx="102">
                        <c:v>-0.21480648397840643</c:v>
                      </c:pt>
                      <c:pt idx="103">
                        <c:v>-0.21410825603296027</c:v>
                      </c:pt>
                      <c:pt idx="104">
                        <c:v>-0.21341097975665363</c:v>
                      </c:pt>
                      <c:pt idx="105">
                        <c:v>-0.2127133835184761</c:v>
                      </c:pt>
                      <c:pt idx="106">
                        <c:v>-0.21201681984059992</c:v>
                      </c:pt>
                      <c:pt idx="107">
                        <c:v>-0.2113213230994157</c:v>
                      </c:pt>
                      <c:pt idx="108">
                        <c:v>-0.21062692653409479</c:v>
                      </c:pt>
                      <c:pt idx="109">
                        <c:v>-0.20993366227776303</c:v>
                      </c:pt>
                      <c:pt idx="110">
                        <c:v>-0.20924156138783934</c:v>
                      </c:pt>
                      <c:pt idx="111">
                        <c:v>-0.20855065387555949</c:v>
                      </c:pt>
                      <c:pt idx="112">
                        <c:v>-0.20786096873470827</c:v>
                      </c:pt>
                      <c:pt idx="113">
                        <c:v>-0.20717253396958066</c:v>
                      </c:pt>
                      <c:pt idx="114">
                        <c:v>-0.20648537662219268</c:v>
                      </c:pt>
                      <c:pt idx="115">
                        <c:v>-0.20579952279876193</c:v>
                      </c:pt>
                      <c:pt idx="116">
                        <c:v>-0.20511499769547745</c:v>
                      </c:pt>
                      <c:pt idx="117">
                        <c:v>-0.2044318256235782</c:v>
                      </c:pt>
                      <c:pt idx="118">
                        <c:v>-0.20375003003375816</c:v>
                      </c:pt>
                      <c:pt idx="119">
                        <c:v>-0.20306963353991594</c:v>
                      </c:pt>
                      <c:pt idx="120">
                        <c:v>-0.20239065794226754</c:v>
                      </c:pt>
                      <c:pt idx="121">
                        <c:v>-0.20171312424983764</c:v>
                      </c:pt>
                      <c:pt idx="122">
                        <c:v>-0.20103705270234759</c:v>
                      </c:pt>
                      <c:pt idx="123">
                        <c:v>-0.2003624627915154</c:v>
                      </c:pt>
                      <c:pt idx="124">
                        <c:v>-0.19968937328178329</c:v>
                      </c:pt>
                      <c:pt idx="125">
                        <c:v>-0.19901780223048907</c:v>
                      </c:pt>
                      <c:pt idx="126">
                        <c:v>-0.19834776700749518</c:v>
                      </c:pt>
                      <c:pt idx="127">
                        <c:v>-0.19767928431429047</c:v>
                      </c:pt>
                      <c:pt idx="128">
                        <c:v>-0.19701237020257856</c:v>
                      </c:pt>
                      <c:pt idx="129">
                        <c:v>-0.19634704009236717</c:v>
                      </c:pt>
                      <c:pt idx="130">
                        <c:v>-0.19568330878957052</c:v>
                      </c:pt>
                      <c:pt idx="131">
                        <c:v>-0.1950211905031391</c:v>
                      </c:pt>
                      <c:pt idx="132">
                        <c:v>-0.19436069886172877</c:v>
                      </c:pt>
                      <c:pt idx="133">
                        <c:v>-0.19370184692992165</c:v>
                      </c:pt>
                      <c:pt idx="134">
                        <c:v>-0.1930446472240108</c:v>
                      </c:pt>
                      <c:pt idx="135">
                        <c:v>-0.19238911172736037</c:v>
                      </c:pt>
                      <c:pt idx="136">
                        <c:v>-0.19173525190535284</c:v>
                      </c:pt>
                      <c:pt idx="137">
                        <c:v>-0.19108307871993357</c:v>
                      </c:pt>
                      <c:pt idx="138">
                        <c:v>-0.1904326026437646</c:v>
                      </c:pt>
                      <c:pt idx="139">
                        <c:v>-0.18978383367399734</c:v>
                      </c:pt>
                      <c:pt idx="140">
                        <c:v>-0.18913678134567447</c:v>
                      </c:pt>
                      <c:pt idx="141">
                        <c:v>-0.18849145474477111</c:v>
                      </c:pt>
                      <c:pt idx="142">
                        <c:v>-0.18784786252088523</c:v>
                      </c:pt>
                      <c:pt idx="143">
                        <c:v>-0.18720601289958569</c:v>
                      </c:pt>
                      <c:pt idx="144">
                        <c:v>-0.18656591369442835</c:v>
                      </c:pt>
                      <c:pt idx="145">
                        <c:v>-0.18592757231864832</c:v>
                      </c:pt>
                      <c:pt idx="146">
                        <c:v>-0.18529099579653679</c:v>
                      </c:pt>
                      <c:pt idx="147">
                        <c:v>-0.18465619077451187</c:v>
                      </c:pt>
                      <c:pt idx="148">
                        <c:v>-0.18402316353189066</c:v>
                      </c:pt>
                      <c:pt idx="149">
                        <c:v>-0.18339191999137147</c:v>
                      </c:pt>
                      <c:pt idx="150">
                        <c:v>-0.18276246572923269</c:v>
                      </c:pt>
                      <c:pt idx="151">
                        <c:v>-0.18213480598525703</c:v>
                      </c:pt>
                      <c:pt idx="152">
                        <c:v>-0.18150894567238809</c:v>
                      </c:pt>
                      <c:pt idx="153">
                        <c:v>-0.18088488938612657</c:v>
                      </c:pt>
                      <c:pt idx="154">
                        <c:v>-0.18026264141367229</c:v>
                      </c:pt>
                      <c:pt idx="155">
                        <c:v>-0.17964220574282025</c:v>
                      </c:pt>
                      <c:pt idx="156">
                        <c:v>-0.17902358607061616</c:v>
                      </c:pt>
                      <c:pt idx="157">
                        <c:v>-0.17840555078171075</c:v>
                      </c:pt>
                      <c:pt idx="158">
                        <c:v>-0.17778934656970519</c:v>
                      </c:pt>
                      <c:pt idx="159">
                        <c:v>-0.17717497627102607</c:v>
                      </c:pt>
                      <c:pt idx="160">
                        <c:v>-0.17656244246362546</c:v>
                      </c:pt>
                      <c:pt idx="161">
                        <c:v>-0.17595174747453735</c:v>
                      </c:pt>
                      <c:pt idx="162">
                        <c:v>-0.17534289338723</c:v>
                      </c:pt>
                      <c:pt idx="163">
                        <c:v>-0.17473588204875906</c:v>
                      </c:pt>
                      <c:pt idx="164">
                        <c:v>-0.17413071507672748</c:v>
                      </c:pt>
                      <c:pt idx="165">
                        <c:v>-0.1735273938660567</c:v>
                      </c:pt>
                      <c:pt idx="166">
                        <c:v>-0.17292591959557471</c:v>
                      </c:pt>
                      <c:pt idx="167">
                        <c:v>-0.17232629323442561</c:v>
                      </c:pt>
                      <c:pt idx="168">
                        <c:v>-0.17172851554830576</c:v>
                      </c:pt>
                      <c:pt idx="169">
                        <c:v>-0.17113258710553034</c:v>
                      </c:pt>
                      <c:pt idx="170">
                        <c:v>-0.17053850828293612</c:v>
                      </c:pt>
                      <c:pt idx="171">
                        <c:v>-0.16994627927162373</c:v>
                      </c:pt>
                      <c:pt idx="172">
                        <c:v>-0.1693559000825445</c:v>
                      </c:pt>
                      <c:pt idx="173">
                        <c:v>-0.1687673705519353</c:v>
                      </c:pt>
                      <c:pt idx="174">
                        <c:v>-0.16818069034660621</c:v>
                      </c:pt>
                      <c:pt idx="175">
                        <c:v>-0.16759585896908433</c:v>
                      </c:pt>
                      <c:pt idx="176">
                        <c:v>-0.1670128757626182</c:v>
                      </c:pt>
                      <c:pt idx="177">
                        <c:v>-0.16643173991604571</c:v>
                      </c:pt>
                      <c:pt idx="178">
                        <c:v>-0.16585245046853014</c:v>
                      </c:pt>
                      <c:pt idx="179">
                        <c:v>-0.16527500631416736</c:v>
                      </c:pt>
                      <c:pt idx="180">
                        <c:v>-0.16469940620646728</c:v>
                      </c:pt>
                      <c:pt idx="181">
                        <c:v>-0.16412564876271385</c:v>
                      </c:pt>
                      <c:pt idx="182">
                        <c:v>-0.1635537324682059</c:v>
                      </c:pt>
                      <c:pt idx="183">
                        <c:v>-0.16298365568038278</c:v>
                      </c:pt>
                      <c:pt idx="184">
                        <c:v>-0.16241541663283732</c:v>
                      </c:pt>
                      <c:pt idx="185">
                        <c:v>-0.16184901343921945</c:v>
                      </c:pt>
                      <c:pt idx="186">
                        <c:v>-0.16128444409703366</c:v>
                      </c:pt>
                      <c:pt idx="187">
                        <c:v>-0.16072170649133197</c:v>
                      </c:pt>
                      <c:pt idx="188">
                        <c:v>-0.16016079839830713</c:v>
                      </c:pt>
                      <c:pt idx="189">
                        <c:v>-0.15960171748878671</c:v>
                      </c:pt>
                      <c:pt idx="190">
                        <c:v>-0.15904446133163261</c:v>
                      </c:pt>
                      <c:pt idx="191">
                        <c:v>-0.15848902739704648</c:v>
                      </c:pt>
                      <c:pt idx="192">
                        <c:v>-0.15793541305978595</c:v>
                      </c:pt>
                      <c:pt idx="193">
                        <c:v>-0.15738361560229169</c:v>
                      </c:pt>
                      <c:pt idx="194">
                        <c:v>-0.15683363221772953</c:v>
                      </c:pt>
                      <c:pt idx="195">
                        <c:v>-0.15628546001294899</c:v>
                      </c:pt>
                      <c:pt idx="196">
                        <c:v>-0.15573909601136054</c:v>
                      </c:pt>
                      <c:pt idx="197">
                        <c:v>-0.15519453715573403</c:v>
                      </c:pt>
                      <c:pt idx="198">
                        <c:v>-0.15465178031092033</c:v>
                      </c:pt>
                      <c:pt idx="199">
                        <c:v>-0.15411082226649814</c:v>
                      </c:pt>
                      <c:pt idx="200">
                        <c:v>-0.15357165973934792</c:v>
                      </c:pt>
                      <c:pt idx="201">
                        <c:v>-0.15303428937615504</c:v>
                      </c:pt>
                      <c:pt idx="202">
                        <c:v>-0.15249870775584434</c:v>
                      </c:pt>
                      <c:pt idx="203">
                        <c:v>-0.15196491139194696</c:v>
                      </c:pt>
                      <c:pt idx="204">
                        <c:v>-0.15143289673490262</c:v>
                      </c:pt>
                      <c:pt idx="205">
                        <c:v>-0.1509026601742979</c:v>
                      </c:pt>
                      <c:pt idx="206">
                        <c:v>-0.15037419804104279</c:v>
                      </c:pt>
                      <c:pt idx="207">
                        <c:v>-0.14984750660948737</c:v>
                      </c:pt>
                      <c:pt idx="208">
                        <c:v>-0.14932258209947968</c:v>
                      </c:pt>
                      <c:pt idx="209">
                        <c:v>-0.1487983331828773</c:v>
                      </c:pt>
                      <c:pt idx="210">
                        <c:v>-0.14827585110118147</c:v>
                      </c:pt>
                      <c:pt idx="211">
                        <c:v>-0.14775513188395115</c:v>
                      </c:pt>
                      <c:pt idx="212">
                        <c:v>-0.14723617151403748</c:v>
                      </c:pt>
                      <c:pt idx="213">
                        <c:v>-0.14671896592937317</c:v>
                      </c:pt>
                      <c:pt idx="214">
                        <c:v>-0.14620351102471266</c:v>
                      </c:pt>
                      <c:pt idx="215">
                        <c:v>-0.1456898026533234</c:v>
                      </c:pt>
                      <c:pt idx="216">
                        <c:v>-0.14517783662863024</c:v>
                      </c:pt>
                      <c:pt idx="217">
                        <c:v>-0.14466760872581372</c:v>
                      </c:pt>
                      <c:pt idx="218">
                        <c:v>-0.14415911468336406</c:v>
                      </c:pt>
                      <c:pt idx="219">
                        <c:v>-0.14365235020459147</c:v>
                      </c:pt>
                      <c:pt idx="220">
                        <c:v>-0.14314731095909394</c:v>
                      </c:pt>
                      <c:pt idx="221">
                        <c:v>-0.14264399258418459</c:v>
                      </c:pt>
                      <c:pt idx="222">
                        <c:v>-0.14214239068627815</c:v>
                      </c:pt>
                      <c:pt idx="223">
                        <c:v>-0.14164250084223939</c:v>
                      </c:pt>
                      <c:pt idx="224">
                        <c:v>-0.14114431860069268</c:v>
                      </c:pt>
                      <c:pt idx="225">
                        <c:v>-0.14064783948329557</c:v>
                      </c:pt>
                      <c:pt idx="226">
                        <c:v>-0.14015305898597583</c:v>
                      </c:pt>
                      <c:pt idx="227">
                        <c:v>-0.13965997258013382</c:v>
                      </c:pt>
                      <c:pt idx="228">
                        <c:v>-0.13916857571381103</c:v>
                      </c:pt>
                      <c:pt idx="229">
                        <c:v>-0.13867886381282535</c:v>
                      </c:pt>
                      <c:pt idx="230">
                        <c:v>-0.13819083228187395</c:v>
                      </c:pt>
                      <c:pt idx="231">
                        <c:v>-0.13770447650560558</c:v>
                      </c:pt>
                      <c:pt idx="232">
                        <c:v>-0.13721979184966152</c:v>
                      </c:pt>
                      <c:pt idx="233">
                        <c:v>-0.13673677366168752</c:v>
                      </c:pt>
                      <c:pt idx="234">
                        <c:v>-0.13625541727231655</c:v>
                      </c:pt>
                      <c:pt idx="235">
                        <c:v>-0.13577571799612384</c:v>
                      </c:pt>
                      <c:pt idx="236">
                        <c:v>-0.1352976711325542</c:v>
                      </c:pt>
                      <c:pt idx="237">
                        <c:v>-0.13482127196682286</c:v>
                      </c:pt>
                      <c:pt idx="238">
                        <c:v>-0.13434651577079096</c:v>
                      </c:pt>
                      <c:pt idx="239">
                        <c:v>-0.13387339780381496</c:v>
                      </c:pt>
                      <c:pt idx="240">
                        <c:v>-0.1334019133135726</c:v>
                      </c:pt>
                      <c:pt idx="241">
                        <c:v>-0.1329320575368641</c:v>
                      </c:pt>
                      <c:pt idx="242">
                        <c:v>-0.13246382570039084</c:v>
                      </c:pt>
                      <c:pt idx="243">
                        <c:v>-0.13199721302151116</c:v>
                      </c:pt>
                      <c:pt idx="244">
                        <c:v>-0.1315322147089745</c:v>
                      </c:pt>
                      <c:pt idx="245">
                        <c:v>-0.13106882596363395</c:v>
                      </c:pt>
                      <c:pt idx="246">
                        <c:v>-0.13060704197913808</c:v>
                      </c:pt>
                      <c:pt idx="247">
                        <c:v>-0.13014685794260256</c:v>
                      </c:pt>
                      <c:pt idx="248">
                        <c:v>-0.12968826903526226</c:v>
                      </c:pt>
                      <c:pt idx="249">
                        <c:v>-0.12923127043310403</c:v>
                      </c:pt>
                      <c:pt idx="250">
                        <c:v>-0.12877585730748106</c:v>
                      </c:pt>
                      <c:pt idx="251">
                        <c:v>-0.1283220248257089</c:v>
                      </c:pt>
                      <c:pt idx="252">
                        <c:v>-0.12786976815164414</c:v>
                      </c:pt>
                      <c:pt idx="253">
                        <c:v>-0.1274190824462457</c:v>
                      </c:pt>
                      <c:pt idx="254">
                        <c:v>-0.12696996286811951</c:v>
                      </c:pt>
                      <c:pt idx="255">
                        <c:v>-0.12652240457404723</c:v>
                      </c:pt>
                      <c:pt idx="256">
                        <c:v>-0.1260764027194986</c:v>
                      </c:pt>
                      <c:pt idx="257">
                        <c:v>-0.12563195245912925</c:v>
                      </c:pt>
                      <c:pt idx="258">
                        <c:v>-0.12518904894726274</c:v>
                      </c:pt>
                      <c:pt idx="259">
                        <c:v>-0.12474768733835864</c:v>
                      </c:pt>
                      <c:pt idx="260">
                        <c:v>-0.12430786278746631</c:v>
                      </c:pt>
                      <c:pt idx="261">
                        <c:v>-0.12387571583968643</c:v>
                      </c:pt>
                      <c:pt idx="262">
                        <c:v>-0.12345200176510024</c:v>
                      </c:pt>
                      <c:pt idx="263">
                        <c:v>-0.12303649829031549</c:v>
                      </c:pt>
                      <c:pt idx="264">
                        <c:v>-0.12262898908623954</c:v>
                      </c:pt>
                      <c:pt idx="265">
                        <c:v>-0.12222926360901595</c:v>
                      </c:pt>
                      <c:pt idx="266">
                        <c:v>-0.12183711694521732</c:v>
                      </c:pt>
                      <c:pt idx="267">
                        <c:v>-0.12145234966118065</c:v>
                      </c:pt>
                      <c:pt idx="268">
                        <c:v>-0.12107476765637479</c:v>
                      </c:pt>
                      <c:pt idx="269">
                        <c:v>-0.1207041820206913</c:v>
                      </c:pt>
                      <c:pt idx="270">
                        <c:v>-0.12034040889555445</c:v>
                      </c:pt>
                      <c:pt idx="271">
                        <c:v>-0.11998326933874764</c:v>
                      </c:pt>
                      <c:pt idx="272">
                        <c:v>-0.11963258919285741</c:v>
                      </c:pt>
                      <c:pt idx="273">
                        <c:v>-0.11928819895723719</c:v>
                      </c:pt>
                      <c:pt idx="274">
                        <c:v>-0.11894993366339804</c:v>
                      </c:pt>
                      <c:pt idx="275">
                        <c:v>-0.11861763275373305</c:v>
                      </c:pt>
                      <c:pt idx="276">
                        <c:v>-0.11829113996348789</c:v>
                      </c:pt>
                      <c:pt idx="277">
                        <c:v>-0.11797030320588919</c:v>
                      </c:pt>
                      <c:pt idx="278">
                        <c:v>-0.11765497446034703</c:v>
                      </c:pt>
                      <c:pt idx="279">
                        <c:v>-0.11734500966364897</c:v>
                      </c:pt>
                      <c:pt idx="280">
                        <c:v>-0.11704026860406594</c:v>
                      </c:pt>
                      <c:pt idx="281">
                        <c:v>-0.11674061481829173</c:v>
                      </c:pt>
                      <c:pt idx="282">
                        <c:v>-0.11644591549114011</c:v>
                      </c:pt>
                      <c:pt idx="283">
                        <c:v>-0.11615604135792626</c:v>
                      </c:pt>
                      <c:pt idx="284">
                        <c:v>-0.11587086660946053</c:v>
                      </c:pt>
                      <c:pt idx="285">
                        <c:v>-0.11559026879958414</c:v>
                      </c:pt>
                      <c:pt idx="286">
                        <c:v>-0.11531412875517955</c:v>
                      </c:pt>
                      <c:pt idx="287">
                        <c:v>-0.11504233048858881</c:v>
                      </c:pt>
                      <c:pt idx="288">
                        <c:v>-0.11477476111237558</c:v>
                      </c:pt>
                      <c:pt idx="289">
                        <c:v>-0.11451131075636797</c:v>
                      </c:pt>
                      <c:pt idx="290">
                        <c:v>-0.1142518724869214</c:v>
                      </c:pt>
                      <c:pt idx="291">
                        <c:v>-0.11399634222834193</c:v>
                      </c:pt>
                      <c:pt idx="292">
                        <c:v>-0.11374461868641231</c:v>
                      </c:pt>
                      <c:pt idx="293">
                        <c:v>-0.11349660327396438</c:v>
                      </c:pt>
                      <c:pt idx="294">
                        <c:v>-0.11325220003844308</c:v>
                      </c:pt>
                      <c:pt idx="295">
                        <c:v>-0.11301131559140901</c:v>
                      </c:pt>
                      <c:pt idx="296">
                        <c:v>-0.11277385903992723</c:v>
                      </c:pt>
                      <c:pt idx="297">
                        <c:v>-0.1125397419197923</c:v>
                      </c:pt>
                      <c:pt idx="298">
                        <c:v>-0.11230887813054002</c:v>
                      </c:pt>
                      <c:pt idx="299">
                        <c:v>-0.11208118387219823</c:v>
                      </c:pt>
                      <c:pt idx="300">
                        <c:v>-0.11185657758373038</c:v>
                      </c:pt>
                      <c:pt idx="301">
                        <c:v>-0.11163497988312601</c:v>
                      </c:pt>
                      <c:pt idx="302">
                        <c:v>-0.11141631350909451</c:v>
                      </c:pt>
                      <c:pt idx="303">
                        <c:v>-0.11120050326431918</c:v>
                      </c:pt>
                      <c:pt idx="304">
                        <c:v>-0.11098747596022987</c:v>
                      </c:pt>
                      <c:pt idx="305">
                        <c:v>-0.11077716036325311</c:v>
                      </c:pt>
                      <c:pt idx="306">
                        <c:v>-0.11056948714250103</c:v>
                      </c:pt>
                      <c:pt idx="307">
                        <c:v>-0.11036438881885982</c:v>
                      </c:pt>
                      <c:pt idx="308">
                        <c:v>-0.11016179971544067</c:v>
                      </c:pt>
                      <c:pt idx="309">
                        <c:v>-0.10996165590935647</c:v>
                      </c:pt>
                      <c:pt idx="310">
                        <c:v>-0.10976389518478921</c:v>
                      </c:pt>
                      <c:pt idx="311">
                        <c:v>-0.10956845698731303</c:v>
                      </c:pt>
                      <c:pt idx="312">
                        <c:v>-0.10937528237943972</c:v>
                      </c:pt>
                      <c:pt idx="313">
                        <c:v>-0.10918342121042911</c:v>
                      </c:pt>
                      <c:pt idx="314">
                        <c:v>-0.10899371353012703</c:v>
                      </c:pt>
                      <c:pt idx="315">
                        <c:v>-0.10880610494541344</c:v>
                      </c:pt>
                      <c:pt idx="316">
                        <c:v>-0.10862054251560022</c:v>
                      </c:pt>
                      <c:pt idx="317">
                        <c:v>-0.10843697471355684</c:v>
                      </c:pt>
                      <c:pt idx="318">
                        <c:v>-0.10825535138787672</c:v>
                      </c:pt>
                      <c:pt idx="319">
                        <c:v>-0.10807562372605604</c:v>
                      </c:pt>
                      <c:pt idx="320">
                        <c:v>-0.10789774421865858</c:v>
                      </c:pt>
                      <c:pt idx="321">
                        <c:v>-0.10772166662443927</c:v>
                      </c:pt>
                      <c:pt idx="322">
                        <c:v>-0.10754734593640169</c:v>
                      </c:pt>
                      <c:pt idx="323">
                        <c:v>-0.10737473834876393</c:v>
                      </c:pt>
                      <c:pt idx="324">
                        <c:v>-0.10720380122480878</c:v>
                      </c:pt>
                      <c:pt idx="325">
                        <c:v>-0.10703449306559451</c:v>
                      </c:pt>
                      <c:pt idx="326">
                        <c:v>-0.106866773479503</c:v>
                      </c:pt>
                      <c:pt idx="327">
                        <c:v>-0.10670060315260325</c:v>
                      </c:pt>
                      <c:pt idx="328">
                        <c:v>-0.10653594381980797</c:v>
                      </c:pt>
                      <c:pt idx="329">
                        <c:v>-0.10637275823680242</c:v>
                      </c:pt>
                      <c:pt idx="330">
                        <c:v>-0.1062110101527244</c:v>
                      </c:pt>
                      <c:pt idx="331">
                        <c:v>-0.10605066428357582</c:v>
                      </c:pt>
                      <c:pt idx="332">
                        <c:v>-0.10589168628634579</c:v>
                      </c:pt>
                      <c:pt idx="333">
                        <c:v>-0.10573404273382643</c:v>
                      </c:pt>
                      <c:pt idx="334">
                        <c:v>-0.10557770109010269</c:v>
                      </c:pt>
                      <c:pt idx="335">
                        <c:v>-0.1054226296866984</c:v>
                      </c:pt>
                      <c:pt idx="336">
                        <c:v>-0.1052687976993608</c:v>
                      </c:pt>
                      <c:pt idx="337">
                        <c:v>-0.10511617512546642</c:v>
                      </c:pt>
                      <c:pt idx="338">
                        <c:v>-0.10496473276203169</c:v>
                      </c:pt>
                      <c:pt idx="339">
                        <c:v>-0.10481444218431241</c:v>
                      </c:pt>
                      <c:pt idx="340">
                        <c:v>-0.10466527572497573</c:v>
                      </c:pt>
                      <c:pt idx="341">
                        <c:v>-0.10451720645382995</c:v>
                      </c:pt>
                      <c:pt idx="342">
                        <c:v>-0.1043702081580966</c:v>
                      </c:pt>
                      <c:pt idx="343">
                        <c:v>-0.10422425532321086</c:v>
                      </c:pt>
                      <c:pt idx="344">
                        <c:v>-0.10407932311413572</c:v>
                      </c:pt>
                      <c:pt idx="345">
                        <c:v>-0.10393538735717633</c:v>
                      </c:pt>
                      <c:pt idx="346">
                        <c:v>-0.10379242452228132</c:v>
                      </c:pt>
                      <c:pt idx="347">
                        <c:v>-0.10365041170581757</c:v>
                      </c:pt>
                      <c:pt idx="348">
                        <c:v>-0.10350932661380625</c:v>
                      </c:pt>
                      <c:pt idx="349">
                        <c:v>-0.10336914754560764</c:v>
                      </c:pt>
                      <c:pt idx="350">
                        <c:v>-0.10322985337804243</c:v>
                      </c:pt>
                      <c:pt idx="351">
                        <c:v>-0.10309142354993825</c:v>
                      </c:pt>
                      <c:pt idx="352">
                        <c:v>-0.10295383804708985</c:v>
                      </c:pt>
                      <c:pt idx="353">
                        <c:v>-0.10281707738762175</c:v>
                      </c:pt>
                      <c:pt idx="354">
                        <c:v>-0.10268112260774262</c:v>
                      </c:pt>
                      <c:pt idx="355">
                        <c:v>-0.10254595524788133</c:v>
                      </c:pt>
                      <c:pt idx="356">
                        <c:v>-0.10241155733919366</c:v>
                      </c:pt>
                      <c:pt idx="357">
                        <c:v>-0.10227791139043055</c:v>
                      </c:pt>
                      <c:pt idx="358">
                        <c:v>-0.1021450003751576</c:v>
                      </c:pt>
                      <c:pt idx="359">
                        <c:v>-0.10201280771931678</c:v>
                      </c:pt>
                      <c:pt idx="360">
                        <c:v>-0.1018813172891211</c:v>
                      </c:pt>
                      <c:pt idx="361">
                        <c:v>-0.10175051337927334</c:v>
                      </c:pt>
                      <c:pt idx="362">
                        <c:v>-0.10162038070149988</c:v>
                      </c:pt>
                      <c:pt idx="363">
                        <c:v>-0.10149090437339187</c:v>
                      </c:pt>
                      <c:pt idx="364">
                        <c:v>-0.10136206990754468</c:v>
                      </c:pt>
                      <c:pt idx="365">
                        <c:v>-0.10123296666579752</c:v>
                      </c:pt>
                      <c:pt idx="366">
                        <c:v>-0.10110447972239071</c:v>
                      </c:pt>
                      <c:pt idx="367">
                        <c:v>-0.10097659569665003</c:v>
                      </c:pt>
                      <c:pt idx="368">
                        <c:v>-0.1008493015627554</c:v>
                      </c:pt>
                      <c:pt idx="369">
                        <c:v>-0.10072258464024313</c:v>
                      </c:pt>
                      <c:pt idx="370">
                        <c:v>-0.1005964325847622</c:v>
                      </c:pt>
                      <c:pt idx="371">
                        <c:v>-0.10047083337907831</c:v>
                      </c:pt>
                      <c:pt idx="372">
                        <c:v>-0.1003457753243186</c:v>
                      </c:pt>
                      <c:pt idx="373">
                        <c:v>-0.10022124703145083</c:v>
                      </c:pt>
                      <c:pt idx="374">
                        <c:v>-0.10009723741299087</c:v>
                      </c:pt>
                      <c:pt idx="375">
                        <c:v>-9.9973735674932021E-2</c:v>
                      </c:pt>
                      <c:pt idx="376">
                        <c:v>-9.985073130889055E-2</c:v>
                      </c:pt>
                      <c:pt idx="377">
                        <c:v>-9.97282140844616E-2</c:v>
                      </c:pt>
                      <c:pt idx="378">
                        <c:v>-9.9606174041779502E-2</c:v>
                      </c:pt>
                      <c:pt idx="379">
                        <c:v>-9.9484601484277721E-2</c:v>
                      </c:pt>
                      <c:pt idx="380">
                        <c:v>-9.9363486971642184E-2</c:v>
                      </c:pt>
                      <c:pt idx="381">
                        <c:v>-9.9242821312953644E-2</c:v>
                      </c:pt>
                      <c:pt idx="382">
                        <c:v>-9.9122595560013488E-2</c:v>
                      </c:pt>
                      <c:pt idx="383">
                        <c:v>-9.9002801000848406E-2</c:v>
                      </c:pt>
                      <c:pt idx="384">
                        <c:v>-9.8883429153388699E-2</c:v>
                      </c:pt>
                      <c:pt idx="385">
                        <c:v>-9.8764471759316144E-2</c:v>
                      </c:pt>
                      <c:pt idx="386">
                        <c:v>-9.8645920778076379E-2</c:v>
                      </c:pt>
                      <c:pt idx="387">
                        <c:v>-9.8527768381051831E-2</c:v>
                      </c:pt>
                      <c:pt idx="388">
                        <c:v>-9.8410006945890416E-2</c:v>
                      </c:pt>
                      <c:pt idx="389">
                        <c:v>-9.8292629050986305E-2</c:v>
                      </c:pt>
                      <c:pt idx="390">
                        <c:v>-9.8175627470108148E-2</c:v>
                      </c:pt>
                      <c:pt idx="391">
                        <c:v>-9.8058995167171717E-2</c:v>
                      </c:pt>
                      <c:pt idx="392">
                        <c:v>-9.7942725291151833E-2</c:v>
                      </c:pt>
                      <c:pt idx="393">
                        <c:v>-9.7826811171131081E-2</c:v>
                      </c:pt>
                      <c:pt idx="394">
                        <c:v>-9.7711246311480676E-2</c:v>
                      </c:pt>
                      <c:pt idx="395">
                        <c:v>-9.7596024387170674E-2</c:v>
                      </c:pt>
                      <c:pt idx="396">
                        <c:v>-9.7481139239205525E-2</c:v>
                      </c:pt>
                      <c:pt idx="397">
                        <c:v>-9.7366584870182099E-2</c:v>
                      </c:pt>
                      <c:pt idx="398">
                        <c:v>-9.7252355439966451E-2</c:v>
                      </c:pt>
                      <c:pt idx="399">
                        <c:v>-9.7138445261486253E-2</c:v>
                      </c:pt>
                      <c:pt idx="400">
                        <c:v>-9.7024848796636157E-2</c:v>
                      </c:pt>
                      <c:pt idx="401">
                        <c:v>-9.6911560652292658E-2</c:v>
                      </c:pt>
                      <c:pt idx="402">
                        <c:v>-9.6798575576435564E-2</c:v>
                      </c:pt>
                      <c:pt idx="403">
                        <c:v>-9.6685888454373578E-2</c:v>
                      </c:pt>
                      <c:pt idx="404">
                        <c:v>-9.6573494305070479E-2</c:v>
                      </c:pt>
                      <c:pt idx="405">
                        <c:v>-9.6461388277570295E-2</c:v>
                      </c:pt>
                      <c:pt idx="406">
                        <c:v>-9.6349565647517621E-2</c:v>
                      </c:pt>
                      <c:pt idx="407">
                        <c:v>-9.623802181377146E-2</c:v>
                      </c:pt>
                      <c:pt idx="408">
                        <c:v>-9.6126752295109599E-2</c:v>
                      </c:pt>
                      <c:pt idx="409">
                        <c:v>-9.6015752727021231E-2</c:v>
                      </c:pt>
                      <c:pt idx="410">
                        <c:v>-9.5905018858585378E-2</c:v>
                      </c:pt>
                      <c:pt idx="411">
                        <c:v>-9.5794546549433174E-2</c:v>
                      </c:pt>
                      <c:pt idx="412">
                        <c:v>-9.5684331766791114E-2</c:v>
                      </c:pt>
                      <c:pt idx="413">
                        <c:v>-9.5574370582603707E-2</c:v>
                      </c:pt>
                      <c:pt idx="414">
                        <c:v>-9.5464659170733115E-2</c:v>
                      </c:pt>
                      <c:pt idx="415">
                        <c:v>-9.5355193804233726E-2</c:v>
                      </c:pt>
                      <c:pt idx="416">
                        <c:v>-9.5245970852699785E-2</c:v>
                      </c:pt>
                      <c:pt idx="417">
                        <c:v>-9.5136051756599893E-2</c:v>
                      </c:pt>
                      <c:pt idx="418">
                        <c:v>-9.5026370240797645E-2</c:v>
                      </c:pt>
                      <c:pt idx="419">
                        <c:v>-9.4916922942418797E-2</c:v>
                      </c:pt>
                      <c:pt idx="420">
                        <c:v>-9.4807706585339338E-2</c:v>
                      </c:pt>
                      <c:pt idx="421">
                        <c:v>-9.4698717977865499E-2</c:v>
                      </c:pt>
                      <c:pt idx="422">
                        <c:v>-9.4589954010475874E-2</c:v>
                      </c:pt>
                      <c:pt idx="423">
                        <c:v>-9.448141165362417E-2</c:v>
                      </c:pt>
                      <c:pt idx="424">
                        <c:v>-9.4373087955600565E-2</c:v>
                      </c:pt>
                      <c:pt idx="425">
                        <c:v>-9.4264980040450502E-2</c:v>
                      </c:pt>
                      <c:pt idx="426">
                        <c:v>-9.4157085105949195E-2</c:v>
                      </c:pt>
                      <c:pt idx="427">
                        <c:v>-9.4049400421630389E-2</c:v>
                      </c:pt>
                      <c:pt idx="428">
                        <c:v>-9.3941923326867863E-2</c:v>
                      </c:pt>
                      <c:pt idx="429">
                        <c:v>-9.383465122900847E-2</c:v>
                      </c:pt>
                      <c:pt idx="430">
                        <c:v>-9.3727581601554963E-2</c:v>
                      </c:pt>
                      <c:pt idx="431">
                        <c:v>-9.3620711982397589E-2</c:v>
                      </c:pt>
                      <c:pt idx="432">
                        <c:v>-9.3514039972093205E-2</c:v>
                      </c:pt>
                      <c:pt idx="433">
                        <c:v>-9.3407563232190224E-2</c:v>
                      </c:pt>
                      <c:pt idx="434">
                        <c:v>-9.3301279483598565E-2</c:v>
                      </c:pt>
                      <c:pt idx="435">
                        <c:v>-9.3195186505003233E-2</c:v>
                      </c:pt>
                      <c:pt idx="436">
                        <c:v>-9.3089282131320436E-2</c:v>
                      </c:pt>
                      <c:pt idx="437">
                        <c:v>-9.2983564252194922E-2</c:v>
                      </c:pt>
                      <c:pt idx="438">
                        <c:v>-9.2878030810537776E-2</c:v>
                      </c:pt>
                      <c:pt idx="439">
                        <c:v>-9.2772679801103125E-2</c:v>
                      </c:pt>
                      <c:pt idx="440">
                        <c:v>-9.2667509269103207E-2</c:v>
                      </c:pt>
                      <c:pt idx="441">
                        <c:v>-9.2562517308860295E-2</c:v>
                      </c:pt>
                      <c:pt idx="442">
                        <c:v>-9.2457702062494998E-2</c:v>
                      </c:pt>
                      <c:pt idx="443">
                        <c:v>-9.235306171864939E-2</c:v>
                      </c:pt>
                      <c:pt idx="444">
                        <c:v>-9.2248594511244536E-2</c:v>
                      </c:pt>
                      <c:pt idx="445">
                        <c:v>-9.2144298718271317E-2</c:v>
                      </c:pt>
                      <c:pt idx="446">
                        <c:v>-9.2040172660613581E-2</c:v>
                      </c:pt>
                      <c:pt idx="447">
                        <c:v>-9.193621470090263E-2</c:v>
                      </c:pt>
                      <c:pt idx="448">
                        <c:v>-9.1832423242402803E-2</c:v>
                      </c:pt>
                      <c:pt idx="449">
                        <c:v>-9.1728796727926415E-2</c:v>
                      </c:pt>
                      <c:pt idx="450">
                        <c:v>-9.1625333638778214E-2</c:v>
                      </c:pt>
                      <c:pt idx="451">
                        <c:v>-9.1522032493727798E-2</c:v>
                      </c:pt>
                      <c:pt idx="452">
                        <c:v>-9.1418891848009623E-2</c:v>
                      </c:pt>
                      <c:pt idx="453">
                        <c:v>-9.1315910292349867E-2</c:v>
                      </c:pt>
                      <c:pt idx="454">
                        <c:v>-9.1213086452019365E-2</c:v>
                      </c:pt>
                      <c:pt idx="455">
                        <c:v>-9.1110418985911781E-2</c:v>
                      </c:pt>
                      <c:pt idx="456">
                        <c:v>-9.1007906585646559E-2</c:v>
                      </c:pt>
                      <c:pt idx="457">
                        <c:v>-9.0905547974695813E-2</c:v>
                      </c:pt>
                      <c:pt idx="458">
                        <c:v>-9.0803341907534779E-2</c:v>
                      </c:pt>
                      <c:pt idx="459">
                        <c:v>-9.0701287168814926E-2</c:v>
                      </c:pt>
                      <c:pt idx="460">
                        <c:v>-9.0599382572559034E-2</c:v>
                      </c:pt>
                      <c:pt idx="461">
                        <c:v>-9.0497626961378114E-2</c:v>
                      </c:pt>
                      <c:pt idx="462">
                        <c:v>-9.039601920570918E-2</c:v>
                      </c:pt>
                      <c:pt idx="463">
                        <c:v>-9.0294558203073333E-2</c:v>
                      </c:pt>
                      <c:pt idx="464">
                        <c:v>-9.0193242877353932E-2</c:v>
                      </c:pt>
                      <c:pt idx="465">
                        <c:v>-9.0092072178093813E-2</c:v>
                      </c:pt>
                      <c:pt idx="466">
                        <c:v>-8.9991045079811705E-2</c:v>
                      </c:pt>
                      <c:pt idx="467">
                        <c:v>-8.9890160581336503E-2</c:v>
                      </c:pt>
                      <c:pt idx="468">
                        <c:v>-8.9789417705159802E-2</c:v>
                      </c:pt>
                      <c:pt idx="469">
                        <c:v>-8.9687811950906873E-2</c:v>
                      </c:pt>
                      <c:pt idx="470">
                        <c:v>-8.9586348191824164E-2</c:v>
                      </c:pt>
                      <c:pt idx="471">
                        <c:v>-8.9485025512978322E-2</c:v>
                      </c:pt>
                      <c:pt idx="472">
                        <c:v>-8.9383843020716627E-2</c:v>
                      </c:pt>
                      <c:pt idx="473">
                        <c:v>-8.9282799842100524E-2</c:v>
                      </c:pt>
                      <c:pt idx="474">
                        <c:v>-8.9181895124353969E-2</c:v>
                      </c:pt>
                      <c:pt idx="475">
                        <c:v>-8.9081128034326842E-2</c:v>
                      </c:pt>
                      <c:pt idx="476">
                        <c:v>-8.8980497757972718E-2</c:v>
                      </c:pt>
                      <c:pt idx="477">
                        <c:v>-8.8880003499840543E-2</c:v>
                      </c:pt>
                      <c:pt idx="478">
                        <c:v>-8.8779644482579745E-2</c:v>
                      </c:pt>
                      <c:pt idx="479">
                        <c:v>-8.8679419946459115E-2</c:v>
                      </c:pt>
                      <c:pt idx="480">
                        <c:v>-8.8579329148898017E-2</c:v>
                      </c:pt>
                      <c:pt idx="481">
                        <c:v>-8.8479371364010476E-2</c:v>
                      </c:pt>
                      <c:pt idx="482">
                        <c:v>-8.8379545882161459E-2</c:v>
                      </c:pt>
                      <c:pt idx="483">
                        <c:v>-8.8279852009534948E-2</c:v>
                      </c:pt>
                      <c:pt idx="484">
                        <c:v>-8.818028906771358E-2</c:v>
                      </c:pt>
                      <c:pt idx="485">
                        <c:v>-8.8080856393269694E-2</c:v>
                      </c:pt>
                      <c:pt idx="486">
                        <c:v>-8.7981553337367055E-2</c:v>
                      </c:pt>
                      <c:pt idx="487">
                        <c:v>-8.7882379265373636E-2</c:v>
                      </c:pt>
                      <c:pt idx="488">
                        <c:v>-8.7783333556484364E-2</c:v>
                      </c:pt>
                      <c:pt idx="489">
                        <c:v>-8.7684415603354285E-2</c:v>
                      </c:pt>
                      <c:pt idx="490">
                        <c:v>-8.7585624811741397E-2</c:v>
                      </c:pt>
                      <c:pt idx="491">
                        <c:v>-8.7486960600159105E-2</c:v>
                      </c:pt>
                      <c:pt idx="492">
                        <c:v>-8.7388422399537882E-2</c:v>
                      </c:pt>
                      <c:pt idx="493">
                        <c:v>-8.7290009652896142E-2</c:v>
                      </c:pt>
                      <c:pt idx="494">
                        <c:v>-8.7191721815019968E-2</c:v>
                      </c:pt>
                      <c:pt idx="495">
                        <c:v>-8.7093558352151115E-2</c:v>
                      </c:pt>
                      <c:pt idx="496">
                        <c:v>-8.6995518741683667E-2</c:v>
                      </c:pt>
                      <c:pt idx="497">
                        <c:v>-8.6897602471868729E-2</c:v>
                      </c:pt>
                      <c:pt idx="498">
                        <c:v>-8.6799809041527023E-2</c:v>
                      </c:pt>
                      <c:pt idx="499">
                        <c:v>-8.6702137959769054E-2</c:v>
                      </c:pt>
                      <c:pt idx="500">
                        <c:v>-8.6604588745723091E-2</c:v>
                      </c:pt>
                      <c:pt idx="501">
                        <c:v>-8.6507160928270155E-2</c:v>
                      </c:pt>
                      <c:pt idx="502">
                        <c:v>-8.6409854045786161E-2</c:v>
                      </c:pt>
                      <c:pt idx="503">
                        <c:v>-8.6312667645890961E-2</c:v>
                      </c:pt>
                      <c:pt idx="504">
                        <c:v>-8.6215601285204141E-2</c:v>
                      </c:pt>
                      <c:pt idx="505">
                        <c:v>-8.6118654529107483E-2</c:v>
                      </c:pt>
                      <c:pt idx="506">
                        <c:v>-8.6021826951513558E-2</c:v>
                      </c:pt>
                      <c:pt idx="507">
                        <c:v>-8.5925118134640585E-2</c:v>
                      </c:pt>
                      <c:pt idx="508">
                        <c:v>-8.5828527668793439E-2</c:v>
                      </c:pt>
                      <c:pt idx="509">
                        <c:v>-8.5732055152150377E-2</c:v>
                      </c:pt>
                      <c:pt idx="510">
                        <c:v>-8.5635700190555525E-2</c:v>
                      </c:pt>
                      <c:pt idx="511">
                        <c:v>-8.5539462397316995E-2</c:v>
                      </c:pt>
                      <c:pt idx="512">
                        <c:v>-8.5443341393010339E-2</c:v>
                      </c:pt>
                      <c:pt idx="513">
                        <c:v>-8.5347336805287125E-2</c:v>
                      </c:pt>
                      <c:pt idx="514">
                        <c:v>-8.5251448268689009E-2</c:v>
                      </c:pt>
                      <c:pt idx="515">
                        <c:v>-8.5155675424466393E-2</c:v>
                      </c:pt>
                      <c:pt idx="516">
                        <c:v>-8.5060017920402214E-2</c:v>
                      </c:pt>
                      <c:pt idx="517">
                        <c:v>-8.4964475410640256E-2</c:v>
                      </c:pt>
                      <c:pt idx="518">
                        <c:v>-8.4869047555518162E-2</c:v>
                      </c:pt>
                      <c:pt idx="519">
                        <c:v>-8.4773734021404951E-2</c:v>
                      </c:pt>
                    </c:numCache>
                  </c:numRef>
                </c:val>
                <c:smooth val="0"/>
                <c:extLst xmlns:c15="http://schemas.microsoft.com/office/drawing/2012/chart">
                  <c:ext xmlns:c16="http://schemas.microsoft.com/office/drawing/2014/chart" uri="{C3380CC4-5D6E-409C-BE32-E72D297353CC}">
                    <c16:uniqueId val="{00000008-7744-4B44-92D6-CD8912115525}"/>
                  </c:ext>
                </c:extLst>
              </c15:ser>
            </c15:filteredLineSeries>
            <c15:filteredLineSeries>
              <c15:ser>
                <c:idx val="1"/>
                <c:order val="7"/>
                <c:tx>
                  <c:strRef>
                    <c:extLst xmlns:c15="http://schemas.microsoft.com/office/drawing/2012/chart">
                      <c:ext xmlns:c15="http://schemas.microsoft.com/office/drawing/2012/chart" uri="{02D57815-91ED-43cb-92C2-25804820EDAC}">
                        <c15:formulaRef>
                          <c15:sqref>Ig!$AI$534</c15:sqref>
                        </c15:formulaRef>
                      </c:ext>
                    </c:extLst>
                    <c:strCache>
                      <c:ptCount val="1"/>
                      <c:pt idx="0">
                        <c:v>Infection</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Ig!$AA$535:$AA$1054</c15:sqref>
                        </c15:formulaRef>
                      </c:ext>
                    </c:extLst>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extLst xmlns:c15="http://schemas.microsoft.com/office/drawing/2012/chart">
                      <c:ext xmlns:c15="http://schemas.microsoft.com/office/drawing/2012/chart" uri="{02D57815-91ED-43cb-92C2-25804820EDAC}">
                        <c15:formulaRef>
                          <c15:sqref>Ig!$AI$535:$AI$1054</c15:sqref>
                        </c15:formulaRef>
                      </c:ext>
                    </c:extLst>
                    <c:numCache>
                      <c:formatCode>#,##0</c:formatCode>
                      <c:ptCount val="520"/>
                      <c:pt idx="0">
                        <c:v>0</c:v>
                      </c:pt>
                      <c:pt idx="1">
                        <c:v>-6.7421098456516948E-2</c:v>
                      </c:pt>
                      <c:pt idx="2">
                        <c:v>-0.1328037746052054</c:v>
                      </c:pt>
                      <c:pt idx="3">
                        <c:v>-0.19620334016624541</c:v>
                      </c:pt>
                      <c:pt idx="4">
                        <c:v>-0.25767362558426554</c:v>
                      </c:pt>
                      <c:pt idx="5">
                        <c:v>-0.31726701963000514</c:v>
                      </c:pt>
                      <c:pt idx="6">
                        <c:v>-0.37503450794346915</c:v>
                      </c:pt>
                      <c:pt idx="7">
                        <c:v>-0.43102571054686767</c:v>
                      </c:pt>
                      <c:pt idx="8">
                        <c:v>-0.48528891835487564</c:v>
                      </c:pt>
                      <c:pt idx="9">
                        <c:v>-0.53787112870901232</c:v>
                      </c:pt>
                      <c:pt idx="10">
                        <c:v>-0.58881807996222446</c:v>
                      </c:pt>
                      <c:pt idx="11">
                        <c:v>-0.63817428513905838</c:v>
                      </c:pt>
                      <c:pt idx="12">
                        <c:v>-0.6859830646961298</c:v>
                      </c:pt>
                      <c:pt idx="13">
                        <c:v>-0.73228657840693845</c:v>
                      </c:pt>
                      <c:pt idx="14">
                        <c:v>-0.77712585639443166</c:v>
                      </c:pt>
                      <c:pt idx="15">
                        <c:v>-0.82054082933409633</c:v>
                      </c:pt>
                      <c:pt idx="16">
                        <c:v>-0.86257035784974878</c:v>
                      </c:pt>
                      <c:pt idx="17">
                        <c:v>-0.90325226112360235</c:v>
                      </c:pt>
                      <c:pt idx="18">
                        <c:v>-0.94262334474161014</c:v>
                      </c:pt>
                      <c:pt idx="19">
                        <c:v>-0.98071942779452559</c:v>
                      </c:pt>
                      <c:pt idx="20">
                        <c:v>-1.0175753692545726</c:v>
                      </c:pt>
                      <c:pt idx="21">
                        <c:v>-1.0269671703396455</c:v>
                      </c:pt>
                      <c:pt idx="22">
                        <c:v>-1.0357508770863038</c:v>
                      </c:pt>
                      <c:pt idx="23">
                        <c:v>-1.0439452847988782</c:v>
                      </c:pt>
                      <c:pt idx="24">
                        <c:v>-1.0515686702318834</c:v>
                      </c:pt>
                      <c:pt idx="25">
                        <c:v>-1.0586388055475955</c:v>
                      </c:pt>
                      <c:pt idx="26">
                        <c:v>-1.0651729718999969</c:v>
                      </c:pt>
                      <c:pt idx="27">
                        <c:v>-1.071187972655081</c:v>
                      </c:pt>
                      <c:pt idx="28">
                        <c:v>-1.0767001462572363</c:v>
                      </c:pt>
                      <c:pt idx="29">
                        <c:v>-1.0817253787511736</c:v>
                      </c:pt>
                      <c:pt idx="30">
                        <c:v>-1.0862791159686058</c:v>
                      </c:pt>
                      <c:pt idx="31">
                        <c:v>-1.0903763753886482</c:v>
                      </c:pt>
                      <c:pt idx="32">
                        <c:v>-1.0940317576806551</c:v>
                      </c:pt>
                      <c:pt idx="33">
                        <c:v>-1.0972594579379913</c:v>
                      </c:pt>
                      <c:pt idx="34">
                        <c:v>-1.100073276611</c:v>
                      </c:pt>
                      <c:pt idx="35">
                        <c:v>-1.1024866301472063</c:v>
                      </c:pt>
                      <c:pt idx="36">
                        <c:v>-1.1045125613465923</c:v>
                      </c:pt>
                      <c:pt idx="37">
                        <c:v>-1.1061637494395551</c:v>
                      </c:pt>
                      <c:pt idx="38">
                        <c:v>-1.107452519894965</c:v>
                      </c:pt>
                      <c:pt idx="39">
                        <c:v>-1.1083908539655447</c:v>
                      </c:pt>
                      <c:pt idx="40">
                        <c:v>-1.108990397977589</c:v>
                      </c:pt>
                      <c:pt idx="41">
                        <c:v>-1.1092624723718614</c:v>
                      </c:pt>
                      <c:pt idx="42">
                        <c:v>-1.1092180805023246</c:v>
                      </c:pt>
                      <c:pt idx="43">
                        <c:v>-1.108867917199178</c:v>
                      </c:pt>
                      <c:pt idx="44">
                        <c:v>-1.1082223771025037</c:v>
                      </c:pt>
                      <c:pt idx="45">
                        <c:v>-1.1072915627726596</c:v>
                      </c:pt>
                      <c:pt idx="46">
                        <c:v>-1.1060852925833839</c:v>
                      </c:pt>
                      <c:pt idx="47">
                        <c:v>-1.1046131084034259</c:v>
                      </c:pt>
                      <c:pt idx="48">
                        <c:v>-1.102884283072358</c:v>
                      </c:pt>
                      <c:pt idx="49">
                        <c:v>-1.1009078276760693</c:v>
                      </c:pt>
                      <c:pt idx="50">
                        <c:v>-1.0986924986273032</c:v>
                      </c:pt>
                      <c:pt idx="51">
                        <c:v>-1.0962468045564475</c:v>
                      </c:pt>
                      <c:pt idx="52">
                        <c:v>-1.093579013017655</c:v>
                      </c:pt>
                      <c:pt idx="53">
                        <c:v>-1.0906909747221665</c:v>
                      </c:pt>
                      <c:pt idx="54">
                        <c:v>-1.0877876183694757</c:v>
                      </c:pt>
                      <c:pt idx="55">
                        <c:v>-1.0848696783933809</c:v>
                      </c:pt>
                      <c:pt idx="56">
                        <c:v>-1.0819378684526335</c:v>
                      </c:pt>
                      <c:pt idx="57">
                        <c:v>-1.0789928819903301</c:v>
                      </c:pt>
                      <c:pt idx="58">
                        <c:v>-1.0760353927783441</c:v>
                      </c:pt>
                      <c:pt idx="59">
                        <c:v>-1.0730660554471827</c:v>
                      </c:pt>
                      <c:pt idx="60">
                        <c:v>-1.0700855060016687</c:v>
                      </c:pt>
                      <c:pt idx="61">
                        <c:v>-1.0670943623228197</c:v>
                      </c:pt>
                      <c:pt idx="62">
                        <c:v>-1.0640932246563</c:v>
                      </c:pt>
                      <c:pt idx="63">
                        <c:v>-1.0610826760877956</c:v>
                      </c:pt>
                      <c:pt idx="64">
                        <c:v>-1.0580632830056729</c:v>
                      </c:pt>
                      <c:pt idx="65">
                        <c:v>-1.0550355955512494</c:v>
                      </c:pt>
                      <c:pt idx="66">
                        <c:v>-1.0520001480570182</c:v>
                      </c:pt>
                      <c:pt idx="67">
                        <c:v>-1.0489574594731403</c:v>
                      </c:pt>
                      <c:pt idx="68">
                        <c:v>-1.0459080337825233</c:v>
                      </c:pt>
                      <c:pt idx="69">
                        <c:v>-1.0428523604047899</c:v>
                      </c:pt>
                      <c:pt idx="70">
                        <c:v>-1.0397909145894333</c:v>
                      </c:pt>
                      <c:pt idx="71">
                        <c:v>-1.0367241577984485</c:v>
                      </c:pt>
                      <c:pt idx="72">
                        <c:v>-1.0336525380787216</c:v>
                      </c:pt>
                      <c:pt idx="73">
                        <c:v>-1.0305764904244494</c:v>
                      </c:pt>
                      <c:pt idx="74">
                        <c:v>-1.0274964371298594</c:v>
                      </c:pt>
                      <c:pt idx="75">
                        <c:v>-1.0244127881324832</c:v>
                      </c:pt>
                      <c:pt idx="76">
                        <c:v>-1.0213259413472437</c:v>
                      </c:pt>
                      <c:pt idx="77">
                        <c:v>-1.0182362829915967</c:v>
                      </c:pt>
                      <c:pt idx="78">
                        <c:v>-1.0151441879019651</c:v>
                      </c:pt>
                      <c:pt idx="79">
                        <c:v>-1.0120500198417033</c:v>
                      </c:pt>
                      <c:pt idx="80">
                        <c:v>-1.0089541318008151</c:v>
                      </c:pt>
                      <c:pt idx="81">
                        <c:v>-1.005856866287643</c:v>
                      </c:pt>
                      <c:pt idx="82">
                        <c:v>-1.0027585556127532</c:v>
                      </c:pt>
                      <c:pt idx="83">
                        <c:v>-0.99965952216521137</c:v>
                      </c:pt>
                      <c:pt idx="84">
                        <c:v>-0.99656007868146468</c:v>
                      </c:pt>
                      <c:pt idx="85">
                        <c:v>-0.9934605285070206</c:v>
                      </c:pt>
                      <c:pt idx="86">
                        <c:v>-0.99036116585111811</c:v>
                      </c:pt>
                      <c:pt idx="87">
                        <c:v>-0.98726227603457761</c:v>
                      </c:pt>
                      <c:pt idx="88">
                        <c:v>-0.98416413573101258</c:v>
                      </c:pt>
                      <c:pt idx="89">
                        <c:v>-0.98106701320157985</c:v>
                      </c:pt>
                      <c:pt idx="90">
                        <c:v>-0.97797116852344246</c:v>
                      </c:pt>
                      <c:pt idx="91">
                        <c:v>-0.97487685381211131</c:v>
                      </c:pt>
                      <c:pt idx="92">
                        <c:v>-0.97178431343783012</c:v>
                      </c:pt>
                      <c:pt idx="93">
                        <c:v>-0.96869378423616559</c:v>
                      </c:pt>
                      <c:pt idx="94">
                        <c:v>-0.96560549571295207</c:v>
                      </c:pt>
                      <c:pt idx="95">
                        <c:v>-0.96251967024374729</c:v>
                      </c:pt>
                      <c:pt idx="96">
                        <c:v>-0.9594365232679426</c:v>
                      </c:pt>
                      <c:pt idx="97">
                        <c:v>-0.95635626347767266</c:v>
                      </c:pt>
                      <c:pt idx="98">
                        <c:v>-0.95327909300166147</c:v>
                      </c:pt>
                      <c:pt idx="99">
                        <c:v>-0.95020520758414251</c:v>
                      </c:pt>
                      <c:pt idx="100">
                        <c:v>-0.94713479675898249</c:v>
                      </c:pt>
                      <c:pt idx="101">
                        <c:v>-0.94406804401913857</c:v>
                      </c:pt>
                      <c:pt idx="102">
                        <c:v>-0.94100512698157379</c:v>
                      </c:pt>
                      <c:pt idx="103">
                        <c:v>-0.93794621754775143</c:v>
                      </c:pt>
                      <c:pt idx="104">
                        <c:v>-0.93489148205982608</c:v>
                      </c:pt>
                      <c:pt idx="105">
                        <c:v>-0.93183524859166433</c:v>
                      </c:pt>
                      <c:pt idx="106">
                        <c:v>-0.92878354622088044</c:v>
                      </c:pt>
                      <c:pt idx="107">
                        <c:v>-0.92573652533989026</c:v>
                      </c:pt>
                      <c:pt idx="108">
                        <c:v>-0.92269433136438506</c:v>
                      </c:pt>
                      <c:pt idx="109">
                        <c:v>-0.91965710486976737</c:v>
                      </c:pt>
                      <c:pt idx="110">
                        <c:v>-0.91662498172392737</c:v>
                      </c:pt>
                      <c:pt idx="111">
                        <c:v>-0.91359809321645646</c:v>
                      </c:pt>
                      <c:pt idx="112">
                        <c:v>-0.9105765661843942</c:v>
                      </c:pt>
                      <c:pt idx="113">
                        <c:v>-0.90756052313460212</c:v>
                      </c:pt>
                      <c:pt idx="114">
                        <c:v>-0.90455008236285206</c:v>
                      </c:pt>
                      <c:pt idx="115">
                        <c:v>-0.90154535806971914</c:v>
                      </c:pt>
                      <c:pt idx="116">
                        <c:v>-0.89854646047336439</c:v>
                      </c:pt>
                      <c:pt idx="117">
                        <c:v>-0.8955534959192909</c:v>
                      </c:pt>
                      <c:pt idx="118">
                        <c:v>-0.89256656698715153</c:v>
                      </c:pt>
                      <c:pt idx="119">
                        <c:v>-0.88958577259469029</c:v>
                      </c:pt>
                      <c:pt idx="120">
                        <c:v>-0.88661120809889493</c:v>
                      </c:pt>
                      <c:pt idx="121">
                        <c:v>-0.88364296539442966</c:v>
                      </c:pt>
                      <c:pt idx="122">
                        <c:v>-0.88068113300942763</c:v>
                      </c:pt>
                      <c:pt idx="123">
                        <c:v>-0.87772579619870839</c:v>
                      </c:pt>
                      <c:pt idx="124">
                        <c:v>-0.87477703703449239</c:v>
                      </c:pt>
                      <c:pt idx="125">
                        <c:v>-0.87183493449468019</c:v>
                      </c:pt>
                      <c:pt idx="126">
                        <c:v>-0.86889956454875716</c:v>
                      </c:pt>
                      <c:pt idx="127">
                        <c:v>-0.8659710002413914</c:v>
                      </c:pt>
                      <c:pt idx="128">
                        <c:v>-0.86304931177378519</c:v>
                      </c:pt>
                      <c:pt idx="129">
                        <c:v>-0.86013456658284115</c:v>
                      </c:pt>
                      <c:pt idx="130">
                        <c:v>-0.85722682941819739</c:v>
                      </c:pt>
                      <c:pt idx="131">
                        <c:v>-0.85432616241719528</c:v>
                      </c:pt>
                      <c:pt idx="132">
                        <c:v>-0.85143262517782914</c:v>
                      </c:pt>
                      <c:pt idx="133">
                        <c:v>-0.84854627482973655</c:v>
                      </c:pt>
                      <c:pt idx="134">
                        <c:v>-0.84566716610327686</c:v>
                      </c:pt>
                      <c:pt idx="135">
                        <c:v>-0.84279535139675466</c:v>
                      </c:pt>
                      <c:pt idx="136">
                        <c:v>-0.83993088084183254</c:v>
                      </c:pt>
                      <c:pt idx="137">
                        <c:v>-0.83707380236718598</c:v>
                      </c:pt>
                      <c:pt idx="138">
                        <c:v>-0.83422416176044323</c:v>
                      </c:pt>
                      <c:pt idx="139">
                        <c:v>-0.83138200272846041</c:v>
                      </c:pt>
                      <c:pt idx="140">
                        <c:v>-0.82854736695597353</c:v>
                      </c:pt>
                      <c:pt idx="141">
                        <c:v>-0.82572029416267001</c:v>
                      </c:pt>
                      <c:pt idx="142">
                        <c:v>-0.82290082215872673</c:v>
                      </c:pt>
                      <c:pt idx="143">
                        <c:v>-0.82008898689884913</c:v>
                      </c:pt>
                      <c:pt idx="144">
                        <c:v>-0.81728482253485724</c:v>
                      </c:pt>
                      <c:pt idx="145">
                        <c:v>-0.8144883614668541</c:v>
                      </c:pt>
                      <c:pt idx="146">
                        <c:v>-0.81169963439301562</c:v>
                      </c:pt>
                      <c:pt idx="147">
                        <c:v>-0.80891867035803899</c:v>
                      </c:pt>
                      <c:pt idx="148">
                        <c:v>-0.8061454968002848</c:v>
                      </c:pt>
                      <c:pt idx="149">
                        <c:v>-0.80338013959764931</c:v>
                      </c:pt>
                      <c:pt idx="150">
                        <c:v>-0.8006226231121979</c:v>
                      </c:pt>
                      <c:pt idx="151">
                        <c:v>-0.79787297023359738</c:v>
                      </c:pt>
                      <c:pt idx="152">
                        <c:v>-0.79513120242137436</c:v>
                      </c:pt>
                      <c:pt idx="153">
                        <c:v>-0.79239733974603521</c:v>
                      </c:pt>
                      <c:pt idx="154">
                        <c:v>-0.78967140092907495</c:v>
                      </c:pt>
                      <c:pt idx="155">
                        <c:v>-0.78695340338190767</c:v>
                      </c:pt>
                      <c:pt idx="156">
                        <c:v>-0.78424336324374477</c:v>
                      </c:pt>
                      <c:pt idx="157">
                        <c:v>-0.78153578962578696</c:v>
                      </c:pt>
                      <c:pt idx="158">
                        <c:v>-0.7788362422472237</c:v>
                      </c:pt>
                      <c:pt idx="159">
                        <c:v>-0.77614473340320012</c:v>
                      </c:pt>
                      <c:pt idx="160">
                        <c:v>-0.77346127425999012</c:v>
                      </c:pt>
                      <c:pt idx="161">
                        <c:v>-0.77078587488800898</c:v>
                      </c:pt>
                      <c:pt idx="162">
                        <c:v>-0.76811854429393367</c:v>
                      </c:pt>
                      <c:pt idx="163">
                        <c:v>-0.76545929045195482</c:v>
                      </c:pt>
                      <c:pt idx="164">
                        <c:v>-0.76280812033418177</c:v>
                      </c:pt>
                      <c:pt idx="165">
                        <c:v>-0.76016503994022477</c:v>
                      </c:pt>
                      <c:pt idx="166">
                        <c:v>-0.75753005432597709</c:v>
                      </c:pt>
                      <c:pt idx="167">
                        <c:v>-0.75490316763161647</c:v>
                      </c:pt>
                      <c:pt idx="168">
                        <c:v>-0.75228438310884838</c:v>
                      </c:pt>
                      <c:pt idx="169">
                        <c:v>-0.74967370314741077</c:v>
                      </c:pt>
                      <c:pt idx="170">
                        <c:v>-0.74707112930086095</c:v>
                      </c:pt>
                      <c:pt idx="171">
                        <c:v>-0.7444766623116611</c:v>
                      </c:pt>
                      <c:pt idx="172">
                        <c:v>-0.74189030213558582</c:v>
                      </c:pt>
                      <c:pt idx="173">
                        <c:v>-0.73931204796546668</c:v>
                      </c:pt>
                      <c:pt idx="174">
                        <c:v>-0.73674189825429015</c:v>
                      </c:pt>
                      <c:pt idx="175">
                        <c:v>-0.73417985073767034</c:v>
                      </c:pt>
                      <c:pt idx="176">
                        <c:v>-0.73162590245571091</c:v>
                      </c:pt>
                      <c:pt idx="177">
                        <c:v>-0.72908004977427243</c:v>
                      </c:pt>
                      <c:pt idx="178">
                        <c:v>-0.72654228840566115</c:v>
                      </c:pt>
                      <c:pt idx="179">
                        <c:v>-0.724012613428756</c:v>
                      </c:pt>
                      <c:pt idx="180">
                        <c:v>-0.72149101930858728</c:v>
                      </c:pt>
                      <c:pt idx="181">
                        <c:v>-0.71897749991538218</c:v>
                      </c:pt>
                      <c:pt idx="182">
                        <c:v>-0.71647204854309277</c:v>
                      </c:pt>
                      <c:pt idx="183">
                        <c:v>-0.71397465792741777</c:v>
                      </c:pt>
                      <c:pt idx="184">
                        <c:v>-0.71148532026333422</c:v>
                      </c:pt>
                      <c:pt idx="185">
                        <c:v>-0.70900402722215072</c:v>
                      </c:pt>
                      <c:pt idx="186">
                        <c:v>-0.70653076996809516</c:v>
                      </c:pt>
                      <c:pt idx="187">
                        <c:v>-0.70406553917444969</c:v>
                      </c:pt>
                      <c:pt idx="188">
                        <c:v>-0.7016083250392452</c:v>
                      </c:pt>
                      <c:pt idx="189">
                        <c:v>-0.6991591173005276</c:v>
                      </c:pt>
                      <c:pt idx="190">
                        <c:v>-0.6967179052512058</c:v>
                      </c:pt>
                      <c:pt idx="191">
                        <c:v>-0.69428467775349434</c:v>
                      </c:pt>
                      <c:pt idx="192">
                        <c:v>-0.69185942325295968</c:v>
                      </c:pt>
                      <c:pt idx="193">
                        <c:v>-0.68944212979218411</c:v>
                      </c:pt>
                      <c:pt idx="194">
                        <c:v>-0.68703278502405241</c:v>
                      </c:pt>
                      <c:pt idx="195">
                        <c:v>-0.68463137622467651</c:v>
                      </c:pt>
                      <c:pt idx="196">
                        <c:v>-0.68223789030596471</c:v>
                      </c:pt>
                      <c:pt idx="197">
                        <c:v>-0.67985231382784672</c:v>
                      </c:pt>
                      <c:pt idx="198">
                        <c:v>-0.67747463301016131</c:v>
                      </c:pt>
                      <c:pt idx="199">
                        <c:v>-0.67510483374421892</c:v>
                      </c:pt>
                      <c:pt idx="200">
                        <c:v>-0.67274290160404693</c:v>
                      </c:pt>
                      <c:pt idx="201">
                        <c:v>-0.67038882185732152</c:v>
                      </c:pt>
                      <c:pt idx="202">
                        <c:v>-0.66804257947600343</c:v>
                      </c:pt>
                      <c:pt idx="203">
                        <c:v>-0.66570415914667858</c:v>
                      </c:pt>
                      <c:pt idx="204">
                        <c:v>-0.66337354528061299</c:v>
                      </c:pt>
                      <c:pt idx="205">
                        <c:v>-0.66105072202353066</c:v>
                      </c:pt>
                      <c:pt idx="206">
                        <c:v>-0.65873567326512139</c:v>
                      </c:pt>
                      <c:pt idx="207">
                        <c:v>-0.65642838264828607</c:v>
                      </c:pt>
                      <c:pt idx="208">
                        <c:v>-0.65412883357812646</c:v>
                      </c:pt>
                      <c:pt idx="209">
                        <c:v>-0.65183216114570341</c:v>
                      </c:pt>
                      <c:pt idx="210">
                        <c:v>-0.64954323235991329</c:v>
                      </c:pt>
                      <c:pt idx="211">
                        <c:v>-0.64726202972582392</c:v>
                      </c:pt>
                      <c:pt idx="212">
                        <c:v>-0.64498853554660329</c:v>
                      </c:pt>
                      <c:pt idx="213">
                        <c:v>-0.64272273193128793</c:v>
                      </c:pt>
                      <c:pt idx="214">
                        <c:v>-0.64046460080233447</c:v>
                      </c:pt>
                      <c:pt idx="215">
                        <c:v>-0.63821412390296084</c:v>
                      </c:pt>
                      <c:pt idx="216">
                        <c:v>-0.63597128280428328</c:v>
                      </c:pt>
                      <c:pt idx="217">
                        <c:v>-0.63373605891225337</c:v>
                      </c:pt>
                      <c:pt idx="218">
                        <c:v>-0.63150843347440189</c:v>
                      </c:pt>
                      <c:pt idx="219">
                        <c:v>-0.62928838758639383</c:v>
                      </c:pt>
                      <c:pt idx="220">
                        <c:v>-0.62707590219839937</c:v>
                      </c:pt>
                      <c:pt idx="221">
                        <c:v>-0.62487095812128723</c:v>
                      </c:pt>
                      <c:pt idx="222">
                        <c:v>-0.62267353603264297</c:v>
                      </c:pt>
                      <c:pt idx="223">
                        <c:v>-0.62048361648262051</c:v>
                      </c:pt>
                      <c:pt idx="224">
                        <c:v>-0.61830117989962519</c:v>
                      </c:pt>
                      <c:pt idx="225">
                        <c:v>-0.61612620659584039</c:v>
                      </c:pt>
                      <c:pt idx="226">
                        <c:v>-0.61395867677259608</c:v>
                      </c:pt>
                      <c:pt idx="227">
                        <c:v>-0.61179857052558761</c:v>
                      </c:pt>
                      <c:pt idx="228">
                        <c:v>-0.60964586784994435</c:v>
                      </c:pt>
                      <c:pt idx="229">
                        <c:v>-0.60750054864515757</c:v>
                      </c:pt>
                      <c:pt idx="230">
                        <c:v>-0.6053625927198667</c:v>
                      </c:pt>
                      <c:pt idx="231">
                        <c:v>-0.60323197979651033</c:v>
                      </c:pt>
                      <c:pt idx="232">
                        <c:v>-0.60110868951584517</c:v>
                      </c:pt>
                      <c:pt idx="233">
                        <c:v>-0.59899270144133543</c:v>
                      </c:pt>
                      <c:pt idx="234">
                        <c:v>-0.59688399506341794</c:v>
                      </c:pt>
                      <c:pt idx="235">
                        <c:v>-0.59478254980364542</c:v>
                      </c:pt>
                      <c:pt idx="236">
                        <c:v>-0.59268834501870959</c:v>
                      </c:pt>
                      <c:pt idx="237">
                        <c:v>-0.59060136000435148</c:v>
                      </c:pt>
                      <c:pt idx="238">
                        <c:v>-0.58852157399915728</c:v>
                      </c:pt>
                      <c:pt idx="239">
                        <c:v>-0.5864489661882456</c:v>
                      </c:pt>
                      <c:pt idx="240">
                        <c:v>-0.58438351570684977</c:v>
                      </c:pt>
                      <c:pt idx="241">
                        <c:v>-0.58232520164379431</c:v>
                      </c:pt>
                      <c:pt idx="242">
                        <c:v>-0.58027400304487264</c:v>
                      </c:pt>
                      <c:pt idx="243">
                        <c:v>-0.57822989891612653</c:v>
                      </c:pt>
                      <c:pt idx="244">
                        <c:v>-0.57619286822703031</c:v>
                      </c:pt>
                      <c:pt idx="245">
                        <c:v>-0.574162889913581</c:v>
                      </c:pt>
                      <c:pt idx="246">
                        <c:v>-0.57213994288130088</c:v>
                      </c:pt>
                      <c:pt idx="247">
                        <c:v>-0.57012400600815005</c:v>
                      </c:pt>
                      <c:pt idx="248">
                        <c:v>-0.56811505814735519</c:v>
                      </c:pt>
                      <c:pt idx="249">
                        <c:v>-0.56611307813015366</c:v>
                      </c:pt>
                      <c:pt idx="250">
                        <c:v>-0.56411804476845928</c:v>
                      </c:pt>
                      <c:pt idx="251">
                        <c:v>-0.56212993685744606</c:v>
                      </c:pt>
                      <c:pt idx="252">
                        <c:v>-0.56014873317805858</c:v>
                      </c:pt>
                      <c:pt idx="253">
                        <c:v>-0.5581744124994461</c:v>
                      </c:pt>
                      <c:pt idx="254">
                        <c:v>-0.55620695358132588</c:v>
                      </c:pt>
                      <c:pt idx="255">
                        <c:v>-0.55424633517627409</c:v>
                      </c:pt>
                      <c:pt idx="256">
                        <c:v>-0.55229253603194961</c:v>
                      </c:pt>
                      <c:pt idx="257">
                        <c:v>-0.55034553489325078</c:v>
                      </c:pt>
                      <c:pt idx="258">
                        <c:v>-0.54840531050440733</c:v>
                      </c:pt>
                      <c:pt idx="259">
                        <c:v>-0.54647184161100837</c:v>
                      </c:pt>
                      <c:pt idx="260">
                        <c:v>-0.54454510696197111</c:v>
                      </c:pt>
                      <c:pt idx="261">
                        <c:v>-0.54265193245661414</c:v>
                      </c:pt>
                      <c:pt idx="262">
                        <c:v>-0.54079570439960445</c:v>
                      </c:pt>
                      <c:pt idx="263">
                        <c:v>-0.53897544888979976</c:v>
                      </c:pt>
                      <c:pt idx="264">
                        <c:v>-0.53719021807304523</c:v>
                      </c:pt>
                      <c:pt idx="265">
                        <c:v>-0.53543908944513396</c:v>
                      </c:pt>
                      <c:pt idx="266">
                        <c:v>-0.53372116517342261</c:v>
                      </c:pt>
                      <c:pt idx="267">
                        <c:v>-0.53203557143660063</c:v>
                      </c:pt>
                      <c:pt idx="268">
                        <c:v>-0.53038145778212908</c:v>
                      </c:pt>
                      <c:pt idx="269">
                        <c:v>-0.52875799650087363</c:v>
                      </c:pt>
                      <c:pt idx="270">
                        <c:v>-0.52716438201847582</c:v>
                      </c:pt>
                      <c:pt idx="271">
                        <c:v>-0.52559983030301061</c:v>
                      </c:pt>
                      <c:pt idx="272">
                        <c:v>-0.52406357828849548</c:v>
                      </c:pt>
                      <c:pt idx="273">
                        <c:v>-0.52255488331382838</c:v>
                      </c:pt>
                      <c:pt idx="274">
                        <c:v>-0.52107302257673949</c:v>
                      </c:pt>
                      <c:pt idx="275">
                        <c:v>-0.51961729260235712</c:v>
                      </c:pt>
                      <c:pt idx="276">
                        <c:v>-0.51818700872599466</c:v>
                      </c:pt>
                      <c:pt idx="277">
                        <c:v>-0.51678150458977901</c:v>
                      </c:pt>
                      <c:pt idx="278">
                        <c:v>-0.51540013165275045</c:v>
                      </c:pt>
                      <c:pt idx="279">
                        <c:v>-0.51404225871407205</c:v>
                      </c:pt>
                      <c:pt idx="280">
                        <c:v>-0.51270727144900119</c:v>
                      </c:pt>
                      <c:pt idx="281">
                        <c:v>-0.51139457195727434</c:v>
                      </c:pt>
                      <c:pt idx="282">
                        <c:v>-0.510103578323583</c:v>
                      </c:pt>
                      <c:pt idx="283">
                        <c:v>-0.50883372418980855</c:v>
                      </c:pt>
                      <c:pt idx="284">
                        <c:v>-0.50758445833870558</c:v>
                      </c:pt>
                      <c:pt idx="285">
                        <c:v>-0.50635524428872758</c:v>
                      </c:pt>
                      <c:pt idx="286">
                        <c:v>-0.50514555989969323</c:v>
                      </c:pt>
                      <c:pt idx="287">
                        <c:v>-0.50395489698900875</c:v>
                      </c:pt>
                      <c:pt idx="288">
                        <c:v>-0.50278276095815766</c:v>
                      </c:pt>
                      <c:pt idx="289">
                        <c:v>-0.50162867042918835</c:v>
                      </c:pt>
                      <c:pt idx="290">
                        <c:v>-0.50049215689092885</c:v>
                      </c:pt>
                      <c:pt idx="291">
                        <c:v>-0.49937276435466971</c:v>
                      </c:pt>
                      <c:pt idx="292">
                        <c:v>-0.49827004901906058</c:v>
                      </c:pt>
                      <c:pt idx="293">
                        <c:v>-0.49718357894397569</c:v>
                      </c:pt>
                      <c:pt idx="294">
                        <c:v>-0.49611293373310672</c:v>
                      </c:pt>
                      <c:pt idx="295">
                        <c:v>-0.49505770422505002</c:v>
                      </c:pt>
                      <c:pt idx="296">
                        <c:v>-0.49401749219265967</c:v>
                      </c:pt>
                      <c:pt idx="297">
                        <c:v>-0.49299191005044896</c:v>
                      </c:pt>
                      <c:pt idx="298">
                        <c:v>-0.49198058056981897</c:v>
                      </c:pt>
                      <c:pt idx="299">
                        <c:v>-0.49098313660191006</c:v>
                      </c:pt>
                      <c:pt idx="300">
                        <c:v>-0.48999922080787039</c:v>
                      </c:pt>
                      <c:pt idx="301">
                        <c:v>-0.48902848539634147</c:v>
                      </c:pt>
                      <c:pt idx="302">
                        <c:v>-0.48807059186796986</c:v>
                      </c:pt>
                      <c:pt idx="303">
                        <c:v>-0.48712521076675663</c:v>
                      </c:pt>
                      <c:pt idx="304">
                        <c:v>-0.48619202143805951</c:v>
                      </c:pt>
                      <c:pt idx="305">
                        <c:v>-0.48527071179307202</c:v>
                      </c:pt>
                      <c:pt idx="306">
                        <c:v>-0.48436097807960699</c:v>
                      </c:pt>
                      <c:pt idx="307">
                        <c:v>-0.48346252465901163</c:v>
                      </c:pt>
                      <c:pt idx="308">
                        <c:v>-0.4825750637890539</c:v>
                      </c:pt>
                      <c:pt idx="309">
                        <c:v>-0.48169831541261976</c:v>
                      </c:pt>
                      <c:pt idx="310">
                        <c:v>-0.48083200695206363</c:v>
                      </c:pt>
                      <c:pt idx="311">
                        <c:v>-0.47997587310906409</c:v>
                      </c:pt>
                      <c:pt idx="312">
                        <c:v>-0.47912965566983445</c:v>
                      </c:pt>
                      <c:pt idx="313">
                        <c:v>-0.47828912334818385</c:v>
                      </c:pt>
                      <c:pt idx="314">
                        <c:v>-0.47745802703052087</c:v>
                      </c:pt>
                      <c:pt idx="315">
                        <c:v>-0.47663612835988689</c:v>
                      </c:pt>
                      <c:pt idx="316">
                        <c:v>-0.47582319534451722</c:v>
                      </c:pt>
                      <c:pt idx="317">
                        <c:v>-0.47501900218746562</c:v>
                      </c:pt>
                      <c:pt idx="318">
                        <c:v>-0.47422332912078735</c:v>
                      </c:pt>
                      <c:pt idx="319">
                        <c:v>-0.4734359622441634</c:v>
                      </c:pt>
                      <c:pt idx="320">
                        <c:v>-0.47265669336784255</c:v>
                      </c:pt>
                      <c:pt idx="321">
                        <c:v>-0.47188531985978899</c:v>
                      </c:pt>
                      <c:pt idx="322">
                        <c:v>-0.47112164449692129</c:v>
                      </c:pt>
                      <c:pt idx="323">
                        <c:v>-0.47036547532033302</c:v>
                      </c:pt>
                      <c:pt idx="324">
                        <c:v>-0.46961662549439132</c:v>
                      </c:pt>
                      <c:pt idx="325">
                        <c:v>-0.46887491316960495</c:v>
                      </c:pt>
                      <c:pt idx="326">
                        <c:v>-0.46814016134916359</c:v>
                      </c:pt>
                      <c:pt idx="327">
                        <c:v>-0.46741219775905085</c:v>
                      </c:pt>
                      <c:pt idx="328">
                        <c:v>-0.4666908547216333</c:v>
                      </c:pt>
                      <c:pt idx="329">
                        <c:v>-0.46597596903263483</c:v>
                      </c:pt>
                      <c:pt idx="330">
                        <c:v>-0.46526738184140226</c:v>
                      </c:pt>
                      <c:pt idx="331">
                        <c:v>-0.4645649385343783</c:v>
                      </c:pt>
                      <c:pt idx="332">
                        <c:v>-0.46386848862169183</c:v>
                      </c:pt>
                      <c:pt idx="333">
                        <c:v>-0.46317788562678619</c:v>
                      </c:pt>
                      <c:pt idx="334">
                        <c:v>-0.4624929869790001</c:v>
                      </c:pt>
                      <c:pt idx="335">
                        <c:v>-0.46181365390902596</c:v>
                      </c:pt>
                      <c:pt idx="336">
                        <c:v>-0.46113975134716489</c:v>
                      </c:pt>
                      <c:pt idx="337">
                        <c:v>-0.46047114782430687</c:v>
                      </c:pt>
                      <c:pt idx="338">
                        <c:v>-0.45980771537556031</c:v>
                      </c:pt>
                      <c:pt idx="339">
                        <c:v>-0.45914932944646325</c:v>
                      </c:pt>
                      <c:pt idx="340">
                        <c:v>-0.45849586880170301</c:v>
                      </c:pt>
                      <c:pt idx="341">
                        <c:v>-0.4578472154362806</c:v>
                      </c:pt>
                      <c:pt idx="342">
                        <c:v>-0.45720325448905341</c:v>
                      </c:pt>
                      <c:pt idx="343">
                        <c:v>-0.45656387415859134</c:v>
                      </c:pt>
                      <c:pt idx="344">
                        <c:v>-0.45592896562128693</c:v>
                      </c:pt>
                      <c:pt idx="345">
                        <c:v>-0.45529842295165568</c:v>
                      </c:pt>
                      <c:pt idx="346">
                        <c:v>-0.45467214304477122</c:v>
                      </c:pt>
                      <c:pt idx="347">
                        <c:v>-0.45405002554077656</c:v>
                      </c:pt>
                      <c:pt idx="348">
                        <c:v>-0.45343197275141633</c:v>
                      </c:pt>
                      <c:pt idx="349">
                        <c:v>-0.45281788958853497</c:v>
                      </c:pt>
                      <c:pt idx="350">
                        <c:v>-0.4522076834944897</c:v>
                      </c:pt>
                      <c:pt idx="351">
                        <c:v>-0.45160126437442605</c:v>
                      </c:pt>
                      <c:pt idx="352">
                        <c:v>-0.45099854453036625</c:v>
                      </c:pt>
                      <c:pt idx="353">
                        <c:v>-0.450399438597062</c:v>
                      </c:pt>
                      <c:pt idx="354">
                        <c:v>-0.44980386347956469</c:v>
                      </c:pt>
                      <c:pt idx="355">
                        <c:v>-0.44921173829246663</c:v>
                      </c:pt>
                      <c:pt idx="356">
                        <c:v>-0.44862298430076875</c:v>
                      </c:pt>
                      <c:pt idx="357">
                        <c:v>-0.44803752486233117</c:v>
                      </c:pt>
                      <c:pt idx="358">
                        <c:v>-0.44745528537186441</c:v>
                      </c:pt>
                      <c:pt idx="359">
                        <c:v>-0.44687619320641991</c:v>
                      </c:pt>
                      <c:pt idx="360">
                        <c:v>-0.44630017767233976</c:v>
                      </c:pt>
                      <c:pt idx="361">
                        <c:v>-0.44572716995362649</c:v>
                      </c:pt>
                      <c:pt idx="362">
                        <c:v>-0.44515710306169498</c:v>
                      </c:pt>
                      <c:pt idx="363">
                        <c:v>-0.44458991178646945</c:v>
                      </c:pt>
                      <c:pt idx="364">
                        <c:v>-0.44402553264878963</c:v>
                      </c:pt>
                      <c:pt idx="365">
                        <c:v>-0.44345990719294359</c:v>
                      </c:pt>
                      <c:pt idx="366">
                        <c:v>-0.44289698380404707</c:v>
                      </c:pt>
                      <c:pt idx="367">
                        <c:v>-0.44233670380015921</c:v>
                      </c:pt>
                      <c:pt idx="368">
                        <c:v>-0.44177901005571796</c:v>
                      </c:pt>
                      <c:pt idx="369">
                        <c:v>-0.44122384695988004</c:v>
                      </c:pt>
                      <c:pt idx="370">
                        <c:v>-0.44067116037597515</c:v>
                      </c:pt>
                      <c:pt idx="371">
                        <c:v>-0.44012089760204692</c:v>
                      </c:pt>
                      <c:pt idx="372">
                        <c:v>-0.43957300733244975</c:v>
                      </c:pt>
                      <c:pt idx="373">
                        <c:v>-0.43902743962047447</c:v>
                      </c:pt>
                      <c:pt idx="374">
                        <c:v>-0.43848414584197487</c:v>
                      </c:pt>
                      <c:pt idx="375">
                        <c:v>-0.43794307865996762</c:v>
                      </c:pt>
                      <c:pt idx="376">
                        <c:v>-0.43740419199018099</c:v>
                      </c:pt>
                      <c:pt idx="377">
                        <c:v>-0.43686744096752506</c:v>
                      </c:pt>
                      <c:pt idx="378">
                        <c:v>-0.43633278191346114</c:v>
                      </c:pt>
                      <c:pt idx="379">
                        <c:v>-0.43580017230424362</c:v>
                      </c:pt>
                      <c:pt idx="380">
                        <c:v>-0.43526957074001299</c:v>
                      </c:pt>
                      <c:pt idx="381">
                        <c:v>-0.43474093691471627</c:v>
                      </c:pt>
                      <c:pt idx="382">
                        <c:v>-0.43421423158683331</c:v>
                      </c:pt>
                      <c:pt idx="383">
                        <c:v>-0.43368941655088561</c:v>
                      </c:pt>
                      <c:pt idx="384">
                        <c:v>-0.43316645460971037</c:v>
                      </c:pt>
                      <c:pt idx="385">
                        <c:v>-0.43264530954747471</c:v>
                      </c:pt>
                      <c:pt idx="386">
                        <c:v>-0.43212594610341387</c:v>
                      </c:pt>
                      <c:pt idx="387">
                        <c:v>-0.43160832994627218</c:v>
                      </c:pt>
                      <c:pt idx="388">
                        <c:v>-0.43109242764942846</c:v>
                      </c:pt>
                      <c:pt idx="389">
                        <c:v>-0.43057820666668739</c:v>
                      </c:pt>
                      <c:pt idx="390">
                        <c:v>-0.43006563530871972</c:v>
                      </c:pt>
                      <c:pt idx="391">
                        <c:v>-0.42955468272013242</c:v>
                      </c:pt>
                      <c:pt idx="392">
                        <c:v>-0.42904531885715352</c:v>
                      </c:pt>
                      <c:pt idx="393">
                        <c:v>-0.42853751446591454</c:v>
                      </c:pt>
                      <c:pt idx="394">
                        <c:v>-0.42803124106131396</c:v>
                      </c:pt>
                      <c:pt idx="395">
                        <c:v>-0.42752647090644708</c:v>
                      </c:pt>
                      <c:pt idx="396">
                        <c:v>-0.4270231769925863</c:v>
                      </c:pt>
                      <c:pt idx="397">
                        <c:v>-0.42652133301969825</c:v>
                      </c:pt>
                      <c:pt idx="398">
                        <c:v>-0.42602091337748149</c:v>
                      </c:pt>
                      <c:pt idx="399">
                        <c:v>-0.42552189312691313</c:v>
                      </c:pt>
                      <c:pt idx="400">
                        <c:v>-0.42502424798228872</c:v>
                      </c:pt>
                      <c:pt idx="401">
                        <c:v>-0.42452795429374363</c:v>
                      </c:pt>
                      <c:pt idx="402">
                        <c:v>-0.42403298903024189</c:v>
                      </c:pt>
                      <c:pt idx="403">
                        <c:v>-0.42353932976302128</c:v>
                      </c:pt>
                      <c:pt idx="404">
                        <c:v>-0.42304695464948094</c:v>
                      </c:pt>
                      <c:pt idx="405">
                        <c:v>-0.42255584241750133</c:v>
                      </c:pt>
                      <c:pt idx="406">
                        <c:v>-0.42206597235018273</c:v>
                      </c:pt>
                      <c:pt idx="407">
                        <c:v>-0.42157732427099387</c:v>
                      </c:pt>
                      <c:pt idx="408">
                        <c:v>-0.42108987852931745</c:v>
                      </c:pt>
                      <c:pt idx="409">
                        <c:v>-0.42060361598638257</c:v>
                      </c:pt>
                      <c:pt idx="410">
                        <c:v>-0.42011851800157424</c:v>
                      </c:pt>
                      <c:pt idx="411">
                        <c:v>-0.4196345664191094</c:v>
                      </c:pt>
                      <c:pt idx="412">
                        <c:v>-0.41915174355506984</c:v>
                      </c:pt>
                      <c:pt idx="413">
                        <c:v>-0.41867003218478149</c:v>
                      </c:pt>
                      <c:pt idx="414">
                        <c:v>-0.41818941553053313</c:v>
                      </c:pt>
                      <c:pt idx="415">
                        <c:v>-0.41770987724962283</c:v>
                      </c:pt>
                      <c:pt idx="416">
                        <c:v>-0.41723140142272463</c:v>
                      </c:pt>
                      <c:pt idx="417">
                        <c:v>-0.4167498043002747</c:v>
                      </c:pt>
                      <c:pt idx="418">
                        <c:v>-0.41626925044328894</c:v>
                      </c:pt>
                      <c:pt idx="419">
                        <c:v>-0.41578972505141076</c:v>
                      </c:pt>
                      <c:pt idx="420">
                        <c:v>-0.41531121370618085</c:v>
                      </c:pt>
                      <c:pt idx="421">
                        <c:v>-0.41483370236082351</c:v>
                      </c:pt>
                      <c:pt idx="422">
                        <c:v>-0.41435717733030608</c:v>
                      </c:pt>
                      <c:pt idx="423">
                        <c:v>-0.41388162528166439</c:v>
                      </c:pt>
                      <c:pt idx="424">
                        <c:v>-0.41340703322458799</c:v>
                      </c:pt>
                      <c:pt idx="425">
                        <c:v>-0.41293338850225719</c:v>
                      </c:pt>
                      <c:pt idx="426">
                        <c:v>-0.41246067878242504</c:v>
                      </c:pt>
                      <c:pt idx="427">
                        <c:v>-0.41198889204873929</c:v>
                      </c:pt>
                      <c:pt idx="428">
                        <c:v>-0.4115180165922957</c:v>
                      </c:pt>
                      <c:pt idx="429">
                        <c:v>-0.41104804100341874</c:v>
                      </c:pt>
                      <c:pt idx="430">
                        <c:v>-0.41057895416366125</c:v>
                      </c:pt>
                      <c:pt idx="431">
                        <c:v>-0.4101107452380191</c:v>
                      </c:pt>
                      <c:pt idx="432">
                        <c:v>-0.40964340366735447</c:v>
                      </c:pt>
                      <c:pt idx="433">
                        <c:v>-0.40917691916102139</c:v>
                      </c:pt>
                      <c:pt idx="434">
                        <c:v>-0.40871128168969006</c:v>
                      </c:pt>
                      <c:pt idx="435">
                        <c:v>-0.40824648147836168</c:v>
                      </c:pt>
                      <c:pt idx="436">
                        <c:v>-0.40778250899957219</c:v>
                      </c:pt>
                      <c:pt idx="437">
                        <c:v>-0.40731935496677635</c:v>
                      </c:pt>
                      <c:pt idx="438">
                        <c:v>-0.40685701032791016</c:v>
                      </c:pt>
                      <c:pt idx="439">
                        <c:v>-0.40639546625912604</c:v>
                      </c:pt>
                      <c:pt idx="440">
                        <c:v>-0.40593471415869392</c:v>
                      </c:pt>
                      <c:pt idx="441">
                        <c:v>-0.405474745641068</c:v>
                      </c:pt>
                      <c:pt idx="442">
                        <c:v>-0.40501555253111088</c:v>
                      </c:pt>
                      <c:pt idx="443">
                        <c:v>-0.40455712685847278</c:v>
                      </c:pt>
                      <c:pt idx="444">
                        <c:v>-0.40409946085212178</c:v>
                      </c:pt>
                      <c:pt idx="445">
                        <c:v>-0.40364254693502005</c:v>
                      </c:pt>
                      <c:pt idx="446">
                        <c:v>-0.40318637771894283</c:v>
                      </c:pt>
                      <c:pt idx="447">
                        <c:v>-0.40273094599943604</c:v>
                      </c:pt>
                      <c:pt idx="448">
                        <c:v>-0.4022762447509094</c:v>
                      </c:pt>
                      <c:pt idx="449">
                        <c:v>-0.40182226712186064</c:v>
                      </c:pt>
                      <c:pt idx="450">
                        <c:v>-0.40136900643022699</c:v>
                      </c:pt>
                      <c:pt idx="451">
                        <c:v>-0.40091645615886312</c:v>
                      </c:pt>
                      <c:pt idx="452">
                        <c:v>-0.40046460995113781</c:v>
                      </c:pt>
                      <c:pt idx="453">
                        <c:v>-0.40001346160665008</c:v>
                      </c:pt>
                      <c:pt idx="454">
                        <c:v>-0.39956300507705961</c:v>
                      </c:pt>
                      <c:pt idx="455">
                        <c:v>-0.39911323446202912</c:v>
                      </c:pt>
                      <c:pt idx="456">
                        <c:v>-0.39866414400527472</c:v>
                      </c:pt>
                      <c:pt idx="457">
                        <c:v>-0.39821572809072309</c:v>
                      </c:pt>
                      <c:pt idx="458">
                        <c:v>-0.39776798123877066</c:v>
                      </c:pt>
                      <c:pt idx="459">
                        <c:v>-0.39732089810264321</c:v>
                      </c:pt>
                      <c:pt idx="460">
                        <c:v>-0.39687447346485349</c:v>
                      </c:pt>
                      <c:pt idx="461">
                        <c:v>-0.39642870223375309</c:v>
                      </c:pt>
                      <c:pt idx="462">
                        <c:v>-0.39598357944017676</c:v>
                      </c:pt>
                      <c:pt idx="463">
                        <c:v>-0.39553910023417727</c:v>
                      </c:pt>
                      <c:pt idx="464">
                        <c:v>-0.39509525988184646</c:v>
                      </c:pt>
                      <c:pt idx="465">
                        <c:v>-0.39465205376222279</c:v>
                      </c:pt>
                      <c:pt idx="466">
                        <c:v>-0.39420947736428075</c:v>
                      </c:pt>
                      <c:pt idx="467">
                        <c:v>-0.39376752628400136</c:v>
                      </c:pt>
                      <c:pt idx="468">
                        <c:v>-0.39332619622152104</c:v>
                      </c:pt>
                      <c:pt idx="469">
                        <c:v>-0.39288100925491493</c:v>
                      </c:pt>
                      <c:pt idx="470">
                        <c:v>-0.39243644707453029</c:v>
                      </c:pt>
                      <c:pt idx="471">
                        <c:v>-0.39199250559777132</c:v>
                      </c:pt>
                      <c:pt idx="472">
                        <c:v>-0.39154918083727358</c:v>
                      </c:pt>
                      <c:pt idx="473">
                        <c:v>-0.39110646889836786</c:v>
                      </c:pt>
                      <c:pt idx="474">
                        <c:v>-0.39066436597661136</c:v>
                      </c:pt>
                      <c:pt idx="475">
                        <c:v>-0.39022286835538611</c:v>
                      </c:pt>
                      <c:pt idx="476">
                        <c:v>-0.38978197240356111</c:v>
                      </c:pt>
                      <c:pt idx="477">
                        <c:v>-0.38934167457321661</c:v>
                      </c:pt>
                      <c:pt idx="478">
                        <c:v>-0.38890197139743088</c:v>
                      </c:pt>
                      <c:pt idx="479">
                        <c:v>-0.38846285948812426</c:v>
                      </c:pt>
                      <c:pt idx="480">
                        <c:v>-0.38802433553396232</c:v>
                      </c:pt>
                      <c:pt idx="481">
                        <c:v>-0.38758639629831559</c:v>
                      </c:pt>
                      <c:pt idx="482">
                        <c:v>-0.38714903861727223</c:v>
                      </c:pt>
                      <c:pt idx="483">
                        <c:v>-0.3867122593977057</c:v>
                      </c:pt>
                      <c:pt idx="484">
                        <c:v>-0.38627605561539302</c:v>
                      </c:pt>
                      <c:pt idx="485">
                        <c:v>-0.3858404243131841</c:v>
                      </c:pt>
                      <c:pt idx="486">
                        <c:v>-0.38540536259921965</c:v>
                      </c:pt>
                      <c:pt idx="487">
                        <c:v>-0.38497086764519761</c:v>
                      </c:pt>
                      <c:pt idx="488">
                        <c:v>-0.38453693668468475</c:v>
                      </c:pt>
                      <c:pt idx="489">
                        <c:v>-0.38410356701147486</c:v>
                      </c:pt>
                      <c:pt idx="490">
                        <c:v>-0.38367075597798983</c:v>
                      </c:pt>
                      <c:pt idx="491">
                        <c:v>-0.38323850099372436</c:v>
                      </c:pt>
                      <c:pt idx="492">
                        <c:v>-0.38280679952373187</c:v>
                      </c:pt>
                      <c:pt idx="493">
                        <c:v>-0.38237564908715105</c:v>
                      </c:pt>
                      <c:pt idx="494">
                        <c:v>-0.38194504725577177</c:v>
                      </c:pt>
                      <c:pt idx="495">
                        <c:v>-0.38151499165264025</c:v>
                      </c:pt>
                      <c:pt idx="496">
                        <c:v>-0.38108547995069997</c:v>
                      </c:pt>
                      <c:pt idx="497">
                        <c:v>-0.38065650987147054</c:v>
                      </c:pt>
                      <c:pt idx="498">
                        <c:v>-0.38022807918376123</c:v>
                      </c:pt>
                      <c:pt idx="499">
                        <c:v>-0.37980018570241908</c:v>
                      </c:pt>
                      <c:pt idx="500">
                        <c:v>-0.37937282728711008</c:v>
                      </c:pt>
                      <c:pt idx="501">
                        <c:v>-0.37894600184113425</c:v>
                      </c:pt>
                      <c:pt idx="502">
                        <c:v>-0.37851970731027113</c:v>
                      </c:pt>
                      <c:pt idx="503">
                        <c:v>-0.37809394168165661</c:v>
                      </c:pt>
                      <c:pt idx="504">
                        <c:v>-0.37766870298269029</c:v>
                      </c:pt>
                      <c:pt idx="505">
                        <c:v>-0.37724398927997177</c:v>
                      </c:pt>
                      <c:pt idx="506">
                        <c:v>-0.37681979867826526</c:v>
                      </c:pt>
                      <c:pt idx="507">
                        <c:v>-0.37639612931949173</c:v>
                      </c:pt>
                      <c:pt idx="508">
                        <c:v>-0.37597297938174917</c:v>
                      </c:pt>
                      <c:pt idx="509">
                        <c:v>-0.37555034707835805</c:v>
                      </c:pt>
                      <c:pt idx="510">
                        <c:v>-0.37512823065693224</c:v>
                      </c:pt>
                      <c:pt idx="511">
                        <c:v>-0.37470662839847546</c:v>
                      </c:pt>
                      <c:pt idx="512">
                        <c:v>-0.37428553861650177</c:v>
                      </c:pt>
                      <c:pt idx="513">
                        <c:v>-0.37386495965617961</c:v>
                      </c:pt>
                      <c:pt idx="514">
                        <c:v>-0.37344488989349778</c:v>
                      </c:pt>
                      <c:pt idx="515">
                        <c:v>-0.37302532773445607</c:v>
                      </c:pt>
                      <c:pt idx="516">
                        <c:v>-0.37260627161427495</c:v>
                      </c:pt>
                      <c:pt idx="517">
                        <c:v>-0.37218771999662792</c:v>
                      </c:pt>
                      <c:pt idx="518">
                        <c:v>-0.37176967137289441</c:v>
                      </c:pt>
                      <c:pt idx="519">
                        <c:v>-0.37135212426143177</c:v>
                      </c:pt>
                    </c:numCache>
                  </c:numRef>
                </c:val>
                <c:smooth val="0"/>
                <c:extLst xmlns:c15="http://schemas.microsoft.com/office/drawing/2012/chart">
                  <c:ext xmlns:c16="http://schemas.microsoft.com/office/drawing/2014/chart" uri="{C3380CC4-5D6E-409C-BE32-E72D297353CC}">
                    <c16:uniqueId val="{00000009-7744-4B44-92D6-CD8912115525}"/>
                  </c:ext>
                </c:extLst>
              </c15:ser>
            </c15:filteredLineSeries>
            <c15:filteredLineSeries>
              <c15:ser>
                <c:idx val="2"/>
                <c:order val="8"/>
                <c:tx>
                  <c:strRef>
                    <c:extLst xmlns:c15="http://schemas.microsoft.com/office/drawing/2012/chart">
                      <c:ext xmlns:c15="http://schemas.microsoft.com/office/drawing/2012/chart" uri="{02D57815-91ED-43cb-92C2-25804820EDAC}">
                        <c15:formulaRef>
                          <c15:sqref>Ig!$AJ$534</c15:sqref>
                        </c15:formulaRef>
                      </c:ext>
                    </c:extLst>
                    <c:strCache>
                      <c:ptCount val="1"/>
                      <c:pt idx="0">
                        <c:v>Death</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Ig!$AA$535:$AA$1054</c15:sqref>
                        </c15:formulaRef>
                      </c:ext>
                    </c:extLst>
                    <c:numCache>
                      <c:formatCode>#,##0</c:formatCode>
                      <c:ptCount val="5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numCache>
                  </c:numRef>
                </c:cat>
                <c:val>
                  <c:numRef>
                    <c:extLst xmlns:c15="http://schemas.microsoft.com/office/drawing/2012/chart">
                      <c:ext xmlns:c15="http://schemas.microsoft.com/office/drawing/2012/chart" uri="{02D57815-91ED-43cb-92C2-25804820EDAC}">
                        <c15:formulaRef>
                          <c15:sqref>Ig!$AJ$535:$AJ$1054</c15:sqref>
                        </c15:formulaRef>
                      </c:ext>
                    </c:extLst>
                    <c:numCache>
                      <c:formatCode>#,##0</c:formatCode>
                      <c:ptCount val="520"/>
                      <c:pt idx="0">
                        <c:v>0</c:v>
                      </c:pt>
                      <c:pt idx="1">
                        <c:v>0</c:v>
                      </c:pt>
                      <c:pt idx="2">
                        <c:v>-3.4421632555403647E-7</c:v>
                      </c:pt>
                      <c:pt idx="3">
                        <c:v>-1.0222181940633401E-6</c:v>
                      </c:pt>
                      <c:pt idx="4">
                        <c:v>-2.0238579300779769E-6</c:v>
                      </c:pt>
                      <c:pt idx="5">
                        <c:v>-3.3392633835283014E-6</c:v>
                      </c:pt>
                      <c:pt idx="6">
                        <c:v>-4.9588305503500685E-6</c:v>
                      </c:pt>
                      <c:pt idx="7">
                        <c:v>-6.8732163908125088E-6</c:v>
                      </c:pt>
                      <c:pt idx="8">
                        <c:v>-9.0733318390823214E-6</c:v>
                      </c:pt>
                      <c:pt idx="9">
                        <c:v>-1.155033500077618E-5</c:v>
                      </c:pt>
                      <c:pt idx="10">
                        <c:v>-1.4295624531257545E-5</c:v>
                      </c:pt>
                      <c:pt idx="11">
                        <c:v>-1.7300833191624676E-5</c:v>
                      </c:pt>
                      <c:pt idx="12">
                        <c:v>-2.0557821577060764E-5</c:v>
                      </c:pt>
                      <c:pt idx="13">
                        <c:v>-2.4058672012383653E-5</c:v>
                      </c:pt>
                      <c:pt idx="14">
                        <c:v>-2.7795682611242434E-5</c:v>
                      </c:pt>
                      <c:pt idx="15">
                        <c:v>-3.1761361493742868E-5</c:v>
                      </c:pt>
                      <c:pt idx="16">
                        <c:v>-3.5948421159393007E-5</c:v>
                      </c:pt>
                      <c:pt idx="17">
                        <c:v>-4.034977300926279E-5</c:v>
                      </c:pt>
                      <c:pt idx="18">
                        <c:v>-4.4958522015692282E-5</c:v>
                      </c:pt>
                      <c:pt idx="19">
                        <c:v>-4.9767961534774585E-5</c:v>
                      </c:pt>
                      <c:pt idx="20">
                        <c:v>-5.4771568255729264E-5</c:v>
                      </c:pt>
                      <c:pt idx="21">
                        <c:v>-5.9962997287721365E-5</c:v>
                      </c:pt>
                      <c:pt idx="22">
                        <c:v>-6.5202018363352821E-5</c:v>
                      </c:pt>
                      <c:pt idx="23">
                        <c:v>-7.0485523572028086E-5</c:v>
                      </c:pt>
                      <c:pt idx="24">
                        <c:v>-7.581050117555499E-5</c:v>
                      </c:pt>
                      <c:pt idx="25">
                        <c:v>-8.1174032955155795E-5</c:v>
                      </c:pt>
                      <c:pt idx="26">
                        <c:v>-8.65732916288664E-5</c:v>
                      </c:pt>
                      <c:pt idx="27">
                        <c:v>-9.2005538337325277E-5</c:v>
                      </c:pt>
                      <c:pt idx="28">
                        <c:v>-9.7468120199506458E-5</c:v>
                      </c:pt>
                      <c:pt idx="29">
                        <c:v>-1.0295846793306751E-4</c:v>
                      </c:pt>
                      <c:pt idx="30">
                        <c:v>-1.0847409353820225E-4</c:v>
                      </c:pt>
                      <c:pt idx="31">
                        <c:v>-1.140125880452203E-4</c:v>
                      </c:pt>
                      <c:pt idx="32">
                        <c:v>-1.1957161932230065E-4</c:v>
                      </c:pt>
                      <c:pt idx="33">
                        <c:v>-1.2514892994097693E-4</c:v>
                      </c:pt>
                      <c:pt idx="34">
                        <c:v>-1.3074233510179667E-4</c:v>
                      </c:pt>
                      <c:pt idx="35">
                        <c:v>-1.3634972061371542E-4</c:v>
                      </c:pt>
                      <c:pt idx="36">
                        <c:v>-1.4196904092855789E-4</c:v>
                      </c:pt>
                      <c:pt idx="37">
                        <c:v>-1.4759831722965799E-4</c:v>
                      </c:pt>
                      <c:pt idx="38">
                        <c:v>-1.5323563557068098E-4</c:v>
                      </c:pt>
                      <c:pt idx="39">
                        <c:v>-1.5887914506418355E-4</c:v>
                      </c:pt>
                      <c:pt idx="40">
                        <c:v>-1.6452705612035601E-4</c:v>
                      </c:pt>
                      <c:pt idx="41">
                        <c:v>-1.7017763873328207E-4</c:v>
                      </c:pt>
                      <c:pt idx="42">
                        <c:v>-1.7582922081293972E-4</c:v>
                      </c:pt>
                      <c:pt idx="43">
                        <c:v>-1.8148018656161113E-4</c:v>
                      </c:pt>
                      <c:pt idx="44">
                        <c:v>-1.8712897489603364E-4</c:v>
                      </c:pt>
                      <c:pt idx="45">
                        <c:v>-1.9277407790996293E-4</c:v>
                      </c:pt>
                      <c:pt idx="46">
                        <c:v>-1.9841403937981283E-4</c:v>
                      </c:pt>
                      <c:pt idx="47">
                        <c:v>-2.0404745331026319E-4</c:v>
                      </c:pt>
                      <c:pt idx="48">
                        <c:v>-2.0967296251894751E-4</c:v>
                      </c:pt>
                      <c:pt idx="49">
                        <c:v>-2.1528925725888826E-4</c:v>
                      </c:pt>
                      <c:pt idx="50">
                        <c:v>-2.2089507388045604E-4</c:v>
                      </c:pt>
                      <c:pt idx="51">
                        <c:v>-2.2648919352619146E-4</c:v>
                      </c:pt>
                      <c:pt idx="52">
                        <c:v>-2.3207044086470674E-4</c:v>
                      </c:pt>
                      <c:pt idx="53">
                        <c:v>-2.3808740369757331E-4</c:v>
                      </c:pt>
                      <c:pt idx="54">
                        <c:v>-2.440879821947739E-4</c:v>
                      </c:pt>
                      <c:pt idx="55">
                        <c:v>-2.5007209303185007E-4</c:v>
                      </c:pt>
                      <c:pt idx="56">
                        <c:v>-2.5603965694509512E-4</c:v>
                      </c:pt>
                      <c:pt idx="57">
                        <c:v>-2.6199059861342633E-4</c:v>
                      </c:pt>
                      <c:pt idx="58">
                        <c:v>-2.6792484654958315E-4</c:v>
                      </c:pt>
                      <c:pt idx="59">
                        <c:v>-2.7384233298999305E-4</c:v>
                      </c:pt>
                      <c:pt idx="60">
                        <c:v>-2.797429937890783E-4</c:v>
                      </c:pt>
                      <c:pt idx="61">
                        <c:v>-2.8562676831533906E-4</c:v>
                      </c:pt>
                      <c:pt idx="62">
                        <c:v>-2.914935993505452E-4</c:v>
                      </c:pt>
                      <c:pt idx="63">
                        <c:v>-2.973434329955893E-4</c:v>
                      </c:pt>
                      <c:pt idx="64">
                        <c:v>-3.0317621857278709E-4</c:v>
                      </c:pt>
                      <c:pt idx="65">
                        <c:v>-3.0899190853261871E-4</c:v>
                      </c:pt>
                      <c:pt idx="66">
                        <c:v>-3.1479045836668718E-4</c:v>
                      </c:pt>
                      <c:pt idx="67">
                        <c:v>-3.2057182651801241E-4</c:v>
                      </c:pt>
                      <c:pt idx="68">
                        <c:v>-3.2633597429665429E-4</c:v>
                      </c:pt>
                      <c:pt idx="69">
                        <c:v>-3.3208286579711199E-4</c:v>
                      </c:pt>
                      <c:pt idx="70">
                        <c:v>-3.3781246781838803E-4</c:v>
                      </c:pt>
                      <c:pt idx="71">
                        <c:v>-3.4352474978316394E-4</c:v>
                      </c:pt>
                      <c:pt idx="72">
                        <c:v>-3.4921968366319334E-4</c:v>
                      </c:pt>
                      <c:pt idx="73">
                        <c:v>-3.5489724390735944E-4</c:v>
                      </c:pt>
                      <c:pt idx="74">
                        <c:v>-3.6055740736351538E-4</c:v>
                      </c:pt>
                      <c:pt idx="75">
                        <c:v>-3.6620015321542354E-4</c:v>
                      </c:pt>
                      <c:pt idx="76">
                        <c:v>-3.7182546290814855E-4</c:v>
                      </c:pt>
                      <c:pt idx="77">
                        <c:v>-3.7743332008499664E-4</c:v>
                      </c:pt>
                      <c:pt idx="78">
                        <c:v>-3.8302371052179041E-4</c:v>
                      </c:pt>
                      <c:pt idx="79">
                        <c:v>-3.8859662206469636E-4</c:v>
                      </c:pt>
                      <c:pt idx="80">
                        <c:v>-3.9415204456805242E-4</c:v>
                      </c:pt>
                      <c:pt idx="81">
                        <c:v>-3.9968996983485994E-4</c:v>
                      </c:pt>
                      <c:pt idx="82">
                        <c:v>-4.0521039155816396E-4</c:v>
                      </c:pt>
                      <c:pt idx="83">
                        <c:v>-4.1071330526687433E-4</c:v>
                      </c:pt>
                      <c:pt idx="84">
                        <c:v>-4.1619870826803407E-4</c:v>
                      </c:pt>
                      <c:pt idx="85">
                        <c:v>-4.2166659959619324E-4</c:v>
                      </c:pt>
                      <c:pt idx="86">
                        <c:v>-4.2711697995923004E-4</c:v>
                      </c:pt>
                      <c:pt idx="87">
                        <c:v>-4.32549851689501E-4</c:v>
                      </c:pt>
                      <c:pt idx="88">
                        <c:v>-4.3796521869232663E-4</c:v>
                      </c:pt>
                      <c:pt idx="89">
                        <c:v>-4.4336308640158251E-4</c:v>
                      </c:pt>
                      <c:pt idx="90">
                        <c:v>-4.4874346172996127E-4</c:v>
                      </c:pt>
                      <c:pt idx="91">
                        <c:v>-4.541063530245637E-4</c:v>
                      </c:pt>
                      <c:pt idx="92">
                        <c:v>-4.5945177002426618E-4</c:v>
                      </c:pt>
                      <c:pt idx="93">
                        <c:v>-4.6477972381531174E-4</c:v>
                      </c:pt>
                      <c:pt idx="94">
                        <c:v>-4.7009022679045387E-4</c:v>
                      </c:pt>
                      <c:pt idx="95">
                        <c:v>-4.7538329260898848E-4</c:v>
                      </c:pt>
                      <c:pt idx="96">
                        <c:v>-4.8065893615412136E-4</c:v>
                      </c:pt>
                      <c:pt idx="97">
                        <c:v>-4.8591717349921737E-4</c:v>
                      </c:pt>
                      <c:pt idx="98">
                        <c:v>-4.9115802186783242E-4</c:v>
                      </c:pt>
                      <c:pt idx="99">
                        <c:v>-4.963814995955218E-4</c:v>
                      </c:pt>
                      <c:pt idx="100">
                        <c:v>-5.0158762609964214E-4</c:v>
                      </c:pt>
                      <c:pt idx="101">
                        <c:v>-5.067764218402715E-4</c:v>
                      </c:pt>
                      <c:pt idx="102">
                        <c:v>-5.1194790829089953E-4</c:v>
                      </c:pt>
                      <c:pt idx="103">
                        <c:v>-5.1710210790112399E-4</c:v>
                      </c:pt>
                      <c:pt idx="104">
                        <c:v>-5.2223904406822896E-4</c:v>
                      </c:pt>
                      <c:pt idx="105">
                        <c:v>-5.2778144003173821E-4</c:v>
                      </c:pt>
                      <c:pt idx="106">
                        <c:v>-5.3330513206084618E-4</c:v>
                      </c:pt>
                      <c:pt idx="107">
                        <c:v>-5.3881014872381172E-4</c:v>
                      </c:pt>
                      <c:pt idx="108">
                        <c:v>-5.4429651948328939E-4</c:v>
                      </c:pt>
                      <c:pt idx="109">
                        <c:v>-5.4976427466968403E-4</c:v>
                      </c:pt>
                      <c:pt idx="110">
                        <c:v>-5.5521344544917639E-4</c:v>
                      </c:pt>
                      <c:pt idx="111">
                        <c:v>-5.606440637997423E-4</c:v>
                      </c:pt>
                      <c:pt idx="112">
                        <c:v>-5.660561624800664E-4</c:v>
                      </c:pt>
                      <c:pt idx="113">
                        <c:v>-5.7144977500378502E-4</c:v>
                      </c:pt>
                      <c:pt idx="114">
                        <c:v>-5.7682493561372894E-4</c:v>
                      </c:pt>
                      <c:pt idx="115">
                        <c:v>-5.8218167925794262E-4</c:v>
                      </c:pt>
                      <c:pt idx="116">
                        <c:v>-5.8752004156481519E-4</c:v>
                      </c:pt>
                      <c:pt idx="117">
                        <c:v>-5.9284005881465873E-4</c:v>
                      </c:pt>
                      <c:pt idx="118">
                        <c:v>-5.9814176792372109E-4</c:v>
                      </c:pt>
                      <c:pt idx="119">
                        <c:v>-6.0342520641931685E-4</c:v>
                      </c:pt>
                      <c:pt idx="120">
                        <c:v>-6.0869041241140565E-4</c:v>
                      </c:pt>
                      <c:pt idx="121">
                        <c:v>-6.1393742458193401E-4</c:v>
                      </c:pt>
                      <c:pt idx="122">
                        <c:v>-6.1916628215819003E-4</c:v>
                      </c:pt>
                      <c:pt idx="123">
                        <c:v>-6.243770248897107E-4</c:v>
                      </c:pt>
                      <c:pt idx="124">
                        <c:v>-6.2956969303584742E-4</c:v>
                      </c:pt>
                      <c:pt idx="125">
                        <c:v>-6.3474432734089703E-4</c:v>
                      </c:pt>
                      <c:pt idx="126">
                        <c:v>-6.3990096901989091E-4</c:v>
                      </c:pt>
                      <c:pt idx="127">
                        <c:v>-6.4503965973905508E-4</c:v>
                      </c:pt>
                      <c:pt idx="128">
                        <c:v>-6.5016044159271758E-4</c:v>
                      </c:pt>
                      <c:pt idx="129">
                        <c:v>-6.5526335709620298E-4</c:v>
                      </c:pt>
                      <c:pt idx="130">
                        <c:v>-6.6034844916451618E-4</c:v>
                      </c:pt>
                      <c:pt idx="131">
                        <c:v>-6.6541576109280243E-4</c:v>
                      </c:pt>
                      <c:pt idx="132">
                        <c:v>-6.7046533654746554E-4</c:v>
                      </c:pt>
                      <c:pt idx="133">
                        <c:v>-6.7549721954485165E-4</c:v>
                      </c:pt>
                      <c:pt idx="134">
                        <c:v>-6.8051145444236738E-4</c:v>
                      </c:pt>
                      <c:pt idx="135">
                        <c:v>-6.8550808591538726E-4</c:v>
                      </c:pt>
                      <c:pt idx="136">
                        <c:v>-6.9048715895370094E-4</c:v>
                      </c:pt>
                      <c:pt idx="137">
                        <c:v>-6.9544871884197335E-4</c:v>
                      </c:pt>
                      <c:pt idx="138">
                        <c:v>-7.0039281114553376E-4</c:v>
                      </c:pt>
                      <c:pt idx="139">
                        <c:v>-7.0531948170504677E-4</c:v>
                      </c:pt>
                      <c:pt idx="140">
                        <c:v>-7.102287766116433E-4</c:v>
                      </c:pt>
                      <c:pt idx="141">
                        <c:v>-7.1512074220692057E-4</c:v>
                      </c:pt>
                      <c:pt idx="142">
                        <c:v>-7.1999542506340219E-4</c:v>
                      </c:pt>
                      <c:pt idx="143">
                        <c:v>-7.2485287197743276E-4</c:v>
                      </c:pt>
                      <c:pt idx="144">
                        <c:v>-7.2969312995496693E-4</c:v>
                      </c:pt>
                      <c:pt idx="145">
                        <c:v>-7.345162462044641E-4</c:v>
                      </c:pt>
                      <c:pt idx="146">
                        <c:v>-7.3932226812267743E-4</c:v>
                      </c:pt>
                      <c:pt idx="147">
                        <c:v>-7.4411124328577216E-4</c:v>
                      </c:pt>
                      <c:pt idx="148">
                        <c:v>-7.4888321944044378E-4</c:v>
                      </c:pt>
                      <c:pt idx="149">
                        <c:v>-7.5363824449325989E-4</c:v>
                      </c:pt>
                      <c:pt idx="150">
                        <c:v>-7.5837636650177842E-4</c:v>
                      </c:pt>
                      <c:pt idx="151">
                        <c:v>-7.630976336638895E-4</c:v>
                      </c:pt>
                      <c:pt idx="152">
                        <c:v>-7.6780209431248636E-4</c:v>
                      </c:pt>
                      <c:pt idx="153">
                        <c:v>-7.7248979690480724E-4</c:v>
                      </c:pt>
                      <c:pt idx="154">
                        <c:v>-7.7716079001177718E-4</c:v>
                      </c:pt>
                      <c:pt idx="155">
                        <c:v>-7.8181512231445538E-4</c:v>
                      </c:pt>
                      <c:pt idx="156">
                        <c:v>-7.8645284259515336E-4</c:v>
                      </c:pt>
                      <c:pt idx="157">
                        <c:v>-7.9147078890251521E-4</c:v>
                      </c:pt>
                      <c:pt idx="158">
                        <c:v>-7.9647073279254244E-4</c:v>
                      </c:pt>
                      <c:pt idx="159">
                        <c:v>-8.0145272789700073E-4</c:v>
                      </c:pt>
                      <c:pt idx="160">
                        <c:v>-8.0641682792403913E-4</c:v>
                      </c:pt>
                      <c:pt idx="161">
                        <c:v>-8.1136308665286094E-4</c:v>
                      </c:pt>
                      <c:pt idx="162">
                        <c:v>-8.1629155791951291E-4</c:v>
                      </c:pt>
                      <c:pt idx="163">
                        <c:v>-8.2120229561510882E-4</c:v>
                      </c:pt>
                      <c:pt idx="164">
                        <c:v>-8.2609535367694775E-4</c:v>
                      </c:pt>
                      <c:pt idx="165">
                        <c:v>-8.3097078608496133E-4</c:v>
                      </c:pt>
                      <c:pt idx="166">
                        <c:v>-8.3582864685460834E-4</c:v>
                      </c:pt>
                      <c:pt idx="167">
                        <c:v>-8.4066899002266382E-4</c:v>
                      </c:pt>
                      <c:pt idx="168">
                        <c:v>-8.4549186965787726E-4</c:v>
                      </c:pt>
                      <c:pt idx="169">
                        <c:v>-8.5029733983787992E-4</c:v>
                      </c:pt>
                      <c:pt idx="170">
                        <c:v>-8.5508545465451391E-4</c:v>
                      </c:pt>
                      <c:pt idx="171">
                        <c:v>-8.5985626820495042E-4</c:v>
                      </c:pt>
                      <c:pt idx="172">
                        <c:v>-8.6460983458636065E-4</c:v>
                      </c:pt>
                      <c:pt idx="173">
                        <c:v>-8.693462078905867E-4</c:v>
                      </c:pt>
                      <c:pt idx="174">
                        <c:v>-8.740654422005889E-4</c:v>
                      </c:pt>
                      <c:pt idx="175">
                        <c:v>-8.7876759158334039E-4</c:v>
                      </c:pt>
                      <c:pt idx="176">
                        <c:v>-8.8345271008627435E-4</c:v>
                      </c:pt>
                      <c:pt idx="177">
                        <c:v>-8.881208517355077E-4</c:v>
                      </c:pt>
                      <c:pt idx="178">
                        <c:v>-8.9277207052695928E-4</c:v>
                      </c:pt>
                      <c:pt idx="179">
                        <c:v>-8.9740642042457353E-4</c:v>
                      </c:pt>
                      <c:pt idx="180">
                        <c:v>-9.0202395535499136E-4</c:v>
                      </c:pt>
                      <c:pt idx="181">
                        <c:v>-9.066247292039975E-4</c:v>
                      </c:pt>
                      <c:pt idx="182">
                        <c:v>-9.1120879581474412E-4</c:v>
                      </c:pt>
                      <c:pt idx="183">
                        <c:v>-9.1577620898242174E-4</c:v>
                      </c:pt>
                      <c:pt idx="184">
                        <c:v>-9.2032702245070652E-4</c:v>
                      </c:pt>
                      <c:pt idx="185">
                        <c:v>-9.2486128990465488E-4</c:v>
                      </c:pt>
                      <c:pt idx="186">
                        <c:v>-9.2937906497425615E-4</c:v>
                      </c:pt>
                      <c:pt idx="187">
                        <c:v>-9.3388040122732718E-4</c:v>
                      </c:pt>
                      <c:pt idx="188">
                        <c:v>-9.3836535216418326E-4</c:v>
                      </c:pt>
                      <c:pt idx="189">
                        <c:v>-9.4283397121941448E-4</c:v>
                      </c:pt>
                      <c:pt idx="190">
                        <c:v>-9.4728631175478029E-4</c:v>
                      </c:pt>
                      <c:pt idx="191">
                        <c:v>-9.5172242705743315E-4</c:v>
                      </c:pt>
                      <c:pt idx="192">
                        <c:v>-9.5614237033991856E-4</c:v>
                      </c:pt>
                      <c:pt idx="193">
                        <c:v>-9.6054619473484593E-4</c:v>
                      </c:pt>
                      <c:pt idx="194">
                        <c:v>-9.6493395328955955E-4</c:v>
                      </c:pt>
                      <c:pt idx="195">
                        <c:v>-9.6930569897324403E-4</c:v>
                      </c:pt>
                      <c:pt idx="196">
                        <c:v>-9.7366148466271341E-4</c:v>
                      </c:pt>
                      <c:pt idx="197">
                        <c:v>-9.7800136314418751E-4</c:v>
                      </c:pt>
                      <c:pt idx="198">
                        <c:v>-9.8232538711506834E-4</c:v>
                      </c:pt>
                      <c:pt idx="199">
                        <c:v>-9.8663360918038734E-4</c:v>
                      </c:pt>
                      <c:pt idx="200">
                        <c:v>-9.9092608184569997E-4</c:v>
                      </c:pt>
                      <c:pt idx="201">
                        <c:v>-9.9520285752063842E-4</c:v>
                      </c:pt>
                      <c:pt idx="202">
                        <c:v>-9.9946398851180618E-4</c:v>
                      </c:pt>
                      <c:pt idx="203">
                        <c:v>-1.0037095270263308E-3</c:v>
                      </c:pt>
                      <c:pt idx="204">
                        <c:v>-1.0079395251700873E-3</c:v>
                      </c:pt>
                      <c:pt idx="205">
                        <c:v>-1.0121540349370406E-3</c:v>
                      </c:pt>
                      <c:pt idx="206">
                        <c:v>-1.0163531082181265E-3</c:v>
                      </c:pt>
                      <c:pt idx="207">
                        <c:v>-1.020536796794147E-3</c:v>
                      </c:pt>
                      <c:pt idx="208">
                        <c:v>-1.024705152332217E-3</c:v>
                      </c:pt>
                      <c:pt idx="209">
                        <c:v>-1.0292050678053499E-3</c:v>
                      </c:pt>
                      <c:pt idx="210">
                        <c:v>-1.0336884145694114E-3</c:v>
                      </c:pt>
                      <c:pt idx="211">
                        <c:v>-1.0381552486116163E-3</c:v>
                      </c:pt>
                      <c:pt idx="212">
                        <c:v>-1.0426056257983873E-3</c:v>
                      </c:pt>
                      <c:pt idx="213">
                        <c:v>-1.0470396018611439E-3</c:v>
                      </c:pt>
                      <c:pt idx="214">
                        <c:v>-1.0514572324069604E-3</c:v>
                      </c:pt>
                      <c:pt idx="215">
                        <c:v>-1.0558585729043557E-3</c:v>
                      </c:pt>
                      <c:pt idx="216">
                        <c:v>-1.0602436786868452E-3</c:v>
                      </c:pt>
                      <c:pt idx="217">
                        <c:v>-1.0646126049635996E-3</c:v>
                      </c:pt>
                      <c:pt idx="218">
                        <c:v>-1.068965406798128E-3</c:v>
                      </c:pt>
                      <c:pt idx="219">
                        <c:v>-1.0733021391224895E-3</c:v>
                      </c:pt>
                      <c:pt idx="220">
                        <c:v>-1.0776228567266344E-3</c:v>
                      </c:pt>
                      <c:pt idx="221">
                        <c:v>-1.0819276142655099E-3</c:v>
                      </c:pt>
                      <c:pt idx="222">
                        <c:v>-1.0862164662555074E-3</c:v>
                      </c:pt>
                      <c:pt idx="223">
                        <c:v>-1.0904894670638043E-3</c:v>
                      </c:pt>
                      <c:pt idx="224">
                        <c:v>-1.0947466709190223E-3</c:v>
                      </c:pt>
                      <c:pt idx="225">
                        <c:v>-1.0989881319147798E-3</c:v>
                      </c:pt>
                      <c:pt idx="226">
                        <c:v>-1.1032139039954814E-3</c:v>
                      </c:pt>
                      <c:pt idx="227">
                        <c:v>-1.1074240409634228E-3</c:v>
                      </c:pt>
                      <c:pt idx="228">
                        <c:v>-1.1116185964681335E-3</c:v>
                      </c:pt>
                      <c:pt idx="229">
                        <c:v>-1.1157976240241396E-3</c:v>
                      </c:pt>
                      <c:pt idx="230">
                        <c:v>-1.1199611769932005E-3</c:v>
                      </c:pt>
                      <c:pt idx="231">
                        <c:v>-1.1241093085949672E-3</c:v>
                      </c:pt>
                      <c:pt idx="232">
                        <c:v>-1.1282420718963238E-3</c:v>
                      </c:pt>
                      <c:pt idx="233">
                        <c:v>-1.132359519822046E-3</c:v>
                      </c:pt>
                      <c:pt idx="234">
                        <c:v>-1.1364617051405901E-3</c:v>
                      </c:pt>
                      <c:pt idx="235">
                        <c:v>-1.1405486804783038E-3</c:v>
                      </c:pt>
                      <c:pt idx="236">
                        <c:v>-1.1446204983087682E-3</c:v>
                      </c:pt>
                      <c:pt idx="237">
                        <c:v>-1.1486772109563503E-3</c:v>
                      </c:pt>
                      <c:pt idx="238">
                        <c:v>-1.1527188705962033E-3</c:v>
                      </c:pt>
                      <c:pt idx="239">
                        <c:v>-1.1567455292507134E-3</c:v>
                      </c:pt>
                      <c:pt idx="240">
                        <c:v>-1.1607572387895004E-3</c:v>
                      </c:pt>
                      <c:pt idx="241">
                        <c:v>-1.1647540509329701E-3</c:v>
                      </c:pt>
                      <c:pt idx="242">
                        <c:v>-1.1687360172523142E-3</c:v>
                      </c:pt>
                      <c:pt idx="243">
                        <c:v>-1.1727031891659578E-3</c:v>
                      </c:pt>
                      <c:pt idx="244">
                        <c:v>-1.1766556179360066E-3</c:v>
                      </c:pt>
                      <c:pt idx="245">
                        <c:v>-1.1805933546717995E-3</c:v>
                      </c:pt>
                      <c:pt idx="246">
                        <c:v>-1.1845164503334615E-3</c:v>
                      </c:pt>
                      <c:pt idx="247">
                        <c:v>-1.1884249557283511E-3</c:v>
                      </c:pt>
                      <c:pt idx="248">
                        <c:v>-1.192318921507507E-3</c:v>
                      </c:pt>
                      <c:pt idx="249">
                        <c:v>-1.1961983981727542E-3</c:v>
                      </c:pt>
                      <c:pt idx="250">
                        <c:v>-1.2000634360660456E-3</c:v>
                      </c:pt>
                      <c:pt idx="251">
                        <c:v>-1.20391408538012E-3</c:v>
                      </c:pt>
                      <c:pt idx="252">
                        <c:v>-1.2077503961549496E-3</c:v>
                      </c:pt>
                      <c:pt idx="253">
                        <c:v>-1.2115724182706344E-3</c:v>
                      </c:pt>
                      <c:pt idx="254">
                        <c:v>-1.215380201465166E-3</c:v>
                      </c:pt>
                      <c:pt idx="255">
                        <c:v>-1.2191737953095583E-3</c:v>
                      </c:pt>
                      <c:pt idx="256">
                        <c:v>-1.2229532492291639E-3</c:v>
                      </c:pt>
                      <c:pt idx="257">
                        <c:v>-1.2267186124894636E-3</c:v>
                      </c:pt>
                      <c:pt idx="258">
                        <c:v>-1.2304699342067238E-3</c:v>
                      </c:pt>
                      <c:pt idx="259">
                        <c:v>-1.2342072633444445E-3</c:v>
                      </c:pt>
                      <c:pt idx="260">
                        <c:v>-1.2379306487027009E-3</c:v>
                      </c:pt>
                      <c:pt idx="261">
                        <c:v>-1.2419487436368115E-3</c:v>
                      </c:pt>
                      <c:pt idx="262">
                        <c:v>-1.2459520129262103E-3</c:v>
                      </c:pt>
                      <c:pt idx="263">
                        <c:v>-1.2499407393526951E-3</c:v>
                      </c:pt>
                      <c:pt idx="264">
                        <c:v>-1.2539151982551289E-3</c:v>
                      </c:pt>
                      <c:pt idx="265">
                        <c:v>-1.2578756577283912E-3</c:v>
                      </c:pt>
                      <c:pt idx="266">
                        <c:v>-1.2618223788187777E-3</c:v>
                      </c:pt>
                      <c:pt idx="267">
                        <c:v>-1.2657556157051886E-3</c:v>
                      </c:pt>
                      <c:pt idx="268">
                        <c:v>-1.2696756158945277E-3</c:v>
                      </c:pt>
                      <c:pt idx="269">
                        <c:v>-1.2735826203922329E-3</c:v>
                      </c:pt>
                      <c:pt idx="270">
                        <c:v>-1.2774768638799117E-3</c:v>
                      </c:pt>
                      <c:pt idx="271">
                        <c:v>-1.2813585748823186E-3</c:v>
                      </c:pt>
                      <c:pt idx="272">
                        <c:v>-1.2852279759272278E-3</c:v>
                      </c:pt>
                      <c:pt idx="273">
                        <c:v>-1.28908528371241E-3</c:v>
                      </c:pt>
                      <c:pt idx="274">
                        <c:v>-1.2929307092690578E-3</c:v>
                      </c:pt>
                      <c:pt idx="275">
                        <c:v>-1.2967644580932358E-3</c:v>
                      </c:pt>
                      <c:pt idx="276">
                        <c:v>-1.3005867303057528E-3</c:v>
                      </c:pt>
                      <c:pt idx="277">
                        <c:v>-1.3043977208013757E-3</c:v>
                      </c:pt>
                      <c:pt idx="278">
                        <c:v>-1.3081976193767275E-3</c:v>
                      </c:pt>
                      <c:pt idx="279">
                        <c:v>-1.3119866108759481E-3</c:v>
                      </c:pt>
                      <c:pt idx="280">
                        <c:v>-1.3157648753150397E-3</c:v>
                      </c:pt>
                      <c:pt idx="281">
                        <c:v>-1.3195325880168696E-3</c:v>
                      </c:pt>
                      <c:pt idx="282">
                        <c:v>-1.323289919739068E-3</c:v>
                      </c:pt>
                      <c:pt idx="283">
                        <c:v>-1.3270370367806095E-3</c:v>
                      </c:pt>
                      <c:pt idx="284">
                        <c:v>-1.3307741011274743E-3</c:v>
                      </c:pt>
                      <c:pt idx="285">
                        <c:v>-1.3345012705379133E-3</c:v>
                      </c:pt>
                      <c:pt idx="286">
                        <c:v>-1.3382186986774514E-3</c:v>
                      </c:pt>
                      <c:pt idx="287">
                        <c:v>-1.3419265352219156E-3</c:v>
                      </c:pt>
                      <c:pt idx="288">
                        <c:v>-1.3456249259604647E-3</c:v>
                      </c:pt>
                      <c:pt idx="289">
                        <c:v>-1.3493140129021697E-3</c:v>
                      </c:pt>
                      <c:pt idx="290">
                        <c:v>-1.3529939343790431E-3</c:v>
                      </c:pt>
                      <c:pt idx="291">
                        <c:v>-1.3566648251419622E-3</c:v>
                      </c:pt>
                      <c:pt idx="292">
                        <c:v>-1.3603268164530391E-3</c:v>
                      </c:pt>
                      <c:pt idx="293">
                        <c:v>-1.36398003618865E-3</c:v>
                      </c:pt>
                      <c:pt idx="294">
                        <c:v>-1.3676246089211475E-3</c:v>
                      </c:pt>
                      <c:pt idx="295">
                        <c:v>-1.3712606560041252E-3</c:v>
                      </c:pt>
                      <c:pt idx="296">
                        <c:v>-1.3748882956718944E-3</c:v>
                      </c:pt>
                      <c:pt idx="297">
                        <c:v>-1.3785076431140908E-3</c:v>
                      </c:pt>
                      <c:pt idx="298">
                        <c:v>-1.382118810553834E-3</c:v>
                      </c:pt>
                      <c:pt idx="299">
                        <c:v>-1.3857219073329929E-3</c:v>
                      </c:pt>
                      <c:pt idx="300">
                        <c:v>-1.3893170399903454E-3</c:v>
                      </c:pt>
                      <c:pt idx="301">
                        <c:v>-1.3929043123255269E-3</c:v>
                      </c:pt>
                      <c:pt idx="302">
                        <c:v>-1.3964838254878487E-3</c:v>
                      </c:pt>
                      <c:pt idx="303">
                        <c:v>-1.4000556780366935E-3</c:v>
                      </c:pt>
                      <c:pt idx="304">
                        <c:v>-1.403619966016123E-3</c:v>
                      </c:pt>
                      <c:pt idx="305">
                        <c:v>-1.407176783011721E-3</c:v>
                      </c:pt>
                      <c:pt idx="306">
                        <c:v>-1.4107262202323056E-3</c:v>
                      </c:pt>
                      <c:pt idx="307">
                        <c:v>-1.4142683665561151E-3</c:v>
                      </c:pt>
                      <c:pt idx="308">
                        <c:v>-1.4178033086125197E-3</c:v>
                      </c:pt>
                      <c:pt idx="309">
                        <c:v>-1.4213311308211019E-3</c:v>
                      </c:pt>
                      <c:pt idx="310">
                        <c:v>-1.4248519154698158E-3</c:v>
                      </c:pt>
                      <c:pt idx="311">
                        <c:v>-1.4283657427540675E-3</c:v>
                      </c:pt>
                      <c:pt idx="312">
                        <c:v>-1.4318726908477686E-3</c:v>
                      </c:pt>
                      <c:pt idx="313">
                        <c:v>-1.4356517345497366E-3</c:v>
                      </c:pt>
                      <c:pt idx="314">
                        <c:v>-1.4394234499661707E-3</c:v>
                      </c:pt>
                      <c:pt idx="315">
                        <c:v>-1.4431879154628291E-3</c:v>
                      </c:pt>
                      <c:pt idx="316">
                        <c:v>-1.4469452074372668E-3</c:v>
                      </c:pt>
                      <c:pt idx="317">
                        <c:v>-1.4506954003721262E-3</c:v>
                      </c:pt>
                      <c:pt idx="318">
                        <c:v>-1.4544385668919801E-3</c:v>
                      </c:pt>
                      <c:pt idx="319">
                        <c:v>-1.4581747777988596E-3</c:v>
                      </c:pt>
                      <c:pt idx="320">
                        <c:v>-1.4619041021326495E-3</c:v>
                      </c:pt>
                      <c:pt idx="321">
                        <c:v>-1.4656266072137214E-3</c:v>
                      </c:pt>
                      <c:pt idx="322">
                        <c:v>-1.469342358696224E-3</c:v>
                      </c:pt>
                      <c:pt idx="323">
                        <c:v>-1.4730514205965051E-3</c:v>
                      </c:pt>
                      <c:pt idx="324">
                        <c:v>-1.4767538553499548E-3</c:v>
                      </c:pt>
                      <c:pt idx="325">
                        <c:v>-1.4804497238465331E-3</c:v>
                      </c:pt>
                      <c:pt idx="326">
                        <c:v>-1.4841390854840597E-3</c:v>
                      </c:pt>
                      <c:pt idx="327">
                        <c:v>-1.4878219981895313E-3</c:v>
                      </c:pt>
                      <c:pt idx="328">
                        <c:v>-1.4914985184688589E-3</c:v>
                      </c:pt>
                      <c:pt idx="329">
                        <c:v>-1.4951687014495008E-3</c:v>
                      </c:pt>
                      <c:pt idx="330">
                        <c:v>-1.4988326009017783E-3</c:v>
                      </c:pt>
                      <c:pt idx="331">
                        <c:v>-1.5024902692957198E-3</c:v>
                      </c:pt>
                      <c:pt idx="332">
                        <c:v>-1.5061417578188241E-3</c:v>
                      </c:pt>
                      <c:pt idx="333">
                        <c:v>-1.50978711641514E-3</c:v>
                      </c:pt>
                      <c:pt idx="334">
                        <c:v>-1.5134263938207937E-3</c:v>
                      </c:pt>
                      <c:pt idx="335">
                        <c:v>-1.5170596375959633E-3</c:v>
                      </c:pt>
                      <c:pt idx="336">
                        <c:v>-1.5206868941533003E-3</c:v>
                      </c:pt>
                      <c:pt idx="337">
                        <c:v>-1.524308208789904E-3</c:v>
                      </c:pt>
                      <c:pt idx="338">
                        <c:v>-1.5279236257192963E-3</c:v>
                      </c:pt>
                      <c:pt idx="339">
                        <c:v>-1.5315331880962901E-3</c:v>
                      </c:pt>
                      <c:pt idx="340">
                        <c:v>-1.5351369380489643E-3</c:v>
                      </c:pt>
                      <c:pt idx="341">
                        <c:v>-1.5387349167035325E-3</c:v>
                      </c:pt>
                      <c:pt idx="342">
                        <c:v>-1.5423271642127645E-3</c:v>
                      </c:pt>
                      <c:pt idx="343">
                        <c:v>-1.5459137197808559E-3</c:v>
                      </c:pt>
                      <c:pt idx="344">
                        <c:v>-1.5494946216847438E-3</c:v>
                      </c:pt>
                      <c:pt idx="345">
                        <c:v>-1.5530699073096343E-3</c:v>
                      </c:pt>
                      <c:pt idx="346">
                        <c:v>-1.5566396131561078E-3</c:v>
                      </c:pt>
                      <c:pt idx="347">
                        <c:v>-1.5602037748827513E-3</c:v>
                      </c:pt>
                      <c:pt idx="348">
                        <c:v>-1.5637624273203699E-3</c:v>
                      </c:pt>
                      <c:pt idx="349">
                        <c:v>-1.5673156044826442E-3</c:v>
                      </c:pt>
                      <c:pt idx="350">
                        <c:v>-1.5708633396087635E-3</c:v>
                      </c:pt>
                      <c:pt idx="351">
                        <c:v>-1.574405665166978E-3</c:v>
                      </c:pt>
                      <c:pt idx="352">
                        <c:v>-1.5779426128794682E-3</c:v>
                      </c:pt>
                      <c:pt idx="353">
                        <c:v>-1.5814742137543192E-3</c:v>
                      </c:pt>
                      <c:pt idx="354">
                        <c:v>-1.5850004980855203E-3</c:v>
                      </c:pt>
                      <c:pt idx="355">
                        <c:v>-1.5885214954813875E-3</c:v>
                      </c:pt>
                      <c:pt idx="356">
                        <c:v>-1.5920372348858791E-3</c:v>
                      </c:pt>
                      <c:pt idx="357">
                        <c:v>-1.5955477445928068E-3</c:v>
                      </c:pt>
                      <c:pt idx="358">
                        <c:v>-1.5990530522600466E-3</c:v>
                      </c:pt>
                      <c:pt idx="359">
                        <c:v>-1.602553184930855E-3</c:v>
                      </c:pt>
                      <c:pt idx="360">
                        <c:v>-1.6060481690445272E-3</c:v>
                      </c:pt>
                      <c:pt idx="361">
                        <c:v>-1.6095380304612661E-3</c:v>
                      </c:pt>
                      <c:pt idx="362">
                        <c:v>-1.6130227944728404E-3</c:v>
                      </c:pt>
                      <c:pt idx="363">
                        <c:v>-1.6165024858167953E-3</c:v>
                      </c:pt>
                      <c:pt idx="364">
                        <c:v>-1.6199771286906639E-3</c:v>
                      </c:pt>
                      <c:pt idx="365">
                        <c:v>-1.6237242122336681E-3</c:v>
                      </c:pt>
                      <c:pt idx="366">
                        <c:v>-1.6274658257060537E-3</c:v>
                      </c:pt>
                      <c:pt idx="367">
                        <c:v>-1.6312019937458899E-3</c:v>
                      </c:pt>
                      <c:pt idx="368">
                        <c:v>-1.63493274047255E-3</c:v>
                      </c:pt>
                      <c:pt idx="369">
                        <c:v>-1.6386580894831582E-3</c:v>
                      </c:pt>
                      <c:pt idx="370">
                        <c:v>-1.6423780638845642E-3</c:v>
                      </c:pt>
                      <c:pt idx="371">
                        <c:v>-1.6460926863004488E-3</c:v>
                      </c:pt>
                      <c:pt idx="372">
                        <c:v>-1.6498019788855345E-3</c:v>
                      </c:pt>
                      <c:pt idx="373">
                        <c:v>-1.6535059633255855E-3</c:v>
                      </c:pt>
                      <c:pt idx="374">
                        <c:v>-1.6572046608800406E-3</c:v>
                      </c:pt>
                      <c:pt idx="375">
                        <c:v>-1.6608980923606964E-3</c:v>
                      </c:pt>
                      <c:pt idx="376">
                        <c:v>-1.6645862781601295E-3</c:v>
                      </c:pt>
                      <c:pt idx="377">
                        <c:v>-1.6682692382516962E-3</c:v>
                      </c:pt>
                      <c:pt idx="378">
                        <c:v>-1.6719469922250596E-3</c:v>
                      </c:pt>
                      <c:pt idx="379">
                        <c:v>-1.6756195592648737E-3</c:v>
                      </c:pt>
                      <c:pt idx="380">
                        <c:v>-1.6792869581863101E-3</c:v>
                      </c:pt>
                      <c:pt idx="381">
                        <c:v>-1.6829492074350583E-3</c:v>
                      </c:pt>
                      <c:pt idx="382">
                        <c:v>-1.6866063250873253E-3</c:v>
                      </c:pt>
                      <c:pt idx="383">
                        <c:v>-1.6902583288711526E-3</c:v>
                      </c:pt>
                      <c:pt idx="384">
                        <c:v>-1.6939052361735207E-3</c:v>
                      </c:pt>
                      <c:pt idx="385">
                        <c:v>-1.6975470640545609E-3</c:v>
                      </c:pt>
                      <c:pt idx="386">
                        <c:v>-1.7011838292546599E-3</c:v>
                      </c:pt>
                      <c:pt idx="387">
                        <c:v>-1.704815548187355E-3</c:v>
                      </c:pt>
                      <c:pt idx="388">
                        <c:v>-1.7084422369677554E-3</c:v>
                      </c:pt>
                      <c:pt idx="389">
                        <c:v>-1.712063911405437E-3</c:v>
                      </c:pt>
                      <c:pt idx="390">
                        <c:v>-1.7156805870257585E-3</c:v>
                      </c:pt>
                      <c:pt idx="391">
                        <c:v>-1.7192922790698617E-3</c:v>
                      </c:pt>
                      <c:pt idx="392">
                        <c:v>-1.7228990025017765E-3</c:v>
                      </c:pt>
                      <c:pt idx="393">
                        <c:v>-1.7265007720155268E-3</c:v>
                      </c:pt>
                      <c:pt idx="394">
                        <c:v>-1.7300976020493408E-3</c:v>
                      </c:pt>
                      <c:pt idx="395">
                        <c:v>-1.7336895067785463E-3</c:v>
                      </c:pt>
                      <c:pt idx="396">
                        <c:v>-1.7372765001368862E-3</c:v>
                      </c:pt>
                      <c:pt idx="397">
                        <c:v>-1.7408585958236245E-3</c:v>
                      </c:pt>
                      <c:pt idx="398">
                        <c:v>-1.7444358072822297E-3</c:v>
                      </c:pt>
                      <c:pt idx="399">
                        <c:v>-1.748008147750113E-3</c:v>
                      </c:pt>
                      <c:pt idx="400">
                        <c:v>-1.7515756302231011E-3</c:v>
                      </c:pt>
                      <c:pt idx="401">
                        <c:v>-1.7551382674909632E-3</c:v>
                      </c:pt>
                      <c:pt idx="402">
                        <c:v>-1.7586960721303058E-3</c:v>
                      </c:pt>
                      <c:pt idx="403">
                        <c:v>-1.7622490565116777E-3</c:v>
                      </c:pt>
                      <c:pt idx="404">
                        <c:v>-1.7657972327995708E-3</c:v>
                      </c:pt>
                      <c:pt idx="405">
                        <c:v>-1.7693406129808409E-3</c:v>
                      </c:pt>
                      <c:pt idx="406">
                        <c:v>-1.7728792088220757E-3</c:v>
                      </c:pt>
                      <c:pt idx="407">
                        <c:v>-1.7764130319335436E-3</c:v>
                      </c:pt>
                      <c:pt idx="408">
                        <c:v>-1.7799420937265609E-3</c:v>
                      </c:pt>
                      <c:pt idx="409">
                        <c:v>-1.783466405449019E-3</c:v>
                      </c:pt>
                      <c:pt idx="410">
                        <c:v>-1.7869859781711739E-3</c:v>
                      </c:pt>
                      <c:pt idx="411">
                        <c:v>-1.790500822792751E-3</c:v>
                      </c:pt>
                      <c:pt idx="412">
                        <c:v>-1.7940109500571566E-3</c:v>
                      </c:pt>
                      <c:pt idx="413">
                        <c:v>-1.7975163705514774E-3</c:v>
                      </c:pt>
                      <c:pt idx="414">
                        <c:v>-1.8010170946993753E-3</c:v>
                      </c:pt>
                      <c:pt idx="415">
                        <c:v>-1.8045131327824038E-3</c:v>
                      </c:pt>
                      <c:pt idx="416">
                        <c:v>-1.8080044949400076E-3</c:v>
                      </c:pt>
                      <c:pt idx="417">
                        <c:v>-1.8117778681983054E-3</c:v>
                      </c:pt>
                      <c:pt idx="418">
                        <c:v>-1.8155461256625927E-3</c:v>
                      </c:pt>
                      <c:pt idx="419">
                        <c:v>-1.8193092780123266E-3</c:v>
                      </c:pt>
                      <c:pt idx="420">
                        <c:v>-1.8230673357777505E-3</c:v>
                      </c:pt>
                      <c:pt idx="421">
                        <c:v>-1.8268203093612101E-3</c:v>
                      </c:pt>
                      <c:pt idx="422">
                        <c:v>-1.8305682090158371E-3</c:v>
                      </c:pt>
                      <c:pt idx="423">
                        <c:v>-1.8343110448810762E-3</c:v>
                      </c:pt>
                      <c:pt idx="424">
                        <c:v>-1.838048826940053E-3</c:v>
                      </c:pt>
                      <c:pt idx="425">
                        <c:v>-1.8417815650764169E-3</c:v>
                      </c:pt>
                      <c:pt idx="426">
                        <c:v>-1.8455092690388142E-3</c:v>
                      </c:pt>
                      <c:pt idx="427">
                        <c:v>-1.849231948455099E-3</c:v>
                      </c:pt>
                      <c:pt idx="428">
                        <c:v>-1.8529496128465439E-3</c:v>
                      </c:pt>
                      <c:pt idx="429">
                        <c:v>-1.856662271606524E-3</c:v>
                      </c:pt>
                      <c:pt idx="430">
                        <c:v>-1.8603699340218327E-3</c:v>
                      </c:pt>
                      <c:pt idx="431">
                        <c:v>-1.8640726092797877E-3</c:v>
                      </c:pt>
                      <c:pt idx="432">
                        <c:v>-1.8677703064611251E-3</c:v>
                      </c:pt>
                      <c:pt idx="433">
                        <c:v>-1.8714630345328942E-3</c:v>
                      </c:pt>
                      <c:pt idx="434">
                        <c:v>-1.8751508023697738E-3</c:v>
                      </c:pt>
                      <c:pt idx="435">
                        <c:v>-1.8788336187540722E-3</c:v>
                      </c:pt>
                      <c:pt idx="436">
                        <c:v>-1.882511492361516E-3</c:v>
                      </c:pt>
                      <c:pt idx="437">
                        <c:v>-1.8861844317825671E-3</c:v>
                      </c:pt>
                      <c:pt idx="438">
                        <c:v>-1.8898524455153165E-3</c:v>
                      </c:pt>
                      <c:pt idx="439">
                        <c:v>-1.8935155419796956E-3</c:v>
                      </c:pt>
                      <c:pt idx="440">
                        <c:v>-1.8971737294961599E-3</c:v>
                      </c:pt>
                      <c:pt idx="441">
                        <c:v>-1.9008270162998997E-3</c:v>
                      </c:pt>
                      <c:pt idx="442">
                        <c:v>-1.904475410555051E-3</c:v>
                      </c:pt>
                      <c:pt idx="443">
                        <c:v>-1.9081189203475901E-3</c:v>
                      </c:pt>
                      <c:pt idx="444">
                        <c:v>-1.9117575536782283E-3</c:v>
                      </c:pt>
                      <c:pt idx="445">
                        <c:v>-1.915391318469517E-3</c:v>
                      </c:pt>
                      <c:pt idx="446">
                        <c:v>-1.919020222580059E-3</c:v>
                      </c:pt>
                      <c:pt idx="447">
                        <c:v>-1.9226442737831917E-3</c:v>
                      </c:pt>
                      <c:pt idx="448">
                        <c:v>-1.9262634798025147E-3</c:v>
                      </c:pt>
                      <c:pt idx="449">
                        <c:v>-1.9298778482763623E-3</c:v>
                      </c:pt>
                      <c:pt idx="450">
                        <c:v>-1.9334873867791202E-3</c:v>
                      </c:pt>
                      <c:pt idx="451">
                        <c:v>-1.9370921028212251E-3</c:v>
                      </c:pt>
                      <c:pt idx="452">
                        <c:v>-1.9406920038562703E-3</c:v>
                      </c:pt>
                      <c:pt idx="453">
                        <c:v>-1.9442870972739001E-3</c:v>
                      </c:pt>
                      <c:pt idx="454">
                        <c:v>-1.9478773903855995E-3</c:v>
                      </c:pt>
                      <c:pt idx="455">
                        <c:v>-1.9514628904673259E-3</c:v>
                      </c:pt>
                      <c:pt idx="456">
                        <c:v>-1.9550436047310882E-3</c:v>
                      </c:pt>
                      <c:pt idx="457">
                        <c:v>-1.9586195403249462E-3</c:v>
                      </c:pt>
                      <c:pt idx="458">
                        <c:v>-1.962190704347222E-3</c:v>
                      </c:pt>
                      <c:pt idx="459">
                        <c:v>-1.9657571038393939E-3</c:v>
                      </c:pt>
                      <c:pt idx="460">
                        <c:v>-1.9693187458003081E-3</c:v>
                      </c:pt>
                      <c:pt idx="461">
                        <c:v>-1.9728756371719669E-3</c:v>
                      </c:pt>
                      <c:pt idx="462">
                        <c:v>-1.9764277848324241E-3</c:v>
                      </c:pt>
                      <c:pt idx="463">
                        <c:v>-1.9799751956384171E-3</c:v>
                      </c:pt>
                      <c:pt idx="464">
                        <c:v>-1.9835178763827344E-3</c:v>
                      </c:pt>
                      <c:pt idx="465">
                        <c:v>-1.987055833815532E-3</c:v>
                      </c:pt>
                      <c:pt idx="466">
                        <c:v>-1.9905890746372279E-3</c:v>
                      </c:pt>
                      <c:pt idx="467">
                        <c:v>-1.9941176055056076E-3</c:v>
                      </c:pt>
                      <c:pt idx="468">
                        <c:v>-1.9976414330429293E-3</c:v>
                      </c:pt>
                      <c:pt idx="469">
                        <c:v>-2.0014651351942803E-3</c:v>
                      </c:pt>
                      <c:pt idx="470">
                        <c:v>-2.0052836520036976E-3</c:v>
                      </c:pt>
                      <c:pt idx="471">
                        <c:v>-2.0090969907258227E-3</c:v>
                      </c:pt>
                      <c:pt idx="472">
                        <c:v>-2.0129051585584534E-3</c:v>
                      </c:pt>
                      <c:pt idx="473">
                        <c:v>-2.0167081626567551E-3</c:v>
                      </c:pt>
                      <c:pt idx="474">
                        <c:v>-2.0205060101474714E-3</c:v>
                      </c:pt>
                      <c:pt idx="475">
                        <c:v>-2.024298708107608E-3</c:v>
                      </c:pt>
                      <c:pt idx="476">
                        <c:v>-2.0280862635644326E-3</c:v>
                      </c:pt>
                      <c:pt idx="477">
                        <c:v>-2.0318686835238964E-3</c:v>
                      </c:pt>
                      <c:pt idx="478">
                        <c:v>-2.0356459749493183E-3</c:v>
                      </c:pt>
                      <c:pt idx="479">
                        <c:v>-2.03941814476849E-3</c:v>
                      </c:pt>
                      <c:pt idx="480">
                        <c:v>-2.0431851998594652E-3</c:v>
                      </c:pt>
                      <c:pt idx="481">
                        <c:v>-2.0469471470718759E-3</c:v>
                      </c:pt>
                      <c:pt idx="482">
                        <c:v>-2.0507039932340376E-3</c:v>
                      </c:pt>
                      <c:pt idx="483">
                        <c:v>-2.0544557451245282E-3</c:v>
                      </c:pt>
                      <c:pt idx="484">
                        <c:v>-2.0582024094935036E-3</c:v>
                      </c:pt>
                      <c:pt idx="485">
                        <c:v>-2.0619439930626982E-3</c:v>
                      </c:pt>
                      <c:pt idx="486">
                        <c:v>-2.0656805025254243E-3</c:v>
                      </c:pt>
                      <c:pt idx="487">
                        <c:v>-2.0694119445252568E-3</c:v>
                      </c:pt>
                      <c:pt idx="488">
                        <c:v>-2.0731383256915592E-3</c:v>
                      </c:pt>
                      <c:pt idx="489">
                        <c:v>-2.0768596526252736E-3</c:v>
                      </c:pt>
                      <c:pt idx="490">
                        <c:v>-2.0805759318918149E-3</c:v>
                      </c:pt>
                      <c:pt idx="491">
                        <c:v>-2.0842871700210708E-3</c:v>
                      </c:pt>
                      <c:pt idx="492">
                        <c:v>-2.0879933735287182E-3</c:v>
                      </c:pt>
                      <c:pt idx="493">
                        <c:v>-2.0916945488949068E-3</c:v>
                      </c:pt>
                      <c:pt idx="494">
                        <c:v>-2.0953907025855756E-3</c:v>
                      </c:pt>
                      <c:pt idx="495">
                        <c:v>-2.0990818410240308E-3</c:v>
                      </c:pt>
                      <c:pt idx="496">
                        <c:v>-2.102767970619368E-3</c:v>
                      </c:pt>
                      <c:pt idx="497">
                        <c:v>-2.1064490977451555E-3</c:v>
                      </c:pt>
                      <c:pt idx="498">
                        <c:v>-2.1101252287607508E-3</c:v>
                      </c:pt>
                      <c:pt idx="499">
                        <c:v>-2.1137963699970896E-3</c:v>
                      </c:pt>
                      <c:pt idx="500">
                        <c:v>-2.1174625277566861E-3</c:v>
                      </c:pt>
                      <c:pt idx="501">
                        <c:v>-2.1211237083278434E-3</c:v>
                      </c:pt>
                      <c:pt idx="502">
                        <c:v>-2.124779917970443E-3</c:v>
                      </c:pt>
                      <c:pt idx="503">
                        <c:v>-2.1284311629301556E-3</c:v>
                      </c:pt>
                      <c:pt idx="504">
                        <c:v>-2.1320774494171246E-3</c:v>
                      </c:pt>
                      <c:pt idx="505">
                        <c:v>-2.1357187836201774E-3</c:v>
                      </c:pt>
                      <c:pt idx="506">
                        <c:v>-2.1393551717281412E-3</c:v>
                      </c:pt>
                      <c:pt idx="507">
                        <c:v>-2.1429866198943159E-3</c:v>
                      </c:pt>
                      <c:pt idx="508">
                        <c:v>-2.1466131342435801E-3</c:v>
                      </c:pt>
                      <c:pt idx="509">
                        <c:v>-2.1502347208937067E-3</c:v>
                      </c:pt>
                      <c:pt idx="510">
                        <c:v>-2.1538513859482578E-3</c:v>
                      </c:pt>
                      <c:pt idx="511">
                        <c:v>-2.1574631354752682E-3</c:v>
                      </c:pt>
                      <c:pt idx="512">
                        <c:v>-2.1610699755356677E-3</c:v>
                      </c:pt>
                      <c:pt idx="513">
                        <c:v>-2.164671912161964E-3</c:v>
                      </c:pt>
                      <c:pt idx="514">
                        <c:v>-2.1682689513795594E-3</c:v>
                      </c:pt>
                      <c:pt idx="515">
                        <c:v>-2.1718610991925402E-3</c:v>
                      </c:pt>
                      <c:pt idx="516">
                        <c:v>-2.1754483615836762E-3</c:v>
                      </c:pt>
                      <c:pt idx="517">
                        <c:v>-2.1790307445215262E-3</c:v>
                      </c:pt>
                      <c:pt idx="518">
                        <c:v>-2.182608253967544E-3</c:v>
                      </c:pt>
                      <c:pt idx="519">
                        <c:v>-2.1861808958476558E-3</c:v>
                      </c:pt>
                    </c:numCache>
                  </c:numRef>
                </c:val>
                <c:smooth val="0"/>
                <c:extLst xmlns:c15="http://schemas.microsoft.com/office/drawing/2012/chart">
                  <c:ext xmlns:c16="http://schemas.microsoft.com/office/drawing/2014/chart" uri="{C3380CC4-5D6E-409C-BE32-E72D297353CC}">
                    <c16:uniqueId val="{0000000A-7744-4B44-92D6-CD8912115525}"/>
                  </c:ext>
                </c:extLst>
              </c15:ser>
            </c15:filteredLineSeries>
          </c:ext>
        </c:extLst>
      </c:lineChart>
      <c:catAx>
        <c:axId val="270772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Weeks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773272"/>
        <c:crosses val="autoZero"/>
        <c:auto val="1"/>
        <c:lblAlgn val="ctr"/>
        <c:lblOffset val="100"/>
        <c:noMultiLvlLbl val="0"/>
      </c:catAx>
      <c:valAx>
        <c:axId val="270773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Difference between Ig and Steroids (1,000)</a:t>
                </a:r>
                <a:r>
                  <a:rPr lang="en-US" baseline="0"/>
                  <a:t>
												</a:t>
                </a:r>
                <a:endParaRPr lang="en-US"/>
              </a:p>
            </c:rich>
          </c:tx>
          <c:layout>
            <c:manualLayout>
              <c:xMode val="edge"/>
              <c:yMode val="edge"/>
              <c:x val="5.5814008449864373E-2"/>
              <c:y val="0.113651535177950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772616"/>
        <c:crosses val="autoZero"/>
        <c:crossBetween val="between"/>
      </c:valAx>
      <c:spPr>
        <a:noFill/>
        <a:ln>
          <a:noFill/>
        </a:ln>
        <a:effectLst/>
      </c:spPr>
    </c:plotArea>
    <c:legend>
      <c:legendPos val="b"/>
      <c:layout>
        <c:manualLayout>
          <c:xMode val="edge"/>
          <c:yMode val="edge"/>
          <c:x val="0.10401561881913107"/>
          <c:y val="0.85259997742474614"/>
          <c:w val="0.78137820965334281"/>
          <c:h val="5.68185794957448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72601-3656-4FE5-9B98-ECA2A116B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266</Pages>
  <Words>91925</Words>
  <Characters>504721</Characters>
  <Application>Microsoft Office Word</Application>
  <DocSecurity>0</DocSecurity>
  <Lines>4206</Lines>
  <Paragraphs>1190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595456</CharactersWithSpaces>
  <SharedDoc>false</SharedDoc>
  <HLinks>
    <vt:vector size="4740" baseType="variant">
      <vt:variant>
        <vt:i4>1704060</vt:i4>
      </vt:variant>
      <vt:variant>
        <vt:i4>5473</vt:i4>
      </vt:variant>
      <vt:variant>
        <vt:i4>0</vt:i4>
      </vt:variant>
      <vt:variant>
        <vt:i4>5</vt:i4>
      </vt:variant>
      <vt:variant>
        <vt:lpwstr>https://www.webmd.com/multiple-sclerosis/treating-iv-steroids</vt:lpwstr>
      </vt:variant>
      <vt:variant>
        <vt:lpwstr/>
      </vt:variant>
      <vt:variant>
        <vt:i4>6357102</vt:i4>
      </vt:variant>
      <vt:variant>
        <vt:i4>5470</vt:i4>
      </vt:variant>
      <vt:variant>
        <vt:i4>0</vt:i4>
      </vt:variant>
      <vt:variant>
        <vt:i4>5</vt:i4>
      </vt:variant>
      <vt:variant>
        <vt:lpwstr>https://www.nps.org.au/australian-prescriber/articles/immunosuppressants-clinical-applications</vt:lpwstr>
      </vt:variant>
      <vt:variant>
        <vt:lpwstr/>
      </vt:variant>
      <vt:variant>
        <vt:i4>1245285</vt:i4>
      </vt:variant>
      <vt:variant>
        <vt:i4>5467</vt:i4>
      </vt:variant>
      <vt:variant>
        <vt:i4>0</vt:i4>
      </vt:variant>
      <vt:variant>
        <vt:i4>5</vt:i4>
      </vt:variant>
      <vt:variant>
        <vt:lpwstr>https://emedicine.medscape.com/article/1895577-overview</vt:lpwstr>
      </vt:variant>
      <vt:variant>
        <vt:lpwstr>a4</vt:lpwstr>
      </vt:variant>
      <vt:variant>
        <vt:i4>7602191</vt:i4>
      </vt:variant>
      <vt:variant>
        <vt:i4>5464</vt:i4>
      </vt:variant>
      <vt:variant>
        <vt:i4>0</vt:i4>
      </vt:variant>
      <vt:variant>
        <vt:i4>5</vt:i4>
      </vt:variant>
      <vt:variant>
        <vt:lpwstr>https://medlineplus.gov/ency/article/000777.htm</vt:lpwstr>
      </vt:variant>
      <vt:variant>
        <vt:lpwstr/>
      </vt:variant>
      <vt:variant>
        <vt:i4>3342462</vt:i4>
      </vt:variant>
      <vt:variant>
        <vt:i4>5461</vt:i4>
      </vt:variant>
      <vt:variant>
        <vt:i4>0</vt:i4>
      </vt:variant>
      <vt:variant>
        <vt:i4>5</vt:i4>
      </vt:variant>
      <vt:variant>
        <vt:lpwstr>https://professionaleducation.blood.ca/en/transfusion/guide-clinique/therapeutic-apheresis</vt:lpwstr>
      </vt:variant>
      <vt:variant>
        <vt:lpwstr/>
      </vt:variant>
      <vt:variant>
        <vt:i4>1769494</vt:i4>
      </vt:variant>
      <vt:variant>
        <vt:i4>5458</vt:i4>
      </vt:variant>
      <vt:variant>
        <vt:i4>0</vt:i4>
      </vt:variant>
      <vt:variant>
        <vt:i4>5</vt:i4>
      </vt:variant>
      <vt:variant>
        <vt:lpwstr>https://www.aci.health.nsw.gov.au/get-involved/institute-of-trauma-and-injury-management/Data/injury-scoring/injury_severity_score</vt:lpwstr>
      </vt:variant>
      <vt:variant>
        <vt:lpwstr/>
      </vt:variant>
      <vt:variant>
        <vt:i4>5046312</vt:i4>
      </vt:variant>
      <vt:variant>
        <vt:i4>5455</vt:i4>
      </vt:variant>
      <vt:variant>
        <vt:i4>0</vt:i4>
      </vt:variant>
      <vt:variant>
        <vt:i4>5</vt:i4>
      </vt:variant>
      <vt:variant>
        <vt:lpwstr>https://www.nationalmssociety.org/For-Professionals/Researchers/Resources-for-Researchers/Clinical-Study-Measures</vt:lpwstr>
      </vt:variant>
      <vt:variant>
        <vt:lpwstr/>
      </vt:variant>
      <vt:variant>
        <vt:i4>5570679</vt:i4>
      </vt:variant>
      <vt:variant>
        <vt:i4>5452</vt:i4>
      </vt:variant>
      <vt:variant>
        <vt:i4>0</vt:i4>
      </vt:variant>
      <vt:variant>
        <vt:i4>5</vt:i4>
      </vt:variant>
      <vt:variant>
        <vt:lpwstr>https://nhsbtdbe.blob.core.windows.net/umbraco-assets-corp/1948/plasma-exchange-procedure.pdf</vt:lpwstr>
      </vt:variant>
      <vt:variant>
        <vt:lpwstr/>
      </vt:variant>
      <vt:variant>
        <vt:i4>2949245</vt:i4>
      </vt:variant>
      <vt:variant>
        <vt:i4>5449</vt:i4>
      </vt:variant>
      <vt:variant>
        <vt:i4>0</vt:i4>
      </vt:variant>
      <vt:variant>
        <vt:i4>5</vt:i4>
      </vt:variant>
      <vt:variant>
        <vt:lpwstr>https://www.blood.gov.au/national-product-list</vt:lpwstr>
      </vt:variant>
      <vt:variant>
        <vt:lpwstr/>
      </vt:variant>
      <vt:variant>
        <vt:i4>4915314</vt:i4>
      </vt:variant>
      <vt:variant>
        <vt:i4>5446</vt:i4>
      </vt:variant>
      <vt:variant>
        <vt:i4>0</vt:i4>
      </vt:variant>
      <vt:variant>
        <vt:i4>5</vt:i4>
      </vt:variant>
      <vt:variant>
        <vt:lpwstr>https://www.blood.gov.au/SCIg</vt:lpwstr>
      </vt:variant>
      <vt:variant>
        <vt:lpwstr/>
      </vt:variant>
      <vt:variant>
        <vt:i4>7012465</vt:i4>
      </vt:variant>
      <vt:variant>
        <vt:i4>5443</vt:i4>
      </vt:variant>
      <vt:variant>
        <vt:i4>0</vt:i4>
      </vt:variant>
      <vt:variant>
        <vt:i4>5</vt:i4>
      </vt:variant>
      <vt:variant>
        <vt:lpwstr>https://www.criteria.blood.gov.au/</vt:lpwstr>
      </vt:variant>
      <vt:variant>
        <vt:lpwstr/>
      </vt:variant>
      <vt:variant>
        <vt:i4>131139</vt:i4>
      </vt:variant>
      <vt:variant>
        <vt:i4>5440</vt:i4>
      </vt:variant>
      <vt:variant>
        <vt:i4>0</vt:i4>
      </vt:variant>
      <vt:variant>
        <vt:i4>5</vt:i4>
      </vt:variant>
      <vt:variant>
        <vt:lpwstr>https://www.blood.gov.au/document/patient-information-subcutaneous-immunoglobulin-treatment-docx</vt:lpwstr>
      </vt:variant>
      <vt:variant>
        <vt:lpwstr/>
      </vt:variant>
      <vt:variant>
        <vt:i4>5636116</vt:i4>
      </vt:variant>
      <vt:variant>
        <vt:i4>5437</vt:i4>
      </vt:variant>
      <vt:variant>
        <vt:i4>0</vt:i4>
      </vt:variant>
      <vt:variant>
        <vt:i4>5</vt:i4>
      </vt:variant>
      <vt:variant>
        <vt:lpwstr>https://www.blood.gov.au/document/frequently-asked-questions-subcutaneous-immunoglobulin-pdf</vt:lpwstr>
      </vt:variant>
      <vt:variant>
        <vt:lpwstr/>
      </vt:variant>
      <vt:variant>
        <vt:i4>2555917</vt:i4>
      </vt:variant>
      <vt:variant>
        <vt:i4>5434</vt:i4>
      </vt:variant>
      <vt:variant>
        <vt:i4>0</vt:i4>
      </vt:variant>
      <vt:variant>
        <vt:i4>5</vt:i4>
      </vt:variant>
      <vt:variant>
        <vt:lpwstr>http://www.msac.gov.au/internet/msac/publishing.nsf/Content/1564-public</vt:lpwstr>
      </vt:variant>
      <vt:variant>
        <vt:lpwstr/>
      </vt:variant>
      <vt:variant>
        <vt:i4>2162696</vt:i4>
      </vt:variant>
      <vt:variant>
        <vt:i4>5431</vt:i4>
      </vt:variant>
      <vt:variant>
        <vt:i4>0</vt:i4>
      </vt:variant>
      <vt:variant>
        <vt:i4>5</vt:i4>
      </vt:variant>
      <vt:variant>
        <vt:lpwstr>http://www.msac.gov.au/internet/msac/publishing.nsf/Content/1334-public</vt:lpwstr>
      </vt:variant>
      <vt:variant>
        <vt:lpwstr/>
      </vt:variant>
      <vt:variant>
        <vt:i4>4128885</vt:i4>
      </vt:variant>
      <vt:variant>
        <vt:i4>5428</vt:i4>
      </vt:variant>
      <vt:variant>
        <vt:i4>0</vt:i4>
      </vt:variant>
      <vt:variant>
        <vt:i4>5</vt:i4>
      </vt:variant>
      <vt:variant>
        <vt:lpwstr>https://www.mda.org.au/disorders/inflammatory-myopathies/cidp/</vt:lpwstr>
      </vt:variant>
      <vt:variant>
        <vt:lpwstr/>
      </vt:variant>
      <vt:variant>
        <vt:i4>8257624</vt:i4>
      </vt:variant>
      <vt:variant>
        <vt:i4>5425</vt:i4>
      </vt:variant>
      <vt:variant>
        <vt:i4>0</vt:i4>
      </vt:variant>
      <vt:variant>
        <vt:i4>5</vt:i4>
      </vt:variant>
      <vt:variant>
        <vt:lpwstr>https://www.uptodate.com/contents/chronic-inflammatory-demyelinating-polyneuropathy-treatment-and-prognosis</vt:lpwstr>
      </vt:variant>
      <vt:variant>
        <vt:lpwstr/>
      </vt:variant>
      <vt:variant>
        <vt:i4>5177358</vt:i4>
      </vt:variant>
      <vt:variant>
        <vt:i4>5422</vt:i4>
      </vt:variant>
      <vt:variant>
        <vt:i4>0</vt:i4>
      </vt:variant>
      <vt:variant>
        <vt:i4>5</vt:i4>
      </vt:variant>
      <vt:variant>
        <vt:lpwstr>https://www.uptodate.com/contents/chronic-inflammatory-demyelinating-polyneuropathy-etiology-clinical-features-and-diagnosis</vt:lpwstr>
      </vt:variant>
      <vt:variant>
        <vt:lpwstr/>
      </vt:variant>
      <vt:variant>
        <vt:i4>5177417</vt:i4>
      </vt:variant>
      <vt:variant>
        <vt:i4>5419</vt:i4>
      </vt:variant>
      <vt:variant>
        <vt:i4>0</vt:i4>
      </vt:variant>
      <vt:variant>
        <vt:i4>5</vt:i4>
      </vt:variant>
      <vt:variant>
        <vt:lpwstr>https://emedicine.medscape.com/article/1172965-medication</vt:lpwstr>
      </vt:variant>
      <vt:variant>
        <vt:lpwstr>2</vt:lpwstr>
      </vt:variant>
      <vt:variant>
        <vt:i4>5636215</vt:i4>
      </vt:variant>
      <vt:variant>
        <vt:i4>5416</vt:i4>
      </vt:variant>
      <vt:variant>
        <vt:i4>0</vt:i4>
      </vt:variant>
      <vt:variant>
        <vt:i4>5</vt:i4>
      </vt:variant>
      <vt:variant>
        <vt:lpwstr>https://www.nps.org.au/australian-prescriber/articles/long-term-management-of-patients-taking-immunosuppressive-drugs</vt:lpwstr>
      </vt:variant>
      <vt:variant>
        <vt:lpwstr/>
      </vt:variant>
      <vt:variant>
        <vt:i4>7405636</vt:i4>
      </vt:variant>
      <vt:variant>
        <vt:i4>5413</vt:i4>
      </vt:variant>
      <vt:variant>
        <vt:i4>0</vt:i4>
      </vt:variant>
      <vt:variant>
        <vt:i4>5</vt:i4>
      </vt:variant>
      <vt:variant>
        <vt:lpwstr>https://www.gwh.nhs.uk/media/183132/rheumatology-ivsteroids.pdf</vt:lpwstr>
      </vt:variant>
      <vt:variant>
        <vt:lpwstr/>
      </vt:variant>
      <vt:variant>
        <vt:i4>6029414</vt:i4>
      </vt:variant>
      <vt:variant>
        <vt:i4>5410</vt:i4>
      </vt:variant>
      <vt:variant>
        <vt:i4>0</vt:i4>
      </vt:variant>
      <vt:variant>
        <vt:i4>5</vt:i4>
      </vt:variant>
      <vt:variant>
        <vt:lpwstr>https://www.gbs-cidp.org/cidp/all-about-cidp/</vt:lpwstr>
      </vt:variant>
      <vt:variant>
        <vt:lpwstr/>
      </vt:variant>
      <vt:variant>
        <vt:i4>3211281</vt:i4>
      </vt:variant>
      <vt:variant>
        <vt:i4>5407</vt:i4>
      </vt:variant>
      <vt:variant>
        <vt:i4>0</vt:i4>
      </vt:variant>
      <vt:variant>
        <vt:i4>5</vt:i4>
      </vt:variant>
      <vt:variant>
        <vt:lpwstr>http://www.gbs-cidp-nsw.org.au/information/what-is-cidp?start=7</vt:lpwstr>
      </vt:variant>
      <vt:variant>
        <vt:lpwstr/>
      </vt:variant>
      <vt:variant>
        <vt:i4>7864379</vt:i4>
      </vt:variant>
      <vt:variant>
        <vt:i4>5404</vt:i4>
      </vt:variant>
      <vt:variant>
        <vt:i4>0</vt:i4>
      </vt:variant>
      <vt:variant>
        <vt:i4>5</vt:i4>
      </vt:variant>
      <vt:variant>
        <vt:lpwstr>https://www.uptodate.com/contents/therapeutic-apheresis-plasma-exchange-or-cytapheresis-indications-and-technology</vt:lpwstr>
      </vt:variant>
      <vt:variant>
        <vt:lpwstr/>
      </vt:variant>
      <vt:variant>
        <vt:i4>5046376</vt:i4>
      </vt:variant>
      <vt:variant>
        <vt:i4>5401</vt:i4>
      </vt:variant>
      <vt:variant>
        <vt:i4>0</vt:i4>
      </vt:variant>
      <vt:variant>
        <vt:i4>5</vt:i4>
      </vt:variant>
      <vt:variant>
        <vt:lpwstr>http://www.pbs.gov.au/browse/medicine-listing</vt:lpwstr>
      </vt:variant>
      <vt:variant>
        <vt:lpwstr/>
      </vt:variant>
      <vt:variant>
        <vt:i4>5636220</vt:i4>
      </vt:variant>
      <vt:variant>
        <vt:i4>5398</vt:i4>
      </vt:variant>
      <vt:variant>
        <vt:i4>0</vt:i4>
      </vt:variant>
      <vt:variant>
        <vt:i4>5</vt:i4>
      </vt:variant>
      <vt:variant>
        <vt:lpwstr>http://www.health.gov.au/internet/msac/publishing.nsf/Content/1564-public</vt:lpwstr>
      </vt:variant>
      <vt:variant>
        <vt:lpwstr/>
      </vt:variant>
      <vt:variant>
        <vt:i4>7667725</vt:i4>
      </vt:variant>
      <vt:variant>
        <vt:i4>5395</vt:i4>
      </vt:variant>
      <vt:variant>
        <vt:i4>0</vt:i4>
      </vt:variant>
      <vt:variant>
        <vt:i4>5</vt:i4>
      </vt:variant>
      <vt:variant>
        <vt:lpwstr>https://www2.health.vic.gov.au/hospitals-and-health-services/patient-care/speciality-diagnostics-therapeutics/blood-matters/scig-implementation-program/tools-resources</vt:lpwstr>
      </vt:variant>
      <vt:variant>
        <vt:lpwstr/>
      </vt:variant>
      <vt:variant>
        <vt:i4>1245197</vt:i4>
      </vt:variant>
      <vt:variant>
        <vt:i4>5392</vt:i4>
      </vt:variant>
      <vt:variant>
        <vt:i4>0</vt:i4>
      </vt:variant>
      <vt:variant>
        <vt:i4>5</vt:i4>
      </vt:variant>
      <vt:variant>
        <vt:lpwstr>https://www.hizentra.com/hcp/cidp-pi-dosing-administration</vt:lpwstr>
      </vt:variant>
      <vt:variant>
        <vt:lpwstr>pi-cidp-administration</vt:lpwstr>
      </vt:variant>
      <vt:variant>
        <vt:i4>7536716</vt:i4>
      </vt:variant>
      <vt:variant>
        <vt:i4>5389</vt:i4>
      </vt:variant>
      <vt:variant>
        <vt:i4>0</vt:i4>
      </vt:variant>
      <vt:variant>
        <vt:i4>5</vt:i4>
      </vt:variant>
      <vt:variant>
        <vt:lpwstr>https://brainfoundation.org.au/disorders/chronic-inflammatory-demyelinating-polyneuropathy/</vt:lpwstr>
      </vt:variant>
      <vt:variant>
        <vt:lpwstr/>
      </vt:variant>
      <vt:variant>
        <vt:i4>720937</vt:i4>
      </vt:variant>
      <vt:variant>
        <vt:i4>5386</vt:i4>
      </vt:variant>
      <vt:variant>
        <vt:i4>0</vt:i4>
      </vt:variant>
      <vt:variant>
        <vt:i4>5</vt:i4>
      </vt:variant>
      <vt:variant>
        <vt:lpwstr>https://www.allergy.org.au/hp/papers/scig</vt:lpwstr>
      </vt:variant>
      <vt:variant>
        <vt:lpwstr/>
      </vt:variant>
      <vt:variant>
        <vt:i4>4194309</vt:i4>
      </vt:variant>
      <vt:variant>
        <vt:i4>5383</vt:i4>
      </vt:variant>
      <vt:variant>
        <vt:i4>0</vt:i4>
      </vt:variant>
      <vt:variant>
        <vt:i4>5</vt:i4>
      </vt:variant>
      <vt:variant>
        <vt:lpwstr>https://cdn.ymaws.com/www.apheresis.org/resource/resmgr/fact_sheets_file/therapeutic_plasma_exchange.pdf</vt:lpwstr>
      </vt:variant>
      <vt:variant>
        <vt:lpwstr/>
      </vt:variant>
      <vt:variant>
        <vt:i4>4653169</vt:i4>
      </vt:variant>
      <vt:variant>
        <vt:i4>5380</vt:i4>
      </vt:variant>
      <vt:variant>
        <vt:i4>0</vt:i4>
      </vt:variant>
      <vt:variant>
        <vt:i4>5</vt:i4>
      </vt:variant>
      <vt:variant>
        <vt:lpwstr>https://www.abs.gov.au/Population</vt:lpwstr>
      </vt:variant>
      <vt:variant>
        <vt:lpwstr/>
      </vt:variant>
      <vt:variant>
        <vt:i4>4522009</vt:i4>
      </vt:variant>
      <vt:variant>
        <vt:i4>5377</vt:i4>
      </vt:variant>
      <vt:variant>
        <vt:i4>0</vt:i4>
      </vt:variant>
      <vt:variant>
        <vt:i4>5</vt:i4>
      </vt:variant>
      <vt:variant>
        <vt:lpwstr>https://www.aaaai.org/conditions-and-treatments/library/immune-deficiencies-library/ivig</vt:lpwstr>
      </vt:variant>
      <vt:variant>
        <vt:lpwstr/>
      </vt:variant>
      <vt:variant>
        <vt:i4>4718642</vt:i4>
      </vt:variant>
      <vt:variant>
        <vt:i4>5353</vt:i4>
      </vt:variant>
      <vt:variant>
        <vt:i4>0</vt:i4>
      </vt:variant>
      <vt:variant>
        <vt:i4>5</vt:i4>
      </vt:variant>
      <vt:variant>
        <vt:lpwstr/>
      </vt:variant>
      <vt:variant>
        <vt:lpwstr>_ENREF_99</vt:lpwstr>
      </vt:variant>
      <vt:variant>
        <vt:i4>7471166</vt:i4>
      </vt:variant>
      <vt:variant>
        <vt:i4>5345</vt:i4>
      </vt:variant>
      <vt:variant>
        <vt:i4>0</vt:i4>
      </vt:variant>
      <vt:variant>
        <vt:i4>5</vt:i4>
      </vt:variant>
      <vt:variant>
        <vt:lpwstr/>
      </vt:variant>
      <vt:variant>
        <vt:lpwstr>_ENREF_152</vt:lpwstr>
      </vt:variant>
      <vt:variant>
        <vt:i4>7340094</vt:i4>
      </vt:variant>
      <vt:variant>
        <vt:i4>5339</vt:i4>
      </vt:variant>
      <vt:variant>
        <vt:i4>0</vt:i4>
      </vt:variant>
      <vt:variant>
        <vt:i4>5</vt:i4>
      </vt:variant>
      <vt:variant>
        <vt:lpwstr/>
      </vt:variant>
      <vt:variant>
        <vt:lpwstr>_ENREF_150</vt:lpwstr>
      </vt:variant>
      <vt:variant>
        <vt:i4>7536696</vt:i4>
      </vt:variant>
      <vt:variant>
        <vt:i4>5333</vt:i4>
      </vt:variant>
      <vt:variant>
        <vt:i4>0</vt:i4>
      </vt:variant>
      <vt:variant>
        <vt:i4>5</vt:i4>
      </vt:variant>
      <vt:variant>
        <vt:lpwstr/>
      </vt:variant>
      <vt:variant>
        <vt:lpwstr>_ENREF_133</vt:lpwstr>
      </vt:variant>
      <vt:variant>
        <vt:i4>7667771</vt:i4>
      </vt:variant>
      <vt:variant>
        <vt:i4>5327</vt:i4>
      </vt:variant>
      <vt:variant>
        <vt:i4>0</vt:i4>
      </vt:variant>
      <vt:variant>
        <vt:i4>5</vt:i4>
      </vt:variant>
      <vt:variant>
        <vt:lpwstr/>
      </vt:variant>
      <vt:variant>
        <vt:lpwstr>_ENREF_105</vt:lpwstr>
      </vt:variant>
      <vt:variant>
        <vt:i4>7471163</vt:i4>
      </vt:variant>
      <vt:variant>
        <vt:i4>5321</vt:i4>
      </vt:variant>
      <vt:variant>
        <vt:i4>0</vt:i4>
      </vt:variant>
      <vt:variant>
        <vt:i4>5</vt:i4>
      </vt:variant>
      <vt:variant>
        <vt:lpwstr/>
      </vt:variant>
      <vt:variant>
        <vt:lpwstr>_ENREF_102</vt:lpwstr>
      </vt:variant>
      <vt:variant>
        <vt:i4>4456505</vt:i4>
      </vt:variant>
      <vt:variant>
        <vt:i4>5313</vt:i4>
      </vt:variant>
      <vt:variant>
        <vt:i4>0</vt:i4>
      </vt:variant>
      <vt:variant>
        <vt:i4>5</vt:i4>
      </vt:variant>
      <vt:variant>
        <vt:lpwstr/>
      </vt:variant>
      <vt:variant>
        <vt:lpwstr>_ENREF_52</vt:lpwstr>
      </vt:variant>
      <vt:variant>
        <vt:i4>4456507</vt:i4>
      </vt:variant>
      <vt:variant>
        <vt:i4>5307</vt:i4>
      </vt:variant>
      <vt:variant>
        <vt:i4>0</vt:i4>
      </vt:variant>
      <vt:variant>
        <vt:i4>5</vt:i4>
      </vt:variant>
      <vt:variant>
        <vt:lpwstr/>
      </vt:variant>
      <vt:variant>
        <vt:lpwstr>_ENREF_50</vt:lpwstr>
      </vt:variant>
      <vt:variant>
        <vt:i4>4522046</vt:i4>
      </vt:variant>
      <vt:variant>
        <vt:i4>5301</vt:i4>
      </vt:variant>
      <vt:variant>
        <vt:i4>0</vt:i4>
      </vt:variant>
      <vt:variant>
        <vt:i4>5</vt:i4>
      </vt:variant>
      <vt:variant>
        <vt:lpwstr/>
      </vt:variant>
      <vt:variant>
        <vt:lpwstr>_ENREF_45</vt:lpwstr>
      </vt:variant>
      <vt:variant>
        <vt:i4>4522041</vt:i4>
      </vt:variant>
      <vt:variant>
        <vt:i4>5293</vt:i4>
      </vt:variant>
      <vt:variant>
        <vt:i4>0</vt:i4>
      </vt:variant>
      <vt:variant>
        <vt:i4>5</vt:i4>
      </vt:variant>
      <vt:variant>
        <vt:lpwstr/>
      </vt:variant>
      <vt:variant>
        <vt:lpwstr>_ENREF_42</vt:lpwstr>
      </vt:variant>
      <vt:variant>
        <vt:i4>4325433</vt:i4>
      </vt:variant>
      <vt:variant>
        <vt:i4>5285</vt:i4>
      </vt:variant>
      <vt:variant>
        <vt:i4>0</vt:i4>
      </vt:variant>
      <vt:variant>
        <vt:i4>5</vt:i4>
      </vt:variant>
      <vt:variant>
        <vt:lpwstr/>
      </vt:variant>
      <vt:variant>
        <vt:lpwstr>_ENREF_32</vt:lpwstr>
      </vt:variant>
      <vt:variant>
        <vt:i4>4390971</vt:i4>
      </vt:variant>
      <vt:variant>
        <vt:i4>5279</vt:i4>
      </vt:variant>
      <vt:variant>
        <vt:i4>0</vt:i4>
      </vt:variant>
      <vt:variant>
        <vt:i4>5</vt:i4>
      </vt:variant>
      <vt:variant>
        <vt:lpwstr/>
      </vt:variant>
      <vt:variant>
        <vt:lpwstr>_ENREF_20</vt:lpwstr>
      </vt:variant>
      <vt:variant>
        <vt:i4>4194361</vt:i4>
      </vt:variant>
      <vt:variant>
        <vt:i4>5271</vt:i4>
      </vt:variant>
      <vt:variant>
        <vt:i4>0</vt:i4>
      </vt:variant>
      <vt:variant>
        <vt:i4>5</vt:i4>
      </vt:variant>
      <vt:variant>
        <vt:lpwstr/>
      </vt:variant>
      <vt:variant>
        <vt:lpwstr>_ENREF_12</vt:lpwstr>
      </vt:variant>
      <vt:variant>
        <vt:i4>4718603</vt:i4>
      </vt:variant>
      <vt:variant>
        <vt:i4>5265</vt:i4>
      </vt:variant>
      <vt:variant>
        <vt:i4>0</vt:i4>
      </vt:variant>
      <vt:variant>
        <vt:i4>5</vt:i4>
      </vt:variant>
      <vt:variant>
        <vt:lpwstr/>
      </vt:variant>
      <vt:variant>
        <vt:lpwstr>_ENREF_9</vt:lpwstr>
      </vt:variant>
      <vt:variant>
        <vt:i4>4784139</vt:i4>
      </vt:variant>
      <vt:variant>
        <vt:i4>5257</vt:i4>
      </vt:variant>
      <vt:variant>
        <vt:i4>0</vt:i4>
      </vt:variant>
      <vt:variant>
        <vt:i4>5</vt:i4>
      </vt:variant>
      <vt:variant>
        <vt:lpwstr/>
      </vt:variant>
      <vt:variant>
        <vt:lpwstr>_ENREF_8</vt:lpwstr>
      </vt:variant>
      <vt:variant>
        <vt:i4>7733311</vt:i4>
      </vt:variant>
      <vt:variant>
        <vt:i4>5251</vt:i4>
      </vt:variant>
      <vt:variant>
        <vt:i4>0</vt:i4>
      </vt:variant>
      <vt:variant>
        <vt:i4>5</vt:i4>
      </vt:variant>
      <vt:variant>
        <vt:lpwstr/>
      </vt:variant>
      <vt:variant>
        <vt:lpwstr>_ENREF_146</vt:lpwstr>
      </vt:variant>
      <vt:variant>
        <vt:i4>7864378</vt:i4>
      </vt:variant>
      <vt:variant>
        <vt:i4>5243</vt:i4>
      </vt:variant>
      <vt:variant>
        <vt:i4>0</vt:i4>
      </vt:variant>
      <vt:variant>
        <vt:i4>5</vt:i4>
      </vt:variant>
      <vt:variant>
        <vt:lpwstr/>
      </vt:variant>
      <vt:variant>
        <vt:lpwstr>_ENREF_118</vt:lpwstr>
      </vt:variant>
      <vt:variant>
        <vt:i4>4718648</vt:i4>
      </vt:variant>
      <vt:variant>
        <vt:i4>5235</vt:i4>
      </vt:variant>
      <vt:variant>
        <vt:i4>0</vt:i4>
      </vt:variant>
      <vt:variant>
        <vt:i4>5</vt:i4>
      </vt:variant>
      <vt:variant>
        <vt:lpwstr/>
      </vt:variant>
      <vt:variant>
        <vt:lpwstr>_ENREF_93</vt:lpwstr>
      </vt:variant>
      <vt:variant>
        <vt:i4>4653112</vt:i4>
      </vt:variant>
      <vt:variant>
        <vt:i4>5227</vt:i4>
      </vt:variant>
      <vt:variant>
        <vt:i4>0</vt:i4>
      </vt:variant>
      <vt:variant>
        <vt:i4>5</vt:i4>
      </vt:variant>
      <vt:variant>
        <vt:lpwstr/>
      </vt:variant>
      <vt:variant>
        <vt:lpwstr>_ENREF_63</vt:lpwstr>
      </vt:variant>
      <vt:variant>
        <vt:i4>4653118</vt:i4>
      </vt:variant>
      <vt:variant>
        <vt:i4>5219</vt:i4>
      </vt:variant>
      <vt:variant>
        <vt:i4>0</vt:i4>
      </vt:variant>
      <vt:variant>
        <vt:i4>5</vt:i4>
      </vt:variant>
      <vt:variant>
        <vt:lpwstr/>
      </vt:variant>
      <vt:variant>
        <vt:lpwstr>_ENREF_65</vt:lpwstr>
      </vt:variant>
      <vt:variant>
        <vt:i4>4784184</vt:i4>
      </vt:variant>
      <vt:variant>
        <vt:i4>5211</vt:i4>
      </vt:variant>
      <vt:variant>
        <vt:i4>0</vt:i4>
      </vt:variant>
      <vt:variant>
        <vt:i4>5</vt:i4>
      </vt:variant>
      <vt:variant>
        <vt:lpwstr/>
      </vt:variant>
      <vt:variant>
        <vt:lpwstr>_ENREF_83</vt:lpwstr>
      </vt:variant>
      <vt:variant>
        <vt:i4>4653116</vt:i4>
      </vt:variant>
      <vt:variant>
        <vt:i4>5203</vt:i4>
      </vt:variant>
      <vt:variant>
        <vt:i4>0</vt:i4>
      </vt:variant>
      <vt:variant>
        <vt:i4>5</vt:i4>
      </vt:variant>
      <vt:variant>
        <vt:lpwstr/>
      </vt:variant>
      <vt:variant>
        <vt:lpwstr>_ENREF_67</vt:lpwstr>
      </vt:variant>
      <vt:variant>
        <vt:i4>4390969</vt:i4>
      </vt:variant>
      <vt:variant>
        <vt:i4>5197</vt:i4>
      </vt:variant>
      <vt:variant>
        <vt:i4>0</vt:i4>
      </vt:variant>
      <vt:variant>
        <vt:i4>5</vt:i4>
      </vt:variant>
      <vt:variant>
        <vt:lpwstr/>
      </vt:variant>
      <vt:variant>
        <vt:lpwstr>_ENREF_22</vt:lpwstr>
      </vt:variant>
      <vt:variant>
        <vt:i4>4194354</vt:i4>
      </vt:variant>
      <vt:variant>
        <vt:i4>5189</vt:i4>
      </vt:variant>
      <vt:variant>
        <vt:i4>0</vt:i4>
      </vt:variant>
      <vt:variant>
        <vt:i4>5</vt:i4>
      </vt:variant>
      <vt:variant>
        <vt:lpwstr/>
      </vt:variant>
      <vt:variant>
        <vt:lpwstr>_ENREF_19</vt:lpwstr>
      </vt:variant>
      <vt:variant>
        <vt:i4>4194355</vt:i4>
      </vt:variant>
      <vt:variant>
        <vt:i4>5183</vt:i4>
      </vt:variant>
      <vt:variant>
        <vt:i4>0</vt:i4>
      </vt:variant>
      <vt:variant>
        <vt:i4>5</vt:i4>
      </vt:variant>
      <vt:variant>
        <vt:lpwstr/>
      </vt:variant>
      <vt:variant>
        <vt:lpwstr>_ENREF_18</vt:lpwstr>
      </vt:variant>
      <vt:variant>
        <vt:i4>7536702</vt:i4>
      </vt:variant>
      <vt:variant>
        <vt:i4>5177</vt:i4>
      </vt:variant>
      <vt:variant>
        <vt:i4>0</vt:i4>
      </vt:variant>
      <vt:variant>
        <vt:i4>5</vt:i4>
      </vt:variant>
      <vt:variant>
        <vt:lpwstr/>
      </vt:variant>
      <vt:variant>
        <vt:lpwstr>_ENREF_153</vt:lpwstr>
      </vt:variant>
      <vt:variant>
        <vt:i4>7929912</vt:i4>
      </vt:variant>
      <vt:variant>
        <vt:i4>5169</vt:i4>
      </vt:variant>
      <vt:variant>
        <vt:i4>0</vt:i4>
      </vt:variant>
      <vt:variant>
        <vt:i4>5</vt:i4>
      </vt:variant>
      <vt:variant>
        <vt:lpwstr/>
      </vt:variant>
      <vt:variant>
        <vt:lpwstr>_ENREF_139</vt:lpwstr>
      </vt:variant>
      <vt:variant>
        <vt:i4>7798840</vt:i4>
      </vt:variant>
      <vt:variant>
        <vt:i4>5163</vt:i4>
      </vt:variant>
      <vt:variant>
        <vt:i4>0</vt:i4>
      </vt:variant>
      <vt:variant>
        <vt:i4>5</vt:i4>
      </vt:variant>
      <vt:variant>
        <vt:lpwstr/>
      </vt:variant>
      <vt:variant>
        <vt:lpwstr>_ENREF_137</vt:lpwstr>
      </vt:variant>
      <vt:variant>
        <vt:i4>7471160</vt:i4>
      </vt:variant>
      <vt:variant>
        <vt:i4>5157</vt:i4>
      </vt:variant>
      <vt:variant>
        <vt:i4>0</vt:i4>
      </vt:variant>
      <vt:variant>
        <vt:i4>5</vt:i4>
      </vt:variant>
      <vt:variant>
        <vt:lpwstr/>
      </vt:variant>
      <vt:variant>
        <vt:lpwstr>_ENREF_132</vt:lpwstr>
      </vt:variant>
      <vt:variant>
        <vt:i4>7405624</vt:i4>
      </vt:variant>
      <vt:variant>
        <vt:i4>5151</vt:i4>
      </vt:variant>
      <vt:variant>
        <vt:i4>0</vt:i4>
      </vt:variant>
      <vt:variant>
        <vt:i4>5</vt:i4>
      </vt:variant>
      <vt:variant>
        <vt:lpwstr/>
      </vt:variant>
      <vt:variant>
        <vt:lpwstr>_ENREF_131</vt:lpwstr>
      </vt:variant>
      <vt:variant>
        <vt:i4>7864377</vt:i4>
      </vt:variant>
      <vt:variant>
        <vt:i4>5145</vt:i4>
      </vt:variant>
      <vt:variant>
        <vt:i4>0</vt:i4>
      </vt:variant>
      <vt:variant>
        <vt:i4>5</vt:i4>
      </vt:variant>
      <vt:variant>
        <vt:lpwstr/>
      </vt:variant>
      <vt:variant>
        <vt:lpwstr>_ENREF_128</vt:lpwstr>
      </vt:variant>
      <vt:variant>
        <vt:i4>7733305</vt:i4>
      </vt:variant>
      <vt:variant>
        <vt:i4>5139</vt:i4>
      </vt:variant>
      <vt:variant>
        <vt:i4>0</vt:i4>
      </vt:variant>
      <vt:variant>
        <vt:i4>5</vt:i4>
      </vt:variant>
      <vt:variant>
        <vt:lpwstr/>
      </vt:variant>
      <vt:variant>
        <vt:lpwstr>_ENREF_126</vt:lpwstr>
      </vt:variant>
      <vt:variant>
        <vt:i4>4718642</vt:i4>
      </vt:variant>
      <vt:variant>
        <vt:i4>5131</vt:i4>
      </vt:variant>
      <vt:variant>
        <vt:i4>0</vt:i4>
      </vt:variant>
      <vt:variant>
        <vt:i4>5</vt:i4>
      </vt:variant>
      <vt:variant>
        <vt:lpwstr/>
      </vt:variant>
      <vt:variant>
        <vt:lpwstr>_ENREF_99</vt:lpwstr>
      </vt:variant>
      <vt:variant>
        <vt:i4>4784189</vt:i4>
      </vt:variant>
      <vt:variant>
        <vt:i4>5123</vt:i4>
      </vt:variant>
      <vt:variant>
        <vt:i4>0</vt:i4>
      </vt:variant>
      <vt:variant>
        <vt:i4>5</vt:i4>
      </vt:variant>
      <vt:variant>
        <vt:lpwstr/>
      </vt:variant>
      <vt:variant>
        <vt:lpwstr>_ENREF_86</vt:lpwstr>
      </vt:variant>
      <vt:variant>
        <vt:i4>4587581</vt:i4>
      </vt:variant>
      <vt:variant>
        <vt:i4>5117</vt:i4>
      </vt:variant>
      <vt:variant>
        <vt:i4>0</vt:i4>
      </vt:variant>
      <vt:variant>
        <vt:i4>5</vt:i4>
      </vt:variant>
      <vt:variant>
        <vt:lpwstr/>
      </vt:variant>
      <vt:variant>
        <vt:lpwstr>_ENREF_76</vt:lpwstr>
      </vt:variant>
      <vt:variant>
        <vt:i4>4587576</vt:i4>
      </vt:variant>
      <vt:variant>
        <vt:i4>5109</vt:i4>
      </vt:variant>
      <vt:variant>
        <vt:i4>0</vt:i4>
      </vt:variant>
      <vt:variant>
        <vt:i4>5</vt:i4>
      </vt:variant>
      <vt:variant>
        <vt:lpwstr/>
      </vt:variant>
      <vt:variant>
        <vt:lpwstr>_ENREF_73</vt:lpwstr>
      </vt:variant>
      <vt:variant>
        <vt:i4>4587578</vt:i4>
      </vt:variant>
      <vt:variant>
        <vt:i4>5101</vt:i4>
      </vt:variant>
      <vt:variant>
        <vt:i4>0</vt:i4>
      </vt:variant>
      <vt:variant>
        <vt:i4>5</vt:i4>
      </vt:variant>
      <vt:variant>
        <vt:lpwstr/>
      </vt:variant>
      <vt:variant>
        <vt:lpwstr>_ENREF_71</vt:lpwstr>
      </vt:variant>
      <vt:variant>
        <vt:i4>4587579</vt:i4>
      </vt:variant>
      <vt:variant>
        <vt:i4>5095</vt:i4>
      </vt:variant>
      <vt:variant>
        <vt:i4>0</vt:i4>
      </vt:variant>
      <vt:variant>
        <vt:i4>5</vt:i4>
      </vt:variant>
      <vt:variant>
        <vt:lpwstr/>
      </vt:variant>
      <vt:variant>
        <vt:lpwstr>_ENREF_70</vt:lpwstr>
      </vt:variant>
      <vt:variant>
        <vt:i4>4653106</vt:i4>
      </vt:variant>
      <vt:variant>
        <vt:i4>5089</vt:i4>
      </vt:variant>
      <vt:variant>
        <vt:i4>0</vt:i4>
      </vt:variant>
      <vt:variant>
        <vt:i4>5</vt:i4>
      </vt:variant>
      <vt:variant>
        <vt:lpwstr/>
      </vt:variant>
      <vt:variant>
        <vt:lpwstr>_ENREF_69</vt:lpwstr>
      </vt:variant>
      <vt:variant>
        <vt:i4>4456504</vt:i4>
      </vt:variant>
      <vt:variant>
        <vt:i4>5083</vt:i4>
      </vt:variant>
      <vt:variant>
        <vt:i4>0</vt:i4>
      </vt:variant>
      <vt:variant>
        <vt:i4>5</vt:i4>
      </vt:variant>
      <vt:variant>
        <vt:lpwstr/>
      </vt:variant>
      <vt:variant>
        <vt:lpwstr>_ENREF_53</vt:lpwstr>
      </vt:variant>
      <vt:variant>
        <vt:i4>4390972</vt:i4>
      </vt:variant>
      <vt:variant>
        <vt:i4>5077</vt:i4>
      </vt:variant>
      <vt:variant>
        <vt:i4>0</vt:i4>
      </vt:variant>
      <vt:variant>
        <vt:i4>5</vt:i4>
      </vt:variant>
      <vt:variant>
        <vt:lpwstr/>
      </vt:variant>
      <vt:variant>
        <vt:lpwstr>_ENREF_27</vt:lpwstr>
      </vt:variant>
      <vt:variant>
        <vt:i4>7536703</vt:i4>
      </vt:variant>
      <vt:variant>
        <vt:i4>5071</vt:i4>
      </vt:variant>
      <vt:variant>
        <vt:i4>0</vt:i4>
      </vt:variant>
      <vt:variant>
        <vt:i4>5</vt:i4>
      </vt:variant>
      <vt:variant>
        <vt:lpwstr/>
      </vt:variant>
      <vt:variant>
        <vt:lpwstr>_ENREF_143</vt:lpwstr>
      </vt:variant>
      <vt:variant>
        <vt:i4>4390970</vt:i4>
      </vt:variant>
      <vt:variant>
        <vt:i4>5063</vt:i4>
      </vt:variant>
      <vt:variant>
        <vt:i4>0</vt:i4>
      </vt:variant>
      <vt:variant>
        <vt:i4>5</vt:i4>
      </vt:variant>
      <vt:variant>
        <vt:lpwstr/>
      </vt:variant>
      <vt:variant>
        <vt:lpwstr>_ENREF_21</vt:lpwstr>
      </vt:variant>
      <vt:variant>
        <vt:i4>4194364</vt:i4>
      </vt:variant>
      <vt:variant>
        <vt:i4>5031</vt:i4>
      </vt:variant>
      <vt:variant>
        <vt:i4>0</vt:i4>
      </vt:variant>
      <vt:variant>
        <vt:i4>5</vt:i4>
      </vt:variant>
      <vt:variant>
        <vt:lpwstr/>
      </vt:variant>
      <vt:variant>
        <vt:lpwstr>_ENREF_17</vt:lpwstr>
      </vt:variant>
      <vt:variant>
        <vt:i4>4653113</vt:i4>
      </vt:variant>
      <vt:variant>
        <vt:i4>5022</vt:i4>
      </vt:variant>
      <vt:variant>
        <vt:i4>0</vt:i4>
      </vt:variant>
      <vt:variant>
        <vt:i4>5</vt:i4>
      </vt:variant>
      <vt:variant>
        <vt:lpwstr/>
      </vt:variant>
      <vt:variant>
        <vt:lpwstr>_ENREF_62</vt:lpwstr>
      </vt:variant>
      <vt:variant>
        <vt:i4>4522043</vt:i4>
      </vt:variant>
      <vt:variant>
        <vt:i4>5019</vt:i4>
      </vt:variant>
      <vt:variant>
        <vt:i4>0</vt:i4>
      </vt:variant>
      <vt:variant>
        <vt:i4>5</vt:i4>
      </vt:variant>
      <vt:variant>
        <vt:lpwstr/>
      </vt:variant>
      <vt:variant>
        <vt:lpwstr>_ENREF_40</vt:lpwstr>
      </vt:variant>
      <vt:variant>
        <vt:i4>4522043</vt:i4>
      </vt:variant>
      <vt:variant>
        <vt:i4>5010</vt:i4>
      </vt:variant>
      <vt:variant>
        <vt:i4>0</vt:i4>
      </vt:variant>
      <vt:variant>
        <vt:i4>5</vt:i4>
      </vt:variant>
      <vt:variant>
        <vt:lpwstr/>
      </vt:variant>
      <vt:variant>
        <vt:lpwstr>_ENREF_40</vt:lpwstr>
      </vt:variant>
      <vt:variant>
        <vt:i4>4522043</vt:i4>
      </vt:variant>
      <vt:variant>
        <vt:i4>5004</vt:i4>
      </vt:variant>
      <vt:variant>
        <vt:i4>0</vt:i4>
      </vt:variant>
      <vt:variant>
        <vt:i4>5</vt:i4>
      </vt:variant>
      <vt:variant>
        <vt:lpwstr/>
      </vt:variant>
      <vt:variant>
        <vt:lpwstr>_ENREF_40</vt:lpwstr>
      </vt:variant>
      <vt:variant>
        <vt:i4>4390962</vt:i4>
      </vt:variant>
      <vt:variant>
        <vt:i4>4998</vt:i4>
      </vt:variant>
      <vt:variant>
        <vt:i4>0</vt:i4>
      </vt:variant>
      <vt:variant>
        <vt:i4>5</vt:i4>
      </vt:variant>
      <vt:variant>
        <vt:lpwstr/>
      </vt:variant>
      <vt:variant>
        <vt:lpwstr>_ENREF_29</vt:lpwstr>
      </vt:variant>
      <vt:variant>
        <vt:i4>7798843</vt:i4>
      </vt:variant>
      <vt:variant>
        <vt:i4>4992</vt:i4>
      </vt:variant>
      <vt:variant>
        <vt:i4>0</vt:i4>
      </vt:variant>
      <vt:variant>
        <vt:i4>5</vt:i4>
      </vt:variant>
      <vt:variant>
        <vt:lpwstr/>
      </vt:variant>
      <vt:variant>
        <vt:lpwstr>_ENREF_107</vt:lpwstr>
      </vt:variant>
      <vt:variant>
        <vt:i4>4587531</vt:i4>
      </vt:variant>
      <vt:variant>
        <vt:i4>4602</vt:i4>
      </vt:variant>
      <vt:variant>
        <vt:i4>0</vt:i4>
      </vt:variant>
      <vt:variant>
        <vt:i4>5</vt:i4>
      </vt:variant>
      <vt:variant>
        <vt:lpwstr/>
      </vt:variant>
      <vt:variant>
        <vt:lpwstr>_ENREF_7</vt:lpwstr>
      </vt:variant>
      <vt:variant>
        <vt:i4>4653107</vt:i4>
      </vt:variant>
      <vt:variant>
        <vt:i4>4596</vt:i4>
      </vt:variant>
      <vt:variant>
        <vt:i4>0</vt:i4>
      </vt:variant>
      <vt:variant>
        <vt:i4>5</vt:i4>
      </vt:variant>
      <vt:variant>
        <vt:lpwstr/>
      </vt:variant>
      <vt:variant>
        <vt:lpwstr>_ENREF_68</vt:lpwstr>
      </vt:variant>
      <vt:variant>
        <vt:i4>7405625</vt:i4>
      </vt:variant>
      <vt:variant>
        <vt:i4>4590</vt:i4>
      </vt:variant>
      <vt:variant>
        <vt:i4>0</vt:i4>
      </vt:variant>
      <vt:variant>
        <vt:i4>5</vt:i4>
      </vt:variant>
      <vt:variant>
        <vt:lpwstr/>
      </vt:variant>
      <vt:variant>
        <vt:lpwstr>_ENREF_121</vt:lpwstr>
      </vt:variant>
      <vt:variant>
        <vt:i4>4522034</vt:i4>
      </vt:variant>
      <vt:variant>
        <vt:i4>4584</vt:i4>
      </vt:variant>
      <vt:variant>
        <vt:i4>0</vt:i4>
      </vt:variant>
      <vt:variant>
        <vt:i4>5</vt:i4>
      </vt:variant>
      <vt:variant>
        <vt:lpwstr/>
      </vt:variant>
      <vt:variant>
        <vt:lpwstr>_ENREF_49</vt:lpwstr>
      </vt:variant>
      <vt:variant>
        <vt:i4>4194362</vt:i4>
      </vt:variant>
      <vt:variant>
        <vt:i4>4578</vt:i4>
      </vt:variant>
      <vt:variant>
        <vt:i4>0</vt:i4>
      </vt:variant>
      <vt:variant>
        <vt:i4>5</vt:i4>
      </vt:variant>
      <vt:variant>
        <vt:lpwstr/>
      </vt:variant>
      <vt:variant>
        <vt:lpwstr>_ENREF_11</vt:lpwstr>
      </vt:variant>
      <vt:variant>
        <vt:i4>7667768</vt:i4>
      </vt:variant>
      <vt:variant>
        <vt:i4>4570</vt:i4>
      </vt:variant>
      <vt:variant>
        <vt:i4>0</vt:i4>
      </vt:variant>
      <vt:variant>
        <vt:i4>5</vt:i4>
      </vt:variant>
      <vt:variant>
        <vt:lpwstr/>
      </vt:variant>
      <vt:variant>
        <vt:lpwstr>_ENREF_135</vt:lpwstr>
      </vt:variant>
      <vt:variant>
        <vt:i4>4784179</vt:i4>
      </vt:variant>
      <vt:variant>
        <vt:i4>4564</vt:i4>
      </vt:variant>
      <vt:variant>
        <vt:i4>0</vt:i4>
      </vt:variant>
      <vt:variant>
        <vt:i4>5</vt:i4>
      </vt:variant>
      <vt:variant>
        <vt:lpwstr/>
      </vt:variant>
      <vt:variant>
        <vt:lpwstr>_ENREF_88</vt:lpwstr>
      </vt:variant>
      <vt:variant>
        <vt:i4>4784191</vt:i4>
      </vt:variant>
      <vt:variant>
        <vt:i4>4558</vt:i4>
      </vt:variant>
      <vt:variant>
        <vt:i4>0</vt:i4>
      </vt:variant>
      <vt:variant>
        <vt:i4>5</vt:i4>
      </vt:variant>
      <vt:variant>
        <vt:lpwstr/>
      </vt:variant>
      <vt:variant>
        <vt:lpwstr>_ENREF_84</vt:lpwstr>
      </vt:variant>
      <vt:variant>
        <vt:i4>7798842</vt:i4>
      </vt:variant>
      <vt:variant>
        <vt:i4>4552</vt:i4>
      </vt:variant>
      <vt:variant>
        <vt:i4>0</vt:i4>
      </vt:variant>
      <vt:variant>
        <vt:i4>5</vt:i4>
      </vt:variant>
      <vt:variant>
        <vt:lpwstr/>
      </vt:variant>
      <vt:variant>
        <vt:lpwstr>_ENREF_117</vt:lpwstr>
      </vt:variant>
      <vt:variant>
        <vt:i4>4390968</vt:i4>
      </vt:variant>
      <vt:variant>
        <vt:i4>4546</vt:i4>
      </vt:variant>
      <vt:variant>
        <vt:i4>0</vt:i4>
      </vt:variant>
      <vt:variant>
        <vt:i4>5</vt:i4>
      </vt:variant>
      <vt:variant>
        <vt:lpwstr/>
      </vt:variant>
      <vt:variant>
        <vt:lpwstr>_ENREF_23</vt:lpwstr>
      </vt:variant>
      <vt:variant>
        <vt:i4>4390975</vt:i4>
      </vt:variant>
      <vt:variant>
        <vt:i4>4540</vt:i4>
      </vt:variant>
      <vt:variant>
        <vt:i4>0</vt:i4>
      </vt:variant>
      <vt:variant>
        <vt:i4>5</vt:i4>
      </vt:variant>
      <vt:variant>
        <vt:lpwstr/>
      </vt:variant>
      <vt:variant>
        <vt:lpwstr>_ENREF_24</vt:lpwstr>
      </vt:variant>
      <vt:variant>
        <vt:i4>4456508</vt:i4>
      </vt:variant>
      <vt:variant>
        <vt:i4>4534</vt:i4>
      </vt:variant>
      <vt:variant>
        <vt:i4>0</vt:i4>
      </vt:variant>
      <vt:variant>
        <vt:i4>5</vt:i4>
      </vt:variant>
      <vt:variant>
        <vt:lpwstr/>
      </vt:variant>
      <vt:variant>
        <vt:lpwstr>_ENREF_57</vt:lpwstr>
      </vt:variant>
      <vt:variant>
        <vt:i4>4456499</vt:i4>
      </vt:variant>
      <vt:variant>
        <vt:i4>4528</vt:i4>
      </vt:variant>
      <vt:variant>
        <vt:i4>0</vt:i4>
      </vt:variant>
      <vt:variant>
        <vt:i4>5</vt:i4>
      </vt:variant>
      <vt:variant>
        <vt:lpwstr/>
      </vt:variant>
      <vt:variant>
        <vt:lpwstr>_ENREF_58</vt:lpwstr>
      </vt:variant>
      <vt:variant>
        <vt:i4>4456498</vt:i4>
      </vt:variant>
      <vt:variant>
        <vt:i4>4522</vt:i4>
      </vt:variant>
      <vt:variant>
        <vt:i4>0</vt:i4>
      </vt:variant>
      <vt:variant>
        <vt:i4>5</vt:i4>
      </vt:variant>
      <vt:variant>
        <vt:lpwstr/>
      </vt:variant>
      <vt:variant>
        <vt:lpwstr>_ENREF_59</vt:lpwstr>
      </vt:variant>
      <vt:variant>
        <vt:i4>4718653</vt:i4>
      </vt:variant>
      <vt:variant>
        <vt:i4>4516</vt:i4>
      </vt:variant>
      <vt:variant>
        <vt:i4>0</vt:i4>
      </vt:variant>
      <vt:variant>
        <vt:i4>5</vt:i4>
      </vt:variant>
      <vt:variant>
        <vt:lpwstr/>
      </vt:variant>
      <vt:variant>
        <vt:lpwstr>_ENREF_96</vt:lpwstr>
      </vt:variant>
      <vt:variant>
        <vt:i4>4718643</vt:i4>
      </vt:variant>
      <vt:variant>
        <vt:i4>4510</vt:i4>
      </vt:variant>
      <vt:variant>
        <vt:i4>0</vt:i4>
      </vt:variant>
      <vt:variant>
        <vt:i4>5</vt:i4>
      </vt:variant>
      <vt:variant>
        <vt:lpwstr/>
      </vt:variant>
      <vt:variant>
        <vt:lpwstr>_ENREF_98</vt:lpwstr>
      </vt:variant>
      <vt:variant>
        <vt:i4>4653118</vt:i4>
      </vt:variant>
      <vt:variant>
        <vt:i4>4504</vt:i4>
      </vt:variant>
      <vt:variant>
        <vt:i4>0</vt:i4>
      </vt:variant>
      <vt:variant>
        <vt:i4>5</vt:i4>
      </vt:variant>
      <vt:variant>
        <vt:lpwstr/>
      </vt:variant>
      <vt:variant>
        <vt:lpwstr>_ENREF_65</vt:lpwstr>
      </vt:variant>
      <vt:variant>
        <vt:i4>4522045</vt:i4>
      </vt:variant>
      <vt:variant>
        <vt:i4>4496</vt:i4>
      </vt:variant>
      <vt:variant>
        <vt:i4>0</vt:i4>
      </vt:variant>
      <vt:variant>
        <vt:i4>5</vt:i4>
      </vt:variant>
      <vt:variant>
        <vt:lpwstr/>
      </vt:variant>
      <vt:variant>
        <vt:lpwstr>_ENREF_46</vt:lpwstr>
      </vt:variant>
      <vt:variant>
        <vt:i4>7602233</vt:i4>
      </vt:variant>
      <vt:variant>
        <vt:i4>4490</vt:i4>
      </vt:variant>
      <vt:variant>
        <vt:i4>0</vt:i4>
      </vt:variant>
      <vt:variant>
        <vt:i4>5</vt:i4>
      </vt:variant>
      <vt:variant>
        <vt:lpwstr/>
      </vt:variant>
      <vt:variant>
        <vt:lpwstr>_ENREF_124</vt:lpwstr>
      </vt:variant>
      <vt:variant>
        <vt:i4>7536697</vt:i4>
      </vt:variant>
      <vt:variant>
        <vt:i4>4487</vt:i4>
      </vt:variant>
      <vt:variant>
        <vt:i4>0</vt:i4>
      </vt:variant>
      <vt:variant>
        <vt:i4>5</vt:i4>
      </vt:variant>
      <vt:variant>
        <vt:lpwstr/>
      </vt:variant>
      <vt:variant>
        <vt:lpwstr>_ENREF_123</vt:lpwstr>
      </vt:variant>
      <vt:variant>
        <vt:i4>4718655</vt:i4>
      </vt:variant>
      <vt:variant>
        <vt:i4>4481</vt:i4>
      </vt:variant>
      <vt:variant>
        <vt:i4>0</vt:i4>
      </vt:variant>
      <vt:variant>
        <vt:i4>5</vt:i4>
      </vt:variant>
      <vt:variant>
        <vt:lpwstr/>
      </vt:variant>
      <vt:variant>
        <vt:lpwstr>_ENREF_94</vt:lpwstr>
      </vt:variant>
      <vt:variant>
        <vt:i4>4784178</vt:i4>
      </vt:variant>
      <vt:variant>
        <vt:i4>4475</vt:i4>
      </vt:variant>
      <vt:variant>
        <vt:i4>0</vt:i4>
      </vt:variant>
      <vt:variant>
        <vt:i4>5</vt:i4>
      </vt:variant>
      <vt:variant>
        <vt:lpwstr/>
      </vt:variant>
      <vt:variant>
        <vt:lpwstr>_ENREF_89</vt:lpwstr>
      </vt:variant>
      <vt:variant>
        <vt:i4>4653112</vt:i4>
      </vt:variant>
      <vt:variant>
        <vt:i4>4469</vt:i4>
      </vt:variant>
      <vt:variant>
        <vt:i4>0</vt:i4>
      </vt:variant>
      <vt:variant>
        <vt:i4>5</vt:i4>
      </vt:variant>
      <vt:variant>
        <vt:lpwstr/>
      </vt:variant>
      <vt:variant>
        <vt:lpwstr>_ENREF_63</vt:lpwstr>
      </vt:variant>
      <vt:variant>
        <vt:i4>7929913</vt:i4>
      </vt:variant>
      <vt:variant>
        <vt:i4>4455</vt:i4>
      </vt:variant>
      <vt:variant>
        <vt:i4>0</vt:i4>
      </vt:variant>
      <vt:variant>
        <vt:i4>5</vt:i4>
      </vt:variant>
      <vt:variant>
        <vt:lpwstr/>
      </vt:variant>
      <vt:variant>
        <vt:lpwstr>_ENREF_129</vt:lpwstr>
      </vt:variant>
      <vt:variant>
        <vt:i4>7667775</vt:i4>
      </vt:variant>
      <vt:variant>
        <vt:i4>4449</vt:i4>
      </vt:variant>
      <vt:variant>
        <vt:i4>0</vt:i4>
      </vt:variant>
      <vt:variant>
        <vt:i4>5</vt:i4>
      </vt:variant>
      <vt:variant>
        <vt:lpwstr/>
      </vt:variant>
      <vt:variant>
        <vt:lpwstr>_ENREF_145</vt:lpwstr>
      </vt:variant>
      <vt:variant>
        <vt:i4>4194361</vt:i4>
      </vt:variant>
      <vt:variant>
        <vt:i4>4443</vt:i4>
      </vt:variant>
      <vt:variant>
        <vt:i4>0</vt:i4>
      </vt:variant>
      <vt:variant>
        <vt:i4>5</vt:i4>
      </vt:variant>
      <vt:variant>
        <vt:lpwstr/>
      </vt:variant>
      <vt:variant>
        <vt:lpwstr>_ENREF_12</vt:lpwstr>
      </vt:variant>
      <vt:variant>
        <vt:i4>4325436</vt:i4>
      </vt:variant>
      <vt:variant>
        <vt:i4>4437</vt:i4>
      </vt:variant>
      <vt:variant>
        <vt:i4>0</vt:i4>
      </vt:variant>
      <vt:variant>
        <vt:i4>5</vt:i4>
      </vt:variant>
      <vt:variant>
        <vt:lpwstr/>
      </vt:variant>
      <vt:variant>
        <vt:lpwstr>_ENREF_37</vt:lpwstr>
      </vt:variant>
      <vt:variant>
        <vt:i4>4325437</vt:i4>
      </vt:variant>
      <vt:variant>
        <vt:i4>4431</vt:i4>
      </vt:variant>
      <vt:variant>
        <vt:i4>0</vt:i4>
      </vt:variant>
      <vt:variant>
        <vt:i4>5</vt:i4>
      </vt:variant>
      <vt:variant>
        <vt:lpwstr/>
      </vt:variant>
      <vt:variant>
        <vt:lpwstr>_ENREF_36</vt:lpwstr>
      </vt:variant>
      <vt:variant>
        <vt:i4>7733311</vt:i4>
      </vt:variant>
      <vt:variant>
        <vt:i4>4425</vt:i4>
      </vt:variant>
      <vt:variant>
        <vt:i4>0</vt:i4>
      </vt:variant>
      <vt:variant>
        <vt:i4>5</vt:i4>
      </vt:variant>
      <vt:variant>
        <vt:lpwstr/>
      </vt:variant>
      <vt:variant>
        <vt:lpwstr>_ENREF_146</vt:lpwstr>
      </vt:variant>
      <vt:variant>
        <vt:i4>4194362</vt:i4>
      </vt:variant>
      <vt:variant>
        <vt:i4>4414</vt:i4>
      </vt:variant>
      <vt:variant>
        <vt:i4>0</vt:i4>
      </vt:variant>
      <vt:variant>
        <vt:i4>5</vt:i4>
      </vt:variant>
      <vt:variant>
        <vt:lpwstr/>
      </vt:variant>
      <vt:variant>
        <vt:lpwstr>_ENREF_11</vt:lpwstr>
      </vt:variant>
      <vt:variant>
        <vt:i4>4653118</vt:i4>
      </vt:variant>
      <vt:variant>
        <vt:i4>4403</vt:i4>
      </vt:variant>
      <vt:variant>
        <vt:i4>0</vt:i4>
      </vt:variant>
      <vt:variant>
        <vt:i4>5</vt:i4>
      </vt:variant>
      <vt:variant>
        <vt:lpwstr/>
      </vt:variant>
      <vt:variant>
        <vt:lpwstr>_ENREF_65</vt:lpwstr>
      </vt:variant>
      <vt:variant>
        <vt:i4>4653112</vt:i4>
      </vt:variant>
      <vt:variant>
        <vt:i4>4400</vt:i4>
      </vt:variant>
      <vt:variant>
        <vt:i4>0</vt:i4>
      </vt:variant>
      <vt:variant>
        <vt:i4>5</vt:i4>
      </vt:variant>
      <vt:variant>
        <vt:lpwstr/>
      </vt:variant>
      <vt:variant>
        <vt:lpwstr>_ENREF_63</vt:lpwstr>
      </vt:variant>
      <vt:variant>
        <vt:i4>7798842</vt:i4>
      </vt:variant>
      <vt:variant>
        <vt:i4>4392</vt:i4>
      </vt:variant>
      <vt:variant>
        <vt:i4>0</vt:i4>
      </vt:variant>
      <vt:variant>
        <vt:i4>5</vt:i4>
      </vt:variant>
      <vt:variant>
        <vt:lpwstr/>
      </vt:variant>
      <vt:variant>
        <vt:lpwstr>_ENREF_117</vt:lpwstr>
      </vt:variant>
      <vt:variant>
        <vt:i4>4653118</vt:i4>
      </vt:variant>
      <vt:variant>
        <vt:i4>4386</vt:i4>
      </vt:variant>
      <vt:variant>
        <vt:i4>0</vt:i4>
      </vt:variant>
      <vt:variant>
        <vt:i4>5</vt:i4>
      </vt:variant>
      <vt:variant>
        <vt:lpwstr/>
      </vt:variant>
      <vt:variant>
        <vt:lpwstr>_ENREF_65</vt:lpwstr>
      </vt:variant>
      <vt:variant>
        <vt:i4>4587582</vt:i4>
      </vt:variant>
      <vt:variant>
        <vt:i4>4378</vt:i4>
      </vt:variant>
      <vt:variant>
        <vt:i4>0</vt:i4>
      </vt:variant>
      <vt:variant>
        <vt:i4>5</vt:i4>
      </vt:variant>
      <vt:variant>
        <vt:lpwstr/>
      </vt:variant>
      <vt:variant>
        <vt:lpwstr>_ENREF_75</vt:lpwstr>
      </vt:variant>
      <vt:variant>
        <vt:i4>4390975</vt:i4>
      </vt:variant>
      <vt:variant>
        <vt:i4>4375</vt:i4>
      </vt:variant>
      <vt:variant>
        <vt:i4>0</vt:i4>
      </vt:variant>
      <vt:variant>
        <vt:i4>5</vt:i4>
      </vt:variant>
      <vt:variant>
        <vt:lpwstr/>
      </vt:variant>
      <vt:variant>
        <vt:lpwstr>_ENREF_24</vt:lpwstr>
      </vt:variant>
      <vt:variant>
        <vt:i4>4194362</vt:i4>
      </vt:variant>
      <vt:variant>
        <vt:i4>4372</vt:i4>
      </vt:variant>
      <vt:variant>
        <vt:i4>0</vt:i4>
      </vt:variant>
      <vt:variant>
        <vt:i4>5</vt:i4>
      </vt:variant>
      <vt:variant>
        <vt:lpwstr/>
      </vt:variant>
      <vt:variant>
        <vt:lpwstr>_ENREF_11</vt:lpwstr>
      </vt:variant>
      <vt:variant>
        <vt:i4>4718651</vt:i4>
      </vt:variant>
      <vt:variant>
        <vt:i4>4364</vt:i4>
      </vt:variant>
      <vt:variant>
        <vt:i4>0</vt:i4>
      </vt:variant>
      <vt:variant>
        <vt:i4>5</vt:i4>
      </vt:variant>
      <vt:variant>
        <vt:lpwstr/>
      </vt:variant>
      <vt:variant>
        <vt:lpwstr>_ENREF_90</vt:lpwstr>
      </vt:variant>
      <vt:variant>
        <vt:i4>7798842</vt:i4>
      </vt:variant>
      <vt:variant>
        <vt:i4>4355</vt:i4>
      </vt:variant>
      <vt:variant>
        <vt:i4>0</vt:i4>
      </vt:variant>
      <vt:variant>
        <vt:i4>5</vt:i4>
      </vt:variant>
      <vt:variant>
        <vt:lpwstr/>
      </vt:variant>
      <vt:variant>
        <vt:lpwstr>_ENREF_117</vt:lpwstr>
      </vt:variant>
      <vt:variant>
        <vt:i4>4653112</vt:i4>
      </vt:variant>
      <vt:variant>
        <vt:i4>4349</vt:i4>
      </vt:variant>
      <vt:variant>
        <vt:i4>0</vt:i4>
      </vt:variant>
      <vt:variant>
        <vt:i4>5</vt:i4>
      </vt:variant>
      <vt:variant>
        <vt:lpwstr/>
      </vt:variant>
      <vt:variant>
        <vt:lpwstr>_ENREF_63</vt:lpwstr>
      </vt:variant>
      <vt:variant>
        <vt:i4>4653118</vt:i4>
      </vt:variant>
      <vt:variant>
        <vt:i4>4341</vt:i4>
      </vt:variant>
      <vt:variant>
        <vt:i4>0</vt:i4>
      </vt:variant>
      <vt:variant>
        <vt:i4>5</vt:i4>
      </vt:variant>
      <vt:variant>
        <vt:lpwstr/>
      </vt:variant>
      <vt:variant>
        <vt:lpwstr>_ENREF_65</vt:lpwstr>
      </vt:variant>
      <vt:variant>
        <vt:i4>4653112</vt:i4>
      </vt:variant>
      <vt:variant>
        <vt:i4>4338</vt:i4>
      </vt:variant>
      <vt:variant>
        <vt:i4>0</vt:i4>
      </vt:variant>
      <vt:variant>
        <vt:i4>5</vt:i4>
      </vt:variant>
      <vt:variant>
        <vt:lpwstr/>
      </vt:variant>
      <vt:variant>
        <vt:lpwstr>_ENREF_63</vt:lpwstr>
      </vt:variant>
      <vt:variant>
        <vt:i4>4653118</vt:i4>
      </vt:variant>
      <vt:variant>
        <vt:i4>4330</vt:i4>
      </vt:variant>
      <vt:variant>
        <vt:i4>0</vt:i4>
      </vt:variant>
      <vt:variant>
        <vt:i4>5</vt:i4>
      </vt:variant>
      <vt:variant>
        <vt:lpwstr/>
      </vt:variant>
      <vt:variant>
        <vt:lpwstr>_ENREF_65</vt:lpwstr>
      </vt:variant>
      <vt:variant>
        <vt:i4>4718651</vt:i4>
      </vt:variant>
      <vt:variant>
        <vt:i4>4322</vt:i4>
      </vt:variant>
      <vt:variant>
        <vt:i4>0</vt:i4>
      </vt:variant>
      <vt:variant>
        <vt:i4>5</vt:i4>
      </vt:variant>
      <vt:variant>
        <vt:lpwstr/>
      </vt:variant>
      <vt:variant>
        <vt:lpwstr>_ENREF_90</vt:lpwstr>
      </vt:variant>
      <vt:variant>
        <vt:i4>4653112</vt:i4>
      </vt:variant>
      <vt:variant>
        <vt:i4>4316</vt:i4>
      </vt:variant>
      <vt:variant>
        <vt:i4>0</vt:i4>
      </vt:variant>
      <vt:variant>
        <vt:i4>5</vt:i4>
      </vt:variant>
      <vt:variant>
        <vt:lpwstr/>
      </vt:variant>
      <vt:variant>
        <vt:lpwstr>_ENREF_63</vt:lpwstr>
      </vt:variant>
      <vt:variant>
        <vt:i4>4653112</vt:i4>
      </vt:variant>
      <vt:variant>
        <vt:i4>4308</vt:i4>
      </vt:variant>
      <vt:variant>
        <vt:i4>0</vt:i4>
      </vt:variant>
      <vt:variant>
        <vt:i4>5</vt:i4>
      </vt:variant>
      <vt:variant>
        <vt:lpwstr/>
      </vt:variant>
      <vt:variant>
        <vt:lpwstr>_ENREF_63</vt:lpwstr>
      </vt:variant>
      <vt:variant>
        <vt:i4>4784178</vt:i4>
      </vt:variant>
      <vt:variant>
        <vt:i4>4297</vt:i4>
      </vt:variant>
      <vt:variant>
        <vt:i4>0</vt:i4>
      </vt:variant>
      <vt:variant>
        <vt:i4>5</vt:i4>
      </vt:variant>
      <vt:variant>
        <vt:lpwstr/>
      </vt:variant>
      <vt:variant>
        <vt:lpwstr>_ENREF_89</vt:lpwstr>
      </vt:variant>
      <vt:variant>
        <vt:i4>4456509</vt:i4>
      </vt:variant>
      <vt:variant>
        <vt:i4>4288</vt:i4>
      </vt:variant>
      <vt:variant>
        <vt:i4>0</vt:i4>
      </vt:variant>
      <vt:variant>
        <vt:i4>5</vt:i4>
      </vt:variant>
      <vt:variant>
        <vt:lpwstr/>
      </vt:variant>
      <vt:variant>
        <vt:lpwstr>_ENREF_56</vt:lpwstr>
      </vt:variant>
      <vt:variant>
        <vt:i4>7798842</vt:i4>
      </vt:variant>
      <vt:variant>
        <vt:i4>4282</vt:i4>
      </vt:variant>
      <vt:variant>
        <vt:i4>0</vt:i4>
      </vt:variant>
      <vt:variant>
        <vt:i4>5</vt:i4>
      </vt:variant>
      <vt:variant>
        <vt:lpwstr/>
      </vt:variant>
      <vt:variant>
        <vt:lpwstr>_ENREF_117</vt:lpwstr>
      </vt:variant>
      <vt:variant>
        <vt:i4>4653112</vt:i4>
      </vt:variant>
      <vt:variant>
        <vt:i4>4276</vt:i4>
      </vt:variant>
      <vt:variant>
        <vt:i4>0</vt:i4>
      </vt:variant>
      <vt:variant>
        <vt:i4>5</vt:i4>
      </vt:variant>
      <vt:variant>
        <vt:lpwstr/>
      </vt:variant>
      <vt:variant>
        <vt:lpwstr>_ENREF_63</vt:lpwstr>
      </vt:variant>
      <vt:variant>
        <vt:i4>4653118</vt:i4>
      </vt:variant>
      <vt:variant>
        <vt:i4>4268</vt:i4>
      </vt:variant>
      <vt:variant>
        <vt:i4>0</vt:i4>
      </vt:variant>
      <vt:variant>
        <vt:i4>5</vt:i4>
      </vt:variant>
      <vt:variant>
        <vt:lpwstr/>
      </vt:variant>
      <vt:variant>
        <vt:lpwstr>_ENREF_65</vt:lpwstr>
      </vt:variant>
      <vt:variant>
        <vt:i4>7536696</vt:i4>
      </vt:variant>
      <vt:variant>
        <vt:i4>4230</vt:i4>
      </vt:variant>
      <vt:variant>
        <vt:i4>0</vt:i4>
      </vt:variant>
      <vt:variant>
        <vt:i4>5</vt:i4>
      </vt:variant>
      <vt:variant>
        <vt:lpwstr/>
      </vt:variant>
      <vt:variant>
        <vt:lpwstr>_ENREF_133</vt:lpwstr>
      </vt:variant>
      <vt:variant>
        <vt:i4>4718603</vt:i4>
      </vt:variant>
      <vt:variant>
        <vt:i4>4224</vt:i4>
      </vt:variant>
      <vt:variant>
        <vt:i4>0</vt:i4>
      </vt:variant>
      <vt:variant>
        <vt:i4>5</vt:i4>
      </vt:variant>
      <vt:variant>
        <vt:lpwstr/>
      </vt:variant>
      <vt:variant>
        <vt:lpwstr>_ENREF_9</vt:lpwstr>
      </vt:variant>
      <vt:variant>
        <vt:i4>7536696</vt:i4>
      </vt:variant>
      <vt:variant>
        <vt:i4>4210</vt:i4>
      </vt:variant>
      <vt:variant>
        <vt:i4>0</vt:i4>
      </vt:variant>
      <vt:variant>
        <vt:i4>5</vt:i4>
      </vt:variant>
      <vt:variant>
        <vt:lpwstr/>
      </vt:variant>
      <vt:variant>
        <vt:lpwstr>_ENREF_133</vt:lpwstr>
      </vt:variant>
      <vt:variant>
        <vt:i4>4718603</vt:i4>
      </vt:variant>
      <vt:variant>
        <vt:i4>4207</vt:i4>
      </vt:variant>
      <vt:variant>
        <vt:i4>0</vt:i4>
      </vt:variant>
      <vt:variant>
        <vt:i4>5</vt:i4>
      </vt:variant>
      <vt:variant>
        <vt:lpwstr/>
      </vt:variant>
      <vt:variant>
        <vt:lpwstr>_ENREF_9</vt:lpwstr>
      </vt:variant>
      <vt:variant>
        <vt:i4>4456505</vt:i4>
      </vt:variant>
      <vt:variant>
        <vt:i4>4199</vt:i4>
      </vt:variant>
      <vt:variant>
        <vt:i4>0</vt:i4>
      </vt:variant>
      <vt:variant>
        <vt:i4>5</vt:i4>
      </vt:variant>
      <vt:variant>
        <vt:lpwstr/>
      </vt:variant>
      <vt:variant>
        <vt:lpwstr>_ENREF_52</vt:lpwstr>
      </vt:variant>
      <vt:variant>
        <vt:i4>4390971</vt:i4>
      </vt:variant>
      <vt:variant>
        <vt:i4>4193</vt:i4>
      </vt:variant>
      <vt:variant>
        <vt:i4>0</vt:i4>
      </vt:variant>
      <vt:variant>
        <vt:i4>5</vt:i4>
      </vt:variant>
      <vt:variant>
        <vt:lpwstr/>
      </vt:variant>
      <vt:variant>
        <vt:lpwstr>_ENREF_20</vt:lpwstr>
      </vt:variant>
      <vt:variant>
        <vt:i4>4390971</vt:i4>
      </vt:variant>
      <vt:variant>
        <vt:i4>4179</vt:i4>
      </vt:variant>
      <vt:variant>
        <vt:i4>0</vt:i4>
      </vt:variant>
      <vt:variant>
        <vt:i4>5</vt:i4>
      </vt:variant>
      <vt:variant>
        <vt:lpwstr/>
      </vt:variant>
      <vt:variant>
        <vt:lpwstr>_ENREF_20</vt:lpwstr>
      </vt:variant>
      <vt:variant>
        <vt:i4>4784184</vt:i4>
      </vt:variant>
      <vt:variant>
        <vt:i4>4171</vt:i4>
      </vt:variant>
      <vt:variant>
        <vt:i4>0</vt:i4>
      </vt:variant>
      <vt:variant>
        <vt:i4>5</vt:i4>
      </vt:variant>
      <vt:variant>
        <vt:lpwstr/>
      </vt:variant>
      <vt:variant>
        <vt:lpwstr>_ENREF_83</vt:lpwstr>
      </vt:variant>
      <vt:variant>
        <vt:i4>4522041</vt:i4>
      </vt:variant>
      <vt:variant>
        <vt:i4>4163</vt:i4>
      </vt:variant>
      <vt:variant>
        <vt:i4>0</vt:i4>
      </vt:variant>
      <vt:variant>
        <vt:i4>5</vt:i4>
      </vt:variant>
      <vt:variant>
        <vt:lpwstr/>
      </vt:variant>
      <vt:variant>
        <vt:lpwstr>_ENREF_42</vt:lpwstr>
      </vt:variant>
      <vt:variant>
        <vt:i4>4784184</vt:i4>
      </vt:variant>
      <vt:variant>
        <vt:i4>4152</vt:i4>
      </vt:variant>
      <vt:variant>
        <vt:i4>0</vt:i4>
      </vt:variant>
      <vt:variant>
        <vt:i4>5</vt:i4>
      </vt:variant>
      <vt:variant>
        <vt:lpwstr/>
      </vt:variant>
      <vt:variant>
        <vt:lpwstr>_ENREF_83</vt:lpwstr>
      </vt:variant>
      <vt:variant>
        <vt:i4>4522041</vt:i4>
      </vt:variant>
      <vt:variant>
        <vt:i4>4144</vt:i4>
      </vt:variant>
      <vt:variant>
        <vt:i4>0</vt:i4>
      </vt:variant>
      <vt:variant>
        <vt:i4>5</vt:i4>
      </vt:variant>
      <vt:variant>
        <vt:lpwstr/>
      </vt:variant>
      <vt:variant>
        <vt:lpwstr>_ENREF_42</vt:lpwstr>
      </vt:variant>
      <vt:variant>
        <vt:i4>4522046</vt:i4>
      </vt:variant>
      <vt:variant>
        <vt:i4>4133</vt:i4>
      </vt:variant>
      <vt:variant>
        <vt:i4>0</vt:i4>
      </vt:variant>
      <vt:variant>
        <vt:i4>5</vt:i4>
      </vt:variant>
      <vt:variant>
        <vt:lpwstr/>
      </vt:variant>
      <vt:variant>
        <vt:lpwstr>_ENREF_45</vt:lpwstr>
      </vt:variant>
      <vt:variant>
        <vt:i4>4325433</vt:i4>
      </vt:variant>
      <vt:variant>
        <vt:i4>4125</vt:i4>
      </vt:variant>
      <vt:variant>
        <vt:i4>0</vt:i4>
      </vt:variant>
      <vt:variant>
        <vt:i4>5</vt:i4>
      </vt:variant>
      <vt:variant>
        <vt:lpwstr/>
      </vt:variant>
      <vt:variant>
        <vt:lpwstr>_ENREF_32</vt:lpwstr>
      </vt:variant>
      <vt:variant>
        <vt:i4>4522046</vt:i4>
      </vt:variant>
      <vt:variant>
        <vt:i4>4116</vt:i4>
      </vt:variant>
      <vt:variant>
        <vt:i4>0</vt:i4>
      </vt:variant>
      <vt:variant>
        <vt:i4>5</vt:i4>
      </vt:variant>
      <vt:variant>
        <vt:lpwstr/>
      </vt:variant>
      <vt:variant>
        <vt:lpwstr>_ENREF_45</vt:lpwstr>
      </vt:variant>
      <vt:variant>
        <vt:i4>4325433</vt:i4>
      </vt:variant>
      <vt:variant>
        <vt:i4>4113</vt:i4>
      </vt:variant>
      <vt:variant>
        <vt:i4>0</vt:i4>
      </vt:variant>
      <vt:variant>
        <vt:i4>5</vt:i4>
      </vt:variant>
      <vt:variant>
        <vt:lpwstr/>
      </vt:variant>
      <vt:variant>
        <vt:lpwstr>_ENREF_32</vt:lpwstr>
      </vt:variant>
      <vt:variant>
        <vt:i4>4456507</vt:i4>
      </vt:variant>
      <vt:variant>
        <vt:i4>4102</vt:i4>
      </vt:variant>
      <vt:variant>
        <vt:i4>0</vt:i4>
      </vt:variant>
      <vt:variant>
        <vt:i4>5</vt:i4>
      </vt:variant>
      <vt:variant>
        <vt:lpwstr/>
      </vt:variant>
      <vt:variant>
        <vt:lpwstr>_ENREF_50</vt:lpwstr>
      </vt:variant>
      <vt:variant>
        <vt:i4>4390971</vt:i4>
      </vt:variant>
      <vt:variant>
        <vt:i4>4096</vt:i4>
      </vt:variant>
      <vt:variant>
        <vt:i4>0</vt:i4>
      </vt:variant>
      <vt:variant>
        <vt:i4>5</vt:i4>
      </vt:variant>
      <vt:variant>
        <vt:lpwstr/>
      </vt:variant>
      <vt:variant>
        <vt:lpwstr>_ENREF_20</vt:lpwstr>
      </vt:variant>
      <vt:variant>
        <vt:i4>4390971</vt:i4>
      </vt:variant>
      <vt:variant>
        <vt:i4>4082</vt:i4>
      </vt:variant>
      <vt:variant>
        <vt:i4>0</vt:i4>
      </vt:variant>
      <vt:variant>
        <vt:i4>5</vt:i4>
      </vt:variant>
      <vt:variant>
        <vt:lpwstr/>
      </vt:variant>
      <vt:variant>
        <vt:lpwstr>_ENREF_20</vt:lpwstr>
      </vt:variant>
      <vt:variant>
        <vt:i4>4784139</vt:i4>
      </vt:variant>
      <vt:variant>
        <vt:i4>4074</vt:i4>
      </vt:variant>
      <vt:variant>
        <vt:i4>0</vt:i4>
      </vt:variant>
      <vt:variant>
        <vt:i4>5</vt:i4>
      </vt:variant>
      <vt:variant>
        <vt:lpwstr/>
      </vt:variant>
      <vt:variant>
        <vt:lpwstr>_ENREF_8</vt:lpwstr>
      </vt:variant>
      <vt:variant>
        <vt:i4>4784184</vt:i4>
      </vt:variant>
      <vt:variant>
        <vt:i4>4068</vt:i4>
      </vt:variant>
      <vt:variant>
        <vt:i4>0</vt:i4>
      </vt:variant>
      <vt:variant>
        <vt:i4>5</vt:i4>
      </vt:variant>
      <vt:variant>
        <vt:lpwstr/>
      </vt:variant>
      <vt:variant>
        <vt:lpwstr>_ENREF_83</vt:lpwstr>
      </vt:variant>
      <vt:variant>
        <vt:i4>4390971</vt:i4>
      </vt:variant>
      <vt:variant>
        <vt:i4>4057</vt:i4>
      </vt:variant>
      <vt:variant>
        <vt:i4>0</vt:i4>
      </vt:variant>
      <vt:variant>
        <vt:i4>5</vt:i4>
      </vt:variant>
      <vt:variant>
        <vt:lpwstr/>
      </vt:variant>
      <vt:variant>
        <vt:lpwstr>_ENREF_20</vt:lpwstr>
      </vt:variant>
      <vt:variant>
        <vt:i4>4784184</vt:i4>
      </vt:variant>
      <vt:variant>
        <vt:i4>4049</vt:i4>
      </vt:variant>
      <vt:variant>
        <vt:i4>0</vt:i4>
      </vt:variant>
      <vt:variant>
        <vt:i4>5</vt:i4>
      </vt:variant>
      <vt:variant>
        <vt:lpwstr/>
      </vt:variant>
      <vt:variant>
        <vt:lpwstr>_ENREF_83</vt:lpwstr>
      </vt:variant>
      <vt:variant>
        <vt:i4>4784139</vt:i4>
      </vt:variant>
      <vt:variant>
        <vt:i4>4046</vt:i4>
      </vt:variant>
      <vt:variant>
        <vt:i4>0</vt:i4>
      </vt:variant>
      <vt:variant>
        <vt:i4>5</vt:i4>
      </vt:variant>
      <vt:variant>
        <vt:lpwstr/>
      </vt:variant>
      <vt:variant>
        <vt:lpwstr>_ENREF_8</vt:lpwstr>
      </vt:variant>
      <vt:variant>
        <vt:i4>4390971</vt:i4>
      </vt:variant>
      <vt:variant>
        <vt:i4>4038</vt:i4>
      </vt:variant>
      <vt:variant>
        <vt:i4>0</vt:i4>
      </vt:variant>
      <vt:variant>
        <vt:i4>5</vt:i4>
      </vt:variant>
      <vt:variant>
        <vt:lpwstr/>
      </vt:variant>
      <vt:variant>
        <vt:lpwstr>_ENREF_20</vt:lpwstr>
      </vt:variant>
      <vt:variant>
        <vt:i4>4784184</vt:i4>
      </vt:variant>
      <vt:variant>
        <vt:i4>4030</vt:i4>
      </vt:variant>
      <vt:variant>
        <vt:i4>0</vt:i4>
      </vt:variant>
      <vt:variant>
        <vt:i4>5</vt:i4>
      </vt:variant>
      <vt:variant>
        <vt:lpwstr/>
      </vt:variant>
      <vt:variant>
        <vt:lpwstr>_ENREF_83</vt:lpwstr>
      </vt:variant>
      <vt:variant>
        <vt:i4>4784184</vt:i4>
      </vt:variant>
      <vt:variant>
        <vt:i4>4019</vt:i4>
      </vt:variant>
      <vt:variant>
        <vt:i4>0</vt:i4>
      </vt:variant>
      <vt:variant>
        <vt:i4>5</vt:i4>
      </vt:variant>
      <vt:variant>
        <vt:lpwstr/>
      </vt:variant>
      <vt:variant>
        <vt:lpwstr>_ENREF_83</vt:lpwstr>
      </vt:variant>
      <vt:variant>
        <vt:i4>4718603</vt:i4>
      </vt:variant>
      <vt:variant>
        <vt:i4>4016</vt:i4>
      </vt:variant>
      <vt:variant>
        <vt:i4>0</vt:i4>
      </vt:variant>
      <vt:variant>
        <vt:i4>5</vt:i4>
      </vt:variant>
      <vt:variant>
        <vt:lpwstr/>
      </vt:variant>
      <vt:variant>
        <vt:lpwstr>_ENREF_9</vt:lpwstr>
      </vt:variant>
      <vt:variant>
        <vt:i4>4390969</vt:i4>
      </vt:variant>
      <vt:variant>
        <vt:i4>4005</vt:i4>
      </vt:variant>
      <vt:variant>
        <vt:i4>0</vt:i4>
      </vt:variant>
      <vt:variant>
        <vt:i4>5</vt:i4>
      </vt:variant>
      <vt:variant>
        <vt:lpwstr/>
      </vt:variant>
      <vt:variant>
        <vt:lpwstr>_ENREF_22</vt:lpwstr>
      </vt:variant>
      <vt:variant>
        <vt:i4>7340094</vt:i4>
      </vt:variant>
      <vt:variant>
        <vt:i4>3997</vt:i4>
      </vt:variant>
      <vt:variant>
        <vt:i4>0</vt:i4>
      </vt:variant>
      <vt:variant>
        <vt:i4>5</vt:i4>
      </vt:variant>
      <vt:variant>
        <vt:lpwstr/>
      </vt:variant>
      <vt:variant>
        <vt:lpwstr>_ENREF_150</vt:lpwstr>
      </vt:variant>
      <vt:variant>
        <vt:i4>4194355</vt:i4>
      </vt:variant>
      <vt:variant>
        <vt:i4>3991</vt:i4>
      </vt:variant>
      <vt:variant>
        <vt:i4>0</vt:i4>
      </vt:variant>
      <vt:variant>
        <vt:i4>5</vt:i4>
      </vt:variant>
      <vt:variant>
        <vt:lpwstr/>
      </vt:variant>
      <vt:variant>
        <vt:lpwstr>_ENREF_18</vt:lpwstr>
      </vt:variant>
      <vt:variant>
        <vt:i4>4194355</vt:i4>
      </vt:variant>
      <vt:variant>
        <vt:i4>3982</vt:i4>
      </vt:variant>
      <vt:variant>
        <vt:i4>0</vt:i4>
      </vt:variant>
      <vt:variant>
        <vt:i4>5</vt:i4>
      </vt:variant>
      <vt:variant>
        <vt:lpwstr/>
      </vt:variant>
      <vt:variant>
        <vt:lpwstr>_ENREF_18</vt:lpwstr>
      </vt:variant>
      <vt:variant>
        <vt:i4>4194355</vt:i4>
      </vt:variant>
      <vt:variant>
        <vt:i4>3976</vt:i4>
      </vt:variant>
      <vt:variant>
        <vt:i4>0</vt:i4>
      </vt:variant>
      <vt:variant>
        <vt:i4>5</vt:i4>
      </vt:variant>
      <vt:variant>
        <vt:lpwstr/>
      </vt:variant>
      <vt:variant>
        <vt:lpwstr>_ENREF_18</vt:lpwstr>
      </vt:variant>
      <vt:variant>
        <vt:i4>4456510</vt:i4>
      </vt:variant>
      <vt:variant>
        <vt:i4>3970</vt:i4>
      </vt:variant>
      <vt:variant>
        <vt:i4>0</vt:i4>
      </vt:variant>
      <vt:variant>
        <vt:i4>5</vt:i4>
      </vt:variant>
      <vt:variant>
        <vt:lpwstr/>
      </vt:variant>
      <vt:variant>
        <vt:lpwstr>_ENREF_55</vt:lpwstr>
      </vt:variant>
      <vt:variant>
        <vt:i4>4456510</vt:i4>
      </vt:variant>
      <vt:variant>
        <vt:i4>3964</vt:i4>
      </vt:variant>
      <vt:variant>
        <vt:i4>0</vt:i4>
      </vt:variant>
      <vt:variant>
        <vt:i4>5</vt:i4>
      </vt:variant>
      <vt:variant>
        <vt:lpwstr/>
      </vt:variant>
      <vt:variant>
        <vt:lpwstr>_ENREF_55</vt:lpwstr>
      </vt:variant>
      <vt:variant>
        <vt:i4>4390969</vt:i4>
      </vt:variant>
      <vt:variant>
        <vt:i4>3958</vt:i4>
      </vt:variant>
      <vt:variant>
        <vt:i4>0</vt:i4>
      </vt:variant>
      <vt:variant>
        <vt:i4>5</vt:i4>
      </vt:variant>
      <vt:variant>
        <vt:lpwstr/>
      </vt:variant>
      <vt:variant>
        <vt:lpwstr>_ENREF_22</vt:lpwstr>
      </vt:variant>
      <vt:variant>
        <vt:i4>4390969</vt:i4>
      </vt:variant>
      <vt:variant>
        <vt:i4>3950</vt:i4>
      </vt:variant>
      <vt:variant>
        <vt:i4>0</vt:i4>
      </vt:variant>
      <vt:variant>
        <vt:i4>5</vt:i4>
      </vt:variant>
      <vt:variant>
        <vt:lpwstr/>
      </vt:variant>
      <vt:variant>
        <vt:lpwstr>_ENREF_22</vt:lpwstr>
      </vt:variant>
      <vt:variant>
        <vt:i4>7340094</vt:i4>
      </vt:variant>
      <vt:variant>
        <vt:i4>3942</vt:i4>
      </vt:variant>
      <vt:variant>
        <vt:i4>0</vt:i4>
      </vt:variant>
      <vt:variant>
        <vt:i4>5</vt:i4>
      </vt:variant>
      <vt:variant>
        <vt:lpwstr/>
      </vt:variant>
      <vt:variant>
        <vt:lpwstr>_ENREF_150</vt:lpwstr>
      </vt:variant>
      <vt:variant>
        <vt:i4>7471166</vt:i4>
      </vt:variant>
      <vt:variant>
        <vt:i4>3930</vt:i4>
      </vt:variant>
      <vt:variant>
        <vt:i4>0</vt:i4>
      </vt:variant>
      <vt:variant>
        <vt:i4>5</vt:i4>
      </vt:variant>
      <vt:variant>
        <vt:lpwstr/>
      </vt:variant>
      <vt:variant>
        <vt:lpwstr>_ENREF_152</vt:lpwstr>
      </vt:variant>
      <vt:variant>
        <vt:i4>7471166</vt:i4>
      </vt:variant>
      <vt:variant>
        <vt:i4>3924</vt:i4>
      </vt:variant>
      <vt:variant>
        <vt:i4>0</vt:i4>
      </vt:variant>
      <vt:variant>
        <vt:i4>5</vt:i4>
      </vt:variant>
      <vt:variant>
        <vt:lpwstr/>
      </vt:variant>
      <vt:variant>
        <vt:lpwstr>_ENREF_152</vt:lpwstr>
      </vt:variant>
      <vt:variant>
        <vt:i4>4784184</vt:i4>
      </vt:variant>
      <vt:variant>
        <vt:i4>3918</vt:i4>
      </vt:variant>
      <vt:variant>
        <vt:i4>0</vt:i4>
      </vt:variant>
      <vt:variant>
        <vt:i4>5</vt:i4>
      </vt:variant>
      <vt:variant>
        <vt:lpwstr/>
      </vt:variant>
      <vt:variant>
        <vt:lpwstr>_ENREF_83</vt:lpwstr>
      </vt:variant>
      <vt:variant>
        <vt:i4>4390969</vt:i4>
      </vt:variant>
      <vt:variant>
        <vt:i4>3910</vt:i4>
      </vt:variant>
      <vt:variant>
        <vt:i4>0</vt:i4>
      </vt:variant>
      <vt:variant>
        <vt:i4>5</vt:i4>
      </vt:variant>
      <vt:variant>
        <vt:lpwstr/>
      </vt:variant>
      <vt:variant>
        <vt:lpwstr>_ENREF_22</vt:lpwstr>
      </vt:variant>
      <vt:variant>
        <vt:i4>4653119</vt:i4>
      </vt:variant>
      <vt:variant>
        <vt:i4>3893</vt:i4>
      </vt:variant>
      <vt:variant>
        <vt:i4>0</vt:i4>
      </vt:variant>
      <vt:variant>
        <vt:i4>5</vt:i4>
      </vt:variant>
      <vt:variant>
        <vt:lpwstr/>
      </vt:variant>
      <vt:variant>
        <vt:lpwstr>_ENREF_64</vt:lpwstr>
      </vt:variant>
      <vt:variant>
        <vt:i4>4587576</vt:i4>
      </vt:variant>
      <vt:variant>
        <vt:i4>3885</vt:i4>
      </vt:variant>
      <vt:variant>
        <vt:i4>0</vt:i4>
      </vt:variant>
      <vt:variant>
        <vt:i4>5</vt:i4>
      </vt:variant>
      <vt:variant>
        <vt:lpwstr/>
      </vt:variant>
      <vt:variant>
        <vt:lpwstr>_ENREF_73</vt:lpwstr>
      </vt:variant>
      <vt:variant>
        <vt:i4>4194354</vt:i4>
      </vt:variant>
      <vt:variant>
        <vt:i4>3877</vt:i4>
      </vt:variant>
      <vt:variant>
        <vt:i4>0</vt:i4>
      </vt:variant>
      <vt:variant>
        <vt:i4>5</vt:i4>
      </vt:variant>
      <vt:variant>
        <vt:lpwstr/>
      </vt:variant>
      <vt:variant>
        <vt:lpwstr>_ENREF_19</vt:lpwstr>
      </vt:variant>
      <vt:variant>
        <vt:i4>4784189</vt:i4>
      </vt:variant>
      <vt:variant>
        <vt:i4>3871</vt:i4>
      </vt:variant>
      <vt:variant>
        <vt:i4>0</vt:i4>
      </vt:variant>
      <vt:variant>
        <vt:i4>5</vt:i4>
      </vt:variant>
      <vt:variant>
        <vt:lpwstr/>
      </vt:variant>
      <vt:variant>
        <vt:lpwstr>_ENREF_86</vt:lpwstr>
      </vt:variant>
      <vt:variant>
        <vt:i4>4390970</vt:i4>
      </vt:variant>
      <vt:variant>
        <vt:i4>3868</vt:i4>
      </vt:variant>
      <vt:variant>
        <vt:i4>0</vt:i4>
      </vt:variant>
      <vt:variant>
        <vt:i4>5</vt:i4>
      </vt:variant>
      <vt:variant>
        <vt:lpwstr/>
      </vt:variant>
      <vt:variant>
        <vt:lpwstr>_ENREF_21</vt:lpwstr>
      </vt:variant>
      <vt:variant>
        <vt:i4>4194354</vt:i4>
      </vt:variant>
      <vt:variant>
        <vt:i4>3865</vt:i4>
      </vt:variant>
      <vt:variant>
        <vt:i4>0</vt:i4>
      </vt:variant>
      <vt:variant>
        <vt:i4>5</vt:i4>
      </vt:variant>
      <vt:variant>
        <vt:lpwstr/>
      </vt:variant>
      <vt:variant>
        <vt:lpwstr>_ENREF_19</vt:lpwstr>
      </vt:variant>
      <vt:variant>
        <vt:i4>7733311</vt:i4>
      </vt:variant>
      <vt:variant>
        <vt:i4>3851</vt:i4>
      </vt:variant>
      <vt:variant>
        <vt:i4>0</vt:i4>
      </vt:variant>
      <vt:variant>
        <vt:i4>5</vt:i4>
      </vt:variant>
      <vt:variant>
        <vt:lpwstr/>
      </vt:variant>
      <vt:variant>
        <vt:lpwstr>_ENREF_146</vt:lpwstr>
      </vt:variant>
      <vt:variant>
        <vt:i4>7471166</vt:i4>
      </vt:variant>
      <vt:variant>
        <vt:i4>3843</vt:i4>
      </vt:variant>
      <vt:variant>
        <vt:i4>0</vt:i4>
      </vt:variant>
      <vt:variant>
        <vt:i4>5</vt:i4>
      </vt:variant>
      <vt:variant>
        <vt:lpwstr/>
      </vt:variant>
      <vt:variant>
        <vt:lpwstr>_ENREF_152</vt:lpwstr>
      </vt:variant>
      <vt:variant>
        <vt:i4>4194361</vt:i4>
      </vt:variant>
      <vt:variant>
        <vt:i4>3837</vt:i4>
      </vt:variant>
      <vt:variant>
        <vt:i4>0</vt:i4>
      </vt:variant>
      <vt:variant>
        <vt:i4>5</vt:i4>
      </vt:variant>
      <vt:variant>
        <vt:lpwstr/>
      </vt:variant>
      <vt:variant>
        <vt:lpwstr>_ENREF_12</vt:lpwstr>
      </vt:variant>
      <vt:variant>
        <vt:i4>4325427</vt:i4>
      </vt:variant>
      <vt:variant>
        <vt:i4>3813</vt:i4>
      </vt:variant>
      <vt:variant>
        <vt:i4>0</vt:i4>
      </vt:variant>
      <vt:variant>
        <vt:i4>5</vt:i4>
      </vt:variant>
      <vt:variant>
        <vt:lpwstr/>
      </vt:variant>
      <vt:variant>
        <vt:lpwstr>_ENREF_38</vt:lpwstr>
      </vt:variant>
      <vt:variant>
        <vt:i4>4325427</vt:i4>
      </vt:variant>
      <vt:variant>
        <vt:i4>3807</vt:i4>
      </vt:variant>
      <vt:variant>
        <vt:i4>0</vt:i4>
      </vt:variant>
      <vt:variant>
        <vt:i4>5</vt:i4>
      </vt:variant>
      <vt:variant>
        <vt:lpwstr/>
      </vt:variant>
      <vt:variant>
        <vt:lpwstr>_ENREF_38</vt:lpwstr>
      </vt:variant>
      <vt:variant>
        <vt:i4>4325427</vt:i4>
      </vt:variant>
      <vt:variant>
        <vt:i4>3801</vt:i4>
      </vt:variant>
      <vt:variant>
        <vt:i4>0</vt:i4>
      </vt:variant>
      <vt:variant>
        <vt:i4>5</vt:i4>
      </vt:variant>
      <vt:variant>
        <vt:lpwstr/>
      </vt:variant>
      <vt:variant>
        <vt:lpwstr>_ENREF_38</vt:lpwstr>
      </vt:variant>
      <vt:variant>
        <vt:i4>4653106</vt:i4>
      </vt:variant>
      <vt:variant>
        <vt:i4>3795</vt:i4>
      </vt:variant>
      <vt:variant>
        <vt:i4>0</vt:i4>
      </vt:variant>
      <vt:variant>
        <vt:i4>5</vt:i4>
      </vt:variant>
      <vt:variant>
        <vt:lpwstr/>
      </vt:variant>
      <vt:variant>
        <vt:lpwstr>_ENREF_69</vt:lpwstr>
      </vt:variant>
      <vt:variant>
        <vt:i4>4456510</vt:i4>
      </vt:variant>
      <vt:variant>
        <vt:i4>3783</vt:i4>
      </vt:variant>
      <vt:variant>
        <vt:i4>0</vt:i4>
      </vt:variant>
      <vt:variant>
        <vt:i4>5</vt:i4>
      </vt:variant>
      <vt:variant>
        <vt:lpwstr/>
      </vt:variant>
      <vt:variant>
        <vt:lpwstr>_ENREF_55</vt:lpwstr>
      </vt:variant>
      <vt:variant>
        <vt:i4>4325432</vt:i4>
      </vt:variant>
      <vt:variant>
        <vt:i4>3780</vt:i4>
      </vt:variant>
      <vt:variant>
        <vt:i4>0</vt:i4>
      </vt:variant>
      <vt:variant>
        <vt:i4>5</vt:i4>
      </vt:variant>
      <vt:variant>
        <vt:lpwstr/>
      </vt:variant>
      <vt:variant>
        <vt:lpwstr>_ENREF_33</vt:lpwstr>
      </vt:variant>
      <vt:variant>
        <vt:i4>4325437</vt:i4>
      </vt:variant>
      <vt:variant>
        <vt:i4>3772</vt:i4>
      </vt:variant>
      <vt:variant>
        <vt:i4>0</vt:i4>
      </vt:variant>
      <vt:variant>
        <vt:i4>5</vt:i4>
      </vt:variant>
      <vt:variant>
        <vt:lpwstr/>
      </vt:variant>
      <vt:variant>
        <vt:lpwstr>_ENREF_36</vt:lpwstr>
      </vt:variant>
      <vt:variant>
        <vt:i4>7733311</vt:i4>
      </vt:variant>
      <vt:variant>
        <vt:i4>3766</vt:i4>
      </vt:variant>
      <vt:variant>
        <vt:i4>0</vt:i4>
      </vt:variant>
      <vt:variant>
        <vt:i4>5</vt:i4>
      </vt:variant>
      <vt:variant>
        <vt:lpwstr/>
      </vt:variant>
      <vt:variant>
        <vt:lpwstr>_ENREF_146</vt:lpwstr>
      </vt:variant>
      <vt:variant>
        <vt:i4>4325436</vt:i4>
      </vt:variant>
      <vt:variant>
        <vt:i4>3758</vt:i4>
      </vt:variant>
      <vt:variant>
        <vt:i4>0</vt:i4>
      </vt:variant>
      <vt:variant>
        <vt:i4>5</vt:i4>
      </vt:variant>
      <vt:variant>
        <vt:lpwstr/>
      </vt:variant>
      <vt:variant>
        <vt:lpwstr>_ENREF_37</vt:lpwstr>
      </vt:variant>
      <vt:variant>
        <vt:i4>7602238</vt:i4>
      </vt:variant>
      <vt:variant>
        <vt:i4>3752</vt:i4>
      </vt:variant>
      <vt:variant>
        <vt:i4>0</vt:i4>
      </vt:variant>
      <vt:variant>
        <vt:i4>5</vt:i4>
      </vt:variant>
      <vt:variant>
        <vt:lpwstr/>
      </vt:variant>
      <vt:variant>
        <vt:lpwstr>_ENREF_154</vt:lpwstr>
      </vt:variant>
      <vt:variant>
        <vt:i4>4784188</vt:i4>
      </vt:variant>
      <vt:variant>
        <vt:i4>3746</vt:i4>
      </vt:variant>
      <vt:variant>
        <vt:i4>0</vt:i4>
      </vt:variant>
      <vt:variant>
        <vt:i4>5</vt:i4>
      </vt:variant>
      <vt:variant>
        <vt:lpwstr/>
      </vt:variant>
      <vt:variant>
        <vt:lpwstr>_ENREF_87</vt:lpwstr>
      </vt:variant>
      <vt:variant>
        <vt:i4>4522047</vt:i4>
      </vt:variant>
      <vt:variant>
        <vt:i4>3735</vt:i4>
      </vt:variant>
      <vt:variant>
        <vt:i4>0</vt:i4>
      </vt:variant>
      <vt:variant>
        <vt:i4>5</vt:i4>
      </vt:variant>
      <vt:variant>
        <vt:lpwstr/>
      </vt:variant>
      <vt:variant>
        <vt:lpwstr>_ENREF_44</vt:lpwstr>
      </vt:variant>
      <vt:variant>
        <vt:i4>7798841</vt:i4>
      </vt:variant>
      <vt:variant>
        <vt:i4>3727</vt:i4>
      </vt:variant>
      <vt:variant>
        <vt:i4>0</vt:i4>
      </vt:variant>
      <vt:variant>
        <vt:i4>5</vt:i4>
      </vt:variant>
      <vt:variant>
        <vt:lpwstr/>
      </vt:variant>
      <vt:variant>
        <vt:lpwstr>_ENREF_127</vt:lpwstr>
      </vt:variant>
      <vt:variant>
        <vt:i4>4653119</vt:i4>
      </vt:variant>
      <vt:variant>
        <vt:i4>3724</vt:i4>
      </vt:variant>
      <vt:variant>
        <vt:i4>0</vt:i4>
      </vt:variant>
      <vt:variant>
        <vt:i4>5</vt:i4>
      </vt:variant>
      <vt:variant>
        <vt:lpwstr/>
      </vt:variant>
      <vt:variant>
        <vt:lpwstr>_ENREF_64</vt:lpwstr>
      </vt:variant>
      <vt:variant>
        <vt:i4>4456510</vt:i4>
      </vt:variant>
      <vt:variant>
        <vt:i4>3716</vt:i4>
      </vt:variant>
      <vt:variant>
        <vt:i4>0</vt:i4>
      </vt:variant>
      <vt:variant>
        <vt:i4>5</vt:i4>
      </vt:variant>
      <vt:variant>
        <vt:lpwstr/>
      </vt:variant>
      <vt:variant>
        <vt:lpwstr>_ENREF_55</vt:lpwstr>
      </vt:variant>
      <vt:variant>
        <vt:i4>4325432</vt:i4>
      </vt:variant>
      <vt:variant>
        <vt:i4>3713</vt:i4>
      </vt:variant>
      <vt:variant>
        <vt:i4>0</vt:i4>
      </vt:variant>
      <vt:variant>
        <vt:i4>5</vt:i4>
      </vt:variant>
      <vt:variant>
        <vt:lpwstr/>
      </vt:variant>
      <vt:variant>
        <vt:lpwstr>_ENREF_33</vt:lpwstr>
      </vt:variant>
      <vt:variant>
        <vt:i4>7864378</vt:i4>
      </vt:variant>
      <vt:variant>
        <vt:i4>3705</vt:i4>
      </vt:variant>
      <vt:variant>
        <vt:i4>0</vt:i4>
      </vt:variant>
      <vt:variant>
        <vt:i4>5</vt:i4>
      </vt:variant>
      <vt:variant>
        <vt:lpwstr/>
      </vt:variant>
      <vt:variant>
        <vt:lpwstr>_ENREF_118</vt:lpwstr>
      </vt:variant>
      <vt:variant>
        <vt:i4>4653112</vt:i4>
      </vt:variant>
      <vt:variant>
        <vt:i4>3702</vt:i4>
      </vt:variant>
      <vt:variant>
        <vt:i4>0</vt:i4>
      </vt:variant>
      <vt:variant>
        <vt:i4>5</vt:i4>
      </vt:variant>
      <vt:variant>
        <vt:lpwstr/>
      </vt:variant>
      <vt:variant>
        <vt:lpwstr>_ENREF_63</vt:lpwstr>
      </vt:variant>
      <vt:variant>
        <vt:i4>4653118</vt:i4>
      </vt:variant>
      <vt:variant>
        <vt:i4>3694</vt:i4>
      </vt:variant>
      <vt:variant>
        <vt:i4>0</vt:i4>
      </vt:variant>
      <vt:variant>
        <vt:i4>5</vt:i4>
      </vt:variant>
      <vt:variant>
        <vt:lpwstr/>
      </vt:variant>
      <vt:variant>
        <vt:lpwstr>_ENREF_65</vt:lpwstr>
      </vt:variant>
      <vt:variant>
        <vt:i4>4653118</vt:i4>
      </vt:variant>
      <vt:variant>
        <vt:i4>3686</vt:i4>
      </vt:variant>
      <vt:variant>
        <vt:i4>0</vt:i4>
      </vt:variant>
      <vt:variant>
        <vt:i4>5</vt:i4>
      </vt:variant>
      <vt:variant>
        <vt:lpwstr/>
      </vt:variant>
      <vt:variant>
        <vt:lpwstr>_ENREF_65</vt:lpwstr>
      </vt:variant>
      <vt:variant>
        <vt:i4>4653118</vt:i4>
      </vt:variant>
      <vt:variant>
        <vt:i4>3678</vt:i4>
      </vt:variant>
      <vt:variant>
        <vt:i4>0</vt:i4>
      </vt:variant>
      <vt:variant>
        <vt:i4>5</vt:i4>
      </vt:variant>
      <vt:variant>
        <vt:lpwstr/>
      </vt:variant>
      <vt:variant>
        <vt:lpwstr>_ENREF_65</vt:lpwstr>
      </vt:variant>
      <vt:variant>
        <vt:i4>4456509</vt:i4>
      </vt:variant>
      <vt:variant>
        <vt:i4>3675</vt:i4>
      </vt:variant>
      <vt:variant>
        <vt:i4>0</vt:i4>
      </vt:variant>
      <vt:variant>
        <vt:i4>5</vt:i4>
      </vt:variant>
      <vt:variant>
        <vt:lpwstr/>
      </vt:variant>
      <vt:variant>
        <vt:lpwstr>_ENREF_56</vt:lpwstr>
      </vt:variant>
      <vt:variant>
        <vt:i4>4456509</vt:i4>
      </vt:variant>
      <vt:variant>
        <vt:i4>3667</vt:i4>
      </vt:variant>
      <vt:variant>
        <vt:i4>0</vt:i4>
      </vt:variant>
      <vt:variant>
        <vt:i4>5</vt:i4>
      </vt:variant>
      <vt:variant>
        <vt:lpwstr/>
      </vt:variant>
      <vt:variant>
        <vt:lpwstr>_ENREF_56</vt:lpwstr>
      </vt:variant>
      <vt:variant>
        <vt:i4>7602234</vt:i4>
      </vt:variant>
      <vt:variant>
        <vt:i4>3649</vt:i4>
      </vt:variant>
      <vt:variant>
        <vt:i4>0</vt:i4>
      </vt:variant>
      <vt:variant>
        <vt:i4>5</vt:i4>
      </vt:variant>
      <vt:variant>
        <vt:lpwstr/>
      </vt:variant>
      <vt:variant>
        <vt:lpwstr>_ENREF_114</vt:lpwstr>
      </vt:variant>
      <vt:variant>
        <vt:i4>4325434</vt:i4>
      </vt:variant>
      <vt:variant>
        <vt:i4>3640</vt:i4>
      </vt:variant>
      <vt:variant>
        <vt:i4>0</vt:i4>
      </vt:variant>
      <vt:variant>
        <vt:i4>5</vt:i4>
      </vt:variant>
      <vt:variant>
        <vt:lpwstr/>
      </vt:variant>
      <vt:variant>
        <vt:lpwstr>_ENREF_31</vt:lpwstr>
      </vt:variant>
      <vt:variant>
        <vt:i4>4718648</vt:i4>
      </vt:variant>
      <vt:variant>
        <vt:i4>3632</vt:i4>
      </vt:variant>
      <vt:variant>
        <vt:i4>0</vt:i4>
      </vt:variant>
      <vt:variant>
        <vt:i4>5</vt:i4>
      </vt:variant>
      <vt:variant>
        <vt:lpwstr/>
      </vt:variant>
      <vt:variant>
        <vt:lpwstr>_ENREF_93</vt:lpwstr>
      </vt:variant>
      <vt:variant>
        <vt:i4>4653118</vt:i4>
      </vt:variant>
      <vt:variant>
        <vt:i4>3624</vt:i4>
      </vt:variant>
      <vt:variant>
        <vt:i4>0</vt:i4>
      </vt:variant>
      <vt:variant>
        <vt:i4>5</vt:i4>
      </vt:variant>
      <vt:variant>
        <vt:lpwstr/>
      </vt:variant>
      <vt:variant>
        <vt:lpwstr>_ENREF_65</vt:lpwstr>
      </vt:variant>
      <vt:variant>
        <vt:i4>7340088</vt:i4>
      </vt:variant>
      <vt:variant>
        <vt:i4>3613</vt:i4>
      </vt:variant>
      <vt:variant>
        <vt:i4>0</vt:i4>
      </vt:variant>
      <vt:variant>
        <vt:i4>5</vt:i4>
      </vt:variant>
      <vt:variant>
        <vt:lpwstr/>
      </vt:variant>
      <vt:variant>
        <vt:lpwstr>_ENREF_130</vt:lpwstr>
      </vt:variant>
      <vt:variant>
        <vt:i4>7864378</vt:i4>
      </vt:variant>
      <vt:variant>
        <vt:i4>3601</vt:i4>
      </vt:variant>
      <vt:variant>
        <vt:i4>0</vt:i4>
      </vt:variant>
      <vt:variant>
        <vt:i4>5</vt:i4>
      </vt:variant>
      <vt:variant>
        <vt:lpwstr/>
      </vt:variant>
      <vt:variant>
        <vt:lpwstr>_ENREF_118</vt:lpwstr>
      </vt:variant>
      <vt:variant>
        <vt:i4>7340088</vt:i4>
      </vt:variant>
      <vt:variant>
        <vt:i4>3597</vt:i4>
      </vt:variant>
      <vt:variant>
        <vt:i4>0</vt:i4>
      </vt:variant>
      <vt:variant>
        <vt:i4>5</vt:i4>
      </vt:variant>
      <vt:variant>
        <vt:lpwstr/>
      </vt:variant>
      <vt:variant>
        <vt:lpwstr>_ENREF_130</vt:lpwstr>
      </vt:variant>
      <vt:variant>
        <vt:i4>4653112</vt:i4>
      </vt:variant>
      <vt:variant>
        <vt:i4>3585</vt:i4>
      </vt:variant>
      <vt:variant>
        <vt:i4>0</vt:i4>
      </vt:variant>
      <vt:variant>
        <vt:i4>5</vt:i4>
      </vt:variant>
      <vt:variant>
        <vt:lpwstr/>
      </vt:variant>
      <vt:variant>
        <vt:lpwstr>_ENREF_63</vt:lpwstr>
      </vt:variant>
      <vt:variant>
        <vt:i4>7864378</vt:i4>
      </vt:variant>
      <vt:variant>
        <vt:i4>3577</vt:i4>
      </vt:variant>
      <vt:variant>
        <vt:i4>0</vt:i4>
      </vt:variant>
      <vt:variant>
        <vt:i4>5</vt:i4>
      </vt:variant>
      <vt:variant>
        <vt:lpwstr/>
      </vt:variant>
      <vt:variant>
        <vt:lpwstr>_ENREF_118</vt:lpwstr>
      </vt:variant>
      <vt:variant>
        <vt:i4>4653112</vt:i4>
      </vt:variant>
      <vt:variant>
        <vt:i4>3569</vt:i4>
      </vt:variant>
      <vt:variant>
        <vt:i4>0</vt:i4>
      </vt:variant>
      <vt:variant>
        <vt:i4>5</vt:i4>
      </vt:variant>
      <vt:variant>
        <vt:lpwstr/>
      </vt:variant>
      <vt:variant>
        <vt:lpwstr>_ENREF_63</vt:lpwstr>
      </vt:variant>
      <vt:variant>
        <vt:i4>7864378</vt:i4>
      </vt:variant>
      <vt:variant>
        <vt:i4>3561</vt:i4>
      </vt:variant>
      <vt:variant>
        <vt:i4>0</vt:i4>
      </vt:variant>
      <vt:variant>
        <vt:i4>5</vt:i4>
      </vt:variant>
      <vt:variant>
        <vt:lpwstr/>
      </vt:variant>
      <vt:variant>
        <vt:lpwstr>_ENREF_118</vt:lpwstr>
      </vt:variant>
      <vt:variant>
        <vt:i4>4653112</vt:i4>
      </vt:variant>
      <vt:variant>
        <vt:i4>3553</vt:i4>
      </vt:variant>
      <vt:variant>
        <vt:i4>0</vt:i4>
      </vt:variant>
      <vt:variant>
        <vt:i4>5</vt:i4>
      </vt:variant>
      <vt:variant>
        <vt:lpwstr/>
      </vt:variant>
      <vt:variant>
        <vt:lpwstr>_ENREF_63</vt:lpwstr>
      </vt:variant>
      <vt:variant>
        <vt:i4>7864378</vt:i4>
      </vt:variant>
      <vt:variant>
        <vt:i4>3549</vt:i4>
      </vt:variant>
      <vt:variant>
        <vt:i4>0</vt:i4>
      </vt:variant>
      <vt:variant>
        <vt:i4>5</vt:i4>
      </vt:variant>
      <vt:variant>
        <vt:lpwstr/>
      </vt:variant>
      <vt:variant>
        <vt:lpwstr>_ENREF_118</vt:lpwstr>
      </vt:variant>
      <vt:variant>
        <vt:i4>4653112</vt:i4>
      </vt:variant>
      <vt:variant>
        <vt:i4>3546</vt:i4>
      </vt:variant>
      <vt:variant>
        <vt:i4>0</vt:i4>
      </vt:variant>
      <vt:variant>
        <vt:i4>5</vt:i4>
      </vt:variant>
      <vt:variant>
        <vt:lpwstr/>
      </vt:variant>
      <vt:variant>
        <vt:lpwstr>_ENREF_63</vt:lpwstr>
      </vt:variant>
      <vt:variant>
        <vt:i4>4456509</vt:i4>
      </vt:variant>
      <vt:variant>
        <vt:i4>3538</vt:i4>
      </vt:variant>
      <vt:variant>
        <vt:i4>0</vt:i4>
      </vt:variant>
      <vt:variant>
        <vt:i4>5</vt:i4>
      </vt:variant>
      <vt:variant>
        <vt:lpwstr/>
      </vt:variant>
      <vt:variant>
        <vt:lpwstr>_ENREF_56</vt:lpwstr>
      </vt:variant>
      <vt:variant>
        <vt:i4>4456510</vt:i4>
      </vt:variant>
      <vt:variant>
        <vt:i4>3535</vt:i4>
      </vt:variant>
      <vt:variant>
        <vt:i4>0</vt:i4>
      </vt:variant>
      <vt:variant>
        <vt:i4>5</vt:i4>
      </vt:variant>
      <vt:variant>
        <vt:lpwstr/>
      </vt:variant>
      <vt:variant>
        <vt:lpwstr>_ENREF_55</vt:lpwstr>
      </vt:variant>
      <vt:variant>
        <vt:i4>7602238</vt:i4>
      </vt:variant>
      <vt:variant>
        <vt:i4>3532</vt:i4>
      </vt:variant>
      <vt:variant>
        <vt:i4>0</vt:i4>
      </vt:variant>
      <vt:variant>
        <vt:i4>5</vt:i4>
      </vt:variant>
      <vt:variant>
        <vt:lpwstr/>
      </vt:variant>
      <vt:variant>
        <vt:lpwstr>_ENREF_154</vt:lpwstr>
      </vt:variant>
      <vt:variant>
        <vt:i4>4325438</vt:i4>
      </vt:variant>
      <vt:variant>
        <vt:i4>3529</vt:i4>
      </vt:variant>
      <vt:variant>
        <vt:i4>0</vt:i4>
      </vt:variant>
      <vt:variant>
        <vt:i4>5</vt:i4>
      </vt:variant>
      <vt:variant>
        <vt:lpwstr/>
      </vt:variant>
      <vt:variant>
        <vt:lpwstr>_ENREF_35</vt:lpwstr>
      </vt:variant>
      <vt:variant>
        <vt:i4>7733311</vt:i4>
      </vt:variant>
      <vt:variant>
        <vt:i4>3521</vt:i4>
      </vt:variant>
      <vt:variant>
        <vt:i4>0</vt:i4>
      </vt:variant>
      <vt:variant>
        <vt:i4>5</vt:i4>
      </vt:variant>
      <vt:variant>
        <vt:lpwstr/>
      </vt:variant>
      <vt:variant>
        <vt:lpwstr>_ENREF_146</vt:lpwstr>
      </vt:variant>
      <vt:variant>
        <vt:i4>7864378</vt:i4>
      </vt:variant>
      <vt:variant>
        <vt:i4>3518</vt:i4>
      </vt:variant>
      <vt:variant>
        <vt:i4>0</vt:i4>
      </vt:variant>
      <vt:variant>
        <vt:i4>5</vt:i4>
      </vt:variant>
      <vt:variant>
        <vt:lpwstr/>
      </vt:variant>
      <vt:variant>
        <vt:lpwstr>_ENREF_118</vt:lpwstr>
      </vt:variant>
      <vt:variant>
        <vt:i4>4718648</vt:i4>
      </vt:variant>
      <vt:variant>
        <vt:i4>3515</vt:i4>
      </vt:variant>
      <vt:variant>
        <vt:i4>0</vt:i4>
      </vt:variant>
      <vt:variant>
        <vt:i4>5</vt:i4>
      </vt:variant>
      <vt:variant>
        <vt:lpwstr/>
      </vt:variant>
      <vt:variant>
        <vt:lpwstr>_ENREF_93</vt:lpwstr>
      </vt:variant>
      <vt:variant>
        <vt:i4>4653112</vt:i4>
      </vt:variant>
      <vt:variant>
        <vt:i4>3512</vt:i4>
      </vt:variant>
      <vt:variant>
        <vt:i4>0</vt:i4>
      </vt:variant>
      <vt:variant>
        <vt:i4>5</vt:i4>
      </vt:variant>
      <vt:variant>
        <vt:lpwstr/>
      </vt:variant>
      <vt:variant>
        <vt:lpwstr>_ENREF_63</vt:lpwstr>
      </vt:variant>
      <vt:variant>
        <vt:i4>4653118</vt:i4>
      </vt:variant>
      <vt:variant>
        <vt:i4>3509</vt:i4>
      </vt:variant>
      <vt:variant>
        <vt:i4>0</vt:i4>
      </vt:variant>
      <vt:variant>
        <vt:i4>5</vt:i4>
      </vt:variant>
      <vt:variant>
        <vt:lpwstr/>
      </vt:variant>
      <vt:variant>
        <vt:lpwstr>_ENREF_65</vt:lpwstr>
      </vt:variant>
      <vt:variant>
        <vt:i4>4653112</vt:i4>
      </vt:variant>
      <vt:variant>
        <vt:i4>3501</vt:i4>
      </vt:variant>
      <vt:variant>
        <vt:i4>0</vt:i4>
      </vt:variant>
      <vt:variant>
        <vt:i4>5</vt:i4>
      </vt:variant>
      <vt:variant>
        <vt:lpwstr/>
      </vt:variant>
      <vt:variant>
        <vt:lpwstr>_ENREF_63</vt:lpwstr>
      </vt:variant>
      <vt:variant>
        <vt:i4>4653112</vt:i4>
      </vt:variant>
      <vt:variant>
        <vt:i4>3493</vt:i4>
      </vt:variant>
      <vt:variant>
        <vt:i4>0</vt:i4>
      </vt:variant>
      <vt:variant>
        <vt:i4>5</vt:i4>
      </vt:variant>
      <vt:variant>
        <vt:lpwstr/>
      </vt:variant>
      <vt:variant>
        <vt:lpwstr>_ENREF_63</vt:lpwstr>
      </vt:variant>
      <vt:variant>
        <vt:i4>7864378</vt:i4>
      </vt:variant>
      <vt:variant>
        <vt:i4>3485</vt:i4>
      </vt:variant>
      <vt:variant>
        <vt:i4>0</vt:i4>
      </vt:variant>
      <vt:variant>
        <vt:i4>5</vt:i4>
      </vt:variant>
      <vt:variant>
        <vt:lpwstr/>
      </vt:variant>
      <vt:variant>
        <vt:lpwstr>_ENREF_118</vt:lpwstr>
      </vt:variant>
      <vt:variant>
        <vt:i4>4718648</vt:i4>
      </vt:variant>
      <vt:variant>
        <vt:i4>3477</vt:i4>
      </vt:variant>
      <vt:variant>
        <vt:i4>0</vt:i4>
      </vt:variant>
      <vt:variant>
        <vt:i4>5</vt:i4>
      </vt:variant>
      <vt:variant>
        <vt:lpwstr/>
      </vt:variant>
      <vt:variant>
        <vt:lpwstr>_ENREF_93</vt:lpwstr>
      </vt:variant>
      <vt:variant>
        <vt:i4>4653118</vt:i4>
      </vt:variant>
      <vt:variant>
        <vt:i4>3474</vt:i4>
      </vt:variant>
      <vt:variant>
        <vt:i4>0</vt:i4>
      </vt:variant>
      <vt:variant>
        <vt:i4>5</vt:i4>
      </vt:variant>
      <vt:variant>
        <vt:lpwstr/>
      </vt:variant>
      <vt:variant>
        <vt:lpwstr>_ENREF_65</vt:lpwstr>
      </vt:variant>
      <vt:variant>
        <vt:i4>7864378</vt:i4>
      </vt:variant>
      <vt:variant>
        <vt:i4>3466</vt:i4>
      </vt:variant>
      <vt:variant>
        <vt:i4>0</vt:i4>
      </vt:variant>
      <vt:variant>
        <vt:i4>5</vt:i4>
      </vt:variant>
      <vt:variant>
        <vt:lpwstr/>
      </vt:variant>
      <vt:variant>
        <vt:lpwstr>_ENREF_118</vt:lpwstr>
      </vt:variant>
      <vt:variant>
        <vt:i4>4653112</vt:i4>
      </vt:variant>
      <vt:variant>
        <vt:i4>3463</vt:i4>
      </vt:variant>
      <vt:variant>
        <vt:i4>0</vt:i4>
      </vt:variant>
      <vt:variant>
        <vt:i4>5</vt:i4>
      </vt:variant>
      <vt:variant>
        <vt:lpwstr/>
      </vt:variant>
      <vt:variant>
        <vt:lpwstr>_ENREF_63</vt:lpwstr>
      </vt:variant>
      <vt:variant>
        <vt:i4>7602238</vt:i4>
      </vt:variant>
      <vt:variant>
        <vt:i4>3455</vt:i4>
      </vt:variant>
      <vt:variant>
        <vt:i4>0</vt:i4>
      </vt:variant>
      <vt:variant>
        <vt:i4>5</vt:i4>
      </vt:variant>
      <vt:variant>
        <vt:lpwstr/>
      </vt:variant>
      <vt:variant>
        <vt:lpwstr>_ENREF_154</vt:lpwstr>
      </vt:variant>
      <vt:variant>
        <vt:i4>4325438</vt:i4>
      </vt:variant>
      <vt:variant>
        <vt:i4>3452</vt:i4>
      </vt:variant>
      <vt:variant>
        <vt:i4>0</vt:i4>
      </vt:variant>
      <vt:variant>
        <vt:i4>5</vt:i4>
      </vt:variant>
      <vt:variant>
        <vt:lpwstr/>
      </vt:variant>
      <vt:variant>
        <vt:lpwstr>_ENREF_35</vt:lpwstr>
      </vt:variant>
      <vt:variant>
        <vt:i4>7602234</vt:i4>
      </vt:variant>
      <vt:variant>
        <vt:i4>3441</vt:i4>
      </vt:variant>
      <vt:variant>
        <vt:i4>0</vt:i4>
      </vt:variant>
      <vt:variant>
        <vt:i4>5</vt:i4>
      </vt:variant>
      <vt:variant>
        <vt:lpwstr/>
      </vt:variant>
      <vt:variant>
        <vt:lpwstr>_ENREF_114</vt:lpwstr>
      </vt:variant>
      <vt:variant>
        <vt:i4>4587580</vt:i4>
      </vt:variant>
      <vt:variant>
        <vt:i4>3435</vt:i4>
      </vt:variant>
      <vt:variant>
        <vt:i4>0</vt:i4>
      </vt:variant>
      <vt:variant>
        <vt:i4>5</vt:i4>
      </vt:variant>
      <vt:variant>
        <vt:lpwstr/>
      </vt:variant>
      <vt:variant>
        <vt:lpwstr>_ENREF_77</vt:lpwstr>
      </vt:variant>
      <vt:variant>
        <vt:i4>7405631</vt:i4>
      </vt:variant>
      <vt:variant>
        <vt:i4>3427</vt:i4>
      </vt:variant>
      <vt:variant>
        <vt:i4>0</vt:i4>
      </vt:variant>
      <vt:variant>
        <vt:i4>5</vt:i4>
      </vt:variant>
      <vt:variant>
        <vt:lpwstr/>
      </vt:variant>
      <vt:variant>
        <vt:lpwstr>_ENREF_141</vt:lpwstr>
      </vt:variant>
      <vt:variant>
        <vt:i4>4194365</vt:i4>
      </vt:variant>
      <vt:variant>
        <vt:i4>3421</vt:i4>
      </vt:variant>
      <vt:variant>
        <vt:i4>0</vt:i4>
      </vt:variant>
      <vt:variant>
        <vt:i4>5</vt:i4>
      </vt:variant>
      <vt:variant>
        <vt:lpwstr/>
      </vt:variant>
      <vt:variant>
        <vt:lpwstr>_ENREF_16</vt:lpwstr>
      </vt:variant>
      <vt:variant>
        <vt:i4>7798847</vt:i4>
      </vt:variant>
      <vt:variant>
        <vt:i4>3409</vt:i4>
      </vt:variant>
      <vt:variant>
        <vt:i4>0</vt:i4>
      </vt:variant>
      <vt:variant>
        <vt:i4>5</vt:i4>
      </vt:variant>
      <vt:variant>
        <vt:lpwstr/>
      </vt:variant>
      <vt:variant>
        <vt:lpwstr>_ENREF_147</vt:lpwstr>
      </vt:variant>
      <vt:variant>
        <vt:i4>7798847</vt:i4>
      </vt:variant>
      <vt:variant>
        <vt:i4>3401</vt:i4>
      </vt:variant>
      <vt:variant>
        <vt:i4>0</vt:i4>
      </vt:variant>
      <vt:variant>
        <vt:i4>5</vt:i4>
      </vt:variant>
      <vt:variant>
        <vt:lpwstr/>
      </vt:variant>
      <vt:variant>
        <vt:lpwstr>_ENREF_147</vt:lpwstr>
      </vt:variant>
      <vt:variant>
        <vt:i4>7798847</vt:i4>
      </vt:variant>
      <vt:variant>
        <vt:i4>3393</vt:i4>
      </vt:variant>
      <vt:variant>
        <vt:i4>0</vt:i4>
      </vt:variant>
      <vt:variant>
        <vt:i4>5</vt:i4>
      </vt:variant>
      <vt:variant>
        <vt:lpwstr/>
      </vt:variant>
      <vt:variant>
        <vt:lpwstr>_ENREF_147</vt:lpwstr>
      </vt:variant>
      <vt:variant>
        <vt:i4>4325436</vt:i4>
      </vt:variant>
      <vt:variant>
        <vt:i4>3385</vt:i4>
      </vt:variant>
      <vt:variant>
        <vt:i4>0</vt:i4>
      </vt:variant>
      <vt:variant>
        <vt:i4>5</vt:i4>
      </vt:variant>
      <vt:variant>
        <vt:lpwstr/>
      </vt:variant>
      <vt:variant>
        <vt:lpwstr>_ENREF_37</vt:lpwstr>
      </vt:variant>
      <vt:variant>
        <vt:i4>2097184</vt:i4>
      </vt:variant>
      <vt:variant>
        <vt:i4>3380</vt:i4>
      </vt:variant>
      <vt:variant>
        <vt:i4>0</vt:i4>
      </vt:variant>
      <vt:variant>
        <vt:i4>5</vt:i4>
      </vt:variant>
      <vt:variant>
        <vt:lpwstr>https://www.blood.gov.au/system/files/Neurology-Assessment-Methods-for-the-Ig-Governance-public-page-2.pdf</vt:lpwstr>
      </vt:variant>
      <vt:variant>
        <vt:lpwstr/>
      </vt:variant>
      <vt:variant>
        <vt:i4>7340089</vt:i4>
      </vt:variant>
      <vt:variant>
        <vt:i4>3376</vt:i4>
      </vt:variant>
      <vt:variant>
        <vt:i4>0</vt:i4>
      </vt:variant>
      <vt:variant>
        <vt:i4>5</vt:i4>
      </vt:variant>
      <vt:variant>
        <vt:lpwstr/>
      </vt:variant>
      <vt:variant>
        <vt:lpwstr>_ENREF_120</vt:lpwstr>
      </vt:variant>
      <vt:variant>
        <vt:i4>4456510</vt:i4>
      </vt:variant>
      <vt:variant>
        <vt:i4>3370</vt:i4>
      </vt:variant>
      <vt:variant>
        <vt:i4>0</vt:i4>
      </vt:variant>
      <vt:variant>
        <vt:i4>5</vt:i4>
      </vt:variant>
      <vt:variant>
        <vt:lpwstr/>
      </vt:variant>
      <vt:variant>
        <vt:lpwstr>_ENREF_55</vt:lpwstr>
      </vt:variant>
      <vt:variant>
        <vt:i4>7340091</vt:i4>
      </vt:variant>
      <vt:variant>
        <vt:i4>3364</vt:i4>
      </vt:variant>
      <vt:variant>
        <vt:i4>0</vt:i4>
      </vt:variant>
      <vt:variant>
        <vt:i4>5</vt:i4>
      </vt:variant>
      <vt:variant>
        <vt:lpwstr/>
      </vt:variant>
      <vt:variant>
        <vt:lpwstr>_ENREF_100</vt:lpwstr>
      </vt:variant>
      <vt:variant>
        <vt:i4>7733306</vt:i4>
      </vt:variant>
      <vt:variant>
        <vt:i4>3356</vt:i4>
      </vt:variant>
      <vt:variant>
        <vt:i4>0</vt:i4>
      </vt:variant>
      <vt:variant>
        <vt:i4>5</vt:i4>
      </vt:variant>
      <vt:variant>
        <vt:lpwstr/>
      </vt:variant>
      <vt:variant>
        <vt:lpwstr>_ENREF_116</vt:lpwstr>
      </vt:variant>
      <vt:variant>
        <vt:i4>4325387</vt:i4>
      </vt:variant>
      <vt:variant>
        <vt:i4>3347</vt:i4>
      </vt:variant>
      <vt:variant>
        <vt:i4>0</vt:i4>
      </vt:variant>
      <vt:variant>
        <vt:i4>5</vt:i4>
      </vt:variant>
      <vt:variant>
        <vt:lpwstr/>
      </vt:variant>
      <vt:variant>
        <vt:lpwstr>_ENREF_3</vt:lpwstr>
      </vt:variant>
      <vt:variant>
        <vt:i4>4784139</vt:i4>
      </vt:variant>
      <vt:variant>
        <vt:i4>3329</vt:i4>
      </vt:variant>
      <vt:variant>
        <vt:i4>0</vt:i4>
      </vt:variant>
      <vt:variant>
        <vt:i4>5</vt:i4>
      </vt:variant>
      <vt:variant>
        <vt:lpwstr/>
      </vt:variant>
      <vt:variant>
        <vt:lpwstr>_ENREF_8</vt:lpwstr>
      </vt:variant>
      <vt:variant>
        <vt:i4>4784185</vt:i4>
      </vt:variant>
      <vt:variant>
        <vt:i4>3320</vt:i4>
      </vt:variant>
      <vt:variant>
        <vt:i4>0</vt:i4>
      </vt:variant>
      <vt:variant>
        <vt:i4>5</vt:i4>
      </vt:variant>
      <vt:variant>
        <vt:lpwstr/>
      </vt:variant>
      <vt:variant>
        <vt:lpwstr>_ENREF_82</vt:lpwstr>
      </vt:variant>
      <vt:variant>
        <vt:i4>7602239</vt:i4>
      </vt:variant>
      <vt:variant>
        <vt:i4>3314</vt:i4>
      </vt:variant>
      <vt:variant>
        <vt:i4>0</vt:i4>
      </vt:variant>
      <vt:variant>
        <vt:i4>5</vt:i4>
      </vt:variant>
      <vt:variant>
        <vt:lpwstr/>
      </vt:variant>
      <vt:variant>
        <vt:lpwstr>_ENREF_144</vt:lpwstr>
      </vt:variant>
      <vt:variant>
        <vt:i4>4784190</vt:i4>
      </vt:variant>
      <vt:variant>
        <vt:i4>3311</vt:i4>
      </vt:variant>
      <vt:variant>
        <vt:i4>0</vt:i4>
      </vt:variant>
      <vt:variant>
        <vt:i4>5</vt:i4>
      </vt:variant>
      <vt:variant>
        <vt:lpwstr/>
      </vt:variant>
      <vt:variant>
        <vt:lpwstr>_ENREF_85</vt:lpwstr>
      </vt:variant>
      <vt:variant>
        <vt:i4>4587577</vt:i4>
      </vt:variant>
      <vt:variant>
        <vt:i4>3303</vt:i4>
      </vt:variant>
      <vt:variant>
        <vt:i4>0</vt:i4>
      </vt:variant>
      <vt:variant>
        <vt:i4>5</vt:i4>
      </vt:variant>
      <vt:variant>
        <vt:lpwstr/>
      </vt:variant>
      <vt:variant>
        <vt:lpwstr>_ENREF_72</vt:lpwstr>
      </vt:variant>
      <vt:variant>
        <vt:i4>7798841</vt:i4>
      </vt:variant>
      <vt:variant>
        <vt:i4>3295</vt:i4>
      </vt:variant>
      <vt:variant>
        <vt:i4>0</vt:i4>
      </vt:variant>
      <vt:variant>
        <vt:i4>5</vt:i4>
      </vt:variant>
      <vt:variant>
        <vt:lpwstr/>
      </vt:variant>
      <vt:variant>
        <vt:lpwstr>_ENREF_127</vt:lpwstr>
      </vt:variant>
      <vt:variant>
        <vt:i4>4784190</vt:i4>
      </vt:variant>
      <vt:variant>
        <vt:i4>3289</vt:i4>
      </vt:variant>
      <vt:variant>
        <vt:i4>0</vt:i4>
      </vt:variant>
      <vt:variant>
        <vt:i4>5</vt:i4>
      </vt:variant>
      <vt:variant>
        <vt:lpwstr/>
      </vt:variant>
      <vt:variant>
        <vt:lpwstr>_ENREF_85</vt:lpwstr>
      </vt:variant>
      <vt:variant>
        <vt:i4>4587577</vt:i4>
      </vt:variant>
      <vt:variant>
        <vt:i4>3286</vt:i4>
      </vt:variant>
      <vt:variant>
        <vt:i4>0</vt:i4>
      </vt:variant>
      <vt:variant>
        <vt:i4>5</vt:i4>
      </vt:variant>
      <vt:variant>
        <vt:lpwstr/>
      </vt:variant>
      <vt:variant>
        <vt:lpwstr>_ENREF_72</vt:lpwstr>
      </vt:variant>
      <vt:variant>
        <vt:i4>7602239</vt:i4>
      </vt:variant>
      <vt:variant>
        <vt:i4>3278</vt:i4>
      </vt:variant>
      <vt:variant>
        <vt:i4>0</vt:i4>
      </vt:variant>
      <vt:variant>
        <vt:i4>5</vt:i4>
      </vt:variant>
      <vt:variant>
        <vt:lpwstr/>
      </vt:variant>
      <vt:variant>
        <vt:lpwstr>_ENREF_144</vt:lpwstr>
      </vt:variant>
      <vt:variant>
        <vt:i4>4653119</vt:i4>
      </vt:variant>
      <vt:variant>
        <vt:i4>3275</vt:i4>
      </vt:variant>
      <vt:variant>
        <vt:i4>0</vt:i4>
      </vt:variant>
      <vt:variant>
        <vt:i4>5</vt:i4>
      </vt:variant>
      <vt:variant>
        <vt:lpwstr/>
      </vt:variant>
      <vt:variant>
        <vt:lpwstr>_ENREF_64</vt:lpwstr>
      </vt:variant>
      <vt:variant>
        <vt:i4>7798841</vt:i4>
      </vt:variant>
      <vt:variant>
        <vt:i4>3267</vt:i4>
      </vt:variant>
      <vt:variant>
        <vt:i4>0</vt:i4>
      </vt:variant>
      <vt:variant>
        <vt:i4>5</vt:i4>
      </vt:variant>
      <vt:variant>
        <vt:lpwstr/>
      </vt:variant>
      <vt:variant>
        <vt:lpwstr>_ENREF_127</vt:lpwstr>
      </vt:variant>
      <vt:variant>
        <vt:i4>4653119</vt:i4>
      </vt:variant>
      <vt:variant>
        <vt:i4>3264</vt:i4>
      </vt:variant>
      <vt:variant>
        <vt:i4>0</vt:i4>
      </vt:variant>
      <vt:variant>
        <vt:i4>5</vt:i4>
      </vt:variant>
      <vt:variant>
        <vt:lpwstr/>
      </vt:variant>
      <vt:variant>
        <vt:lpwstr>_ENREF_64</vt:lpwstr>
      </vt:variant>
      <vt:variant>
        <vt:i4>7602239</vt:i4>
      </vt:variant>
      <vt:variant>
        <vt:i4>3256</vt:i4>
      </vt:variant>
      <vt:variant>
        <vt:i4>0</vt:i4>
      </vt:variant>
      <vt:variant>
        <vt:i4>5</vt:i4>
      </vt:variant>
      <vt:variant>
        <vt:lpwstr/>
      </vt:variant>
      <vt:variant>
        <vt:lpwstr>_ENREF_144</vt:lpwstr>
      </vt:variant>
      <vt:variant>
        <vt:i4>4784190</vt:i4>
      </vt:variant>
      <vt:variant>
        <vt:i4>3253</vt:i4>
      </vt:variant>
      <vt:variant>
        <vt:i4>0</vt:i4>
      </vt:variant>
      <vt:variant>
        <vt:i4>5</vt:i4>
      </vt:variant>
      <vt:variant>
        <vt:lpwstr/>
      </vt:variant>
      <vt:variant>
        <vt:lpwstr>_ENREF_85</vt:lpwstr>
      </vt:variant>
      <vt:variant>
        <vt:i4>4587577</vt:i4>
      </vt:variant>
      <vt:variant>
        <vt:i4>3250</vt:i4>
      </vt:variant>
      <vt:variant>
        <vt:i4>0</vt:i4>
      </vt:variant>
      <vt:variant>
        <vt:i4>5</vt:i4>
      </vt:variant>
      <vt:variant>
        <vt:lpwstr/>
      </vt:variant>
      <vt:variant>
        <vt:lpwstr>_ENREF_72</vt:lpwstr>
      </vt:variant>
      <vt:variant>
        <vt:i4>7798841</vt:i4>
      </vt:variant>
      <vt:variant>
        <vt:i4>3242</vt:i4>
      </vt:variant>
      <vt:variant>
        <vt:i4>0</vt:i4>
      </vt:variant>
      <vt:variant>
        <vt:i4>5</vt:i4>
      </vt:variant>
      <vt:variant>
        <vt:lpwstr/>
      </vt:variant>
      <vt:variant>
        <vt:lpwstr>_ENREF_127</vt:lpwstr>
      </vt:variant>
      <vt:variant>
        <vt:i4>4653119</vt:i4>
      </vt:variant>
      <vt:variant>
        <vt:i4>3236</vt:i4>
      </vt:variant>
      <vt:variant>
        <vt:i4>0</vt:i4>
      </vt:variant>
      <vt:variant>
        <vt:i4>5</vt:i4>
      </vt:variant>
      <vt:variant>
        <vt:lpwstr/>
      </vt:variant>
      <vt:variant>
        <vt:lpwstr>_ENREF_64</vt:lpwstr>
      </vt:variant>
      <vt:variant>
        <vt:i4>4784190</vt:i4>
      </vt:variant>
      <vt:variant>
        <vt:i4>3233</vt:i4>
      </vt:variant>
      <vt:variant>
        <vt:i4>0</vt:i4>
      </vt:variant>
      <vt:variant>
        <vt:i4>5</vt:i4>
      </vt:variant>
      <vt:variant>
        <vt:lpwstr/>
      </vt:variant>
      <vt:variant>
        <vt:lpwstr>_ENREF_85</vt:lpwstr>
      </vt:variant>
      <vt:variant>
        <vt:i4>7602239</vt:i4>
      </vt:variant>
      <vt:variant>
        <vt:i4>3230</vt:i4>
      </vt:variant>
      <vt:variant>
        <vt:i4>0</vt:i4>
      </vt:variant>
      <vt:variant>
        <vt:i4>5</vt:i4>
      </vt:variant>
      <vt:variant>
        <vt:lpwstr/>
      </vt:variant>
      <vt:variant>
        <vt:lpwstr>_ENREF_144</vt:lpwstr>
      </vt:variant>
      <vt:variant>
        <vt:i4>4587577</vt:i4>
      </vt:variant>
      <vt:variant>
        <vt:i4>3222</vt:i4>
      </vt:variant>
      <vt:variant>
        <vt:i4>0</vt:i4>
      </vt:variant>
      <vt:variant>
        <vt:i4>5</vt:i4>
      </vt:variant>
      <vt:variant>
        <vt:lpwstr/>
      </vt:variant>
      <vt:variant>
        <vt:lpwstr>_ENREF_72</vt:lpwstr>
      </vt:variant>
      <vt:variant>
        <vt:i4>7864378</vt:i4>
      </vt:variant>
      <vt:variant>
        <vt:i4>3211</vt:i4>
      </vt:variant>
      <vt:variant>
        <vt:i4>0</vt:i4>
      </vt:variant>
      <vt:variant>
        <vt:i4>5</vt:i4>
      </vt:variant>
      <vt:variant>
        <vt:lpwstr/>
      </vt:variant>
      <vt:variant>
        <vt:lpwstr>_ENREF_118</vt:lpwstr>
      </vt:variant>
      <vt:variant>
        <vt:i4>7602238</vt:i4>
      </vt:variant>
      <vt:variant>
        <vt:i4>3203</vt:i4>
      </vt:variant>
      <vt:variant>
        <vt:i4>0</vt:i4>
      </vt:variant>
      <vt:variant>
        <vt:i4>5</vt:i4>
      </vt:variant>
      <vt:variant>
        <vt:lpwstr/>
      </vt:variant>
      <vt:variant>
        <vt:lpwstr>_ENREF_154</vt:lpwstr>
      </vt:variant>
      <vt:variant>
        <vt:i4>7929919</vt:i4>
      </vt:variant>
      <vt:variant>
        <vt:i4>3200</vt:i4>
      </vt:variant>
      <vt:variant>
        <vt:i4>0</vt:i4>
      </vt:variant>
      <vt:variant>
        <vt:i4>5</vt:i4>
      </vt:variant>
      <vt:variant>
        <vt:lpwstr/>
      </vt:variant>
      <vt:variant>
        <vt:lpwstr>_ENREF_149</vt:lpwstr>
      </vt:variant>
      <vt:variant>
        <vt:i4>7733311</vt:i4>
      </vt:variant>
      <vt:variant>
        <vt:i4>3197</vt:i4>
      </vt:variant>
      <vt:variant>
        <vt:i4>0</vt:i4>
      </vt:variant>
      <vt:variant>
        <vt:i4>5</vt:i4>
      </vt:variant>
      <vt:variant>
        <vt:lpwstr/>
      </vt:variant>
      <vt:variant>
        <vt:lpwstr>_ENREF_146</vt:lpwstr>
      </vt:variant>
      <vt:variant>
        <vt:i4>7864378</vt:i4>
      </vt:variant>
      <vt:variant>
        <vt:i4>3194</vt:i4>
      </vt:variant>
      <vt:variant>
        <vt:i4>0</vt:i4>
      </vt:variant>
      <vt:variant>
        <vt:i4>5</vt:i4>
      </vt:variant>
      <vt:variant>
        <vt:lpwstr/>
      </vt:variant>
      <vt:variant>
        <vt:lpwstr>_ENREF_118</vt:lpwstr>
      </vt:variant>
      <vt:variant>
        <vt:i4>4653118</vt:i4>
      </vt:variant>
      <vt:variant>
        <vt:i4>3191</vt:i4>
      </vt:variant>
      <vt:variant>
        <vt:i4>0</vt:i4>
      </vt:variant>
      <vt:variant>
        <vt:i4>5</vt:i4>
      </vt:variant>
      <vt:variant>
        <vt:lpwstr/>
      </vt:variant>
      <vt:variant>
        <vt:lpwstr>_ENREF_65</vt:lpwstr>
      </vt:variant>
      <vt:variant>
        <vt:i4>4325437</vt:i4>
      </vt:variant>
      <vt:variant>
        <vt:i4>3188</vt:i4>
      </vt:variant>
      <vt:variant>
        <vt:i4>0</vt:i4>
      </vt:variant>
      <vt:variant>
        <vt:i4>5</vt:i4>
      </vt:variant>
      <vt:variant>
        <vt:lpwstr/>
      </vt:variant>
      <vt:variant>
        <vt:lpwstr>_ENREF_36</vt:lpwstr>
      </vt:variant>
      <vt:variant>
        <vt:i4>4325432</vt:i4>
      </vt:variant>
      <vt:variant>
        <vt:i4>3180</vt:i4>
      </vt:variant>
      <vt:variant>
        <vt:i4>0</vt:i4>
      </vt:variant>
      <vt:variant>
        <vt:i4>5</vt:i4>
      </vt:variant>
      <vt:variant>
        <vt:lpwstr/>
      </vt:variant>
      <vt:variant>
        <vt:lpwstr>_ENREF_33</vt:lpwstr>
      </vt:variant>
      <vt:variant>
        <vt:i4>4325438</vt:i4>
      </vt:variant>
      <vt:variant>
        <vt:i4>3172</vt:i4>
      </vt:variant>
      <vt:variant>
        <vt:i4>0</vt:i4>
      </vt:variant>
      <vt:variant>
        <vt:i4>5</vt:i4>
      </vt:variant>
      <vt:variant>
        <vt:lpwstr/>
      </vt:variant>
      <vt:variant>
        <vt:lpwstr>_ENREF_35</vt:lpwstr>
      </vt:variant>
      <vt:variant>
        <vt:i4>4456510</vt:i4>
      </vt:variant>
      <vt:variant>
        <vt:i4>3164</vt:i4>
      </vt:variant>
      <vt:variant>
        <vt:i4>0</vt:i4>
      </vt:variant>
      <vt:variant>
        <vt:i4>5</vt:i4>
      </vt:variant>
      <vt:variant>
        <vt:lpwstr/>
      </vt:variant>
      <vt:variant>
        <vt:lpwstr>_ENREF_55</vt:lpwstr>
      </vt:variant>
      <vt:variant>
        <vt:i4>4522043</vt:i4>
      </vt:variant>
      <vt:variant>
        <vt:i4>3158</vt:i4>
      </vt:variant>
      <vt:variant>
        <vt:i4>0</vt:i4>
      </vt:variant>
      <vt:variant>
        <vt:i4>5</vt:i4>
      </vt:variant>
      <vt:variant>
        <vt:lpwstr/>
      </vt:variant>
      <vt:variant>
        <vt:lpwstr>_ENREF_40</vt:lpwstr>
      </vt:variant>
      <vt:variant>
        <vt:i4>7733311</vt:i4>
      </vt:variant>
      <vt:variant>
        <vt:i4>3152</vt:i4>
      </vt:variant>
      <vt:variant>
        <vt:i4>0</vt:i4>
      </vt:variant>
      <vt:variant>
        <vt:i4>5</vt:i4>
      </vt:variant>
      <vt:variant>
        <vt:lpwstr/>
      </vt:variant>
      <vt:variant>
        <vt:lpwstr>_ENREF_146</vt:lpwstr>
      </vt:variant>
      <vt:variant>
        <vt:i4>7864378</vt:i4>
      </vt:variant>
      <vt:variant>
        <vt:i4>3149</vt:i4>
      </vt:variant>
      <vt:variant>
        <vt:i4>0</vt:i4>
      </vt:variant>
      <vt:variant>
        <vt:i4>5</vt:i4>
      </vt:variant>
      <vt:variant>
        <vt:lpwstr/>
      </vt:variant>
      <vt:variant>
        <vt:lpwstr>_ENREF_118</vt:lpwstr>
      </vt:variant>
      <vt:variant>
        <vt:i4>7733311</vt:i4>
      </vt:variant>
      <vt:variant>
        <vt:i4>3141</vt:i4>
      </vt:variant>
      <vt:variant>
        <vt:i4>0</vt:i4>
      </vt:variant>
      <vt:variant>
        <vt:i4>5</vt:i4>
      </vt:variant>
      <vt:variant>
        <vt:lpwstr/>
      </vt:variant>
      <vt:variant>
        <vt:lpwstr>_ENREF_146</vt:lpwstr>
      </vt:variant>
      <vt:variant>
        <vt:i4>4653112</vt:i4>
      </vt:variant>
      <vt:variant>
        <vt:i4>3138</vt:i4>
      </vt:variant>
      <vt:variant>
        <vt:i4>0</vt:i4>
      </vt:variant>
      <vt:variant>
        <vt:i4>5</vt:i4>
      </vt:variant>
      <vt:variant>
        <vt:lpwstr/>
      </vt:variant>
      <vt:variant>
        <vt:lpwstr>_ENREF_63</vt:lpwstr>
      </vt:variant>
      <vt:variant>
        <vt:i4>4325436</vt:i4>
      </vt:variant>
      <vt:variant>
        <vt:i4>3130</vt:i4>
      </vt:variant>
      <vt:variant>
        <vt:i4>0</vt:i4>
      </vt:variant>
      <vt:variant>
        <vt:i4>5</vt:i4>
      </vt:variant>
      <vt:variant>
        <vt:lpwstr/>
      </vt:variant>
      <vt:variant>
        <vt:lpwstr>_ENREF_37</vt:lpwstr>
      </vt:variant>
      <vt:variant>
        <vt:i4>4325437</vt:i4>
      </vt:variant>
      <vt:variant>
        <vt:i4>3127</vt:i4>
      </vt:variant>
      <vt:variant>
        <vt:i4>0</vt:i4>
      </vt:variant>
      <vt:variant>
        <vt:i4>5</vt:i4>
      </vt:variant>
      <vt:variant>
        <vt:lpwstr/>
      </vt:variant>
      <vt:variant>
        <vt:lpwstr>_ENREF_36</vt:lpwstr>
      </vt:variant>
      <vt:variant>
        <vt:i4>4522043</vt:i4>
      </vt:variant>
      <vt:variant>
        <vt:i4>3119</vt:i4>
      </vt:variant>
      <vt:variant>
        <vt:i4>0</vt:i4>
      </vt:variant>
      <vt:variant>
        <vt:i4>5</vt:i4>
      </vt:variant>
      <vt:variant>
        <vt:lpwstr/>
      </vt:variant>
      <vt:variant>
        <vt:lpwstr>_ENREF_40</vt:lpwstr>
      </vt:variant>
      <vt:variant>
        <vt:i4>4325438</vt:i4>
      </vt:variant>
      <vt:variant>
        <vt:i4>3113</vt:i4>
      </vt:variant>
      <vt:variant>
        <vt:i4>0</vt:i4>
      </vt:variant>
      <vt:variant>
        <vt:i4>5</vt:i4>
      </vt:variant>
      <vt:variant>
        <vt:lpwstr/>
      </vt:variant>
      <vt:variant>
        <vt:lpwstr>_ENREF_35</vt:lpwstr>
      </vt:variant>
      <vt:variant>
        <vt:i4>4653118</vt:i4>
      </vt:variant>
      <vt:variant>
        <vt:i4>3105</vt:i4>
      </vt:variant>
      <vt:variant>
        <vt:i4>0</vt:i4>
      </vt:variant>
      <vt:variant>
        <vt:i4>5</vt:i4>
      </vt:variant>
      <vt:variant>
        <vt:lpwstr/>
      </vt:variant>
      <vt:variant>
        <vt:lpwstr>_ENREF_65</vt:lpwstr>
      </vt:variant>
      <vt:variant>
        <vt:i4>4718648</vt:i4>
      </vt:variant>
      <vt:variant>
        <vt:i4>3097</vt:i4>
      </vt:variant>
      <vt:variant>
        <vt:i4>0</vt:i4>
      </vt:variant>
      <vt:variant>
        <vt:i4>5</vt:i4>
      </vt:variant>
      <vt:variant>
        <vt:lpwstr/>
      </vt:variant>
      <vt:variant>
        <vt:lpwstr>_ENREF_93</vt:lpwstr>
      </vt:variant>
      <vt:variant>
        <vt:i4>7602238</vt:i4>
      </vt:variant>
      <vt:variant>
        <vt:i4>3089</vt:i4>
      </vt:variant>
      <vt:variant>
        <vt:i4>0</vt:i4>
      </vt:variant>
      <vt:variant>
        <vt:i4>5</vt:i4>
      </vt:variant>
      <vt:variant>
        <vt:lpwstr/>
      </vt:variant>
      <vt:variant>
        <vt:lpwstr>_ENREF_154</vt:lpwstr>
      </vt:variant>
      <vt:variant>
        <vt:i4>7864378</vt:i4>
      </vt:variant>
      <vt:variant>
        <vt:i4>3086</vt:i4>
      </vt:variant>
      <vt:variant>
        <vt:i4>0</vt:i4>
      </vt:variant>
      <vt:variant>
        <vt:i4>5</vt:i4>
      </vt:variant>
      <vt:variant>
        <vt:lpwstr/>
      </vt:variant>
      <vt:variant>
        <vt:lpwstr>_ENREF_118</vt:lpwstr>
      </vt:variant>
      <vt:variant>
        <vt:i4>4784188</vt:i4>
      </vt:variant>
      <vt:variant>
        <vt:i4>3083</vt:i4>
      </vt:variant>
      <vt:variant>
        <vt:i4>0</vt:i4>
      </vt:variant>
      <vt:variant>
        <vt:i4>5</vt:i4>
      </vt:variant>
      <vt:variant>
        <vt:lpwstr/>
      </vt:variant>
      <vt:variant>
        <vt:lpwstr>_ENREF_87</vt:lpwstr>
      </vt:variant>
      <vt:variant>
        <vt:i4>7929919</vt:i4>
      </vt:variant>
      <vt:variant>
        <vt:i4>3075</vt:i4>
      </vt:variant>
      <vt:variant>
        <vt:i4>0</vt:i4>
      </vt:variant>
      <vt:variant>
        <vt:i4>5</vt:i4>
      </vt:variant>
      <vt:variant>
        <vt:lpwstr/>
      </vt:variant>
      <vt:variant>
        <vt:lpwstr>_ENREF_149</vt:lpwstr>
      </vt:variant>
      <vt:variant>
        <vt:i4>4653112</vt:i4>
      </vt:variant>
      <vt:variant>
        <vt:i4>3072</vt:i4>
      </vt:variant>
      <vt:variant>
        <vt:i4>0</vt:i4>
      </vt:variant>
      <vt:variant>
        <vt:i4>5</vt:i4>
      </vt:variant>
      <vt:variant>
        <vt:lpwstr/>
      </vt:variant>
      <vt:variant>
        <vt:lpwstr>_ENREF_63</vt:lpwstr>
      </vt:variant>
      <vt:variant>
        <vt:i4>4456509</vt:i4>
      </vt:variant>
      <vt:variant>
        <vt:i4>3069</vt:i4>
      </vt:variant>
      <vt:variant>
        <vt:i4>0</vt:i4>
      </vt:variant>
      <vt:variant>
        <vt:i4>5</vt:i4>
      </vt:variant>
      <vt:variant>
        <vt:lpwstr/>
      </vt:variant>
      <vt:variant>
        <vt:lpwstr>_ENREF_56</vt:lpwstr>
      </vt:variant>
      <vt:variant>
        <vt:i4>7733311</vt:i4>
      </vt:variant>
      <vt:variant>
        <vt:i4>3061</vt:i4>
      </vt:variant>
      <vt:variant>
        <vt:i4>0</vt:i4>
      </vt:variant>
      <vt:variant>
        <vt:i4>5</vt:i4>
      </vt:variant>
      <vt:variant>
        <vt:lpwstr/>
      </vt:variant>
      <vt:variant>
        <vt:lpwstr>_ENREF_146</vt:lpwstr>
      </vt:variant>
      <vt:variant>
        <vt:i4>4456510</vt:i4>
      </vt:variant>
      <vt:variant>
        <vt:i4>3058</vt:i4>
      </vt:variant>
      <vt:variant>
        <vt:i4>0</vt:i4>
      </vt:variant>
      <vt:variant>
        <vt:i4>5</vt:i4>
      </vt:variant>
      <vt:variant>
        <vt:lpwstr/>
      </vt:variant>
      <vt:variant>
        <vt:lpwstr>_ENREF_55</vt:lpwstr>
      </vt:variant>
      <vt:variant>
        <vt:i4>4325436</vt:i4>
      </vt:variant>
      <vt:variant>
        <vt:i4>3055</vt:i4>
      </vt:variant>
      <vt:variant>
        <vt:i4>0</vt:i4>
      </vt:variant>
      <vt:variant>
        <vt:i4>5</vt:i4>
      </vt:variant>
      <vt:variant>
        <vt:lpwstr/>
      </vt:variant>
      <vt:variant>
        <vt:lpwstr>_ENREF_37</vt:lpwstr>
      </vt:variant>
      <vt:variant>
        <vt:i4>4325437</vt:i4>
      </vt:variant>
      <vt:variant>
        <vt:i4>3052</vt:i4>
      </vt:variant>
      <vt:variant>
        <vt:i4>0</vt:i4>
      </vt:variant>
      <vt:variant>
        <vt:i4>5</vt:i4>
      </vt:variant>
      <vt:variant>
        <vt:lpwstr/>
      </vt:variant>
      <vt:variant>
        <vt:lpwstr>_ENREF_36</vt:lpwstr>
      </vt:variant>
      <vt:variant>
        <vt:i4>4325432</vt:i4>
      </vt:variant>
      <vt:variant>
        <vt:i4>3049</vt:i4>
      </vt:variant>
      <vt:variant>
        <vt:i4>0</vt:i4>
      </vt:variant>
      <vt:variant>
        <vt:i4>5</vt:i4>
      </vt:variant>
      <vt:variant>
        <vt:lpwstr/>
      </vt:variant>
      <vt:variant>
        <vt:lpwstr>_ENREF_33</vt:lpwstr>
      </vt:variant>
      <vt:variant>
        <vt:i4>4784188</vt:i4>
      </vt:variant>
      <vt:variant>
        <vt:i4>3041</vt:i4>
      </vt:variant>
      <vt:variant>
        <vt:i4>0</vt:i4>
      </vt:variant>
      <vt:variant>
        <vt:i4>5</vt:i4>
      </vt:variant>
      <vt:variant>
        <vt:lpwstr/>
      </vt:variant>
      <vt:variant>
        <vt:lpwstr>_ENREF_87</vt:lpwstr>
      </vt:variant>
      <vt:variant>
        <vt:i4>7602238</vt:i4>
      </vt:variant>
      <vt:variant>
        <vt:i4>3033</vt:i4>
      </vt:variant>
      <vt:variant>
        <vt:i4>0</vt:i4>
      </vt:variant>
      <vt:variant>
        <vt:i4>5</vt:i4>
      </vt:variant>
      <vt:variant>
        <vt:lpwstr/>
      </vt:variant>
      <vt:variant>
        <vt:lpwstr>_ENREF_154</vt:lpwstr>
      </vt:variant>
      <vt:variant>
        <vt:i4>4325438</vt:i4>
      </vt:variant>
      <vt:variant>
        <vt:i4>3027</vt:i4>
      </vt:variant>
      <vt:variant>
        <vt:i4>0</vt:i4>
      </vt:variant>
      <vt:variant>
        <vt:i4>5</vt:i4>
      </vt:variant>
      <vt:variant>
        <vt:lpwstr/>
      </vt:variant>
      <vt:variant>
        <vt:lpwstr>_ENREF_35</vt:lpwstr>
      </vt:variant>
      <vt:variant>
        <vt:i4>7864378</vt:i4>
      </vt:variant>
      <vt:variant>
        <vt:i4>3019</vt:i4>
      </vt:variant>
      <vt:variant>
        <vt:i4>0</vt:i4>
      </vt:variant>
      <vt:variant>
        <vt:i4>5</vt:i4>
      </vt:variant>
      <vt:variant>
        <vt:lpwstr/>
      </vt:variant>
      <vt:variant>
        <vt:lpwstr>_ENREF_118</vt:lpwstr>
      </vt:variant>
      <vt:variant>
        <vt:i4>4653112</vt:i4>
      </vt:variant>
      <vt:variant>
        <vt:i4>3016</vt:i4>
      </vt:variant>
      <vt:variant>
        <vt:i4>0</vt:i4>
      </vt:variant>
      <vt:variant>
        <vt:i4>5</vt:i4>
      </vt:variant>
      <vt:variant>
        <vt:lpwstr/>
      </vt:variant>
      <vt:variant>
        <vt:lpwstr>_ENREF_63</vt:lpwstr>
      </vt:variant>
      <vt:variant>
        <vt:i4>7929919</vt:i4>
      </vt:variant>
      <vt:variant>
        <vt:i4>3008</vt:i4>
      </vt:variant>
      <vt:variant>
        <vt:i4>0</vt:i4>
      </vt:variant>
      <vt:variant>
        <vt:i4>5</vt:i4>
      </vt:variant>
      <vt:variant>
        <vt:lpwstr/>
      </vt:variant>
      <vt:variant>
        <vt:lpwstr>_ENREF_149</vt:lpwstr>
      </vt:variant>
      <vt:variant>
        <vt:i4>4718648</vt:i4>
      </vt:variant>
      <vt:variant>
        <vt:i4>3005</vt:i4>
      </vt:variant>
      <vt:variant>
        <vt:i4>0</vt:i4>
      </vt:variant>
      <vt:variant>
        <vt:i4>5</vt:i4>
      </vt:variant>
      <vt:variant>
        <vt:lpwstr/>
      </vt:variant>
      <vt:variant>
        <vt:lpwstr>_ENREF_93</vt:lpwstr>
      </vt:variant>
      <vt:variant>
        <vt:i4>4653118</vt:i4>
      </vt:variant>
      <vt:variant>
        <vt:i4>3002</vt:i4>
      </vt:variant>
      <vt:variant>
        <vt:i4>0</vt:i4>
      </vt:variant>
      <vt:variant>
        <vt:i4>5</vt:i4>
      </vt:variant>
      <vt:variant>
        <vt:lpwstr/>
      </vt:variant>
      <vt:variant>
        <vt:lpwstr>_ENREF_65</vt:lpwstr>
      </vt:variant>
      <vt:variant>
        <vt:i4>4456509</vt:i4>
      </vt:variant>
      <vt:variant>
        <vt:i4>2999</vt:i4>
      </vt:variant>
      <vt:variant>
        <vt:i4>0</vt:i4>
      </vt:variant>
      <vt:variant>
        <vt:i4>5</vt:i4>
      </vt:variant>
      <vt:variant>
        <vt:lpwstr/>
      </vt:variant>
      <vt:variant>
        <vt:lpwstr>_ENREF_56</vt:lpwstr>
      </vt:variant>
      <vt:variant>
        <vt:i4>7602238</vt:i4>
      </vt:variant>
      <vt:variant>
        <vt:i4>2991</vt:i4>
      </vt:variant>
      <vt:variant>
        <vt:i4>0</vt:i4>
      </vt:variant>
      <vt:variant>
        <vt:i4>5</vt:i4>
      </vt:variant>
      <vt:variant>
        <vt:lpwstr/>
      </vt:variant>
      <vt:variant>
        <vt:lpwstr>_ENREF_154</vt:lpwstr>
      </vt:variant>
      <vt:variant>
        <vt:i4>4718648</vt:i4>
      </vt:variant>
      <vt:variant>
        <vt:i4>2988</vt:i4>
      </vt:variant>
      <vt:variant>
        <vt:i4>0</vt:i4>
      </vt:variant>
      <vt:variant>
        <vt:i4>5</vt:i4>
      </vt:variant>
      <vt:variant>
        <vt:lpwstr/>
      </vt:variant>
      <vt:variant>
        <vt:lpwstr>_ENREF_93</vt:lpwstr>
      </vt:variant>
      <vt:variant>
        <vt:i4>4784188</vt:i4>
      </vt:variant>
      <vt:variant>
        <vt:i4>2985</vt:i4>
      </vt:variant>
      <vt:variant>
        <vt:i4>0</vt:i4>
      </vt:variant>
      <vt:variant>
        <vt:i4>5</vt:i4>
      </vt:variant>
      <vt:variant>
        <vt:lpwstr/>
      </vt:variant>
      <vt:variant>
        <vt:lpwstr>_ENREF_87</vt:lpwstr>
      </vt:variant>
      <vt:variant>
        <vt:i4>4325436</vt:i4>
      </vt:variant>
      <vt:variant>
        <vt:i4>2982</vt:i4>
      </vt:variant>
      <vt:variant>
        <vt:i4>0</vt:i4>
      </vt:variant>
      <vt:variant>
        <vt:i4>5</vt:i4>
      </vt:variant>
      <vt:variant>
        <vt:lpwstr/>
      </vt:variant>
      <vt:variant>
        <vt:lpwstr>_ENREF_37</vt:lpwstr>
      </vt:variant>
      <vt:variant>
        <vt:i4>7864378</vt:i4>
      </vt:variant>
      <vt:variant>
        <vt:i4>2974</vt:i4>
      </vt:variant>
      <vt:variant>
        <vt:i4>0</vt:i4>
      </vt:variant>
      <vt:variant>
        <vt:i4>5</vt:i4>
      </vt:variant>
      <vt:variant>
        <vt:lpwstr/>
      </vt:variant>
      <vt:variant>
        <vt:lpwstr>_ENREF_118</vt:lpwstr>
      </vt:variant>
      <vt:variant>
        <vt:i4>7929919</vt:i4>
      </vt:variant>
      <vt:variant>
        <vt:i4>2966</vt:i4>
      </vt:variant>
      <vt:variant>
        <vt:i4>0</vt:i4>
      </vt:variant>
      <vt:variant>
        <vt:i4>5</vt:i4>
      </vt:variant>
      <vt:variant>
        <vt:lpwstr/>
      </vt:variant>
      <vt:variant>
        <vt:lpwstr>_ENREF_149</vt:lpwstr>
      </vt:variant>
      <vt:variant>
        <vt:i4>4653118</vt:i4>
      </vt:variant>
      <vt:variant>
        <vt:i4>2958</vt:i4>
      </vt:variant>
      <vt:variant>
        <vt:i4>0</vt:i4>
      </vt:variant>
      <vt:variant>
        <vt:i4>5</vt:i4>
      </vt:variant>
      <vt:variant>
        <vt:lpwstr/>
      </vt:variant>
      <vt:variant>
        <vt:lpwstr>_ENREF_65</vt:lpwstr>
      </vt:variant>
      <vt:variant>
        <vt:i4>4653112</vt:i4>
      </vt:variant>
      <vt:variant>
        <vt:i4>2955</vt:i4>
      </vt:variant>
      <vt:variant>
        <vt:i4>0</vt:i4>
      </vt:variant>
      <vt:variant>
        <vt:i4>5</vt:i4>
      </vt:variant>
      <vt:variant>
        <vt:lpwstr/>
      </vt:variant>
      <vt:variant>
        <vt:lpwstr>_ENREF_63</vt:lpwstr>
      </vt:variant>
      <vt:variant>
        <vt:i4>4325438</vt:i4>
      </vt:variant>
      <vt:variant>
        <vt:i4>2947</vt:i4>
      </vt:variant>
      <vt:variant>
        <vt:i4>0</vt:i4>
      </vt:variant>
      <vt:variant>
        <vt:i4>5</vt:i4>
      </vt:variant>
      <vt:variant>
        <vt:lpwstr/>
      </vt:variant>
      <vt:variant>
        <vt:lpwstr>_ENREF_35</vt:lpwstr>
      </vt:variant>
      <vt:variant>
        <vt:i4>4456510</vt:i4>
      </vt:variant>
      <vt:variant>
        <vt:i4>2939</vt:i4>
      </vt:variant>
      <vt:variant>
        <vt:i4>0</vt:i4>
      </vt:variant>
      <vt:variant>
        <vt:i4>5</vt:i4>
      </vt:variant>
      <vt:variant>
        <vt:lpwstr/>
      </vt:variant>
      <vt:variant>
        <vt:lpwstr>_ENREF_55</vt:lpwstr>
      </vt:variant>
      <vt:variant>
        <vt:i4>4325437</vt:i4>
      </vt:variant>
      <vt:variant>
        <vt:i4>2936</vt:i4>
      </vt:variant>
      <vt:variant>
        <vt:i4>0</vt:i4>
      </vt:variant>
      <vt:variant>
        <vt:i4>5</vt:i4>
      </vt:variant>
      <vt:variant>
        <vt:lpwstr/>
      </vt:variant>
      <vt:variant>
        <vt:lpwstr>_ENREF_36</vt:lpwstr>
      </vt:variant>
      <vt:variant>
        <vt:i4>4325432</vt:i4>
      </vt:variant>
      <vt:variant>
        <vt:i4>2933</vt:i4>
      </vt:variant>
      <vt:variant>
        <vt:i4>0</vt:i4>
      </vt:variant>
      <vt:variant>
        <vt:i4>5</vt:i4>
      </vt:variant>
      <vt:variant>
        <vt:lpwstr/>
      </vt:variant>
      <vt:variant>
        <vt:lpwstr>_ENREF_33</vt:lpwstr>
      </vt:variant>
      <vt:variant>
        <vt:i4>4456509</vt:i4>
      </vt:variant>
      <vt:variant>
        <vt:i4>2925</vt:i4>
      </vt:variant>
      <vt:variant>
        <vt:i4>0</vt:i4>
      </vt:variant>
      <vt:variant>
        <vt:i4>5</vt:i4>
      </vt:variant>
      <vt:variant>
        <vt:lpwstr/>
      </vt:variant>
      <vt:variant>
        <vt:lpwstr>_ENREF_56</vt:lpwstr>
      </vt:variant>
      <vt:variant>
        <vt:i4>7864378</vt:i4>
      </vt:variant>
      <vt:variant>
        <vt:i4>2919</vt:i4>
      </vt:variant>
      <vt:variant>
        <vt:i4>0</vt:i4>
      </vt:variant>
      <vt:variant>
        <vt:i4>5</vt:i4>
      </vt:variant>
      <vt:variant>
        <vt:lpwstr/>
      </vt:variant>
      <vt:variant>
        <vt:lpwstr>_ENREF_118</vt:lpwstr>
      </vt:variant>
      <vt:variant>
        <vt:i4>4653112</vt:i4>
      </vt:variant>
      <vt:variant>
        <vt:i4>2916</vt:i4>
      </vt:variant>
      <vt:variant>
        <vt:i4>0</vt:i4>
      </vt:variant>
      <vt:variant>
        <vt:i4>5</vt:i4>
      </vt:variant>
      <vt:variant>
        <vt:lpwstr/>
      </vt:variant>
      <vt:variant>
        <vt:lpwstr>_ENREF_63</vt:lpwstr>
      </vt:variant>
      <vt:variant>
        <vt:i4>4456510</vt:i4>
      </vt:variant>
      <vt:variant>
        <vt:i4>2908</vt:i4>
      </vt:variant>
      <vt:variant>
        <vt:i4>0</vt:i4>
      </vt:variant>
      <vt:variant>
        <vt:i4>5</vt:i4>
      </vt:variant>
      <vt:variant>
        <vt:lpwstr/>
      </vt:variant>
      <vt:variant>
        <vt:lpwstr>_ENREF_55</vt:lpwstr>
      </vt:variant>
      <vt:variant>
        <vt:i4>4653112</vt:i4>
      </vt:variant>
      <vt:variant>
        <vt:i4>2902</vt:i4>
      </vt:variant>
      <vt:variant>
        <vt:i4>0</vt:i4>
      </vt:variant>
      <vt:variant>
        <vt:i4>5</vt:i4>
      </vt:variant>
      <vt:variant>
        <vt:lpwstr/>
      </vt:variant>
      <vt:variant>
        <vt:lpwstr>_ENREF_63</vt:lpwstr>
      </vt:variant>
      <vt:variant>
        <vt:i4>7864378</vt:i4>
      </vt:variant>
      <vt:variant>
        <vt:i4>2894</vt:i4>
      </vt:variant>
      <vt:variant>
        <vt:i4>0</vt:i4>
      </vt:variant>
      <vt:variant>
        <vt:i4>5</vt:i4>
      </vt:variant>
      <vt:variant>
        <vt:lpwstr/>
      </vt:variant>
      <vt:variant>
        <vt:lpwstr>_ENREF_118</vt:lpwstr>
      </vt:variant>
      <vt:variant>
        <vt:i4>4456509</vt:i4>
      </vt:variant>
      <vt:variant>
        <vt:i4>2891</vt:i4>
      </vt:variant>
      <vt:variant>
        <vt:i4>0</vt:i4>
      </vt:variant>
      <vt:variant>
        <vt:i4>5</vt:i4>
      </vt:variant>
      <vt:variant>
        <vt:lpwstr/>
      </vt:variant>
      <vt:variant>
        <vt:lpwstr>_ENREF_56</vt:lpwstr>
      </vt:variant>
      <vt:variant>
        <vt:i4>4456510</vt:i4>
      </vt:variant>
      <vt:variant>
        <vt:i4>2888</vt:i4>
      </vt:variant>
      <vt:variant>
        <vt:i4>0</vt:i4>
      </vt:variant>
      <vt:variant>
        <vt:i4>5</vt:i4>
      </vt:variant>
      <vt:variant>
        <vt:lpwstr/>
      </vt:variant>
      <vt:variant>
        <vt:lpwstr>_ENREF_55</vt:lpwstr>
      </vt:variant>
      <vt:variant>
        <vt:i4>4325436</vt:i4>
      </vt:variant>
      <vt:variant>
        <vt:i4>2885</vt:i4>
      </vt:variant>
      <vt:variant>
        <vt:i4>0</vt:i4>
      </vt:variant>
      <vt:variant>
        <vt:i4>5</vt:i4>
      </vt:variant>
      <vt:variant>
        <vt:lpwstr/>
      </vt:variant>
      <vt:variant>
        <vt:lpwstr>_ENREF_37</vt:lpwstr>
      </vt:variant>
      <vt:variant>
        <vt:i4>4325439</vt:i4>
      </vt:variant>
      <vt:variant>
        <vt:i4>2877</vt:i4>
      </vt:variant>
      <vt:variant>
        <vt:i4>0</vt:i4>
      </vt:variant>
      <vt:variant>
        <vt:i4>5</vt:i4>
      </vt:variant>
      <vt:variant>
        <vt:lpwstr/>
      </vt:variant>
      <vt:variant>
        <vt:lpwstr>_ENREF_34</vt:lpwstr>
      </vt:variant>
      <vt:variant>
        <vt:i4>4325436</vt:i4>
      </vt:variant>
      <vt:variant>
        <vt:i4>2874</vt:i4>
      </vt:variant>
      <vt:variant>
        <vt:i4>0</vt:i4>
      </vt:variant>
      <vt:variant>
        <vt:i4>5</vt:i4>
      </vt:variant>
      <vt:variant>
        <vt:lpwstr/>
      </vt:variant>
      <vt:variant>
        <vt:lpwstr>_ENREF_37</vt:lpwstr>
      </vt:variant>
      <vt:variant>
        <vt:i4>7733311</vt:i4>
      </vt:variant>
      <vt:variant>
        <vt:i4>2866</vt:i4>
      </vt:variant>
      <vt:variant>
        <vt:i4>0</vt:i4>
      </vt:variant>
      <vt:variant>
        <vt:i4>5</vt:i4>
      </vt:variant>
      <vt:variant>
        <vt:lpwstr/>
      </vt:variant>
      <vt:variant>
        <vt:lpwstr>_ENREF_146</vt:lpwstr>
      </vt:variant>
      <vt:variant>
        <vt:i4>7864378</vt:i4>
      </vt:variant>
      <vt:variant>
        <vt:i4>2858</vt:i4>
      </vt:variant>
      <vt:variant>
        <vt:i4>0</vt:i4>
      </vt:variant>
      <vt:variant>
        <vt:i4>5</vt:i4>
      </vt:variant>
      <vt:variant>
        <vt:lpwstr/>
      </vt:variant>
      <vt:variant>
        <vt:lpwstr>_ENREF_118</vt:lpwstr>
      </vt:variant>
      <vt:variant>
        <vt:i4>4784188</vt:i4>
      </vt:variant>
      <vt:variant>
        <vt:i4>2855</vt:i4>
      </vt:variant>
      <vt:variant>
        <vt:i4>0</vt:i4>
      </vt:variant>
      <vt:variant>
        <vt:i4>5</vt:i4>
      </vt:variant>
      <vt:variant>
        <vt:lpwstr/>
      </vt:variant>
      <vt:variant>
        <vt:lpwstr>_ENREF_87</vt:lpwstr>
      </vt:variant>
      <vt:variant>
        <vt:i4>4456509</vt:i4>
      </vt:variant>
      <vt:variant>
        <vt:i4>2847</vt:i4>
      </vt:variant>
      <vt:variant>
        <vt:i4>0</vt:i4>
      </vt:variant>
      <vt:variant>
        <vt:i4>5</vt:i4>
      </vt:variant>
      <vt:variant>
        <vt:lpwstr/>
      </vt:variant>
      <vt:variant>
        <vt:lpwstr>_ENREF_56</vt:lpwstr>
      </vt:variant>
      <vt:variant>
        <vt:i4>4456510</vt:i4>
      </vt:variant>
      <vt:variant>
        <vt:i4>2844</vt:i4>
      </vt:variant>
      <vt:variant>
        <vt:i4>0</vt:i4>
      </vt:variant>
      <vt:variant>
        <vt:i4>5</vt:i4>
      </vt:variant>
      <vt:variant>
        <vt:lpwstr/>
      </vt:variant>
      <vt:variant>
        <vt:lpwstr>_ENREF_55</vt:lpwstr>
      </vt:variant>
      <vt:variant>
        <vt:i4>4784188</vt:i4>
      </vt:variant>
      <vt:variant>
        <vt:i4>2836</vt:i4>
      </vt:variant>
      <vt:variant>
        <vt:i4>0</vt:i4>
      </vt:variant>
      <vt:variant>
        <vt:i4>5</vt:i4>
      </vt:variant>
      <vt:variant>
        <vt:lpwstr/>
      </vt:variant>
      <vt:variant>
        <vt:lpwstr>_ENREF_87</vt:lpwstr>
      </vt:variant>
      <vt:variant>
        <vt:i4>7864378</vt:i4>
      </vt:variant>
      <vt:variant>
        <vt:i4>2833</vt:i4>
      </vt:variant>
      <vt:variant>
        <vt:i4>0</vt:i4>
      </vt:variant>
      <vt:variant>
        <vt:i4>5</vt:i4>
      </vt:variant>
      <vt:variant>
        <vt:lpwstr/>
      </vt:variant>
      <vt:variant>
        <vt:lpwstr>_ENREF_118</vt:lpwstr>
      </vt:variant>
      <vt:variant>
        <vt:i4>4653112</vt:i4>
      </vt:variant>
      <vt:variant>
        <vt:i4>2830</vt:i4>
      </vt:variant>
      <vt:variant>
        <vt:i4>0</vt:i4>
      </vt:variant>
      <vt:variant>
        <vt:i4>5</vt:i4>
      </vt:variant>
      <vt:variant>
        <vt:lpwstr/>
      </vt:variant>
      <vt:variant>
        <vt:lpwstr>_ENREF_63</vt:lpwstr>
      </vt:variant>
      <vt:variant>
        <vt:i4>7733311</vt:i4>
      </vt:variant>
      <vt:variant>
        <vt:i4>2827</vt:i4>
      </vt:variant>
      <vt:variant>
        <vt:i4>0</vt:i4>
      </vt:variant>
      <vt:variant>
        <vt:i4>5</vt:i4>
      </vt:variant>
      <vt:variant>
        <vt:lpwstr/>
      </vt:variant>
      <vt:variant>
        <vt:lpwstr>_ENREF_146</vt:lpwstr>
      </vt:variant>
      <vt:variant>
        <vt:i4>4653118</vt:i4>
      </vt:variant>
      <vt:variant>
        <vt:i4>2824</vt:i4>
      </vt:variant>
      <vt:variant>
        <vt:i4>0</vt:i4>
      </vt:variant>
      <vt:variant>
        <vt:i4>5</vt:i4>
      </vt:variant>
      <vt:variant>
        <vt:lpwstr/>
      </vt:variant>
      <vt:variant>
        <vt:lpwstr>_ENREF_65</vt:lpwstr>
      </vt:variant>
      <vt:variant>
        <vt:i4>4653118</vt:i4>
      </vt:variant>
      <vt:variant>
        <vt:i4>2816</vt:i4>
      </vt:variant>
      <vt:variant>
        <vt:i4>0</vt:i4>
      </vt:variant>
      <vt:variant>
        <vt:i4>5</vt:i4>
      </vt:variant>
      <vt:variant>
        <vt:lpwstr/>
      </vt:variant>
      <vt:variant>
        <vt:lpwstr>_ENREF_65</vt:lpwstr>
      </vt:variant>
      <vt:variant>
        <vt:i4>7929919</vt:i4>
      </vt:variant>
      <vt:variant>
        <vt:i4>2808</vt:i4>
      </vt:variant>
      <vt:variant>
        <vt:i4>0</vt:i4>
      </vt:variant>
      <vt:variant>
        <vt:i4>5</vt:i4>
      </vt:variant>
      <vt:variant>
        <vt:lpwstr/>
      </vt:variant>
      <vt:variant>
        <vt:lpwstr>_ENREF_149</vt:lpwstr>
      </vt:variant>
      <vt:variant>
        <vt:i4>7733311</vt:i4>
      </vt:variant>
      <vt:variant>
        <vt:i4>2805</vt:i4>
      </vt:variant>
      <vt:variant>
        <vt:i4>0</vt:i4>
      </vt:variant>
      <vt:variant>
        <vt:i4>5</vt:i4>
      </vt:variant>
      <vt:variant>
        <vt:lpwstr/>
      </vt:variant>
      <vt:variant>
        <vt:lpwstr>_ENREF_146</vt:lpwstr>
      </vt:variant>
      <vt:variant>
        <vt:i4>7864378</vt:i4>
      </vt:variant>
      <vt:variant>
        <vt:i4>2802</vt:i4>
      </vt:variant>
      <vt:variant>
        <vt:i4>0</vt:i4>
      </vt:variant>
      <vt:variant>
        <vt:i4>5</vt:i4>
      </vt:variant>
      <vt:variant>
        <vt:lpwstr/>
      </vt:variant>
      <vt:variant>
        <vt:lpwstr>_ENREF_118</vt:lpwstr>
      </vt:variant>
      <vt:variant>
        <vt:i4>4718648</vt:i4>
      </vt:variant>
      <vt:variant>
        <vt:i4>2799</vt:i4>
      </vt:variant>
      <vt:variant>
        <vt:i4>0</vt:i4>
      </vt:variant>
      <vt:variant>
        <vt:i4>5</vt:i4>
      </vt:variant>
      <vt:variant>
        <vt:lpwstr/>
      </vt:variant>
      <vt:variant>
        <vt:lpwstr>_ENREF_93</vt:lpwstr>
      </vt:variant>
      <vt:variant>
        <vt:i4>4653112</vt:i4>
      </vt:variant>
      <vt:variant>
        <vt:i4>2796</vt:i4>
      </vt:variant>
      <vt:variant>
        <vt:i4>0</vt:i4>
      </vt:variant>
      <vt:variant>
        <vt:i4>5</vt:i4>
      </vt:variant>
      <vt:variant>
        <vt:lpwstr/>
      </vt:variant>
      <vt:variant>
        <vt:lpwstr>_ENREF_63</vt:lpwstr>
      </vt:variant>
      <vt:variant>
        <vt:i4>4456509</vt:i4>
      </vt:variant>
      <vt:variant>
        <vt:i4>2793</vt:i4>
      </vt:variant>
      <vt:variant>
        <vt:i4>0</vt:i4>
      </vt:variant>
      <vt:variant>
        <vt:i4>5</vt:i4>
      </vt:variant>
      <vt:variant>
        <vt:lpwstr/>
      </vt:variant>
      <vt:variant>
        <vt:lpwstr>_ENREF_56</vt:lpwstr>
      </vt:variant>
      <vt:variant>
        <vt:i4>4325436</vt:i4>
      </vt:variant>
      <vt:variant>
        <vt:i4>2790</vt:i4>
      </vt:variant>
      <vt:variant>
        <vt:i4>0</vt:i4>
      </vt:variant>
      <vt:variant>
        <vt:i4>5</vt:i4>
      </vt:variant>
      <vt:variant>
        <vt:lpwstr/>
      </vt:variant>
      <vt:variant>
        <vt:lpwstr>_ENREF_37</vt:lpwstr>
      </vt:variant>
      <vt:variant>
        <vt:i4>4325437</vt:i4>
      </vt:variant>
      <vt:variant>
        <vt:i4>2787</vt:i4>
      </vt:variant>
      <vt:variant>
        <vt:i4>0</vt:i4>
      </vt:variant>
      <vt:variant>
        <vt:i4>5</vt:i4>
      </vt:variant>
      <vt:variant>
        <vt:lpwstr/>
      </vt:variant>
      <vt:variant>
        <vt:lpwstr>_ENREF_36</vt:lpwstr>
      </vt:variant>
      <vt:variant>
        <vt:i4>4325432</vt:i4>
      </vt:variant>
      <vt:variant>
        <vt:i4>2784</vt:i4>
      </vt:variant>
      <vt:variant>
        <vt:i4>0</vt:i4>
      </vt:variant>
      <vt:variant>
        <vt:i4>5</vt:i4>
      </vt:variant>
      <vt:variant>
        <vt:lpwstr/>
      </vt:variant>
      <vt:variant>
        <vt:lpwstr>_ENREF_33</vt:lpwstr>
      </vt:variant>
      <vt:variant>
        <vt:i4>7602238</vt:i4>
      </vt:variant>
      <vt:variant>
        <vt:i4>2776</vt:i4>
      </vt:variant>
      <vt:variant>
        <vt:i4>0</vt:i4>
      </vt:variant>
      <vt:variant>
        <vt:i4>5</vt:i4>
      </vt:variant>
      <vt:variant>
        <vt:lpwstr/>
      </vt:variant>
      <vt:variant>
        <vt:lpwstr>_ENREF_154</vt:lpwstr>
      </vt:variant>
      <vt:variant>
        <vt:i4>4784188</vt:i4>
      </vt:variant>
      <vt:variant>
        <vt:i4>2773</vt:i4>
      </vt:variant>
      <vt:variant>
        <vt:i4>0</vt:i4>
      </vt:variant>
      <vt:variant>
        <vt:i4>5</vt:i4>
      </vt:variant>
      <vt:variant>
        <vt:lpwstr/>
      </vt:variant>
      <vt:variant>
        <vt:lpwstr>_ENREF_87</vt:lpwstr>
      </vt:variant>
      <vt:variant>
        <vt:i4>4456510</vt:i4>
      </vt:variant>
      <vt:variant>
        <vt:i4>2770</vt:i4>
      </vt:variant>
      <vt:variant>
        <vt:i4>0</vt:i4>
      </vt:variant>
      <vt:variant>
        <vt:i4>5</vt:i4>
      </vt:variant>
      <vt:variant>
        <vt:lpwstr/>
      </vt:variant>
      <vt:variant>
        <vt:lpwstr>_ENREF_55</vt:lpwstr>
      </vt:variant>
      <vt:variant>
        <vt:i4>4325438</vt:i4>
      </vt:variant>
      <vt:variant>
        <vt:i4>2767</vt:i4>
      </vt:variant>
      <vt:variant>
        <vt:i4>0</vt:i4>
      </vt:variant>
      <vt:variant>
        <vt:i4>5</vt:i4>
      </vt:variant>
      <vt:variant>
        <vt:lpwstr/>
      </vt:variant>
      <vt:variant>
        <vt:lpwstr>_ENREF_35</vt:lpwstr>
      </vt:variant>
      <vt:variant>
        <vt:i4>4784185</vt:i4>
      </vt:variant>
      <vt:variant>
        <vt:i4>2759</vt:i4>
      </vt:variant>
      <vt:variant>
        <vt:i4>0</vt:i4>
      </vt:variant>
      <vt:variant>
        <vt:i4>5</vt:i4>
      </vt:variant>
      <vt:variant>
        <vt:lpwstr/>
      </vt:variant>
      <vt:variant>
        <vt:lpwstr>_ENREF_82</vt:lpwstr>
      </vt:variant>
      <vt:variant>
        <vt:i4>4325437</vt:i4>
      </vt:variant>
      <vt:variant>
        <vt:i4>2753</vt:i4>
      </vt:variant>
      <vt:variant>
        <vt:i4>0</vt:i4>
      </vt:variant>
      <vt:variant>
        <vt:i4>5</vt:i4>
      </vt:variant>
      <vt:variant>
        <vt:lpwstr/>
      </vt:variant>
      <vt:variant>
        <vt:lpwstr>_ENREF_36</vt:lpwstr>
      </vt:variant>
      <vt:variant>
        <vt:i4>4325432</vt:i4>
      </vt:variant>
      <vt:variant>
        <vt:i4>2747</vt:i4>
      </vt:variant>
      <vt:variant>
        <vt:i4>0</vt:i4>
      </vt:variant>
      <vt:variant>
        <vt:i4>5</vt:i4>
      </vt:variant>
      <vt:variant>
        <vt:lpwstr/>
      </vt:variant>
      <vt:variant>
        <vt:lpwstr>_ENREF_33</vt:lpwstr>
      </vt:variant>
      <vt:variant>
        <vt:i4>4456510</vt:i4>
      </vt:variant>
      <vt:variant>
        <vt:i4>2739</vt:i4>
      </vt:variant>
      <vt:variant>
        <vt:i4>0</vt:i4>
      </vt:variant>
      <vt:variant>
        <vt:i4>5</vt:i4>
      </vt:variant>
      <vt:variant>
        <vt:lpwstr/>
      </vt:variant>
      <vt:variant>
        <vt:lpwstr>_ENREF_55</vt:lpwstr>
      </vt:variant>
      <vt:variant>
        <vt:i4>4653067</vt:i4>
      </vt:variant>
      <vt:variant>
        <vt:i4>2736</vt:i4>
      </vt:variant>
      <vt:variant>
        <vt:i4>0</vt:i4>
      </vt:variant>
      <vt:variant>
        <vt:i4>5</vt:i4>
      </vt:variant>
      <vt:variant>
        <vt:lpwstr/>
      </vt:variant>
      <vt:variant>
        <vt:lpwstr>_ENREF_6</vt:lpwstr>
      </vt:variant>
      <vt:variant>
        <vt:i4>7733311</vt:i4>
      </vt:variant>
      <vt:variant>
        <vt:i4>2728</vt:i4>
      </vt:variant>
      <vt:variant>
        <vt:i4>0</vt:i4>
      </vt:variant>
      <vt:variant>
        <vt:i4>5</vt:i4>
      </vt:variant>
      <vt:variant>
        <vt:lpwstr/>
      </vt:variant>
      <vt:variant>
        <vt:lpwstr>_ENREF_146</vt:lpwstr>
      </vt:variant>
      <vt:variant>
        <vt:i4>4325426</vt:i4>
      </vt:variant>
      <vt:variant>
        <vt:i4>2725</vt:i4>
      </vt:variant>
      <vt:variant>
        <vt:i4>0</vt:i4>
      </vt:variant>
      <vt:variant>
        <vt:i4>5</vt:i4>
      </vt:variant>
      <vt:variant>
        <vt:lpwstr/>
      </vt:variant>
      <vt:variant>
        <vt:lpwstr>_ENREF_39</vt:lpwstr>
      </vt:variant>
      <vt:variant>
        <vt:i4>4325436</vt:i4>
      </vt:variant>
      <vt:variant>
        <vt:i4>2717</vt:i4>
      </vt:variant>
      <vt:variant>
        <vt:i4>0</vt:i4>
      </vt:variant>
      <vt:variant>
        <vt:i4>5</vt:i4>
      </vt:variant>
      <vt:variant>
        <vt:lpwstr/>
      </vt:variant>
      <vt:variant>
        <vt:lpwstr>_ENREF_37</vt:lpwstr>
      </vt:variant>
      <vt:variant>
        <vt:i4>4587577</vt:i4>
      </vt:variant>
      <vt:variant>
        <vt:i4>2711</vt:i4>
      </vt:variant>
      <vt:variant>
        <vt:i4>0</vt:i4>
      </vt:variant>
      <vt:variant>
        <vt:i4>5</vt:i4>
      </vt:variant>
      <vt:variant>
        <vt:lpwstr/>
      </vt:variant>
      <vt:variant>
        <vt:lpwstr>_ENREF_72</vt:lpwstr>
      </vt:variant>
      <vt:variant>
        <vt:i4>4784188</vt:i4>
      </vt:variant>
      <vt:variant>
        <vt:i4>2703</vt:i4>
      </vt:variant>
      <vt:variant>
        <vt:i4>0</vt:i4>
      </vt:variant>
      <vt:variant>
        <vt:i4>5</vt:i4>
      </vt:variant>
      <vt:variant>
        <vt:lpwstr/>
      </vt:variant>
      <vt:variant>
        <vt:lpwstr>_ENREF_87</vt:lpwstr>
      </vt:variant>
      <vt:variant>
        <vt:i4>4653119</vt:i4>
      </vt:variant>
      <vt:variant>
        <vt:i4>2695</vt:i4>
      </vt:variant>
      <vt:variant>
        <vt:i4>0</vt:i4>
      </vt:variant>
      <vt:variant>
        <vt:i4>5</vt:i4>
      </vt:variant>
      <vt:variant>
        <vt:lpwstr/>
      </vt:variant>
      <vt:variant>
        <vt:lpwstr>_ENREF_64</vt:lpwstr>
      </vt:variant>
      <vt:variant>
        <vt:i4>7798841</vt:i4>
      </vt:variant>
      <vt:variant>
        <vt:i4>2687</vt:i4>
      </vt:variant>
      <vt:variant>
        <vt:i4>0</vt:i4>
      </vt:variant>
      <vt:variant>
        <vt:i4>5</vt:i4>
      </vt:variant>
      <vt:variant>
        <vt:lpwstr/>
      </vt:variant>
      <vt:variant>
        <vt:lpwstr>_ENREF_127</vt:lpwstr>
      </vt:variant>
      <vt:variant>
        <vt:i4>7602238</vt:i4>
      </vt:variant>
      <vt:variant>
        <vt:i4>2681</vt:i4>
      </vt:variant>
      <vt:variant>
        <vt:i4>0</vt:i4>
      </vt:variant>
      <vt:variant>
        <vt:i4>5</vt:i4>
      </vt:variant>
      <vt:variant>
        <vt:lpwstr/>
      </vt:variant>
      <vt:variant>
        <vt:lpwstr>_ENREF_154</vt:lpwstr>
      </vt:variant>
      <vt:variant>
        <vt:i4>4325438</vt:i4>
      </vt:variant>
      <vt:variant>
        <vt:i4>2675</vt:i4>
      </vt:variant>
      <vt:variant>
        <vt:i4>0</vt:i4>
      </vt:variant>
      <vt:variant>
        <vt:i4>5</vt:i4>
      </vt:variant>
      <vt:variant>
        <vt:lpwstr/>
      </vt:variant>
      <vt:variant>
        <vt:lpwstr>_ENREF_35</vt:lpwstr>
      </vt:variant>
      <vt:variant>
        <vt:i4>7929914</vt:i4>
      </vt:variant>
      <vt:variant>
        <vt:i4>2667</vt:i4>
      </vt:variant>
      <vt:variant>
        <vt:i4>0</vt:i4>
      </vt:variant>
      <vt:variant>
        <vt:i4>5</vt:i4>
      </vt:variant>
      <vt:variant>
        <vt:lpwstr/>
      </vt:variant>
      <vt:variant>
        <vt:lpwstr>_ENREF_119</vt:lpwstr>
      </vt:variant>
      <vt:variant>
        <vt:i4>7864378</vt:i4>
      </vt:variant>
      <vt:variant>
        <vt:i4>2664</vt:i4>
      </vt:variant>
      <vt:variant>
        <vt:i4>0</vt:i4>
      </vt:variant>
      <vt:variant>
        <vt:i4>5</vt:i4>
      </vt:variant>
      <vt:variant>
        <vt:lpwstr/>
      </vt:variant>
      <vt:variant>
        <vt:lpwstr>_ENREF_118</vt:lpwstr>
      </vt:variant>
      <vt:variant>
        <vt:i4>4653112</vt:i4>
      </vt:variant>
      <vt:variant>
        <vt:i4>2656</vt:i4>
      </vt:variant>
      <vt:variant>
        <vt:i4>0</vt:i4>
      </vt:variant>
      <vt:variant>
        <vt:i4>5</vt:i4>
      </vt:variant>
      <vt:variant>
        <vt:lpwstr/>
      </vt:variant>
      <vt:variant>
        <vt:lpwstr>_ENREF_63</vt:lpwstr>
      </vt:variant>
      <vt:variant>
        <vt:i4>4784190</vt:i4>
      </vt:variant>
      <vt:variant>
        <vt:i4>2648</vt:i4>
      </vt:variant>
      <vt:variant>
        <vt:i4>0</vt:i4>
      </vt:variant>
      <vt:variant>
        <vt:i4>5</vt:i4>
      </vt:variant>
      <vt:variant>
        <vt:lpwstr/>
      </vt:variant>
      <vt:variant>
        <vt:lpwstr>_ENREF_85</vt:lpwstr>
      </vt:variant>
      <vt:variant>
        <vt:i4>7405627</vt:i4>
      </vt:variant>
      <vt:variant>
        <vt:i4>2640</vt:i4>
      </vt:variant>
      <vt:variant>
        <vt:i4>0</vt:i4>
      </vt:variant>
      <vt:variant>
        <vt:i4>5</vt:i4>
      </vt:variant>
      <vt:variant>
        <vt:lpwstr/>
      </vt:variant>
      <vt:variant>
        <vt:lpwstr>_ENREF_101</vt:lpwstr>
      </vt:variant>
      <vt:variant>
        <vt:i4>7602239</vt:i4>
      </vt:variant>
      <vt:variant>
        <vt:i4>2637</vt:i4>
      </vt:variant>
      <vt:variant>
        <vt:i4>0</vt:i4>
      </vt:variant>
      <vt:variant>
        <vt:i4>5</vt:i4>
      </vt:variant>
      <vt:variant>
        <vt:lpwstr/>
      </vt:variant>
      <vt:variant>
        <vt:lpwstr>_ENREF_144</vt:lpwstr>
      </vt:variant>
      <vt:variant>
        <vt:i4>7929919</vt:i4>
      </vt:variant>
      <vt:variant>
        <vt:i4>2629</vt:i4>
      </vt:variant>
      <vt:variant>
        <vt:i4>0</vt:i4>
      </vt:variant>
      <vt:variant>
        <vt:i4>5</vt:i4>
      </vt:variant>
      <vt:variant>
        <vt:lpwstr/>
      </vt:variant>
      <vt:variant>
        <vt:lpwstr>_ENREF_149</vt:lpwstr>
      </vt:variant>
      <vt:variant>
        <vt:i4>4718648</vt:i4>
      </vt:variant>
      <vt:variant>
        <vt:i4>2621</vt:i4>
      </vt:variant>
      <vt:variant>
        <vt:i4>0</vt:i4>
      </vt:variant>
      <vt:variant>
        <vt:i4>5</vt:i4>
      </vt:variant>
      <vt:variant>
        <vt:lpwstr/>
      </vt:variant>
      <vt:variant>
        <vt:lpwstr>_ENREF_93</vt:lpwstr>
      </vt:variant>
      <vt:variant>
        <vt:i4>4456509</vt:i4>
      </vt:variant>
      <vt:variant>
        <vt:i4>2614</vt:i4>
      </vt:variant>
      <vt:variant>
        <vt:i4>0</vt:i4>
      </vt:variant>
      <vt:variant>
        <vt:i4>5</vt:i4>
      </vt:variant>
      <vt:variant>
        <vt:lpwstr/>
      </vt:variant>
      <vt:variant>
        <vt:lpwstr>_ENREF_56</vt:lpwstr>
      </vt:variant>
      <vt:variant>
        <vt:i4>7864383</vt:i4>
      </vt:variant>
      <vt:variant>
        <vt:i4>2610</vt:i4>
      </vt:variant>
      <vt:variant>
        <vt:i4>0</vt:i4>
      </vt:variant>
      <vt:variant>
        <vt:i4>5</vt:i4>
      </vt:variant>
      <vt:variant>
        <vt:lpwstr/>
      </vt:variant>
      <vt:variant>
        <vt:lpwstr>_ENREF_148</vt:lpwstr>
      </vt:variant>
      <vt:variant>
        <vt:i4>4718654</vt:i4>
      </vt:variant>
      <vt:variant>
        <vt:i4>2607</vt:i4>
      </vt:variant>
      <vt:variant>
        <vt:i4>0</vt:i4>
      </vt:variant>
      <vt:variant>
        <vt:i4>5</vt:i4>
      </vt:variant>
      <vt:variant>
        <vt:lpwstr/>
      </vt:variant>
      <vt:variant>
        <vt:lpwstr>_ENREF_95</vt:lpwstr>
      </vt:variant>
      <vt:variant>
        <vt:i4>4653118</vt:i4>
      </vt:variant>
      <vt:variant>
        <vt:i4>2604</vt:i4>
      </vt:variant>
      <vt:variant>
        <vt:i4>0</vt:i4>
      </vt:variant>
      <vt:variant>
        <vt:i4>5</vt:i4>
      </vt:variant>
      <vt:variant>
        <vt:lpwstr/>
      </vt:variant>
      <vt:variant>
        <vt:lpwstr>_ENREF_65</vt:lpwstr>
      </vt:variant>
      <vt:variant>
        <vt:i4>4325434</vt:i4>
      </vt:variant>
      <vt:variant>
        <vt:i4>2601</vt:i4>
      </vt:variant>
      <vt:variant>
        <vt:i4>0</vt:i4>
      </vt:variant>
      <vt:variant>
        <vt:i4>5</vt:i4>
      </vt:variant>
      <vt:variant>
        <vt:lpwstr/>
      </vt:variant>
      <vt:variant>
        <vt:lpwstr>_ENREF_31</vt:lpwstr>
      </vt:variant>
      <vt:variant>
        <vt:i4>4194367</vt:i4>
      </vt:variant>
      <vt:variant>
        <vt:i4>2598</vt:i4>
      </vt:variant>
      <vt:variant>
        <vt:i4>0</vt:i4>
      </vt:variant>
      <vt:variant>
        <vt:i4>5</vt:i4>
      </vt:variant>
      <vt:variant>
        <vt:lpwstr/>
      </vt:variant>
      <vt:variant>
        <vt:lpwstr>_ENREF_14</vt:lpwstr>
      </vt:variant>
      <vt:variant>
        <vt:i4>4718652</vt:i4>
      </vt:variant>
      <vt:variant>
        <vt:i4>2595</vt:i4>
      </vt:variant>
      <vt:variant>
        <vt:i4>0</vt:i4>
      </vt:variant>
      <vt:variant>
        <vt:i4>5</vt:i4>
      </vt:variant>
      <vt:variant>
        <vt:lpwstr/>
      </vt:variant>
      <vt:variant>
        <vt:lpwstr>_ENREF_97</vt:lpwstr>
      </vt:variant>
      <vt:variant>
        <vt:i4>4587583</vt:i4>
      </vt:variant>
      <vt:variant>
        <vt:i4>2592</vt:i4>
      </vt:variant>
      <vt:variant>
        <vt:i4>0</vt:i4>
      </vt:variant>
      <vt:variant>
        <vt:i4>5</vt:i4>
      </vt:variant>
      <vt:variant>
        <vt:lpwstr/>
      </vt:variant>
      <vt:variant>
        <vt:lpwstr>_ENREF_74</vt:lpwstr>
      </vt:variant>
      <vt:variant>
        <vt:i4>4456509</vt:i4>
      </vt:variant>
      <vt:variant>
        <vt:i4>2584</vt:i4>
      </vt:variant>
      <vt:variant>
        <vt:i4>0</vt:i4>
      </vt:variant>
      <vt:variant>
        <vt:i4>5</vt:i4>
      </vt:variant>
      <vt:variant>
        <vt:lpwstr/>
      </vt:variant>
      <vt:variant>
        <vt:lpwstr>_ENREF_56</vt:lpwstr>
      </vt:variant>
      <vt:variant>
        <vt:i4>4653106</vt:i4>
      </vt:variant>
      <vt:variant>
        <vt:i4>2572</vt:i4>
      </vt:variant>
      <vt:variant>
        <vt:i4>0</vt:i4>
      </vt:variant>
      <vt:variant>
        <vt:i4>5</vt:i4>
      </vt:variant>
      <vt:variant>
        <vt:lpwstr/>
      </vt:variant>
      <vt:variant>
        <vt:lpwstr>_ENREF_69</vt:lpwstr>
      </vt:variant>
      <vt:variant>
        <vt:i4>7602238</vt:i4>
      </vt:variant>
      <vt:variant>
        <vt:i4>2566</vt:i4>
      </vt:variant>
      <vt:variant>
        <vt:i4>0</vt:i4>
      </vt:variant>
      <vt:variant>
        <vt:i4>5</vt:i4>
      </vt:variant>
      <vt:variant>
        <vt:lpwstr/>
      </vt:variant>
      <vt:variant>
        <vt:lpwstr>_ENREF_154</vt:lpwstr>
      </vt:variant>
      <vt:variant>
        <vt:i4>4325437</vt:i4>
      </vt:variant>
      <vt:variant>
        <vt:i4>2560</vt:i4>
      </vt:variant>
      <vt:variant>
        <vt:i4>0</vt:i4>
      </vt:variant>
      <vt:variant>
        <vt:i4>5</vt:i4>
      </vt:variant>
      <vt:variant>
        <vt:lpwstr/>
      </vt:variant>
      <vt:variant>
        <vt:lpwstr>_ENREF_36</vt:lpwstr>
      </vt:variant>
      <vt:variant>
        <vt:i4>7602238</vt:i4>
      </vt:variant>
      <vt:variant>
        <vt:i4>2554</vt:i4>
      </vt:variant>
      <vt:variant>
        <vt:i4>0</vt:i4>
      </vt:variant>
      <vt:variant>
        <vt:i4>5</vt:i4>
      </vt:variant>
      <vt:variant>
        <vt:lpwstr/>
      </vt:variant>
      <vt:variant>
        <vt:lpwstr>_ENREF_154</vt:lpwstr>
      </vt:variant>
      <vt:variant>
        <vt:i4>7602238</vt:i4>
      </vt:variant>
      <vt:variant>
        <vt:i4>2548</vt:i4>
      </vt:variant>
      <vt:variant>
        <vt:i4>0</vt:i4>
      </vt:variant>
      <vt:variant>
        <vt:i4>5</vt:i4>
      </vt:variant>
      <vt:variant>
        <vt:lpwstr/>
      </vt:variant>
      <vt:variant>
        <vt:lpwstr>_ENREF_154</vt:lpwstr>
      </vt:variant>
      <vt:variant>
        <vt:i4>4653115</vt:i4>
      </vt:variant>
      <vt:variant>
        <vt:i4>2536</vt:i4>
      </vt:variant>
      <vt:variant>
        <vt:i4>0</vt:i4>
      </vt:variant>
      <vt:variant>
        <vt:i4>5</vt:i4>
      </vt:variant>
      <vt:variant>
        <vt:lpwstr/>
      </vt:variant>
      <vt:variant>
        <vt:lpwstr>_ENREF_60</vt:lpwstr>
      </vt:variant>
      <vt:variant>
        <vt:i4>4784186</vt:i4>
      </vt:variant>
      <vt:variant>
        <vt:i4>2512</vt:i4>
      </vt:variant>
      <vt:variant>
        <vt:i4>0</vt:i4>
      </vt:variant>
      <vt:variant>
        <vt:i4>5</vt:i4>
      </vt:variant>
      <vt:variant>
        <vt:lpwstr/>
      </vt:variant>
      <vt:variant>
        <vt:lpwstr>_ENREF_81</vt:lpwstr>
      </vt:variant>
      <vt:variant>
        <vt:i4>4653113</vt:i4>
      </vt:variant>
      <vt:variant>
        <vt:i4>2488</vt:i4>
      </vt:variant>
      <vt:variant>
        <vt:i4>0</vt:i4>
      </vt:variant>
      <vt:variant>
        <vt:i4>5</vt:i4>
      </vt:variant>
      <vt:variant>
        <vt:lpwstr/>
      </vt:variant>
      <vt:variant>
        <vt:lpwstr>_ENREF_62</vt:lpwstr>
      </vt:variant>
      <vt:variant>
        <vt:i4>4653113</vt:i4>
      </vt:variant>
      <vt:variant>
        <vt:i4>2479</vt:i4>
      </vt:variant>
      <vt:variant>
        <vt:i4>0</vt:i4>
      </vt:variant>
      <vt:variant>
        <vt:i4>5</vt:i4>
      </vt:variant>
      <vt:variant>
        <vt:lpwstr/>
      </vt:variant>
      <vt:variant>
        <vt:lpwstr>_ENREF_62</vt:lpwstr>
      </vt:variant>
      <vt:variant>
        <vt:i4>4653113</vt:i4>
      </vt:variant>
      <vt:variant>
        <vt:i4>2473</vt:i4>
      </vt:variant>
      <vt:variant>
        <vt:i4>0</vt:i4>
      </vt:variant>
      <vt:variant>
        <vt:i4>5</vt:i4>
      </vt:variant>
      <vt:variant>
        <vt:lpwstr/>
      </vt:variant>
      <vt:variant>
        <vt:lpwstr>_ENREF_62</vt:lpwstr>
      </vt:variant>
      <vt:variant>
        <vt:i4>4653113</vt:i4>
      </vt:variant>
      <vt:variant>
        <vt:i4>2467</vt:i4>
      </vt:variant>
      <vt:variant>
        <vt:i4>0</vt:i4>
      </vt:variant>
      <vt:variant>
        <vt:i4>5</vt:i4>
      </vt:variant>
      <vt:variant>
        <vt:lpwstr/>
      </vt:variant>
      <vt:variant>
        <vt:lpwstr>_ENREF_62</vt:lpwstr>
      </vt:variant>
      <vt:variant>
        <vt:i4>4522043</vt:i4>
      </vt:variant>
      <vt:variant>
        <vt:i4>2458</vt:i4>
      </vt:variant>
      <vt:variant>
        <vt:i4>0</vt:i4>
      </vt:variant>
      <vt:variant>
        <vt:i4>5</vt:i4>
      </vt:variant>
      <vt:variant>
        <vt:lpwstr/>
      </vt:variant>
      <vt:variant>
        <vt:lpwstr>_ENREF_40</vt:lpwstr>
      </vt:variant>
      <vt:variant>
        <vt:i4>7471167</vt:i4>
      </vt:variant>
      <vt:variant>
        <vt:i4>2452</vt:i4>
      </vt:variant>
      <vt:variant>
        <vt:i4>0</vt:i4>
      </vt:variant>
      <vt:variant>
        <vt:i4>5</vt:i4>
      </vt:variant>
      <vt:variant>
        <vt:lpwstr/>
      </vt:variant>
      <vt:variant>
        <vt:lpwstr>_ENREF_142</vt:lpwstr>
      </vt:variant>
      <vt:variant>
        <vt:i4>4456506</vt:i4>
      </vt:variant>
      <vt:variant>
        <vt:i4>2446</vt:i4>
      </vt:variant>
      <vt:variant>
        <vt:i4>0</vt:i4>
      </vt:variant>
      <vt:variant>
        <vt:i4>5</vt:i4>
      </vt:variant>
      <vt:variant>
        <vt:lpwstr/>
      </vt:variant>
      <vt:variant>
        <vt:lpwstr>_ENREF_51</vt:lpwstr>
      </vt:variant>
      <vt:variant>
        <vt:i4>4522043</vt:i4>
      </vt:variant>
      <vt:variant>
        <vt:i4>2434</vt:i4>
      </vt:variant>
      <vt:variant>
        <vt:i4>0</vt:i4>
      </vt:variant>
      <vt:variant>
        <vt:i4>5</vt:i4>
      </vt:variant>
      <vt:variant>
        <vt:lpwstr/>
      </vt:variant>
      <vt:variant>
        <vt:lpwstr>_ENREF_40</vt:lpwstr>
      </vt:variant>
      <vt:variant>
        <vt:i4>4456506</vt:i4>
      </vt:variant>
      <vt:variant>
        <vt:i4>2428</vt:i4>
      </vt:variant>
      <vt:variant>
        <vt:i4>0</vt:i4>
      </vt:variant>
      <vt:variant>
        <vt:i4>5</vt:i4>
      </vt:variant>
      <vt:variant>
        <vt:lpwstr/>
      </vt:variant>
      <vt:variant>
        <vt:lpwstr>_ENREF_51</vt:lpwstr>
      </vt:variant>
      <vt:variant>
        <vt:i4>4522043</vt:i4>
      </vt:variant>
      <vt:variant>
        <vt:i4>2419</vt:i4>
      </vt:variant>
      <vt:variant>
        <vt:i4>0</vt:i4>
      </vt:variant>
      <vt:variant>
        <vt:i4>5</vt:i4>
      </vt:variant>
      <vt:variant>
        <vt:lpwstr/>
      </vt:variant>
      <vt:variant>
        <vt:lpwstr>_ENREF_40</vt:lpwstr>
      </vt:variant>
      <vt:variant>
        <vt:i4>4522043</vt:i4>
      </vt:variant>
      <vt:variant>
        <vt:i4>2410</vt:i4>
      </vt:variant>
      <vt:variant>
        <vt:i4>0</vt:i4>
      </vt:variant>
      <vt:variant>
        <vt:i4>5</vt:i4>
      </vt:variant>
      <vt:variant>
        <vt:lpwstr/>
      </vt:variant>
      <vt:variant>
        <vt:lpwstr>_ENREF_40</vt:lpwstr>
      </vt:variant>
      <vt:variant>
        <vt:i4>4653114</vt:i4>
      </vt:variant>
      <vt:variant>
        <vt:i4>2404</vt:i4>
      </vt:variant>
      <vt:variant>
        <vt:i4>0</vt:i4>
      </vt:variant>
      <vt:variant>
        <vt:i4>5</vt:i4>
      </vt:variant>
      <vt:variant>
        <vt:lpwstr/>
      </vt:variant>
      <vt:variant>
        <vt:lpwstr>_ENREF_61</vt:lpwstr>
      </vt:variant>
      <vt:variant>
        <vt:i4>7667770</vt:i4>
      </vt:variant>
      <vt:variant>
        <vt:i4>2396</vt:i4>
      </vt:variant>
      <vt:variant>
        <vt:i4>0</vt:i4>
      </vt:variant>
      <vt:variant>
        <vt:i4>5</vt:i4>
      </vt:variant>
      <vt:variant>
        <vt:lpwstr/>
      </vt:variant>
      <vt:variant>
        <vt:lpwstr>_ENREF_115</vt:lpwstr>
      </vt:variant>
      <vt:variant>
        <vt:i4>4521995</vt:i4>
      </vt:variant>
      <vt:variant>
        <vt:i4>2390</vt:i4>
      </vt:variant>
      <vt:variant>
        <vt:i4>0</vt:i4>
      </vt:variant>
      <vt:variant>
        <vt:i4>5</vt:i4>
      </vt:variant>
      <vt:variant>
        <vt:lpwstr/>
      </vt:variant>
      <vt:variant>
        <vt:lpwstr>_ENREF_4</vt:lpwstr>
      </vt:variant>
      <vt:variant>
        <vt:i4>4653114</vt:i4>
      </vt:variant>
      <vt:variant>
        <vt:i4>2384</vt:i4>
      </vt:variant>
      <vt:variant>
        <vt:i4>0</vt:i4>
      </vt:variant>
      <vt:variant>
        <vt:i4>5</vt:i4>
      </vt:variant>
      <vt:variant>
        <vt:lpwstr/>
      </vt:variant>
      <vt:variant>
        <vt:lpwstr>_ENREF_61</vt:lpwstr>
      </vt:variant>
      <vt:variant>
        <vt:i4>4653114</vt:i4>
      </vt:variant>
      <vt:variant>
        <vt:i4>2376</vt:i4>
      </vt:variant>
      <vt:variant>
        <vt:i4>0</vt:i4>
      </vt:variant>
      <vt:variant>
        <vt:i4>5</vt:i4>
      </vt:variant>
      <vt:variant>
        <vt:lpwstr/>
      </vt:variant>
      <vt:variant>
        <vt:lpwstr>_ENREF_61</vt:lpwstr>
      </vt:variant>
      <vt:variant>
        <vt:i4>7667769</vt:i4>
      </vt:variant>
      <vt:variant>
        <vt:i4>2368</vt:i4>
      </vt:variant>
      <vt:variant>
        <vt:i4>0</vt:i4>
      </vt:variant>
      <vt:variant>
        <vt:i4>5</vt:i4>
      </vt:variant>
      <vt:variant>
        <vt:lpwstr/>
      </vt:variant>
      <vt:variant>
        <vt:lpwstr>_ENREF_125</vt:lpwstr>
      </vt:variant>
      <vt:variant>
        <vt:i4>7733304</vt:i4>
      </vt:variant>
      <vt:variant>
        <vt:i4>2362</vt:i4>
      </vt:variant>
      <vt:variant>
        <vt:i4>0</vt:i4>
      </vt:variant>
      <vt:variant>
        <vt:i4>5</vt:i4>
      </vt:variant>
      <vt:variant>
        <vt:lpwstr/>
      </vt:variant>
      <vt:variant>
        <vt:lpwstr>_ENREF_136</vt:lpwstr>
      </vt:variant>
      <vt:variant>
        <vt:i4>4522044</vt:i4>
      </vt:variant>
      <vt:variant>
        <vt:i4>2354</vt:i4>
      </vt:variant>
      <vt:variant>
        <vt:i4>0</vt:i4>
      </vt:variant>
      <vt:variant>
        <vt:i4>5</vt:i4>
      </vt:variant>
      <vt:variant>
        <vt:lpwstr/>
      </vt:variant>
      <vt:variant>
        <vt:lpwstr>_ENREF_47</vt:lpwstr>
      </vt:variant>
      <vt:variant>
        <vt:i4>4456506</vt:i4>
      </vt:variant>
      <vt:variant>
        <vt:i4>2348</vt:i4>
      </vt:variant>
      <vt:variant>
        <vt:i4>0</vt:i4>
      </vt:variant>
      <vt:variant>
        <vt:i4>5</vt:i4>
      </vt:variant>
      <vt:variant>
        <vt:lpwstr/>
      </vt:variant>
      <vt:variant>
        <vt:lpwstr>_ENREF_51</vt:lpwstr>
      </vt:variant>
      <vt:variant>
        <vt:i4>4587571</vt:i4>
      </vt:variant>
      <vt:variant>
        <vt:i4>2342</vt:i4>
      </vt:variant>
      <vt:variant>
        <vt:i4>0</vt:i4>
      </vt:variant>
      <vt:variant>
        <vt:i4>5</vt:i4>
      </vt:variant>
      <vt:variant>
        <vt:lpwstr/>
      </vt:variant>
      <vt:variant>
        <vt:lpwstr>_ENREF_78</vt:lpwstr>
      </vt:variant>
      <vt:variant>
        <vt:i4>7667769</vt:i4>
      </vt:variant>
      <vt:variant>
        <vt:i4>2336</vt:i4>
      </vt:variant>
      <vt:variant>
        <vt:i4>0</vt:i4>
      </vt:variant>
      <vt:variant>
        <vt:i4>5</vt:i4>
      </vt:variant>
      <vt:variant>
        <vt:lpwstr/>
      </vt:variant>
      <vt:variant>
        <vt:lpwstr>_ENREF_125</vt:lpwstr>
      </vt:variant>
      <vt:variant>
        <vt:i4>4390962</vt:i4>
      </vt:variant>
      <vt:variant>
        <vt:i4>2330</vt:i4>
      </vt:variant>
      <vt:variant>
        <vt:i4>0</vt:i4>
      </vt:variant>
      <vt:variant>
        <vt:i4>5</vt:i4>
      </vt:variant>
      <vt:variant>
        <vt:lpwstr/>
      </vt:variant>
      <vt:variant>
        <vt:lpwstr>_ENREF_29</vt:lpwstr>
      </vt:variant>
      <vt:variant>
        <vt:i4>4653113</vt:i4>
      </vt:variant>
      <vt:variant>
        <vt:i4>2324</vt:i4>
      </vt:variant>
      <vt:variant>
        <vt:i4>0</vt:i4>
      </vt:variant>
      <vt:variant>
        <vt:i4>5</vt:i4>
      </vt:variant>
      <vt:variant>
        <vt:lpwstr/>
      </vt:variant>
      <vt:variant>
        <vt:lpwstr>_ENREF_62</vt:lpwstr>
      </vt:variant>
      <vt:variant>
        <vt:i4>4653113</vt:i4>
      </vt:variant>
      <vt:variant>
        <vt:i4>2315</vt:i4>
      </vt:variant>
      <vt:variant>
        <vt:i4>0</vt:i4>
      </vt:variant>
      <vt:variant>
        <vt:i4>5</vt:i4>
      </vt:variant>
      <vt:variant>
        <vt:lpwstr/>
      </vt:variant>
      <vt:variant>
        <vt:lpwstr>_ENREF_62</vt:lpwstr>
      </vt:variant>
      <vt:variant>
        <vt:i4>4522043</vt:i4>
      </vt:variant>
      <vt:variant>
        <vt:i4>2309</vt:i4>
      </vt:variant>
      <vt:variant>
        <vt:i4>0</vt:i4>
      </vt:variant>
      <vt:variant>
        <vt:i4>5</vt:i4>
      </vt:variant>
      <vt:variant>
        <vt:lpwstr/>
      </vt:variant>
      <vt:variant>
        <vt:lpwstr>_ENREF_40</vt:lpwstr>
      </vt:variant>
      <vt:variant>
        <vt:i4>4653113</vt:i4>
      </vt:variant>
      <vt:variant>
        <vt:i4>2303</vt:i4>
      </vt:variant>
      <vt:variant>
        <vt:i4>0</vt:i4>
      </vt:variant>
      <vt:variant>
        <vt:i4>5</vt:i4>
      </vt:variant>
      <vt:variant>
        <vt:lpwstr/>
      </vt:variant>
      <vt:variant>
        <vt:lpwstr>_ENREF_62</vt:lpwstr>
      </vt:variant>
      <vt:variant>
        <vt:i4>4522043</vt:i4>
      </vt:variant>
      <vt:variant>
        <vt:i4>2297</vt:i4>
      </vt:variant>
      <vt:variant>
        <vt:i4>0</vt:i4>
      </vt:variant>
      <vt:variant>
        <vt:i4>5</vt:i4>
      </vt:variant>
      <vt:variant>
        <vt:lpwstr/>
      </vt:variant>
      <vt:variant>
        <vt:lpwstr>_ENREF_40</vt:lpwstr>
      </vt:variant>
      <vt:variant>
        <vt:i4>4653113</vt:i4>
      </vt:variant>
      <vt:variant>
        <vt:i4>2291</vt:i4>
      </vt:variant>
      <vt:variant>
        <vt:i4>0</vt:i4>
      </vt:variant>
      <vt:variant>
        <vt:i4>5</vt:i4>
      </vt:variant>
      <vt:variant>
        <vt:lpwstr/>
      </vt:variant>
      <vt:variant>
        <vt:lpwstr>_ENREF_62</vt:lpwstr>
      </vt:variant>
      <vt:variant>
        <vt:i4>4522043</vt:i4>
      </vt:variant>
      <vt:variant>
        <vt:i4>2279</vt:i4>
      </vt:variant>
      <vt:variant>
        <vt:i4>0</vt:i4>
      </vt:variant>
      <vt:variant>
        <vt:i4>5</vt:i4>
      </vt:variant>
      <vt:variant>
        <vt:lpwstr/>
      </vt:variant>
      <vt:variant>
        <vt:lpwstr>_ENREF_40</vt:lpwstr>
      </vt:variant>
      <vt:variant>
        <vt:i4>4653113</vt:i4>
      </vt:variant>
      <vt:variant>
        <vt:i4>2273</vt:i4>
      </vt:variant>
      <vt:variant>
        <vt:i4>0</vt:i4>
      </vt:variant>
      <vt:variant>
        <vt:i4>5</vt:i4>
      </vt:variant>
      <vt:variant>
        <vt:lpwstr/>
      </vt:variant>
      <vt:variant>
        <vt:lpwstr>_ENREF_62</vt:lpwstr>
      </vt:variant>
      <vt:variant>
        <vt:i4>4784184</vt:i4>
      </vt:variant>
      <vt:variant>
        <vt:i4>2267</vt:i4>
      </vt:variant>
      <vt:variant>
        <vt:i4>0</vt:i4>
      </vt:variant>
      <vt:variant>
        <vt:i4>5</vt:i4>
      </vt:variant>
      <vt:variant>
        <vt:lpwstr/>
      </vt:variant>
      <vt:variant>
        <vt:lpwstr>_ENREF_83</vt:lpwstr>
      </vt:variant>
      <vt:variant>
        <vt:i4>4784184</vt:i4>
      </vt:variant>
      <vt:variant>
        <vt:i4>2259</vt:i4>
      </vt:variant>
      <vt:variant>
        <vt:i4>0</vt:i4>
      </vt:variant>
      <vt:variant>
        <vt:i4>5</vt:i4>
      </vt:variant>
      <vt:variant>
        <vt:lpwstr/>
      </vt:variant>
      <vt:variant>
        <vt:lpwstr>_ENREF_83</vt:lpwstr>
      </vt:variant>
      <vt:variant>
        <vt:i4>4522043</vt:i4>
      </vt:variant>
      <vt:variant>
        <vt:i4>2251</vt:i4>
      </vt:variant>
      <vt:variant>
        <vt:i4>0</vt:i4>
      </vt:variant>
      <vt:variant>
        <vt:i4>5</vt:i4>
      </vt:variant>
      <vt:variant>
        <vt:lpwstr/>
      </vt:variant>
      <vt:variant>
        <vt:lpwstr>_ENREF_40</vt:lpwstr>
      </vt:variant>
      <vt:variant>
        <vt:i4>4456511</vt:i4>
      </vt:variant>
      <vt:variant>
        <vt:i4>2245</vt:i4>
      </vt:variant>
      <vt:variant>
        <vt:i4>0</vt:i4>
      </vt:variant>
      <vt:variant>
        <vt:i4>5</vt:i4>
      </vt:variant>
      <vt:variant>
        <vt:lpwstr/>
      </vt:variant>
      <vt:variant>
        <vt:lpwstr>_ENREF_54</vt:lpwstr>
      </vt:variant>
      <vt:variant>
        <vt:i4>7405630</vt:i4>
      </vt:variant>
      <vt:variant>
        <vt:i4>2242</vt:i4>
      </vt:variant>
      <vt:variant>
        <vt:i4>0</vt:i4>
      </vt:variant>
      <vt:variant>
        <vt:i4>5</vt:i4>
      </vt:variant>
      <vt:variant>
        <vt:lpwstr/>
      </vt:variant>
      <vt:variant>
        <vt:lpwstr>_ENREF_151</vt:lpwstr>
      </vt:variant>
      <vt:variant>
        <vt:i4>4522043</vt:i4>
      </vt:variant>
      <vt:variant>
        <vt:i4>2236</vt:i4>
      </vt:variant>
      <vt:variant>
        <vt:i4>0</vt:i4>
      </vt:variant>
      <vt:variant>
        <vt:i4>5</vt:i4>
      </vt:variant>
      <vt:variant>
        <vt:lpwstr/>
      </vt:variant>
      <vt:variant>
        <vt:lpwstr>_ENREF_40</vt:lpwstr>
      </vt:variant>
      <vt:variant>
        <vt:i4>4784187</vt:i4>
      </vt:variant>
      <vt:variant>
        <vt:i4>2230</vt:i4>
      </vt:variant>
      <vt:variant>
        <vt:i4>0</vt:i4>
      </vt:variant>
      <vt:variant>
        <vt:i4>5</vt:i4>
      </vt:variant>
      <vt:variant>
        <vt:lpwstr/>
      </vt:variant>
      <vt:variant>
        <vt:lpwstr>_ENREF_80</vt:lpwstr>
      </vt:variant>
      <vt:variant>
        <vt:i4>4784187</vt:i4>
      </vt:variant>
      <vt:variant>
        <vt:i4>2224</vt:i4>
      </vt:variant>
      <vt:variant>
        <vt:i4>0</vt:i4>
      </vt:variant>
      <vt:variant>
        <vt:i4>5</vt:i4>
      </vt:variant>
      <vt:variant>
        <vt:lpwstr/>
      </vt:variant>
      <vt:variant>
        <vt:lpwstr>_ENREF_80</vt:lpwstr>
      </vt:variant>
      <vt:variant>
        <vt:i4>4390962</vt:i4>
      </vt:variant>
      <vt:variant>
        <vt:i4>2221</vt:i4>
      </vt:variant>
      <vt:variant>
        <vt:i4>0</vt:i4>
      </vt:variant>
      <vt:variant>
        <vt:i4>5</vt:i4>
      </vt:variant>
      <vt:variant>
        <vt:lpwstr/>
      </vt:variant>
      <vt:variant>
        <vt:lpwstr>_ENREF_29</vt:lpwstr>
      </vt:variant>
      <vt:variant>
        <vt:i4>4784187</vt:i4>
      </vt:variant>
      <vt:variant>
        <vt:i4>2215</vt:i4>
      </vt:variant>
      <vt:variant>
        <vt:i4>0</vt:i4>
      </vt:variant>
      <vt:variant>
        <vt:i4>5</vt:i4>
      </vt:variant>
      <vt:variant>
        <vt:lpwstr/>
      </vt:variant>
      <vt:variant>
        <vt:lpwstr>_ENREF_80</vt:lpwstr>
      </vt:variant>
      <vt:variant>
        <vt:i4>4456459</vt:i4>
      </vt:variant>
      <vt:variant>
        <vt:i4>2209</vt:i4>
      </vt:variant>
      <vt:variant>
        <vt:i4>0</vt:i4>
      </vt:variant>
      <vt:variant>
        <vt:i4>5</vt:i4>
      </vt:variant>
      <vt:variant>
        <vt:lpwstr/>
      </vt:variant>
      <vt:variant>
        <vt:lpwstr>_ENREF_5</vt:lpwstr>
      </vt:variant>
      <vt:variant>
        <vt:i4>7405626</vt:i4>
      </vt:variant>
      <vt:variant>
        <vt:i4>2203</vt:i4>
      </vt:variant>
      <vt:variant>
        <vt:i4>0</vt:i4>
      </vt:variant>
      <vt:variant>
        <vt:i4>5</vt:i4>
      </vt:variant>
      <vt:variant>
        <vt:lpwstr/>
      </vt:variant>
      <vt:variant>
        <vt:lpwstr>_ENREF_111</vt:lpwstr>
      </vt:variant>
      <vt:variant>
        <vt:i4>4390963</vt:i4>
      </vt:variant>
      <vt:variant>
        <vt:i4>2197</vt:i4>
      </vt:variant>
      <vt:variant>
        <vt:i4>0</vt:i4>
      </vt:variant>
      <vt:variant>
        <vt:i4>5</vt:i4>
      </vt:variant>
      <vt:variant>
        <vt:lpwstr/>
      </vt:variant>
      <vt:variant>
        <vt:lpwstr>_ENREF_28</vt:lpwstr>
      </vt:variant>
      <vt:variant>
        <vt:i4>7405626</vt:i4>
      </vt:variant>
      <vt:variant>
        <vt:i4>2191</vt:i4>
      </vt:variant>
      <vt:variant>
        <vt:i4>0</vt:i4>
      </vt:variant>
      <vt:variant>
        <vt:i4>5</vt:i4>
      </vt:variant>
      <vt:variant>
        <vt:lpwstr/>
      </vt:variant>
      <vt:variant>
        <vt:lpwstr>_ENREF_111</vt:lpwstr>
      </vt:variant>
      <vt:variant>
        <vt:i4>7405626</vt:i4>
      </vt:variant>
      <vt:variant>
        <vt:i4>2185</vt:i4>
      </vt:variant>
      <vt:variant>
        <vt:i4>0</vt:i4>
      </vt:variant>
      <vt:variant>
        <vt:i4>5</vt:i4>
      </vt:variant>
      <vt:variant>
        <vt:lpwstr/>
      </vt:variant>
      <vt:variant>
        <vt:lpwstr>_ENREF_111</vt:lpwstr>
      </vt:variant>
      <vt:variant>
        <vt:i4>4194363</vt:i4>
      </vt:variant>
      <vt:variant>
        <vt:i4>2179</vt:i4>
      </vt:variant>
      <vt:variant>
        <vt:i4>0</vt:i4>
      </vt:variant>
      <vt:variant>
        <vt:i4>5</vt:i4>
      </vt:variant>
      <vt:variant>
        <vt:lpwstr/>
      </vt:variant>
      <vt:variant>
        <vt:lpwstr>_ENREF_10</vt:lpwstr>
      </vt:variant>
      <vt:variant>
        <vt:i4>4390974</vt:i4>
      </vt:variant>
      <vt:variant>
        <vt:i4>2173</vt:i4>
      </vt:variant>
      <vt:variant>
        <vt:i4>0</vt:i4>
      </vt:variant>
      <vt:variant>
        <vt:i4>5</vt:i4>
      </vt:variant>
      <vt:variant>
        <vt:lpwstr/>
      </vt:variant>
      <vt:variant>
        <vt:lpwstr>_ENREF_25</vt:lpwstr>
      </vt:variant>
      <vt:variant>
        <vt:i4>4390974</vt:i4>
      </vt:variant>
      <vt:variant>
        <vt:i4>2167</vt:i4>
      </vt:variant>
      <vt:variant>
        <vt:i4>0</vt:i4>
      </vt:variant>
      <vt:variant>
        <vt:i4>5</vt:i4>
      </vt:variant>
      <vt:variant>
        <vt:lpwstr/>
      </vt:variant>
      <vt:variant>
        <vt:lpwstr>_ENREF_25</vt:lpwstr>
      </vt:variant>
      <vt:variant>
        <vt:i4>4522042</vt:i4>
      </vt:variant>
      <vt:variant>
        <vt:i4>2161</vt:i4>
      </vt:variant>
      <vt:variant>
        <vt:i4>0</vt:i4>
      </vt:variant>
      <vt:variant>
        <vt:i4>5</vt:i4>
      </vt:variant>
      <vt:variant>
        <vt:lpwstr/>
      </vt:variant>
      <vt:variant>
        <vt:lpwstr>_ENREF_41</vt:lpwstr>
      </vt:variant>
      <vt:variant>
        <vt:i4>7536703</vt:i4>
      </vt:variant>
      <vt:variant>
        <vt:i4>2155</vt:i4>
      </vt:variant>
      <vt:variant>
        <vt:i4>0</vt:i4>
      </vt:variant>
      <vt:variant>
        <vt:i4>5</vt:i4>
      </vt:variant>
      <vt:variant>
        <vt:lpwstr/>
      </vt:variant>
      <vt:variant>
        <vt:lpwstr>_ENREF_143</vt:lpwstr>
      </vt:variant>
      <vt:variant>
        <vt:i4>4456459</vt:i4>
      </vt:variant>
      <vt:variant>
        <vt:i4>2147</vt:i4>
      </vt:variant>
      <vt:variant>
        <vt:i4>0</vt:i4>
      </vt:variant>
      <vt:variant>
        <vt:i4>5</vt:i4>
      </vt:variant>
      <vt:variant>
        <vt:lpwstr/>
      </vt:variant>
      <vt:variant>
        <vt:lpwstr>_ENREF_5</vt:lpwstr>
      </vt:variant>
      <vt:variant>
        <vt:i4>7929915</vt:i4>
      </vt:variant>
      <vt:variant>
        <vt:i4>2141</vt:i4>
      </vt:variant>
      <vt:variant>
        <vt:i4>0</vt:i4>
      </vt:variant>
      <vt:variant>
        <vt:i4>5</vt:i4>
      </vt:variant>
      <vt:variant>
        <vt:lpwstr/>
      </vt:variant>
      <vt:variant>
        <vt:lpwstr>_ENREF_109</vt:lpwstr>
      </vt:variant>
      <vt:variant>
        <vt:i4>7798843</vt:i4>
      </vt:variant>
      <vt:variant>
        <vt:i4>2135</vt:i4>
      </vt:variant>
      <vt:variant>
        <vt:i4>0</vt:i4>
      </vt:variant>
      <vt:variant>
        <vt:i4>5</vt:i4>
      </vt:variant>
      <vt:variant>
        <vt:lpwstr/>
      </vt:variant>
      <vt:variant>
        <vt:lpwstr>_ENREF_107</vt:lpwstr>
      </vt:variant>
      <vt:variant>
        <vt:i4>4456459</vt:i4>
      </vt:variant>
      <vt:variant>
        <vt:i4>2129</vt:i4>
      </vt:variant>
      <vt:variant>
        <vt:i4>0</vt:i4>
      </vt:variant>
      <vt:variant>
        <vt:i4>5</vt:i4>
      </vt:variant>
      <vt:variant>
        <vt:lpwstr/>
      </vt:variant>
      <vt:variant>
        <vt:lpwstr>_ENREF_5</vt:lpwstr>
      </vt:variant>
      <vt:variant>
        <vt:i4>4456459</vt:i4>
      </vt:variant>
      <vt:variant>
        <vt:i4>2123</vt:i4>
      </vt:variant>
      <vt:variant>
        <vt:i4>0</vt:i4>
      </vt:variant>
      <vt:variant>
        <vt:i4>5</vt:i4>
      </vt:variant>
      <vt:variant>
        <vt:lpwstr/>
      </vt:variant>
      <vt:variant>
        <vt:lpwstr>_ENREF_5</vt:lpwstr>
      </vt:variant>
      <vt:variant>
        <vt:i4>4522043</vt:i4>
      </vt:variant>
      <vt:variant>
        <vt:i4>2117</vt:i4>
      </vt:variant>
      <vt:variant>
        <vt:i4>0</vt:i4>
      </vt:variant>
      <vt:variant>
        <vt:i4>5</vt:i4>
      </vt:variant>
      <vt:variant>
        <vt:lpwstr/>
      </vt:variant>
      <vt:variant>
        <vt:lpwstr>_ENREF_40</vt:lpwstr>
      </vt:variant>
      <vt:variant>
        <vt:i4>7340090</vt:i4>
      </vt:variant>
      <vt:variant>
        <vt:i4>2111</vt:i4>
      </vt:variant>
      <vt:variant>
        <vt:i4>0</vt:i4>
      </vt:variant>
      <vt:variant>
        <vt:i4>5</vt:i4>
      </vt:variant>
      <vt:variant>
        <vt:lpwstr/>
      </vt:variant>
      <vt:variant>
        <vt:lpwstr>_ENREF_110</vt:lpwstr>
      </vt:variant>
      <vt:variant>
        <vt:i4>4194315</vt:i4>
      </vt:variant>
      <vt:variant>
        <vt:i4>2105</vt:i4>
      </vt:variant>
      <vt:variant>
        <vt:i4>0</vt:i4>
      </vt:variant>
      <vt:variant>
        <vt:i4>5</vt:i4>
      </vt:variant>
      <vt:variant>
        <vt:lpwstr/>
      </vt:variant>
      <vt:variant>
        <vt:lpwstr>_ENREF_1</vt:lpwstr>
      </vt:variant>
      <vt:variant>
        <vt:i4>7340090</vt:i4>
      </vt:variant>
      <vt:variant>
        <vt:i4>2099</vt:i4>
      </vt:variant>
      <vt:variant>
        <vt:i4>0</vt:i4>
      </vt:variant>
      <vt:variant>
        <vt:i4>5</vt:i4>
      </vt:variant>
      <vt:variant>
        <vt:lpwstr/>
      </vt:variant>
      <vt:variant>
        <vt:lpwstr>_ENREF_110</vt:lpwstr>
      </vt:variant>
      <vt:variant>
        <vt:i4>4522043</vt:i4>
      </vt:variant>
      <vt:variant>
        <vt:i4>2090</vt:i4>
      </vt:variant>
      <vt:variant>
        <vt:i4>0</vt:i4>
      </vt:variant>
      <vt:variant>
        <vt:i4>5</vt:i4>
      </vt:variant>
      <vt:variant>
        <vt:lpwstr/>
      </vt:variant>
      <vt:variant>
        <vt:lpwstr>_ENREF_40</vt:lpwstr>
      </vt:variant>
      <vt:variant>
        <vt:i4>7340090</vt:i4>
      </vt:variant>
      <vt:variant>
        <vt:i4>2081</vt:i4>
      </vt:variant>
      <vt:variant>
        <vt:i4>0</vt:i4>
      </vt:variant>
      <vt:variant>
        <vt:i4>5</vt:i4>
      </vt:variant>
      <vt:variant>
        <vt:lpwstr/>
      </vt:variant>
      <vt:variant>
        <vt:lpwstr>_ENREF_110</vt:lpwstr>
      </vt:variant>
      <vt:variant>
        <vt:i4>7340090</vt:i4>
      </vt:variant>
      <vt:variant>
        <vt:i4>2075</vt:i4>
      </vt:variant>
      <vt:variant>
        <vt:i4>0</vt:i4>
      </vt:variant>
      <vt:variant>
        <vt:i4>5</vt:i4>
      </vt:variant>
      <vt:variant>
        <vt:lpwstr/>
      </vt:variant>
      <vt:variant>
        <vt:lpwstr>_ENREF_110</vt:lpwstr>
      </vt:variant>
      <vt:variant>
        <vt:i4>4456506</vt:i4>
      </vt:variant>
      <vt:variant>
        <vt:i4>2057</vt:i4>
      </vt:variant>
      <vt:variant>
        <vt:i4>0</vt:i4>
      </vt:variant>
      <vt:variant>
        <vt:i4>5</vt:i4>
      </vt:variant>
      <vt:variant>
        <vt:lpwstr/>
      </vt:variant>
      <vt:variant>
        <vt:lpwstr>_ENREF_51</vt:lpwstr>
      </vt:variant>
      <vt:variant>
        <vt:i4>4784187</vt:i4>
      </vt:variant>
      <vt:variant>
        <vt:i4>2051</vt:i4>
      </vt:variant>
      <vt:variant>
        <vt:i4>0</vt:i4>
      </vt:variant>
      <vt:variant>
        <vt:i4>5</vt:i4>
      </vt:variant>
      <vt:variant>
        <vt:lpwstr/>
      </vt:variant>
      <vt:variant>
        <vt:lpwstr>_ENREF_80</vt:lpwstr>
      </vt:variant>
      <vt:variant>
        <vt:i4>4390962</vt:i4>
      </vt:variant>
      <vt:variant>
        <vt:i4>2045</vt:i4>
      </vt:variant>
      <vt:variant>
        <vt:i4>0</vt:i4>
      </vt:variant>
      <vt:variant>
        <vt:i4>5</vt:i4>
      </vt:variant>
      <vt:variant>
        <vt:lpwstr/>
      </vt:variant>
      <vt:variant>
        <vt:lpwstr>_ENREF_29</vt:lpwstr>
      </vt:variant>
      <vt:variant>
        <vt:i4>4390962</vt:i4>
      </vt:variant>
      <vt:variant>
        <vt:i4>2039</vt:i4>
      </vt:variant>
      <vt:variant>
        <vt:i4>0</vt:i4>
      </vt:variant>
      <vt:variant>
        <vt:i4>5</vt:i4>
      </vt:variant>
      <vt:variant>
        <vt:lpwstr/>
      </vt:variant>
      <vt:variant>
        <vt:lpwstr>_ENREF_29</vt:lpwstr>
      </vt:variant>
      <vt:variant>
        <vt:i4>4784187</vt:i4>
      </vt:variant>
      <vt:variant>
        <vt:i4>2033</vt:i4>
      </vt:variant>
      <vt:variant>
        <vt:i4>0</vt:i4>
      </vt:variant>
      <vt:variant>
        <vt:i4>5</vt:i4>
      </vt:variant>
      <vt:variant>
        <vt:lpwstr/>
      </vt:variant>
      <vt:variant>
        <vt:lpwstr>_ENREF_80</vt:lpwstr>
      </vt:variant>
      <vt:variant>
        <vt:i4>4390962</vt:i4>
      </vt:variant>
      <vt:variant>
        <vt:i4>2021</vt:i4>
      </vt:variant>
      <vt:variant>
        <vt:i4>0</vt:i4>
      </vt:variant>
      <vt:variant>
        <vt:i4>5</vt:i4>
      </vt:variant>
      <vt:variant>
        <vt:lpwstr/>
      </vt:variant>
      <vt:variant>
        <vt:lpwstr>_ENREF_29</vt:lpwstr>
      </vt:variant>
      <vt:variant>
        <vt:i4>4653119</vt:i4>
      </vt:variant>
      <vt:variant>
        <vt:i4>2012</vt:i4>
      </vt:variant>
      <vt:variant>
        <vt:i4>0</vt:i4>
      </vt:variant>
      <vt:variant>
        <vt:i4>5</vt:i4>
      </vt:variant>
      <vt:variant>
        <vt:lpwstr/>
      </vt:variant>
      <vt:variant>
        <vt:lpwstr>_ENREF_64</vt:lpwstr>
      </vt:variant>
      <vt:variant>
        <vt:i4>7536703</vt:i4>
      </vt:variant>
      <vt:variant>
        <vt:i4>2004</vt:i4>
      </vt:variant>
      <vt:variant>
        <vt:i4>0</vt:i4>
      </vt:variant>
      <vt:variant>
        <vt:i4>5</vt:i4>
      </vt:variant>
      <vt:variant>
        <vt:lpwstr/>
      </vt:variant>
      <vt:variant>
        <vt:lpwstr>_ENREF_143</vt:lpwstr>
      </vt:variant>
      <vt:variant>
        <vt:i4>4456506</vt:i4>
      </vt:variant>
      <vt:variant>
        <vt:i4>1996</vt:i4>
      </vt:variant>
      <vt:variant>
        <vt:i4>0</vt:i4>
      </vt:variant>
      <vt:variant>
        <vt:i4>5</vt:i4>
      </vt:variant>
      <vt:variant>
        <vt:lpwstr/>
      </vt:variant>
      <vt:variant>
        <vt:lpwstr>_ENREF_51</vt:lpwstr>
      </vt:variant>
      <vt:variant>
        <vt:i4>7340095</vt:i4>
      </vt:variant>
      <vt:variant>
        <vt:i4>1990</vt:i4>
      </vt:variant>
      <vt:variant>
        <vt:i4>0</vt:i4>
      </vt:variant>
      <vt:variant>
        <vt:i4>5</vt:i4>
      </vt:variant>
      <vt:variant>
        <vt:lpwstr/>
      </vt:variant>
      <vt:variant>
        <vt:lpwstr>_ENREF_140</vt:lpwstr>
      </vt:variant>
      <vt:variant>
        <vt:i4>4390962</vt:i4>
      </vt:variant>
      <vt:variant>
        <vt:i4>1984</vt:i4>
      </vt:variant>
      <vt:variant>
        <vt:i4>0</vt:i4>
      </vt:variant>
      <vt:variant>
        <vt:i4>5</vt:i4>
      </vt:variant>
      <vt:variant>
        <vt:lpwstr/>
      </vt:variant>
      <vt:variant>
        <vt:lpwstr>_ENREF_29</vt:lpwstr>
      </vt:variant>
      <vt:variant>
        <vt:i4>4522044</vt:i4>
      </vt:variant>
      <vt:variant>
        <vt:i4>1978</vt:i4>
      </vt:variant>
      <vt:variant>
        <vt:i4>0</vt:i4>
      </vt:variant>
      <vt:variant>
        <vt:i4>5</vt:i4>
      </vt:variant>
      <vt:variant>
        <vt:lpwstr/>
      </vt:variant>
      <vt:variant>
        <vt:lpwstr>_ENREF_47</vt:lpwstr>
      </vt:variant>
      <vt:variant>
        <vt:i4>4325435</vt:i4>
      </vt:variant>
      <vt:variant>
        <vt:i4>1972</vt:i4>
      </vt:variant>
      <vt:variant>
        <vt:i4>0</vt:i4>
      </vt:variant>
      <vt:variant>
        <vt:i4>5</vt:i4>
      </vt:variant>
      <vt:variant>
        <vt:lpwstr/>
      </vt:variant>
      <vt:variant>
        <vt:lpwstr>_ENREF_30</vt:lpwstr>
      </vt:variant>
      <vt:variant>
        <vt:i4>7733304</vt:i4>
      </vt:variant>
      <vt:variant>
        <vt:i4>1966</vt:i4>
      </vt:variant>
      <vt:variant>
        <vt:i4>0</vt:i4>
      </vt:variant>
      <vt:variant>
        <vt:i4>5</vt:i4>
      </vt:variant>
      <vt:variant>
        <vt:lpwstr/>
      </vt:variant>
      <vt:variant>
        <vt:lpwstr>_ENREF_136</vt:lpwstr>
      </vt:variant>
      <vt:variant>
        <vt:i4>4587571</vt:i4>
      </vt:variant>
      <vt:variant>
        <vt:i4>1958</vt:i4>
      </vt:variant>
      <vt:variant>
        <vt:i4>0</vt:i4>
      </vt:variant>
      <vt:variant>
        <vt:i4>5</vt:i4>
      </vt:variant>
      <vt:variant>
        <vt:lpwstr/>
      </vt:variant>
      <vt:variant>
        <vt:lpwstr>_ENREF_78</vt:lpwstr>
      </vt:variant>
      <vt:variant>
        <vt:i4>7602232</vt:i4>
      </vt:variant>
      <vt:variant>
        <vt:i4>1952</vt:i4>
      </vt:variant>
      <vt:variant>
        <vt:i4>0</vt:i4>
      </vt:variant>
      <vt:variant>
        <vt:i4>5</vt:i4>
      </vt:variant>
      <vt:variant>
        <vt:lpwstr/>
      </vt:variant>
      <vt:variant>
        <vt:lpwstr>_ENREF_134</vt:lpwstr>
      </vt:variant>
      <vt:variant>
        <vt:i4>7471161</vt:i4>
      </vt:variant>
      <vt:variant>
        <vt:i4>1949</vt:i4>
      </vt:variant>
      <vt:variant>
        <vt:i4>0</vt:i4>
      </vt:variant>
      <vt:variant>
        <vt:i4>5</vt:i4>
      </vt:variant>
      <vt:variant>
        <vt:lpwstr/>
      </vt:variant>
      <vt:variant>
        <vt:lpwstr>_ENREF_122</vt:lpwstr>
      </vt:variant>
      <vt:variant>
        <vt:i4>4784187</vt:i4>
      </vt:variant>
      <vt:variant>
        <vt:i4>1941</vt:i4>
      </vt:variant>
      <vt:variant>
        <vt:i4>0</vt:i4>
      </vt:variant>
      <vt:variant>
        <vt:i4>5</vt:i4>
      </vt:variant>
      <vt:variant>
        <vt:lpwstr/>
      </vt:variant>
      <vt:variant>
        <vt:lpwstr>_ENREF_80</vt:lpwstr>
      </vt:variant>
      <vt:variant>
        <vt:i4>4390962</vt:i4>
      </vt:variant>
      <vt:variant>
        <vt:i4>1935</vt:i4>
      </vt:variant>
      <vt:variant>
        <vt:i4>0</vt:i4>
      </vt:variant>
      <vt:variant>
        <vt:i4>5</vt:i4>
      </vt:variant>
      <vt:variant>
        <vt:lpwstr/>
      </vt:variant>
      <vt:variant>
        <vt:lpwstr>_ENREF_29</vt:lpwstr>
      </vt:variant>
      <vt:variant>
        <vt:i4>4390962</vt:i4>
      </vt:variant>
      <vt:variant>
        <vt:i4>1929</vt:i4>
      </vt:variant>
      <vt:variant>
        <vt:i4>0</vt:i4>
      </vt:variant>
      <vt:variant>
        <vt:i4>5</vt:i4>
      </vt:variant>
      <vt:variant>
        <vt:lpwstr/>
      </vt:variant>
      <vt:variant>
        <vt:lpwstr>_ENREF_29</vt:lpwstr>
      </vt:variant>
      <vt:variant>
        <vt:i4>4522044</vt:i4>
      </vt:variant>
      <vt:variant>
        <vt:i4>1923</vt:i4>
      </vt:variant>
      <vt:variant>
        <vt:i4>0</vt:i4>
      </vt:variant>
      <vt:variant>
        <vt:i4>5</vt:i4>
      </vt:variant>
      <vt:variant>
        <vt:lpwstr/>
      </vt:variant>
      <vt:variant>
        <vt:lpwstr>_ENREF_47</vt:lpwstr>
      </vt:variant>
      <vt:variant>
        <vt:i4>4390962</vt:i4>
      </vt:variant>
      <vt:variant>
        <vt:i4>1917</vt:i4>
      </vt:variant>
      <vt:variant>
        <vt:i4>0</vt:i4>
      </vt:variant>
      <vt:variant>
        <vt:i4>5</vt:i4>
      </vt:variant>
      <vt:variant>
        <vt:lpwstr/>
      </vt:variant>
      <vt:variant>
        <vt:lpwstr>_ENREF_29</vt:lpwstr>
      </vt:variant>
      <vt:variant>
        <vt:i4>4325435</vt:i4>
      </vt:variant>
      <vt:variant>
        <vt:i4>1911</vt:i4>
      </vt:variant>
      <vt:variant>
        <vt:i4>0</vt:i4>
      </vt:variant>
      <vt:variant>
        <vt:i4>5</vt:i4>
      </vt:variant>
      <vt:variant>
        <vt:lpwstr/>
      </vt:variant>
      <vt:variant>
        <vt:lpwstr>_ENREF_30</vt:lpwstr>
      </vt:variant>
      <vt:variant>
        <vt:i4>4390962</vt:i4>
      </vt:variant>
      <vt:variant>
        <vt:i4>1902</vt:i4>
      </vt:variant>
      <vt:variant>
        <vt:i4>0</vt:i4>
      </vt:variant>
      <vt:variant>
        <vt:i4>5</vt:i4>
      </vt:variant>
      <vt:variant>
        <vt:lpwstr/>
      </vt:variant>
      <vt:variant>
        <vt:lpwstr>_ENREF_29</vt:lpwstr>
      </vt:variant>
      <vt:variant>
        <vt:i4>4390962</vt:i4>
      </vt:variant>
      <vt:variant>
        <vt:i4>1893</vt:i4>
      </vt:variant>
      <vt:variant>
        <vt:i4>0</vt:i4>
      </vt:variant>
      <vt:variant>
        <vt:i4>5</vt:i4>
      </vt:variant>
      <vt:variant>
        <vt:lpwstr/>
      </vt:variant>
      <vt:variant>
        <vt:lpwstr>_ENREF_29</vt:lpwstr>
      </vt:variant>
      <vt:variant>
        <vt:i4>7667775</vt:i4>
      </vt:variant>
      <vt:variant>
        <vt:i4>1887</vt:i4>
      </vt:variant>
      <vt:variant>
        <vt:i4>0</vt:i4>
      </vt:variant>
      <vt:variant>
        <vt:i4>5</vt:i4>
      </vt:variant>
      <vt:variant>
        <vt:lpwstr/>
      </vt:variant>
      <vt:variant>
        <vt:lpwstr>_ENREF_145</vt:lpwstr>
      </vt:variant>
      <vt:variant>
        <vt:i4>4784187</vt:i4>
      </vt:variant>
      <vt:variant>
        <vt:i4>1884</vt:i4>
      </vt:variant>
      <vt:variant>
        <vt:i4>0</vt:i4>
      </vt:variant>
      <vt:variant>
        <vt:i4>5</vt:i4>
      </vt:variant>
      <vt:variant>
        <vt:lpwstr/>
      </vt:variant>
      <vt:variant>
        <vt:lpwstr>_ENREF_80</vt:lpwstr>
      </vt:variant>
      <vt:variant>
        <vt:i4>4653117</vt:i4>
      </vt:variant>
      <vt:variant>
        <vt:i4>1876</vt:i4>
      </vt:variant>
      <vt:variant>
        <vt:i4>0</vt:i4>
      </vt:variant>
      <vt:variant>
        <vt:i4>5</vt:i4>
      </vt:variant>
      <vt:variant>
        <vt:lpwstr/>
      </vt:variant>
      <vt:variant>
        <vt:lpwstr>_ENREF_66</vt:lpwstr>
      </vt:variant>
      <vt:variant>
        <vt:i4>7602232</vt:i4>
      </vt:variant>
      <vt:variant>
        <vt:i4>1870</vt:i4>
      </vt:variant>
      <vt:variant>
        <vt:i4>0</vt:i4>
      </vt:variant>
      <vt:variant>
        <vt:i4>5</vt:i4>
      </vt:variant>
      <vt:variant>
        <vt:lpwstr/>
      </vt:variant>
      <vt:variant>
        <vt:lpwstr>_ENREF_134</vt:lpwstr>
      </vt:variant>
      <vt:variant>
        <vt:i4>4325427</vt:i4>
      </vt:variant>
      <vt:variant>
        <vt:i4>1867</vt:i4>
      </vt:variant>
      <vt:variant>
        <vt:i4>0</vt:i4>
      </vt:variant>
      <vt:variant>
        <vt:i4>5</vt:i4>
      </vt:variant>
      <vt:variant>
        <vt:lpwstr/>
      </vt:variant>
      <vt:variant>
        <vt:lpwstr>_ENREF_38</vt:lpwstr>
      </vt:variant>
      <vt:variant>
        <vt:i4>4653117</vt:i4>
      </vt:variant>
      <vt:variant>
        <vt:i4>1859</vt:i4>
      </vt:variant>
      <vt:variant>
        <vt:i4>0</vt:i4>
      </vt:variant>
      <vt:variant>
        <vt:i4>5</vt:i4>
      </vt:variant>
      <vt:variant>
        <vt:lpwstr/>
      </vt:variant>
      <vt:variant>
        <vt:lpwstr>_ENREF_66</vt:lpwstr>
      </vt:variant>
      <vt:variant>
        <vt:i4>4390962</vt:i4>
      </vt:variant>
      <vt:variant>
        <vt:i4>1853</vt:i4>
      </vt:variant>
      <vt:variant>
        <vt:i4>0</vt:i4>
      </vt:variant>
      <vt:variant>
        <vt:i4>5</vt:i4>
      </vt:variant>
      <vt:variant>
        <vt:lpwstr/>
      </vt:variant>
      <vt:variant>
        <vt:lpwstr>_ENREF_29</vt:lpwstr>
      </vt:variant>
      <vt:variant>
        <vt:i4>4522043</vt:i4>
      </vt:variant>
      <vt:variant>
        <vt:i4>1847</vt:i4>
      </vt:variant>
      <vt:variant>
        <vt:i4>0</vt:i4>
      </vt:variant>
      <vt:variant>
        <vt:i4>5</vt:i4>
      </vt:variant>
      <vt:variant>
        <vt:lpwstr/>
      </vt:variant>
      <vt:variant>
        <vt:lpwstr>_ENREF_40</vt:lpwstr>
      </vt:variant>
      <vt:variant>
        <vt:i4>7471162</vt:i4>
      </vt:variant>
      <vt:variant>
        <vt:i4>1838</vt:i4>
      </vt:variant>
      <vt:variant>
        <vt:i4>0</vt:i4>
      </vt:variant>
      <vt:variant>
        <vt:i4>5</vt:i4>
      </vt:variant>
      <vt:variant>
        <vt:lpwstr/>
      </vt:variant>
      <vt:variant>
        <vt:lpwstr>_ENREF_112</vt:lpwstr>
      </vt:variant>
      <vt:variant>
        <vt:i4>7471162</vt:i4>
      </vt:variant>
      <vt:variant>
        <vt:i4>1829</vt:i4>
      </vt:variant>
      <vt:variant>
        <vt:i4>0</vt:i4>
      </vt:variant>
      <vt:variant>
        <vt:i4>5</vt:i4>
      </vt:variant>
      <vt:variant>
        <vt:lpwstr/>
      </vt:variant>
      <vt:variant>
        <vt:lpwstr>_ENREF_112</vt:lpwstr>
      </vt:variant>
      <vt:variant>
        <vt:i4>4390962</vt:i4>
      </vt:variant>
      <vt:variant>
        <vt:i4>1820</vt:i4>
      </vt:variant>
      <vt:variant>
        <vt:i4>0</vt:i4>
      </vt:variant>
      <vt:variant>
        <vt:i4>5</vt:i4>
      </vt:variant>
      <vt:variant>
        <vt:lpwstr/>
      </vt:variant>
      <vt:variant>
        <vt:lpwstr>_ENREF_29</vt:lpwstr>
      </vt:variant>
      <vt:variant>
        <vt:i4>4718650</vt:i4>
      </vt:variant>
      <vt:variant>
        <vt:i4>1808</vt:i4>
      </vt:variant>
      <vt:variant>
        <vt:i4>0</vt:i4>
      </vt:variant>
      <vt:variant>
        <vt:i4>5</vt:i4>
      </vt:variant>
      <vt:variant>
        <vt:lpwstr/>
      </vt:variant>
      <vt:variant>
        <vt:lpwstr>_ENREF_91</vt:lpwstr>
      </vt:variant>
      <vt:variant>
        <vt:i4>4718650</vt:i4>
      </vt:variant>
      <vt:variant>
        <vt:i4>1800</vt:i4>
      </vt:variant>
      <vt:variant>
        <vt:i4>0</vt:i4>
      </vt:variant>
      <vt:variant>
        <vt:i4>5</vt:i4>
      </vt:variant>
      <vt:variant>
        <vt:lpwstr/>
      </vt:variant>
      <vt:variant>
        <vt:lpwstr>_ENREF_91</vt:lpwstr>
      </vt:variant>
      <vt:variant>
        <vt:i4>4194366</vt:i4>
      </vt:variant>
      <vt:variant>
        <vt:i4>1792</vt:i4>
      </vt:variant>
      <vt:variant>
        <vt:i4>0</vt:i4>
      </vt:variant>
      <vt:variant>
        <vt:i4>5</vt:i4>
      </vt:variant>
      <vt:variant>
        <vt:lpwstr/>
      </vt:variant>
      <vt:variant>
        <vt:lpwstr>_ENREF_15</vt:lpwstr>
      </vt:variant>
      <vt:variant>
        <vt:i4>4390962</vt:i4>
      </vt:variant>
      <vt:variant>
        <vt:i4>1784</vt:i4>
      </vt:variant>
      <vt:variant>
        <vt:i4>0</vt:i4>
      </vt:variant>
      <vt:variant>
        <vt:i4>5</vt:i4>
      </vt:variant>
      <vt:variant>
        <vt:lpwstr/>
      </vt:variant>
      <vt:variant>
        <vt:lpwstr>_ENREF_29</vt:lpwstr>
      </vt:variant>
      <vt:variant>
        <vt:i4>4390962</vt:i4>
      </vt:variant>
      <vt:variant>
        <vt:i4>1778</vt:i4>
      </vt:variant>
      <vt:variant>
        <vt:i4>0</vt:i4>
      </vt:variant>
      <vt:variant>
        <vt:i4>5</vt:i4>
      </vt:variant>
      <vt:variant>
        <vt:lpwstr/>
      </vt:variant>
      <vt:variant>
        <vt:lpwstr>_ENREF_29</vt:lpwstr>
      </vt:variant>
      <vt:variant>
        <vt:i4>7536703</vt:i4>
      </vt:variant>
      <vt:variant>
        <vt:i4>1772</vt:i4>
      </vt:variant>
      <vt:variant>
        <vt:i4>0</vt:i4>
      </vt:variant>
      <vt:variant>
        <vt:i4>5</vt:i4>
      </vt:variant>
      <vt:variant>
        <vt:lpwstr/>
      </vt:variant>
      <vt:variant>
        <vt:lpwstr>_ENREF_143</vt:lpwstr>
      </vt:variant>
      <vt:variant>
        <vt:i4>4522035</vt:i4>
      </vt:variant>
      <vt:variant>
        <vt:i4>1764</vt:i4>
      </vt:variant>
      <vt:variant>
        <vt:i4>0</vt:i4>
      </vt:variant>
      <vt:variant>
        <vt:i4>5</vt:i4>
      </vt:variant>
      <vt:variant>
        <vt:lpwstr/>
      </vt:variant>
      <vt:variant>
        <vt:lpwstr>_ENREF_48</vt:lpwstr>
      </vt:variant>
      <vt:variant>
        <vt:i4>4522044</vt:i4>
      </vt:variant>
      <vt:variant>
        <vt:i4>1758</vt:i4>
      </vt:variant>
      <vt:variant>
        <vt:i4>0</vt:i4>
      </vt:variant>
      <vt:variant>
        <vt:i4>5</vt:i4>
      </vt:variant>
      <vt:variant>
        <vt:lpwstr/>
      </vt:variant>
      <vt:variant>
        <vt:lpwstr>_ENREF_47</vt:lpwstr>
      </vt:variant>
      <vt:variant>
        <vt:i4>4522044</vt:i4>
      </vt:variant>
      <vt:variant>
        <vt:i4>1752</vt:i4>
      </vt:variant>
      <vt:variant>
        <vt:i4>0</vt:i4>
      </vt:variant>
      <vt:variant>
        <vt:i4>5</vt:i4>
      </vt:variant>
      <vt:variant>
        <vt:lpwstr/>
      </vt:variant>
      <vt:variant>
        <vt:lpwstr>_ENREF_47</vt:lpwstr>
      </vt:variant>
      <vt:variant>
        <vt:i4>7864376</vt:i4>
      </vt:variant>
      <vt:variant>
        <vt:i4>1746</vt:i4>
      </vt:variant>
      <vt:variant>
        <vt:i4>0</vt:i4>
      </vt:variant>
      <vt:variant>
        <vt:i4>5</vt:i4>
      </vt:variant>
      <vt:variant>
        <vt:lpwstr/>
      </vt:variant>
      <vt:variant>
        <vt:lpwstr>_ENREF_138</vt:lpwstr>
      </vt:variant>
      <vt:variant>
        <vt:i4>4587571</vt:i4>
      </vt:variant>
      <vt:variant>
        <vt:i4>1743</vt:i4>
      </vt:variant>
      <vt:variant>
        <vt:i4>0</vt:i4>
      </vt:variant>
      <vt:variant>
        <vt:i4>5</vt:i4>
      </vt:variant>
      <vt:variant>
        <vt:lpwstr/>
      </vt:variant>
      <vt:variant>
        <vt:lpwstr>_ENREF_78</vt:lpwstr>
      </vt:variant>
      <vt:variant>
        <vt:i4>4522044</vt:i4>
      </vt:variant>
      <vt:variant>
        <vt:i4>1740</vt:i4>
      </vt:variant>
      <vt:variant>
        <vt:i4>0</vt:i4>
      </vt:variant>
      <vt:variant>
        <vt:i4>5</vt:i4>
      </vt:variant>
      <vt:variant>
        <vt:lpwstr/>
      </vt:variant>
      <vt:variant>
        <vt:lpwstr>_ENREF_47</vt:lpwstr>
      </vt:variant>
      <vt:variant>
        <vt:i4>4194363</vt:i4>
      </vt:variant>
      <vt:variant>
        <vt:i4>1732</vt:i4>
      </vt:variant>
      <vt:variant>
        <vt:i4>0</vt:i4>
      </vt:variant>
      <vt:variant>
        <vt:i4>5</vt:i4>
      </vt:variant>
      <vt:variant>
        <vt:lpwstr/>
      </vt:variant>
      <vt:variant>
        <vt:lpwstr>_ENREF_10</vt:lpwstr>
      </vt:variant>
      <vt:variant>
        <vt:i4>4522044</vt:i4>
      </vt:variant>
      <vt:variant>
        <vt:i4>1726</vt:i4>
      </vt:variant>
      <vt:variant>
        <vt:i4>0</vt:i4>
      </vt:variant>
      <vt:variant>
        <vt:i4>5</vt:i4>
      </vt:variant>
      <vt:variant>
        <vt:lpwstr/>
      </vt:variant>
      <vt:variant>
        <vt:lpwstr>_ENREF_47</vt:lpwstr>
      </vt:variant>
      <vt:variant>
        <vt:i4>4194360</vt:i4>
      </vt:variant>
      <vt:variant>
        <vt:i4>1720</vt:i4>
      </vt:variant>
      <vt:variant>
        <vt:i4>0</vt:i4>
      </vt:variant>
      <vt:variant>
        <vt:i4>5</vt:i4>
      </vt:variant>
      <vt:variant>
        <vt:lpwstr/>
      </vt:variant>
      <vt:variant>
        <vt:lpwstr>_ENREF_13</vt:lpwstr>
      </vt:variant>
      <vt:variant>
        <vt:i4>4718649</vt:i4>
      </vt:variant>
      <vt:variant>
        <vt:i4>1717</vt:i4>
      </vt:variant>
      <vt:variant>
        <vt:i4>0</vt:i4>
      </vt:variant>
      <vt:variant>
        <vt:i4>5</vt:i4>
      </vt:variant>
      <vt:variant>
        <vt:lpwstr/>
      </vt:variant>
      <vt:variant>
        <vt:lpwstr>_ENREF_92</vt:lpwstr>
      </vt:variant>
      <vt:variant>
        <vt:i4>4587570</vt:i4>
      </vt:variant>
      <vt:variant>
        <vt:i4>1711</vt:i4>
      </vt:variant>
      <vt:variant>
        <vt:i4>0</vt:i4>
      </vt:variant>
      <vt:variant>
        <vt:i4>5</vt:i4>
      </vt:variant>
      <vt:variant>
        <vt:lpwstr/>
      </vt:variant>
      <vt:variant>
        <vt:lpwstr>_ENREF_79</vt:lpwstr>
      </vt:variant>
      <vt:variant>
        <vt:i4>4522035</vt:i4>
      </vt:variant>
      <vt:variant>
        <vt:i4>1705</vt:i4>
      </vt:variant>
      <vt:variant>
        <vt:i4>0</vt:i4>
      </vt:variant>
      <vt:variant>
        <vt:i4>5</vt:i4>
      </vt:variant>
      <vt:variant>
        <vt:lpwstr/>
      </vt:variant>
      <vt:variant>
        <vt:lpwstr>_ENREF_48</vt:lpwstr>
      </vt:variant>
      <vt:variant>
        <vt:i4>4390962</vt:i4>
      </vt:variant>
      <vt:variant>
        <vt:i4>1699</vt:i4>
      </vt:variant>
      <vt:variant>
        <vt:i4>0</vt:i4>
      </vt:variant>
      <vt:variant>
        <vt:i4>5</vt:i4>
      </vt:variant>
      <vt:variant>
        <vt:lpwstr/>
      </vt:variant>
      <vt:variant>
        <vt:lpwstr>_ENREF_29</vt:lpwstr>
      </vt:variant>
      <vt:variant>
        <vt:i4>7536698</vt:i4>
      </vt:variant>
      <vt:variant>
        <vt:i4>1693</vt:i4>
      </vt:variant>
      <vt:variant>
        <vt:i4>0</vt:i4>
      </vt:variant>
      <vt:variant>
        <vt:i4>5</vt:i4>
      </vt:variant>
      <vt:variant>
        <vt:lpwstr/>
      </vt:variant>
      <vt:variant>
        <vt:lpwstr>_ENREF_113</vt:lpwstr>
      </vt:variant>
      <vt:variant>
        <vt:i4>7536698</vt:i4>
      </vt:variant>
      <vt:variant>
        <vt:i4>1681</vt:i4>
      </vt:variant>
      <vt:variant>
        <vt:i4>0</vt:i4>
      </vt:variant>
      <vt:variant>
        <vt:i4>5</vt:i4>
      </vt:variant>
      <vt:variant>
        <vt:lpwstr/>
      </vt:variant>
      <vt:variant>
        <vt:lpwstr>_ENREF_113</vt:lpwstr>
      </vt:variant>
      <vt:variant>
        <vt:i4>7340090</vt:i4>
      </vt:variant>
      <vt:variant>
        <vt:i4>1675</vt:i4>
      </vt:variant>
      <vt:variant>
        <vt:i4>0</vt:i4>
      </vt:variant>
      <vt:variant>
        <vt:i4>5</vt:i4>
      </vt:variant>
      <vt:variant>
        <vt:lpwstr/>
      </vt:variant>
      <vt:variant>
        <vt:lpwstr>_ENREF_110</vt:lpwstr>
      </vt:variant>
      <vt:variant>
        <vt:i4>7864379</vt:i4>
      </vt:variant>
      <vt:variant>
        <vt:i4>1669</vt:i4>
      </vt:variant>
      <vt:variant>
        <vt:i4>0</vt:i4>
      </vt:variant>
      <vt:variant>
        <vt:i4>5</vt:i4>
      </vt:variant>
      <vt:variant>
        <vt:lpwstr/>
      </vt:variant>
      <vt:variant>
        <vt:lpwstr>_ENREF_108</vt:lpwstr>
      </vt:variant>
      <vt:variant>
        <vt:i4>7340090</vt:i4>
      </vt:variant>
      <vt:variant>
        <vt:i4>1663</vt:i4>
      </vt:variant>
      <vt:variant>
        <vt:i4>0</vt:i4>
      </vt:variant>
      <vt:variant>
        <vt:i4>5</vt:i4>
      </vt:variant>
      <vt:variant>
        <vt:lpwstr/>
      </vt:variant>
      <vt:variant>
        <vt:lpwstr>_ENREF_110</vt:lpwstr>
      </vt:variant>
      <vt:variant>
        <vt:i4>7340090</vt:i4>
      </vt:variant>
      <vt:variant>
        <vt:i4>1657</vt:i4>
      </vt:variant>
      <vt:variant>
        <vt:i4>0</vt:i4>
      </vt:variant>
      <vt:variant>
        <vt:i4>5</vt:i4>
      </vt:variant>
      <vt:variant>
        <vt:lpwstr/>
      </vt:variant>
      <vt:variant>
        <vt:lpwstr>_ENREF_110</vt:lpwstr>
      </vt:variant>
      <vt:variant>
        <vt:i4>7471162</vt:i4>
      </vt:variant>
      <vt:variant>
        <vt:i4>1651</vt:i4>
      </vt:variant>
      <vt:variant>
        <vt:i4>0</vt:i4>
      </vt:variant>
      <vt:variant>
        <vt:i4>5</vt:i4>
      </vt:variant>
      <vt:variant>
        <vt:lpwstr/>
      </vt:variant>
      <vt:variant>
        <vt:lpwstr>_ENREF_112</vt:lpwstr>
      </vt:variant>
      <vt:variant>
        <vt:i4>7471162</vt:i4>
      </vt:variant>
      <vt:variant>
        <vt:i4>1642</vt:i4>
      </vt:variant>
      <vt:variant>
        <vt:i4>0</vt:i4>
      </vt:variant>
      <vt:variant>
        <vt:i4>5</vt:i4>
      </vt:variant>
      <vt:variant>
        <vt:lpwstr/>
      </vt:variant>
      <vt:variant>
        <vt:lpwstr>_ENREF_112</vt:lpwstr>
      </vt:variant>
      <vt:variant>
        <vt:i4>7340090</vt:i4>
      </vt:variant>
      <vt:variant>
        <vt:i4>1633</vt:i4>
      </vt:variant>
      <vt:variant>
        <vt:i4>0</vt:i4>
      </vt:variant>
      <vt:variant>
        <vt:i4>5</vt:i4>
      </vt:variant>
      <vt:variant>
        <vt:lpwstr/>
      </vt:variant>
      <vt:variant>
        <vt:lpwstr>_ENREF_110</vt:lpwstr>
      </vt:variant>
      <vt:variant>
        <vt:i4>7929884</vt:i4>
      </vt:variant>
      <vt:variant>
        <vt:i4>1628</vt:i4>
      </vt:variant>
      <vt:variant>
        <vt:i4>0</vt:i4>
      </vt:variant>
      <vt:variant>
        <vt:i4>5</vt:i4>
      </vt:variant>
      <vt:variant>
        <vt:lpwstr>https://www.ebs.tga.gov.au/</vt:lpwstr>
      </vt:variant>
      <vt:variant>
        <vt:lpwstr/>
      </vt:variant>
      <vt:variant>
        <vt:i4>7536698</vt:i4>
      </vt:variant>
      <vt:variant>
        <vt:i4>1621</vt:i4>
      </vt:variant>
      <vt:variant>
        <vt:i4>0</vt:i4>
      </vt:variant>
      <vt:variant>
        <vt:i4>5</vt:i4>
      </vt:variant>
      <vt:variant>
        <vt:lpwstr/>
      </vt:variant>
      <vt:variant>
        <vt:lpwstr>_ENREF_113</vt:lpwstr>
      </vt:variant>
      <vt:variant>
        <vt:i4>4325435</vt:i4>
      </vt:variant>
      <vt:variant>
        <vt:i4>1615</vt:i4>
      </vt:variant>
      <vt:variant>
        <vt:i4>0</vt:i4>
      </vt:variant>
      <vt:variant>
        <vt:i4>5</vt:i4>
      </vt:variant>
      <vt:variant>
        <vt:lpwstr/>
      </vt:variant>
      <vt:variant>
        <vt:lpwstr>_ENREF_30</vt:lpwstr>
      </vt:variant>
      <vt:variant>
        <vt:i4>4390962</vt:i4>
      </vt:variant>
      <vt:variant>
        <vt:i4>1606</vt:i4>
      </vt:variant>
      <vt:variant>
        <vt:i4>0</vt:i4>
      </vt:variant>
      <vt:variant>
        <vt:i4>5</vt:i4>
      </vt:variant>
      <vt:variant>
        <vt:lpwstr/>
      </vt:variant>
      <vt:variant>
        <vt:lpwstr>_ENREF_29</vt:lpwstr>
      </vt:variant>
      <vt:variant>
        <vt:i4>7340090</vt:i4>
      </vt:variant>
      <vt:variant>
        <vt:i4>1600</vt:i4>
      </vt:variant>
      <vt:variant>
        <vt:i4>0</vt:i4>
      </vt:variant>
      <vt:variant>
        <vt:i4>5</vt:i4>
      </vt:variant>
      <vt:variant>
        <vt:lpwstr/>
      </vt:variant>
      <vt:variant>
        <vt:lpwstr>_ENREF_110</vt:lpwstr>
      </vt:variant>
      <vt:variant>
        <vt:i4>7536699</vt:i4>
      </vt:variant>
      <vt:variant>
        <vt:i4>1594</vt:i4>
      </vt:variant>
      <vt:variant>
        <vt:i4>0</vt:i4>
      </vt:variant>
      <vt:variant>
        <vt:i4>5</vt:i4>
      </vt:variant>
      <vt:variant>
        <vt:lpwstr/>
      </vt:variant>
      <vt:variant>
        <vt:lpwstr>_ENREF_103</vt:lpwstr>
      </vt:variant>
      <vt:variant>
        <vt:i4>7602235</vt:i4>
      </vt:variant>
      <vt:variant>
        <vt:i4>1588</vt:i4>
      </vt:variant>
      <vt:variant>
        <vt:i4>0</vt:i4>
      </vt:variant>
      <vt:variant>
        <vt:i4>5</vt:i4>
      </vt:variant>
      <vt:variant>
        <vt:lpwstr/>
      </vt:variant>
      <vt:variant>
        <vt:lpwstr>_ENREF_104</vt:lpwstr>
      </vt:variant>
      <vt:variant>
        <vt:i4>4390973</vt:i4>
      </vt:variant>
      <vt:variant>
        <vt:i4>1582</vt:i4>
      </vt:variant>
      <vt:variant>
        <vt:i4>0</vt:i4>
      </vt:variant>
      <vt:variant>
        <vt:i4>5</vt:i4>
      </vt:variant>
      <vt:variant>
        <vt:lpwstr/>
      </vt:variant>
      <vt:variant>
        <vt:lpwstr>_ENREF_26</vt:lpwstr>
      </vt:variant>
      <vt:variant>
        <vt:i4>4587571</vt:i4>
      </vt:variant>
      <vt:variant>
        <vt:i4>1576</vt:i4>
      </vt:variant>
      <vt:variant>
        <vt:i4>0</vt:i4>
      </vt:variant>
      <vt:variant>
        <vt:i4>5</vt:i4>
      </vt:variant>
      <vt:variant>
        <vt:lpwstr/>
      </vt:variant>
      <vt:variant>
        <vt:lpwstr>_ENREF_78</vt:lpwstr>
      </vt:variant>
      <vt:variant>
        <vt:i4>7733307</vt:i4>
      </vt:variant>
      <vt:variant>
        <vt:i4>1573</vt:i4>
      </vt:variant>
      <vt:variant>
        <vt:i4>0</vt:i4>
      </vt:variant>
      <vt:variant>
        <vt:i4>5</vt:i4>
      </vt:variant>
      <vt:variant>
        <vt:lpwstr/>
      </vt:variant>
      <vt:variant>
        <vt:lpwstr>_ENREF_106</vt:lpwstr>
      </vt:variant>
      <vt:variant>
        <vt:i4>4390923</vt:i4>
      </vt:variant>
      <vt:variant>
        <vt:i4>1559</vt:i4>
      </vt:variant>
      <vt:variant>
        <vt:i4>0</vt:i4>
      </vt:variant>
      <vt:variant>
        <vt:i4>5</vt:i4>
      </vt:variant>
      <vt:variant>
        <vt:lpwstr/>
      </vt:variant>
      <vt:variant>
        <vt:lpwstr>_ENREF_2</vt:lpwstr>
      </vt:variant>
      <vt:variant>
        <vt:i4>4522040</vt:i4>
      </vt:variant>
      <vt:variant>
        <vt:i4>1529</vt:i4>
      </vt:variant>
      <vt:variant>
        <vt:i4>0</vt:i4>
      </vt:variant>
      <vt:variant>
        <vt:i4>5</vt:i4>
      </vt:variant>
      <vt:variant>
        <vt:lpwstr/>
      </vt:variant>
      <vt:variant>
        <vt:lpwstr>_ENREF_43</vt:lpwstr>
      </vt:variant>
      <vt:variant>
        <vt:i4>7340088</vt:i4>
      </vt:variant>
      <vt:variant>
        <vt:i4>1523</vt:i4>
      </vt:variant>
      <vt:variant>
        <vt:i4>0</vt:i4>
      </vt:variant>
      <vt:variant>
        <vt:i4>5</vt:i4>
      </vt:variant>
      <vt:variant>
        <vt:lpwstr/>
      </vt:variant>
      <vt:variant>
        <vt:lpwstr>_ENREF_130</vt:lpwstr>
      </vt:variant>
      <vt:variant>
        <vt:i4>7864378</vt:i4>
      </vt:variant>
      <vt:variant>
        <vt:i4>1511</vt:i4>
      </vt:variant>
      <vt:variant>
        <vt:i4>0</vt:i4>
      </vt:variant>
      <vt:variant>
        <vt:i4>5</vt:i4>
      </vt:variant>
      <vt:variant>
        <vt:lpwstr/>
      </vt:variant>
      <vt:variant>
        <vt:lpwstr>_ENREF_118</vt:lpwstr>
      </vt:variant>
      <vt:variant>
        <vt:i4>7340088</vt:i4>
      </vt:variant>
      <vt:variant>
        <vt:i4>1507</vt:i4>
      </vt:variant>
      <vt:variant>
        <vt:i4>0</vt:i4>
      </vt:variant>
      <vt:variant>
        <vt:i4>5</vt:i4>
      </vt:variant>
      <vt:variant>
        <vt:lpwstr/>
      </vt:variant>
      <vt:variant>
        <vt:lpwstr>_ENREF_130</vt:lpwstr>
      </vt:variant>
      <vt:variant>
        <vt:i4>7471162</vt:i4>
      </vt:variant>
      <vt:variant>
        <vt:i4>1496</vt:i4>
      </vt:variant>
      <vt:variant>
        <vt:i4>0</vt:i4>
      </vt:variant>
      <vt:variant>
        <vt:i4>5</vt:i4>
      </vt:variant>
      <vt:variant>
        <vt:lpwstr/>
      </vt:variant>
      <vt:variant>
        <vt:lpwstr>_ENREF_112</vt:lpwstr>
      </vt:variant>
      <vt:variant>
        <vt:i4>7471162</vt:i4>
      </vt:variant>
      <vt:variant>
        <vt:i4>1490</vt:i4>
      </vt:variant>
      <vt:variant>
        <vt:i4>0</vt:i4>
      </vt:variant>
      <vt:variant>
        <vt:i4>5</vt:i4>
      </vt:variant>
      <vt:variant>
        <vt:lpwstr/>
      </vt:variant>
      <vt:variant>
        <vt:lpwstr>_ENREF_112</vt:lpwstr>
      </vt:variant>
      <vt:variant>
        <vt:i4>1703985</vt:i4>
      </vt:variant>
      <vt:variant>
        <vt:i4>1475</vt:i4>
      </vt:variant>
      <vt:variant>
        <vt:i4>0</vt:i4>
      </vt:variant>
      <vt:variant>
        <vt:i4>5</vt:i4>
      </vt:variant>
      <vt:variant>
        <vt:lpwstr/>
      </vt:variant>
      <vt:variant>
        <vt:lpwstr>_Toc14352519</vt:lpwstr>
      </vt:variant>
      <vt:variant>
        <vt:i4>1769521</vt:i4>
      </vt:variant>
      <vt:variant>
        <vt:i4>1469</vt:i4>
      </vt:variant>
      <vt:variant>
        <vt:i4>0</vt:i4>
      </vt:variant>
      <vt:variant>
        <vt:i4>5</vt:i4>
      </vt:variant>
      <vt:variant>
        <vt:lpwstr/>
      </vt:variant>
      <vt:variant>
        <vt:lpwstr>_Toc14352518</vt:lpwstr>
      </vt:variant>
      <vt:variant>
        <vt:i4>1310769</vt:i4>
      </vt:variant>
      <vt:variant>
        <vt:i4>1463</vt:i4>
      </vt:variant>
      <vt:variant>
        <vt:i4>0</vt:i4>
      </vt:variant>
      <vt:variant>
        <vt:i4>5</vt:i4>
      </vt:variant>
      <vt:variant>
        <vt:lpwstr/>
      </vt:variant>
      <vt:variant>
        <vt:lpwstr>_Toc14352517</vt:lpwstr>
      </vt:variant>
      <vt:variant>
        <vt:i4>1376305</vt:i4>
      </vt:variant>
      <vt:variant>
        <vt:i4>1457</vt:i4>
      </vt:variant>
      <vt:variant>
        <vt:i4>0</vt:i4>
      </vt:variant>
      <vt:variant>
        <vt:i4>5</vt:i4>
      </vt:variant>
      <vt:variant>
        <vt:lpwstr/>
      </vt:variant>
      <vt:variant>
        <vt:lpwstr>_Toc14352516</vt:lpwstr>
      </vt:variant>
      <vt:variant>
        <vt:i4>1441841</vt:i4>
      </vt:variant>
      <vt:variant>
        <vt:i4>1451</vt:i4>
      </vt:variant>
      <vt:variant>
        <vt:i4>0</vt:i4>
      </vt:variant>
      <vt:variant>
        <vt:i4>5</vt:i4>
      </vt:variant>
      <vt:variant>
        <vt:lpwstr/>
      </vt:variant>
      <vt:variant>
        <vt:lpwstr>_Toc14352515</vt:lpwstr>
      </vt:variant>
      <vt:variant>
        <vt:i4>1507377</vt:i4>
      </vt:variant>
      <vt:variant>
        <vt:i4>1445</vt:i4>
      </vt:variant>
      <vt:variant>
        <vt:i4>0</vt:i4>
      </vt:variant>
      <vt:variant>
        <vt:i4>5</vt:i4>
      </vt:variant>
      <vt:variant>
        <vt:lpwstr/>
      </vt:variant>
      <vt:variant>
        <vt:lpwstr>_Toc14352514</vt:lpwstr>
      </vt:variant>
      <vt:variant>
        <vt:i4>1048625</vt:i4>
      </vt:variant>
      <vt:variant>
        <vt:i4>1439</vt:i4>
      </vt:variant>
      <vt:variant>
        <vt:i4>0</vt:i4>
      </vt:variant>
      <vt:variant>
        <vt:i4>5</vt:i4>
      </vt:variant>
      <vt:variant>
        <vt:lpwstr/>
      </vt:variant>
      <vt:variant>
        <vt:lpwstr>_Toc14352513</vt:lpwstr>
      </vt:variant>
      <vt:variant>
        <vt:i4>1114161</vt:i4>
      </vt:variant>
      <vt:variant>
        <vt:i4>1433</vt:i4>
      </vt:variant>
      <vt:variant>
        <vt:i4>0</vt:i4>
      </vt:variant>
      <vt:variant>
        <vt:i4>5</vt:i4>
      </vt:variant>
      <vt:variant>
        <vt:lpwstr/>
      </vt:variant>
      <vt:variant>
        <vt:lpwstr>_Toc14352512</vt:lpwstr>
      </vt:variant>
      <vt:variant>
        <vt:i4>1179697</vt:i4>
      </vt:variant>
      <vt:variant>
        <vt:i4>1427</vt:i4>
      </vt:variant>
      <vt:variant>
        <vt:i4>0</vt:i4>
      </vt:variant>
      <vt:variant>
        <vt:i4>5</vt:i4>
      </vt:variant>
      <vt:variant>
        <vt:lpwstr/>
      </vt:variant>
      <vt:variant>
        <vt:lpwstr>_Toc14352511</vt:lpwstr>
      </vt:variant>
      <vt:variant>
        <vt:i4>1245233</vt:i4>
      </vt:variant>
      <vt:variant>
        <vt:i4>1418</vt:i4>
      </vt:variant>
      <vt:variant>
        <vt:i4>0</vt:i4>
      </vt:variant>
      <vt:variant>
        <vt:i4>5</vt:i4>
      </vt:variant>
      <vt:variant>
        <vt:lpwstr/>
      </vt:variant>
      <vt:variant>
        <vt:lpwstr>_Toc14352510</vt:lpwstr>
      </vt:variant>
      <vt:variant>
        <vt:i4>1703984</vt:i4>
      </vt:variant>
      <vt:variant>
        <vt:i4>1412</vt:i4>
      </vt:variant>
      <vt:variant>
        <vt:i4>0</vt:i4>
      </vt:variant>
      <vt:variant>
        <vt:i4>5</vt:i4>
      </vt:variant>
      <vt:variant>
        <vt:lpwstr/>
      </vt:variant>
      <vt:variant>
        <vt:lpwstr>_Toc14352509</vt:lpwstr>
      </vt:variant>
      <vt:variant>
        <vt:i4>1769520</vt:i4>
      </vt:variant>
      <vt:variant>
        <vt:i4>1403</vt:i4>
      </vt:variant>
      <vt:variant>
        <vt:i4>0</vt:i4>
      </vt:variant>
      <vt:variant>
        <vt:i4>5</vt:i4>
      </vt:variant>
      <vt:variant>
        <vt:lpwstr/>
      </vt:variant>
      <vt:variant>
        <vt:lpwstr>_Toc14352508</vt:lpwstr>
      </vt:variant>
      <vt:variant>
        <vt:i4>1310768</vt:i4>
      </vt:variant>
      <vt:variant>
        <vt:i4>1397</vt:i4>
      </vt:variant>
      <vt:variant>
        <vt:i4>0</vt:i4>
      </vt:variant>
      <vt:variant>
        <vt:i4>5</vt:i4>
      </vt:variant>
      <vt:variant>
        <vt:lpwstr/>
      </vt:variant>
      <vt:variant>
        <vt:lpwstr>_Toc14352507</vt:lpwstr>
      </vt:variant>
      <vt:variant>
        <vt:i4>1376304</vt:i4>
      </vt:variant>
      <vt:variant>
        <vt:i4>1391</vt:i4>
      </vt:variant>
      <vt:variant>
        <vt:i4>0</vt:i4>
      </vt:variant>
      <vt:variant>
        <vt:i4>5</vt:i4>
      </vt:variant>
      <vt:variant>
        <vt:lpwstr/>
      </vt:variant>
      <vt:variant>
        <vt:lpwstr>_Toc14352506</vt:lpwstr>
      </vt:variant>
      <vt:variant>
        <vt:i4>1441840</vt:i4>
      </vt:variant>
      <vt:variant>
        <vt:i4>1385</vt:i4>
      </vt:variant>
      <vt:variant>
        <vt:i4>0</vt:i4>
      </vt:variant>
      <vt:variant>
        <vt:i4>5</vt:i4>
      </vt:variant>
      <vt:variant>
        <vt:lpwstr/>
      </vt:variant>
      <vt:variant>
        <vt:lpwstr>_Toc14352505</vt:lpwstr>
      </vt:variant>
      <vt:variant>
        <vt:i4>1507376</vt:i4>
      </vt:variant>
      <vt:variant>
        <vt:i4>1379</vt:i4>
      </vt:variant>
      <vt:variant>
        <vt:i4>0</vt:i4>
      </vt:variant>
      <vt:variant>
        <vt:i4>5</vt:i4>
      </vt:variant>
      <vt:variant>
        <vt:lpwstr/>
      </vt:variant>
      <vt:variant>
        <vt:lpwstr>_Toc14352504</vt:lpwstr>
      </vt:variant>
      <vt:variant>
        <vt:i4>1048624</vt:i4>
      </vt:variant>
      <vt:variant>
        <vt:i4>1373</vt:i4>
      </vt:variant>
      <vt:variant>
        <vt:i4>0</vt:i4>
      </vt:variant>
      <vt:variant>
        <vt:i4>5</vt:i4>
      </vt:variant>
      <vt:variant>
        <vt:lpwstr/>
      </vt:variant>
      <vt:variant>
        <vt:lpwstr>_Toc14352503</vt:lpwstr>
      </vt:variant>
      <vt:variant>
        <vt:i4>1114160</vt:i4>
      </vt:variant>
      <vt:variant>
        <vt:i4>1367</vt:i4>
      </vt:variant>
      <vt:variant>
        <vt:i4>0</vt:i4>
      </vt:variant>
      <vt:variant>
        <vt:i4>5</vt:i4>
      </vt:variant>
      <vt:variant>
        <vt:lpwstr/>
      </vt:variant>
      <vt:variant>
        <vt:lpwstr>_Toc14352502</vt:lpwstr>
      </vt:variant>
      <vt:variant>
        <vt:i4>1179696</vt:i4>
      </vt:variant>
      <vt:variant>
        <vt:i4>1361</vt:i4>
      </vt:variant>
      <vt:variant>
        <vt:i4>0</vt:i4>
      </vt:variant>
      <vt:variant>
        <vt:i4>5</vt:i4>
      </vt:variant>
      <vt:variant>
        <vt:lpwstr/>
      </vt:variant>
      <vt:variant>
        <vt:lpwstr>_Toc14352501</vt:lpwstr>
      </vt:variant>
      <vt:variant>
        <vt:i4>1245232</vt:i4>
      </vt:variant>
      <vt:variant>
        <vt:i4>1355</vt:i4>
      </vt:variant>
      <vt:variant>
        <vt:i4>0</vt:i4>
      </vt:variant>
      <vt:variant>
        <vt:i4>5</vt:i4>
      </vt:variant>
      <vt:variant>
        <vt:lpwstr/>
      </vt:variant>
      <vt:variant>
        <vt:lpwstr>_Toc14352500</vt:lpwstr>
      </vt:variant>
      <vt:variant>
        <vt:i4>1769529</vt:i4>
      </vt:variant>
      <vt:variant>
        <vt:i4>1349</vt:i4>
      </vt:variant>
      <vt:variant>
        <vt:i4>0</vt:i4>
      </vt:variant>
      <vt:variant>
        <vt:i4>5</vt:i4>
      </vt:variant>
      <vt:variant>
        <vt:lpwstr/>
      </vt:variant>
      <vt:variant>
        <vt:lpwstr>_Toc14352499</vt:lpwstr>
      </vt:variant>
      <vt:variant>
        <vt:i4>1703993</vt:i4>
      </vt:variant>
      <vt:variant>
        <vt:i4>1343</vt:i4>
      </vt:variant>
      <vt:variant>
        <vt:i4>0</vt:i4>
      </vt:variant>
      <vt:variant>
        <vt:i4>5</vt:i4>
      </vt:variant>
      <vt:variant>
        <vt:lpwstr/>
      </vt:variant>
      <vt:variant>
        <vt:lpwstr>_Toc14352498</vt:lpwstr>
      </vt:variant>
      <vt:variant>
        <vt:i4>1376313</vt:i4>
      </vt:variant>
      <vt:variant>
        <vt:i4>1337</vt:i4>
      </vt:variant>
      <vt:variant>
        <vt:i4>0</vt:i4>
      </vt:variant>
      <vt:variant>
        <vt:i4>5</vt:i4>
      </vt:variant>
      <vt:variant>
        <vt:lpwstr/>
      </vt:variant>
      <vt:variant>
        <vt:lpwstr>_Toc14352497</vt:lpwstr>
      </vt:variant>
      <vt:variant>
        <vt:i4>1310777</vt:i4>
      </vt:variant>
      <vt:variant>
        <vt:i4>1331</vt:i4>
      </vt:variant>
      <vt:variant>
        <vt:i4>0</vt:i4>
      </vt:variant>
      <vt:variant>
        <vt:i4>5</vt:i4>
      </vt:variant>
      <vt:variant>
        <vt:lpwstr/>
      </vt:variant>
      <vt:variant>
        <vt:lpwstr>_Toc14352496</vt:lpwstr>
      </vt:variant>
      <vt:variant>
        <vt:i4>1507385</vt:i4>
      </vt:variant>
      <vt:variant>
        <vt:i4>1325</vt:i4>
      </vt:variant>
      <vt:variant>
        <vt:i4>0</vt:i4>
      </vt:variant>
      <vt:variant>
        <vt:i4>5</vt:i4>
      </vt:variant>
      <vt:variant>
        <vt:lpwstr/>
      </vt:variant>
      <vt:variant>
        <vt:lpwstr>_Toc14352495</vt:lpwstr>
      </vt:variant>
      <vt:variant>
        <vt:i4>1441849</vt:i4>
      </vt:variant>
      <vt:variant>
        <vt:i4>1319</vt:i4>
      </vt:variant>
      <vt:variant>
        <vt:i4>0</vt:i4>
      </vt:variant>
      <vt:variant>
        <vt:i4>5</vt:i4>
      </vt:variant>
      <vt:variant>
        <vt:lpwstr/>
      </vt:variant>
      <vt:variant>
        <vt:lpwstr>_Toc14352494</vt:lpwstr>
      </vt:variant>
      <vt:variant>
        <vt:i4>1114169</vt:i4>
      </vt:variant>
      <vt:variant>
        <vt:i4>1313</vt:i4>
      </vt:variant>
      <vt:variant>
        <vt:i4>0</vt:i4>
      </vt:variant>
      <vt:variant>
        <vt:i4>5</vt:i4>
      </vt:variant>
      <vt:variant>
        <vt:lpwstr/>
      </vt:variant>
      <vt:variant>
        <vt:lpwstr>_Toc14352493</vt:lpwstr>
      </vt:variant>
      <vt:variant>
        <vt:i4>1048633</vt:i4>
      </vt:variant>
      <vt:variant>
        <vt:i4>1307</vt:i4>
      </vt:variant>
      <vt:variant>
        <vt:i4>0</vt:i4>
      </vt:variant>
      <vt:variant>
        <vt:i4>5</vt:i4>
      </vt:variant>
      <vt:variant>
        <vt:lpwstr/>
      </vt:variant>
      <vt:variant>
        <vt:lpwstr>_Toc14352492</vt:lpwstr>
      </vt:variant>
      <vt:variant>
        <vt:i4>1245241</vt:i4>
      </vt:variant>
      <vt:variant>
        <vt:i4>1301</vt:i4>
      </vt:variant>
      <vt:variant>
        <vt:i4>0</vt:i4>
      </vt:variant>
      <vt:variant>
        <vt:i4>5</vt:i4>
      </vt:variant>
      <vt:variant>
        <vt:lpwstr/>
      </vt:variant>
      <vt:variant>
        <vt:lpwstr>_Toc14352491</vt:lpwstr>
      </vt:variant>
      <vt:variant>
        <vt:i4>1179705</vt:i4>
      </vt:variant>
      <vt:variant>
        <vt:i4>1295</vt:i4>
      </vt:variant>
      <vt:variant>
        <vt:i4>0</vt:i4>
      </vt:variant>
      <vt:variant>
        <vt:i4>5</vt:i4>
      </vt:variant>
      <vt:variant>
        <vt:lpwstr/>
      </vt:variant>
      <vt:variant>
        <vt:lpwstr>_Toc14352490</vt:lpwstr>
      </vt:variant>
      <vt:variant>
        <vt:i4>1769528</vt:i4>
      </vt:variant>
      <vt:variant>
        <vt:i4>1289</vt:i4>
      </vt:variant>
      <vt:variant>
        <vt:i4>0</vt:i4>
      </vt:variant>
      <vt:variant>
        <vt:i4>5</vt:i4>
      </vt:variant>
      <vt:variant>
        <vt:lpwstr/>
      </vt:variant>
      <vt:variant>
        <vt:lpwstr>_Toc14352489</vt:lpwstr>
      </vt:variant>
      <vt:variant>
        <vt:i4>1703992</vt:i4>
      </vt:variant>
      <vt:variant>
        <vt:i4>1283</vt:i4>
      </vt:variant>
      <vt:variant>
        <vt:i4>0</vt:i4>
      </vt:variant>
      <vt:variant>
        <vt:i4>5</vt:i4>
      </vt:variant>
      <vt:variant>
        <vt:lpwstr/>
      </vt:variant>
      <vt:variant>
        <vt:lpwstr>_Toc14352488</vt:lpwstr>
      </vt:variant>
      <vt:variant>
        <vt:i4>1376312</vt:i4>
      </vt:variant>
      <vt:variant>
        <vt:i4>1277</vt:i4>
      </vt:variant>
      <vt:variant>
        <vt:i4>0</vt:i4>
      </vt:variant>
      <vt:variant>
        <vt:i4>5</vt:i4>
      </vt:variant>
      <vt:variant>
        <vt:lpwstr/>
      </vt:variant>
      <vt:variant>
        <vt:lpwstr>_Toc14352487</vt:lpwstr>
      </vt:variant>
      <vt:variant>
        <vt:i4>1310776</vt:i4>
      </vt:variant>
      <vt:variant>
        <vt:i4>1271</vt:i4>
      </vt:variant>
      <vt:variant>
        <vt:i4>0</vt:i4>
      </vt:variant>
      <vt:variant>
        <vt:i4>5</vt:i4>
      </vt:variant>
      <vt:variant>
        <vt:lpwstr/>
      </vt:variant>
      <vt:variant>
        <vt:lpwstr>_Toc14352486</vt:lpwstr>
      </vt:variant>
      <vt:variant>
        <vt:i4>1507384</vt:i4>
      </vt:variant>
      <vt:variant>
        <vt:i4>1265</vt:i4>
      </vt:variant>
      <vt:variant>
        <vt:i4>0</vt:i4>
      </vt:variant>
      <vt:variant>
        <vt:i4>5</vt:i4>
      </vt:variant>
      <vt:variant>
        <vt:lpwstr/>
      </vt:variant>
      <vt:variant>
        <vt:lpwstr>_Toc14352485</vt:lpwstr>
      </vt:variant>
      <vt:variant>
        <vt:i4>1441848</vt:i4>
      </vt:variant>
      <vt:variant>
        <vt:i4>1259</vt:i4>
      </vt:variant>
      <vt:variant>
        <vt:i4>0</vt:i4>
      </vt:variant>
      <vt:variant>
        <vt:i4>5</vt:i4>
      </vt:variant>
      <vt:variant>
        <vt:lpwstr/>
      </vt:variant>
      <vt:variant>
        <vt:lpwstr>_Toc14352484</vt:lpwstr>
      </vt:variant>
      <vt:variant>
        <vt:i4>1114168</vt:i4>
      </vt:variant>
      <vt:variant>
        <vt:i4>1253</vt:i4>
      </vt:variant>
      <vt:variant>
        <vt:i4>0</vt:i4>
      </vt:variant>
      <vt:variant>
        <vt:i4>5</vt:i4>
      </vt:variant>
      <vt:variant>
        <vt:lpwstr/>
      </vt:variant>
      <vt:variant>
        <vt:lpwstr>_Toc14352483</vt:lpwstr>
      </vt:variant>
      <vt:variant>
        <vt:i4>1048632</vt:i4>
      </vt:variant>
      <vt:variant>
        <vt:i4>1247</vt:i4>
      </vt:variant>
      <vt:variant>
        <vt:i4>0</vt:i4>
      </vt:variant>
      <vt:variant>
        <vt:i4>5</vt:i4>
      </vt:variant>
      <vt:variant>
        <vt:lpwstr/>
      </vt:variant>
      <vt:variant>
        <vt:lpwstr>_Toc14352482</vt:lpwstr>
      </vt:variant>
      <vt:variant>
        <vt:i4>1245240</vt:i4>
      </vt:variant>
      <vt:variant>
        <vt:i4>1241</vt:i4>
      </vt:variant>
      <vt:variant>
        <vt:i4>0</vt:i4>
      </vt:variant>
      <vt:variant>
        <vt:i4>5</vt:i4>
      </vt:variant>
      <vt:variant>
        <vt:lpwstr/>
      </vt:variant>
      <vt:variant>
        <vt:lpwstr>_Toc14352481</vt:lpwstr>
      </vt:variant>
      <vt:variant>
        <vt:i4>1179704</vt:i4>
      </vt:variant>
      <vt:variant>
        <vt:i4>1235</vt:i4>
      </vt:variant>
      <vt:variant>
        <vt:i4>0</vt:i4>
      </vt:variant>
      <vt:variant>
        <vt:i4>5</vt:i4>
      </vt:variant>
      <vt:variant>
        <vt:lpwstr/>
      </vt:variant>
      <vt:variant>
        <vt:lpwstr>_Toc14352480</vt:lpwstr>
      </vt:variant>
      <vt:variant>
        <vt:i4>1769527</vt:i4>
      </vt:variant>
      <vt:variant>
        <vt:i4>1229</vt:i4>
      </vt:variant>
      <vt:variant>
        <vt:i4>0</vt:i4>
      </vt:variant>
      <vt:variant>
        <vt:i4>5</vt:i4>
      </vt:variant>
      <vt:variant>
        <vt:lpwstr/>
      </vt:variant>
      <vt:variant>
        <vt:lpwstr>_Toc14352479</vt:lpwstr>
      </vt:variant>
      <vt:variant>
        <vt:i4>1703991</vt:i4>
      </vt:variant>
      <vt:variant>
        <vt:i4>1223</vt:i4>
      </vt:variant>
      <vt:variant>
        <vt:i4>0</vt:i4>
      </vt:variant>
      <vt:variant>
        <vt:i4>5</vt:i4>
      </vt:variant>
      <vt:variant>
        <vt:lpwstr/>
      </vt:variant>
      <vt:variant>
        <vt:lpwstr>_Toc14352478</vt:lpwstr>
      </vt:variant>
      <vt:variant>
        <vt:i4>1376311</vt:i4>
      </vt:variant>
      <vt:variant>
        <vt:i4>1217</vt:i4>
      </vt:variant>
      <vt:variant>
        <vt:i4>0</vt:i4>
      </vt:variant>
      <vt:variant>
        <vt:i4>5</vt:i4>
      </vt:variant>
      <vt:variant>
        <vt:lpwstr/>
      </vt:variant>
      <vt:variant>
        <vt:lpwstr>_Toc14352477</vt:lpwstr>
      </vt:variant>
      <vt:variant>
        <vt:i4>1310775</vt:i4>
      </vt:variant>
      <vt:variant>
        <vt:i4>1211</vt:i4>
      </vt:variant>
      <vt:variant>
        <vt:i4>0</vt:i4>
      </vt:variant>
      <vt:variant>
        <vt:i4>5</vt:i4>
      </vt:variant>
      <vt:variant>
        <vt:lpwstr/>
      </vt:variant>
      <vt:variant>
        <vt:lpwstr>_Toc14352476</vt:lpwstr>
      </vt:variant>
      <vt:variant>
        <vt:i4>1507383</vt:i4>
      </vt:variant>
      <vt:variant>
        <vt:i4>1205</vt:i4>
      </vt:variant>
      <vt:variant>
        <vt:i4>0</vt:i4>
      </vt:variant>
      <vt:variant>
        <vt:i4>5</vt:i4>
      </vt:variant>
      <vt:variant>
        <vt:lpwstr/>
      </vt:variant>
      <vt:variant>
        <vt:lpwstr>_Toc14352475</vt:lpwstr>
      </vt:variant>
      <vt:variant>
        <vt:i4>1441847</vt:i4>
      </vt:variant>
      <vt:variant>
        <vt:i4>1199</vt:i4>
      </vt:variant>
      <vt:variant>
        <vt:i4>0</vt:i4>
      </vt:variant>
      <vt:variant>
        <vt:i4>5</vt:i4>
      </vt:variant>
      <vt:variant>
        <vt:lpwstr/>
      </vt:variant>
      <vt:variant>
        <vt:lpwstr>_Toc14352474</vt:lpwstr>
      </vt:variant>
      <vt:variant>
        <vt:i4>1114167</vt:i4>
      </vt:variant>
      <vt:variant>
        <vt:i4>1193</vt:i4>
      </vt:variant>
      <vt:variant>
        <vt:i4>0</vt:i4>
      </vt:variant>
      <vt:variant>
        <vt:i4>5</vt:i4>
      </vt:variant>
      <vt:variant>
        <vt:lpwstr/>
      </vt:variant>
      <vt:variant>
        <vt:lpwstr>_Toc14352473</vt:lpwstr>
      </vt:variant>
      <vt:variant>
        <vt:i4>1048631</vt:i4>
      </vt:variant>
      <vt:variant>
        <vt:i4>1187</vt:i4>
      </vt:variant>
      <vt:variant>
        <vt:i4>0</vt:i4>
      </vt:variant>
      <vt:variant>
        <vt:i4>5</vt:i4>
      </vt:variant>
      <vt:variant>
        <vt:lpwstr/>
      </vt:variant>
      <vt:variant>
        <vt:lpwstr>_Toc14352472</vt:lpwstr>
      </vt:variant>
      <vt:variant>
        <vt:i4>1245239</vt:i4>
      </vt:variant>
      <vt:variant>
        <vt:i4>1181</vt:i4>
      </vt:variant>
      <vt:variant>
        <vt:i4>0</vt:i4>
      </vt:variant>
      <vt:variant>
        <vt:i4>5</vt:i4>
      </vt:variant>
      <vt:variant>
        <vt:lpwstr/>
      </vt:variant>
      <vt:variant>
        <vt:lpwstr>_Toc14352471</vt:lpwstr>
      </vt:variant>
      <vt:variant>
        <vt:i4>1179703</vt:i4>
      </vt:variant>
      <vt:variant>
        <vt:i4>1175</vt:i4>
      </vt:variant>
      <vt:variant>
        <vt:i4>0</vt:i4>
      </vt:variant>
      <vt:variant>
        <vt:i4>5</vt:i4>
      </vt:variant>
      <vt:variant>
        <vt:lpwstr/>
      </vt:variant>
      <vt:variant>
        <vt:lpwstr>_Toc14352470</vt:lpwstr>
      </vt:variant>
      <vt:variant>
        <vt:i4>1769526</vt:i4>
      </vt:variant>
      <vt:variant>
        <vt:i4>1169</vt:i4>
      </vt:variant>
      <vt:variant>
        <vt:i4>0</vt:i4>
      </vt:variant>
      <vt:variant>
        <vt:i4>5</vt:i4>
      </vt:variant>
      <vt:variant>
        <vt:lpwstr/>
      </vt:variant>
      <vt:variant>
        <vt:lpwstr>_Toc14352469</vt:lpwstr>
      </vt:variant>
      <vt:variant>
        <vt:i4>1703990</vt:i4>
      </vt:variant>
      <vt:variant>
        <vt:i4>1163</vt:i4>
      </vt:variant>
      <vt:variant>
        <vt:i4>0</vt:i4>
      </vt:variant>
      <vt:variant>
        <vt:i4>5</vt:i4>
      </vt:variant>
      <vt:variant>
        <vt:lpwstr/>
      </vt:variant>
      <vt:variant>
        <vt:lpwstr>_Toc14352468</vt:lpwstr>
      </vt:variant>
      <vt:variant>
        <vt:i4>1376310</vt:i4>
      </vt:variant>
      <vt:variant>
        <vt:i4>1157</vt:i4>
      </vt:variant>
      <vt:variant>
        <vt:i4>0</vt:i4>
      </vt:variant>
      <vt:variant>
        <vt:i4>5</vt:i4>
      </vt:variant>
      <vt:variant>
        <vt:lpwstr/>
      </vt:variant>
      <vt:variant>
        <vt:lpwstr>_Toc14352467</vt:lpwstr>
      </vt:variant>
      <vt:variant>
        <vt:i4>1310774</vt:i4>
      </vt:variant>
      <vt:variant>
        <vt:i4>1151</vt:i4>
      </vt:variant>
      <vt:variant>
        <vt:i4>0</vt:i4>
      </vt:variant>
      <vt:variant>
        <vt:i4>5</vt:i4>
      </vt:variant>
      <vt:variant>
        <vt:lpwstr/>
      </vt:variant>
      <vt:variant>
        <vt:lpwstr>_Toc14352466</vt:lpwstr>
      </vt:variant>
      <vt:variant>
        <vt:i4>1507382</vt:i4>
      </vt:variant>
      <vt:variant>
        <vt:i4>1145</vt:i4>
      </vt:variant>
      <vt:variant>
        <vt:i4>0</vt:i4>
      </vt:variant>
      <vt:variant>
        <vt:i4>5</vt:i4>
      </vt:variant>
      <vt:variant>
        <vt:lpwstr/>
      </vt:variant>
      <vt:variant>
        <vt:lpwstr>_Toc14352465</vt:lpwstr>
      </vt:variant>
      <vt:variant>
        <vt:i4>1441846</vt:i4>
      </vt:variant>
      <vt:variant>
        <vt:i4>1139</vt:i4>
      </vt:variant>
      <vt:variant>
        <vt:i4>0</vt:i4>
      </vt:variant>
      <vt:variant>
        <vt:i4>5</vt:i4>
      </vt:variant>
      <vt:variant>
        <vt:lpwstr/>
      </vt:variant>
      <vt:variant>
        <vt:lpwstr>_Toc14352464</vt:lpwstr>
      </vt:variant>
      <vt:variant>
        <vt:i4>1114166</vt:i4>
      </vt:variant>
      <vt:variant>
        <vt:i4>1133</vt:i4>
      </vt:variant>
      <vt:variant>
        <vt:i4>0</vt:i4>
      </vt:variant>
      <vt:variant>
        <vt:i4>5</vt:i4>
      </vt:variant>
      <vt:variant>
        <vt:lpwstr/>
      </vt:variant>
      <vt:variant>
        <vt:lpwstr>_Toc14352463</vt:lpwstr>
      </vt:variant>
      <vt:variant>
        <vt:i4>1048630</vt:i4>
      </vt:variant>
      <vt:variant>
        <vt:i4>1127</vt:i4>
      </vt:variant>
      <vt:variant>
        <vt:i4>0</vt:i4>
      </vt:variant>
      <vt:variant>
        <vt:i4>5</vt:i4>
      </vt:variant>
      <vt:variant>
        <vt:lpwstr/>
      </vt:variant>
      <vt:variant>
        <vt:lpwstr>_Toc14352462</vt:lpwstr>
      </vt:variant>
      <vt:variant>
        <vt:i4>1245238</vt:i4>
      </vt:variant>
      <vt:variant>
        <vt:i4>1121</vt:i4>
      </vt:variant>
      <vt:variant>
        <vt:i4>0</vt:i4>
      </vt:variant>
      <vt:variant>
        <vt:i4>5</vt:i4>
      </vt:variant>
      <vt:variant>
        <vt:lpwstr/>
      </vt:variant>
      <vt:variant>
        <vt:lpwstr>_Toc14352461</vt:lpwstr>
      </vt:variant>
      <vt:variant>
        <vt:i4>1179702</vt:i4>
      </vt:variant>
      <vt:variant>
        <vt:i4>1115</vt:i4>
      </vt:variant>
      <vt:variant>
        <vt:i4>0</vt:i4>
      </vt:variant>
      <vt:variant>
        <vt:i4>5</vt:i4>
      </vt:variant>
      <vt:variant>
        <vt:lpwstr/>
      </vt:variant>
      <vt:variant>
        <vt:lpwstr>_Toc14352460</vt:lpwstr>
      </vt:variant>
      <vt:variant>
        <vt:i4>1769525</vt:i4>
      </vt:variant>
      <vt:variant>
        <vt:i4>1109</vt:i4>
      </vt:variant>
      <vt:variant>
        <vt:i4>0</vt:i4>
      </vt:variant>
      <vt:variant>
        <vt:i4>5</vt:i4>
      </vt:variant>
      <vt:variant>
        <vt:lpwstr/>
      </vt:variant>
      <vt:variant>
        <vt:lpwstr>_Toc14352459</vt:lpwstr>
      </vt:variant>
      <vt:variant>
        <vt:i4>1703989</vt:i4>
      </vt:variant>
      <vt:variant>
        <vt:i4>1103</vt:i4>
      </vt:variant>
      <vt:variant>
        <vt:i4>0</vt:i4>
      </vt:variant>
      <vt:variant>
        <vt:i4>5</vt:i4>
      </vt:variant>
      <vt:variant>
        <vt:lpwstr/>
      </vt:variant>
      <vt:variant>
        <vt:lpwstr>_Toc14352458</vt:lpwstr>
      </vt:variant>
      <vt:variant>
        <vt:i4>1376309</vt:i4>
      </vt:variant>
      <vt:variant>
        <vt:i4>1097</vt:i4>
      </vt:variant>
      <vt:variant>
        <vt:i4>0</vt:i4>
      </vt:variant>
      <vt:variant>
        <vt:i4>5</vt:i4>
      </vt:variant>
      <vt:variant>
        <vt:lpwstr/>
      </vt:variant>
      <vt:variant>
        <vt:lpwstr>_Toc14352457</vt:lpwstr>
      </vt:variant>
      <vt:variant>
        <vt:i4>1310773</vt:i4>
      </vt:variant>
      <vt:variant>
        <vt:i4>1091</vt:i4>
      </vt:variant>
      <vt:variant>
        <vt:i4>0</vt:i4>
      </vt:variant>
      <vt:variant>
        <vt:i4>5</vt:i4>
      </vt:variant>
      <vt:variant>
        <vt:lpwstr/>
      </vt:variant>
      <vt:variant>
        <vt:lpwstr>_Toc14352456</vt:lpwstr>
      </vt:variant>
      <vt:variant>
        <vt:i4>1507381</vt:i4>
      </vt:variant>
      <vt:variant>
        <vt:i4>1085</vt:i4>
      </vt:variant>
      <vt:variant>
        <vt:i4>0</vt:i4>
      </vt:variant>
      <vt:variant>
        <vt:i4>5</vt:i4>
      </vt:variant>
      <vt:variant>
        <vt:lpwstr/>
      </vt:variant>
      <vt:variant>
        <vt:lpwstr>_Toc14352455</vt:lpwstr>
      </vt:variant>
      <vt:variant>
        <vt:i4>1441845</vt:i4>
      </vt:variant>
      <vt:variant>
        <vt:i4>1079</vt:i4>
      </vt:variant>
      <vt:variant>
        <vt:i4>0</vt:i4>
      </vt:variant>
      <vt:variant>
        <vt:i4>5</vt:i4>
      </vt:variant>
      <vt:variant>
        <vt:lpwstr/>
      </vt:variant>
      <vt:variant>
        <vt:lpwstr>_Toc14352454</vt:lpwstr>
      </vt:variant>
      <vt:variant>
        <vt:i4>1114165</vt:i4>
      </vt:variant>
      <vt:variant>
        <vt:i4>1073</vt:i4>
      </vt:variant>
      <vt:variant>
        <vt:i4>0</vt:i4>
      </vt:variant>
      <vt:variant>
        <vt:i4>5</vt:i4>
      </vt:variant>
      <vt:variant>
        <vt:lpwstr/>
      </vt:variant>
      <vt:variant>
        <vt:lpwstr>_Toc14352453</vt:lpwstr>
      </vt:variant>
      <vt:variant>
        <vt:i4>1048629</vt:i4>
      </vt:variant>
      <vt:variant>
        <vt:i4>1067</vt:i4>
      </vt:variant>
      <vt:variant>
        <vt:i4>0</vt:i4>
      </vt:variant>
      <vt:variant>
        <vt:i4>5</vt:i4>
      </vt:variant>
      <vt:variant>
        <vt:lpwstr/>
      </vt:variant>
      <vt:variant>
        <vt:lpwstr>_Toc14352452</vt:lpwstr>
      </vt:variant>
      <vt:variant>
        <vt:i4>1245237</vt:i4>
      </vt:variant>
      <vt:variant>
        <vt:i4>1061</vt:i4>
      </vt:variant>
      <vt:variant>
        <vt:i4>0</vt:i4>
      </vt:variant>
      <vt:variant>
        <vt:i4>5</vt:i4>
      </vt:variant>
      <vt:variant>
        <vt:lpwstr/>
      </vt:variant>
      <vt:variant>
        <vt:lpwstr>_Toc14352451</vt:lpwstr>
      </vt:variant>
      <vt:variant>
        <vt:i4>1179701</vt:i4>
      </vt:variant>
      <vt:variant>
        <vt:i4>1055</vt:i4>
      </vt:variant>
      <vt:variant>
        <vt:i4>0</vt:i4>
      </vt:variant>
      <vt:variant>
        <vt:i4>5</vt:i4>
      </vt:variant>
      <vt:variant>
        <vt:lpwstr/>
      </vt:variant>
      <vt:variant>
        <vt:lpwstr>_Toc14352450</vt:lpwstr>
      </vt:variant>
      <vt:variant>
        <vt:i4>1769524</vt:i4>
      </vt:variant>
      <vt:variant>
        <vt:i4>1049</vt:i4>
      </vt:variant>
      <vt:variant>
        <vt:i4>0</vt:i4>
      </vt:variant>
      <vt:variant>
        <vt:i4>5</vt:i4>
      </vt:variant>
      <vt:variant>
        <vt:lpwstr/>
      </vt:variant>
      <vt:variant>
        <vt:lpwstr>_Toc14352449</vt:lpwstr>
      </vt:variant>
      <vt:variant>
        <vt:i4>1703988</vt:i4>
      </vt:variant>
      <vt:variant>
        <vt:i4>1043</vt:i4>
      </vt:variant>
      <vt:variant>
        <vt:i4>0</vt:i4>
      </vt:variant>
      <vt:variant>
        <vt:i4>5</vt:i4>
      </vt:variant>
      <vt:variant>
        <vt:lpwstr/>
      </vt:variant>
      <vt:variant>
        <vt:lpwstr>_Toc14352448</vt:lpwstr>
      </vt:variant>
      <vt:variant>
        <vt:i4>1376308</vt:i4>
      </vt:variant>
      <vt:variant>
        <vt:i4>1037</vt:i4>
      </vt:variant>
      <vt:variant>
        <vt:i4>0</vt:i4>
      </vt:variant>
      <vt:variant>
        <vt:i4>5</vt:i4>
      </vt:variant>
      <vt:variant>
        <vt:lpwstr/>
      </vt:variant>
      <vt:variant>
        <vt:lpwstr>_Toc14352447</vt:lpwstr>
      </vt:variant>
      <vt:variant>
        <vt:i4>1310772</vt:i4>
      </vt:variant>
      <vt:variant>
        <vt:i4>1031</vt:i4>
      </vt:variant>
      <vt:variant>
        <vt:i4>0</vt:i4>
      </vt:variant>
      <vt:variant>
        <vt:i4>5</vt:i4>
      </vt:variant>
      <vt:variant>
        <vt:lpwstr/>
      </vt:variant>
      <vt:variant>
        <vt:lpwstr>_Toc14352446</vt:lpwstr>
      </vt:variant>
      <vt:variant>
        <vt:i4>1507380</vt:i4>
      </vt:variant>
      <vt:variant>
        <vt:i4>1025</vt:i4>
      </vt:variant>
      <vt:variant>
        <vt:i4>0</vt:i4>
      </vt:variant>
      <vt:variant>
        <vt:i4>5</vt:i4>
      </vt:variant>
      <vt:variant>
        <vt:lpwstr/>
      </vt:variant>
      <vt:variant>
        <vt:lpwstr>_Toc14352445</vt:lpwstr>
      </vt:variant>
      <vt:variant>
        <vt:i4>1441844</vt:i4>
      </vt:variant>
      <vt:variant>
        <vt:i4>1019</vt:i4>
      </vt:variant>
      <vt:variant>
        <vt:i4>0</vt:i4>
      </vt:variant>
      <vt:variant>
        <vt:i4>5</vt:i4>
      </vt:variant>
      <vt:variant>
        <vt:lpwstr/>
      </vt:variant>
      <vt:variant>
        <vt:lpwstr>_Toc14352444</vt:lpwstr>
      </vt:variant>
      <vt:variant>
        <vt:i4>1114164</vt:i4>
      </vt:variant>
      <vt:variant>
        <vt:i4>1013</vt:i4>
      </vt:variant>
      <vt:variant>
        <vt:i4>0</vt:i4>
      </vt:variant>
      <vt:variant>
        <vt:i4>5</vt:i4>
      </vt:variant>
      <vt:variant>
        <vt:lpwstr/>
      </vt:variant>
      <vt:variant>
        <vt:lpwstr>_Toc14352443</vt:lpwstr>
      </vt:variant>
      <vt:variant>
        <vt:i4>1048628</vt:i4>
      </vt:variant>
      <vt:variant>
        <vt:i4>1007</vt:i4>
      </vt:variant>
      <vt:variant>
        <vt:i4>0</vt:i4>
      </vt:variant>
      <vt:variant>
        <vt:i4>5</vt:i4>
      </vt:variant>
      <vt:variant>
        <vt:lpwstr/>
      </vt:variant>
      <vt:variant>
        <vt:lpwstr>_Toc14352442</vt:lpwstr>
      </vt:variant>
      <vt:variant>
        <vt:i4>1245236</vt:i4>
      </vt:variant>
      <vt:variant>
        <vt:i4>1001</vt:i4>
      </vt:variant>
      <vt:variant>
        <vt:i4>0</vt:i4>
      </vt:variant>
      <vt:variant>
        <vt:i4>5</vt:i4>
      </vt:variant>
      <vt:variant>
        <vt:lpwstr/>
      </vt:variant>
      <vt:variant>
        <vt:lpwstr>_Toc14352441</vt:lpwstr>
      </vt:variant>
      <vt:variant>
        <vt:i4>1179700</vt:i4>
      </vt:variant>
      <vt:variant>
        <vt:i4>995</vt:i4>
      </vt:variant>
      <vt:variant>
        <vt:i4>0</vt:i4>
      </vt:variant>
      <vt:variant>
        <vt:i4>5</vt:i4>
      </vt:variant>
      <vt:variant>
        <vt:lpwstr/>
      </vt:variant>
      <vt:variant>
        <vt:lpwstr>_Toc14352440</vt:lpwstr>
      </vt:variant>
      <vt:variant>
        <vt:i4>1769523</vt:i4>
      </vt:variant>
      <vt:variant>
        <vt:i4>989</vt:i4>
      </vt:variant>
      <vt:variant>
        <vt:i4>0</vt:i4>
      </vt:variant>
      <vt:variant>
        <vt:i4>5</vt:i4>
      </vt:variant>
      <vt:variant>
        <vt:lpwstr/>
      </vt:variant>
      <vt:variant>
        <vt:lpwstr>_Toc14352439</vt:lpwstr>
      </vt:variant>
      <vt:variant>
        <vt:i4>1703987</vt:i4>
      </vt:variant>
      <vt:variant>
        <vt:i4>983</vt:i4>
      </vt:variant>
      <vt:variant>
        <vt:i4>0</vt:i4>
      </vt:variant>
      <vt:variant>
        <vt:i4>5</vt:i4>
      </vt:variant>
      <vt:variant>
        <vt:lpwstr/>
      </vt:variant>
      <vt:variant>
        <vt:lpwstr>_Toc14352438</vt:lpwstr>
      </vt:variant>
      <vt:variant>
        <vt:i4>1376307</vt:i4>
      </vt:variant>
      <vt:variant>
        <vt:i4>977</vt:i4>
      </vt:variant>
      <vt:variant>
        <vt:i4>0</vt:i4>
      </vt:variant>
      <vt:variant>
        <vt:i4>5</vt:i4>
      </vt:variant>
      <vt:variant>
        <vt:lpwstr/>
      </vt:variant>
      <vt:variant>
        <vt:lpwstr>_Toc14352437</vt:lpwstr>
      </vt:variant>
      <vt:variant>
        <vt:i4>1310771</vt:i4>
      </vt:variant>
      <vt:variant>
        <vt:i4>971</vt:i4>
      </vt:variant>
      <vt:variant>
        <vt:i4>0</vt:i4>
      </vt:variant>
      <vt:variant>
        <vt:i4>5</vt:i4>
      </vt:variant>
      <vt:variant>
        <vt:lpwstr/>
      </vt:variant>
      <vt:variant>
        <vt:lpwstr>_Toc14352436</vt:lpwstr>
      </vt:variant>
      <vt:variant>
        <vt:i4>1507379</vt:i4>
      </vt:variant>
      <vt:variant>
        <vt:i4>965</vt:i4>
      </vt:variant>
      <vt:variant>
        <vt:i4>0</vt:i4>
      </vt:variant>
      <vt:variant>
        <vt:i4>5</vt:i4>
      </vt:variant>
      <vt:variant>
        <vt:lpwstr/>
      </vt:variant>
      <vt:variant>
        <vt:lpwstr>_Toc14352435</vt:lpwstr>
      </vt:variant>
      <vt:variant>
        <vt:i4>1441843</vt:i4>
      </vt:variant>
      <vt:variant>
        <vt:i4>959</vt:i4>
      </vt:variant>
      <vt:variant>
        <vt:i4>0</vt:i4>
      </vt:variant>
      <vt:variant>
        <vt:i4>5</vt:i4>
      </vt:variant>
      <vt:variant>
        <vt:lpwstr/>
      </vt:variant>
      <vt:variant>
        <vt:lpwstr>_Toc14352434</vt:lpwstr>
      </vt:variant>
      <vt:variant>
        <vt:i4>1114163</vt:i4>
      </vt:variant>
      <vt:variant>
        <vt:i4>953</vt:i4>
      </vt:variant>
      <vt:variant>
        <vt:i4>0</vt:i4>
      </vt:variant>
      <vt:variant>
        <vt:i4>5</vt:i4>
      </vt:variant>
      <vt:variant>
        <vt:lpwstr/>
      </vt:variant>
      <vt:variant>
        <vt:lpwstr>_Toc14352433</vt:lpwstr>
      </vt:variant>
      <vt:variant>
        <vt:i4>1048627</vt:i4>
      </vt:variant>
      <vt:variant>
        <vt:i4>947</vt:i4>
      </vt:variant>
      <vt:variant>
        <vt:i4>0</vt:i4>
      </vt:variant>
      <vt:variant>
        <vt:i4>5</vt:i4>
      </vt:variant>
      <vt:variant>
        <vt:lpwstr/>
      </vt:variant>
      <vt:variant>
        <vt:lpwstr>_Toc14352432</vt:lpwstr>
      </vt:variant>
      <vt:variant>
        <vt:i4>1245235</vt:i4>
      </vt:variant>
      <vt:variant>
        <vt:i4>941</vt:i4>
      </vt:variant>
      <vt:variant>
        <vt:i4>0</vt:i4>
      </vt:variant>
      <vt:variant>
        <vt:i4>5</vt:i4>
      </vt:variant>
      <vt:variant>
        <vt:lpwstr/>
      </vt:variant>
      <vt:variant>
        <vt:lpwstr>_Toc14352431</vt:lpwstr>
      </vt:variant>
      <vt:variant>
        <vt:i4>1179699</vt:i4>
      </vt:variant>
      <vt:variant>
        <vt:i4>935</vt:i4>
      </vt:variant>
      <vt:variant>
        <vt:i4>0</vt:i4>
      </vt:variant>
      <vt:variant>
        <vt:i4>5</vt:i4>
      </vt:variant>
      <vt:variant>
        <vt:lpwstr/>
      </vt:variant>
      <vt:variant>
        <vt:lpwstr>_Toc14352430</vt:lpwstr>
      </vt:variant>
      <vt:variant>
        <vt:i4>1769522</vt:i4>
      </vt:variant>
      <vt:variant>
        <vt:i4>929</vt:i4>
      </vt:variant>
      <vt:variant>
        <vt:i4>0</vt:i4>
      </vt:variant>
      <vt:variant>
        <vt:i4>5</vt:i4>
      </vt:variant>
      <vt:variant>
        <vt:lpwstr/>
      </vt:variant>
      <vt:variant>
        <vt:lpwstr>_Toc14352429</vt:lpwstr>
      </vt:variant>
      <vt:variant>
        <vt:i4>1703986</vt:i4>
      </vt:variant>
      <vt:variant>
        <vt:i4>923</vt:i4>
      </vt:variant>
      <vt:variant>
        <vt:i4>0</vt:i4>
      </vt:variant>
      <vt:variant>
        <vt:i4>5</vt:i4>
      </vt:variant>
      <vt:variant>
        <vt:lpwstr/>
      </vt:variant>
      <vt:variant>
        <vt:lpwstr>_Toc14352428</vt:lpwstr>
      </vt:variant>
      <vt:variant>
        <vt:i4>1376306</vt:i4>
      </vt:variant>
      <vt:variant>
        <vt:i4>917</vt:i4>
      </vt:variant>
      <vt:variant>
        <vt:i4>0</vt:i4>
      </vt:variant>
      <vt:variant>
        <vt:i4>5</vt:i4>
      </vt:variant>
      <vt:variant>
        <vt:lpwstr/>
      </vt:variant>
      <vt:variant>
        <vt:lpwstr>_Toc14352427</vt:lpwstr>
      </vt:variant>
      <vt:variant>
        <vt:i4>1310770</vt:i4>
      </vt:variant>
      <vt:variant>
        <vt:i4>911</vt:i4>
      </vt:variant>
      <vt:variant>
        <vt:i4>0</vt:i4>
      </vt:variant>
      <vt:variant>
        <vt:i4>5</vt:i4>
      </vt:variant>
      <vt:variant>
        <vt:lpwstr/>
      </vt:variant>
      <vt:variant>
        <vt:lpwstr>_Toc14352426</vt:lpwstr>
      </vt:variant>
      <vt:variant>
        <vt:i4>1507378</vt:i4>
      </vt:variant>
      <vt:variant>
        <vt:i4>905</vt:i4>
      </vt:variant>
      <vt:variant>
        <vt:i4>0</vt:i4>
      </vt:variant>
      <vt:variant>
        <vt:i4>5</vt:i4>
      </vt:variant>
      <vt:variant>
        <vt:lpwstr/>
      </vt:variant>
      <vt:variant>
        <vt:lpwstr>_Toc14352425</vt:lpwstr>
      </vt:variant>
      <vt:variant>
        <vt:i4>1441842</vt:i4>
      </vt:variant>
      <vt:variant>
        <vt:i4>899</vt:i4>
      </vt:variant>
      <vt:variant>
        <vt:i4>0</vt:i4>
      </vt:variant>
      <vt:variant>
        <vt:i4>5</vt:i4>
      </vt:variant>
      <vt:variant>
        <vt:lpwstr/>
      </vt:variant>
      <vt:variant>
        <vt:lpwstr>_Toc14352424</vt:lpwstr>
      </vt:variant>
      <vt:variant>
        <vt:i4>1114162</vt:i4>
      </vt:variant>
      <vt:variant>
        <vt:i4>893</vt:i4>
      </vt:variant>
      <vt:variant>
        <vt:i4>0</vt:i4>
      </vt:variant>
      <vt:variant>
        <vt:i4>5</vt:i4>
      </vt:variant>
      <vt:variant>
        <vt:lpwstr/>
      </vt:variant>
      <vt:variant>
        <vt:lpwstr>_Toc14352423</vt:lpwstr>
      </vt:variant>
      <vt:variant>
        <vt:i4>1048626</vt:i4>
      </vt:variant>
      <vt:variant>
        <vt:i4>887</vt:i4>
      </vt:variant>
      <vt:variant>
        <vt:i4>0</vt:i4>
      </vt:variant>
      <vt:variant>
        <vt:i4>5</vt:i4>
      </vt:variant>
      <vt:variant>
        <vt:lpwstr/>
      </vt:variant>
      <vt:variant>
        <vt:lpwstr>_Toc14352422</vt:lpwstr>
      </vt:variant>
      <vt:variant>
        <vt:i4>1245234</vt:i4>
      </vt:variant>
      <vt:variant>
        <vt:i4>881</vt:i4>
      </vt:variant>
      <vt:variant>
        <vt:i4>0</vt:i4>
      </vt:variant>
      <vt:variant>
        <vt:i4>5</vt:i4>
      </vt:variant>
      <vt:variant>
        <vt:lpwstr/>
      </vt:variant>
      <vt:variant>
        <vt:lpwstr>_Toc14352421</vt:lpwstr>
      </vt:variant>
      <vt:variant>
        <vt:i4>1179698</vt:i4>
      </vt:variant>
      <vt:variant>
        <vt:i4>875</vt:i4>
      </vt:variant>
      <vt:variant>
        <vt:i4>0</vt:i4>
      </vt:variant>
      <vt:variant>
        <vt:i4>5</vt:i4>
      </vt:variant>
      <vt:variant>
        <vt:lpwstr/>
      </vt:variant>
      <vt:variant>
        <vt:lpwstr>_Toc14352420</vt:lpwstr>
      </vt:variant>
      <vt:variant>
        <vt:i4>1769521</vt:i4>
      </vt:variant>
      <vt:variant>
        <vt:i4>869</vt:i4>
      </vt:variant>
      <vt:variant>
        <vt:i4>0</vt:i4>
      </vt:variant>
      <vt:variant>
        <vt:i4>5</vt:i4>
      </vt:variant>
      <vt:variant>
        <vt:lpwstr/>
      </vt:variant>
      <vt:variant>
        <vt:lpwstr>_Toc14352419</vt:lpwstr>
      </vt:variant>
      <vt:variant>
        <vt:i4>1703985</vt:i4>
      </vt:variant>
      <vt:variant>
        <vt:i4>863</vt:i4>
      </vt:variant>
      <vt:variant>
        <vt:i4>0</vt:i4>
      </vt:variant>
      <vt:variant>
        <vt:i4>5</vt:i4>
      </vt:variant>
      <vt:variant>
        <vt:lpwstr/>
      </vt:variant>
      <vt:variant>
        <vt:lpwstr>_Toc14352418</vt:lpwstr>
      </vt:variant>
      <vt:variant>
        <vt:i4>1376305</vt:i4>
      </vt:variant>
      <vt:variant>
        <vt:i4>857</vt:i4>
      </vt:variant>
      <vt:variant>
        <vt:i4>0</vt:i4>
      </vt:variant>
      <vt:variant>
        <vt:i4>5</vt:i4>
      </vt:variant>
      <vt:variant>
        <vt:lpwstr/>
      </vt:variant>
      <vt:variant>
        <vt:lpwstr>_Toc14352417</vt:lpwstr>
      </vt:variant>
      <vt:variant>
        <vt:i4>1310769</vt:i4>
      </vt:variant>
      <vt:variant>
        <vt:i4>851</vt:i4>
      </vt:variant>
      <vt:variant>
        <vt:i4>0</vt:i4>
      </vt:variant>
      <vt:variant>
        <vt:i4>5</vt:i4>
      </vt:variant>
      <vt:variant>
        <vt:lpwstr/>
      </vt:variant>
      <vt:variant>
        <vt:lpwstr>_Toc14352416</vt:lpwstr>
      </vt:variant>
      <vt:variant>
        <vt:i4>1507377</vt:i4>
      </vt:variant>
      <vt:variant>
        <vt:i4>845</vt:i4>
      </vt:variant>
      <vt:variant>
        <vt:i4>0</vt:i4>
      </vt:variant>
      <vt:variant>
        <vt:i4>5</vt:i4>
      </vt:variant>
      <vt:variant>
        <vt:lpwstr/>
      </vt:variant>
      <vt:variant>
        <vt:lpwstr>_Toc14352415</vt:lpwstr>
      </vt:variant>
      <vt:variant>
        <vt:i4>1441841</vt:i4>
      </vt:variant>
      <vt:variant>
        <vt:i4>839</vt:i4>
      </vt:variant>
      <vt:variant>
        <vt:i4>0</vt:i4>
      </vt:variant>
      <vt:variant>
        <vt:i4>5</vt:i4>
      </vt:variant>
      <vt:variant>
        <vt:lpwstr/>
      </vt:variant>
      <vt:variant>
        <vt:lpwstr>_Toc14352414</vt:lpwstr>
      </vt:variant>
      <vt:variant>
        <vt:i4>1114161</vt:i4>
      </vt:variant>
      <vt:variant>
        <vt:i4>833</vt:i4>
      </vt:variant>
      <vt:variant>
        <vt:i4>0</vt:i4>
      </vt:variant>
      <vt:variant>
        <vt:i4>5</vt:i4>
      </vt:variant>
      <vt:variant>
        <vt:lpwstr/>
      </vt:variant>
      <vt:variant>
        <vt:lpwstr>_Toc14352413</vt:lpwstr>
      </vt:variant>
      <vt:variant>
        <vt:i4>1048625</vt:i4>
      </vt:variant>
      <vt:variant>
        <vt:i4>827</vt:i4>
      </vt:variant>
      <vt:variant>
        <vt:i4>0</vt:i4>
      </vt:variant>
      <vt:variant>
        <vt:i4>5</vt:i4>
      </vt:variant>
      <vt:variant>
        <vt:lpwstr/>
      </vt:variant>
      <vt:variant>
        <vt:lpwstr>_Toc14352412</vt:lpwstr>
      </vt:variant>
      <vt:variant>
        <vt:i4>1245233</vt:i4>
      </vt:variant>
      <vt:variant>
        <vt:i4>821</vt:i4>
      </vt:variant>
      <vt:variant>
        <vt:i4>0</vt:i4>
      </vt:variant>
      <vt:variant>
        <vt:i4>5</vt:i4>
      </vt:variant>
      <vt:variant>
        <vt:lpwstr/>
      </vt:variant>
      <vt:variant>
        <vt:lpwstr>_Toc14352411</vt:lpwstr>
      </vt:variant>
      <vt:variant>
        <vt:i4>1310771</vt:i4>
      </vt:variant>
      <vt:variant>
        <vt:i4>812</vt:i4>
      </vt:variant>
      <vt:variant>
        <vt:i4>0</vt:i4>
      </vt:variant>
      <vt:variant>
        <vt:i4>5</vt:i4>
      </vt:variant>
      <vt:variant>
        <vt:lpwstr/>
      </vt:variant>
      <vt:variant>
        <vt:lpwstr>_Toc10202320</vt:lpwstr>
      </vt:variant>
      <vt:variant>
        <vt:i4>1900592</vt:i4>
      </vt:variant>
      <vt:variant>
        <vt:i4>806</vt:i4>
      </vt:variant>
      <vt:variant>
        <vt:i4>0</vt:i4>
      </vt:variant>
      <vt:variant>
        <vt:i4>5</vt:i4>
      </vt:variant>
      <vt:variant>
        <vt:lpwstr/>
      </vt:variant>
      <vt:variant>
        <vt:lpwstr>_Toc10202319</vt:lpwstr>
      </vt:variant>
      <vt:variant>
        <vt:i4>1835056</vt:i4>
      </vt:variant>
      <vt:variant>
        <vt:i4>800</vt:i4>
      </vt:variant>
      <vt:variant>
        <vt:i4>0</vt:i4>
      </vt:variant>
      <vt:variant>
        <vt:i4>5</vt:i4>
      </vt:variant>
      <vt:variant>
        <vt:lpwstr/>
      </vt:variant>
      <vt:variant>
        <vt:lpwstr>_Toc10202318</vt:lpwstr>
      </vt:variant>
      <vt:variant>
        <vt:i4>1245232</vt:i4>
      </vt:variant>
      <vt:variant>
        <vt:i4>794</vt:i4>
      </vt:variant>
      <vt:variant>
        <vt:i4>0</vt:i4>
      </vt:variant>
      <vt:variant>
        <vt:i4>5</vt:i4>
      </vt:variant>
      <vt:variant>
        <vt:lpwstr/>
      </vt:variant>
      <vt:variant>
        <vt:lpwstr>_Toc10202317</vt:lpwstr>
      </vt:variant>
      <vt:variant>
        <vt:i4>1179696</vt:i4>
      </vt:variant>
      <vt:variant>
        <vt:i4>788</vt:i4>
      </vt:variant>
      <vt:variant>
        <vt:i4>0</vt:i4>
      </vt:variant>
      <vt:variant>
        <vt:i4>5</vt:i4>
      </vt:variant>
      <vt:variant>
        <vt:lpwstr/>
      </vt:variant>
      <vt:variant>
        <vt:lpwstr>_Toc10202316</vt:lpwstr>
      </vt:variant>
      <vt:variant>
        <vt:i4>1114160</vt:i4>
      </vt:variant>
      <vt:variant>
        <vt:i4>782</vt:i4>
      </vt:variant>
      <vt:variant>
        <vt:i4>0</vt:i4>
      </vt:variant>
      <vt:variant>
        <vt:i4>5</vt:i4>
      </vt:variant>
      <vt:variant>
        <vt:lpwstr/>
      </vt:variant>
      <vt:variant>
        <vt:lpwstr>_Toc10202315</vt:lpwstr>
      </vt:variant>
      <vt:variant>
        <vt:i4>1048624</vt:i4>
      </vt:variant>
      <vt:variant>
        <vt:i4>776</vt:i4>
      </vt:variant>
      <vt:variant>
        <vt:i4>0</vt:i4>
      </vt:variant>
      <vt:variant>
        <vt:i4>5</vt:i4>
      </vt:variant>
      <vt:variant>
        <vt:lpwstr/>
      </vt:variant>
      <vt:variant>
        <vt:lpwstr>_Toc10202314</vt:lpwstr>
      </vt:variant>
      <vt:variant>
        <vt:i4>1507376</vt:i4>
      </vt:variant>
      <vt:variant>
        <vt:i4>770</vt:i4>
      </vt:variant>
      <vt:variant>
        <vt:i4>0</vt:i4>
      </vt:variant>
      <vt:variant>
        <vt:i4>5</vt:i4>
      </vt:variant>
      <vt:variant>
        <vt:lpwstr/>
      </vt:variant>
      <vt:variant>
        <vt:lpwstr>_Toc10202313</vt:lpwstr>
      </vt:variant>
      <vt:variant>
        <vt:i4>1441840</vt:i4>
      </vt:variant>
      <vt:variant>
        <vt:i4>764</vt:i4>
      </vt:variant>
      <vt:variant>
        <vt:i4>0</vt:i4>
      </vt:variant>
      <vt:variant>
        <vt:i4>5</vt:i4>
      </vt:variant>
      <vt:variant>
        <vt:lpwstr/>
      </vt:variant>
      <vt:variant>
        <vt:lpwstr>_Toc10202312</vt:lpwstr>
      </vt:variant>
      <vt:variant>
        <vt:i4>1376304</vt:i4>
      </vt:variant>
      <vt:variant>
        <vt:i4>758</vt:i4>
      </vt:variant>
      <vt:variant>
        <vt:i4>0</vt:i4>
      </vt:variant>
      <vt:variant>
        <vt:i4>5</vt:i4>
      </vt:variant>
      <vt:variant>
        <vt:lpwstr/>
      </vt:variant>
      <vt:variant>
        <vt:lpwstr>_Toc10202311</vt:lpwstr>
      </vt:variant>
      <vt:variant>
        <vt:i4>1310768</vt:i4>
      </vt:variant>
      <vt:variant>
        <vt:i4>752</vt:i4>
      </vt:variant>
      <vt:variant>
        <vt:i4>0</vt:i4>
      </vt:variant>
      <vt:variant>
        <vt:i4>5</vt:i4>
      </vt:variant>
      <vt:variant>
        <vt:lpwstr/>
      </vt:variant>
      <vt:variant>
        <vt:lpwstr>_Toc10202310</vt:lpwstr>
      </vt:variant>
      <vt:variant>
        <vt:i4>1900593</vt:i4>
      </vt:variant>
      <vt:variant>
        <vt:i4>746</vt:i4>
      </vt:variant>
      <vt:variant>
        <vt:i4>0</vt:i4>
      </vt:variant>
      <vt:variant>
        <vt:i4>5</vt:i4>
      </vt:variant>
      <vt:variant>
        <vt:lpwstr/>
      </vt:variant>
      <vt:variant>
        <vt:lpwstr>_Toc10202309</vt:lpwstr>
      </vt:variant>
      <vt:variant>
        <vt:i4>1835057</vt:i4>
      </vt:variant>
      <vt:variant>
        <vt:i4>740</vt:i4>
      </vt:variant>
      <vt:variant>
        <vt:i4>0</vt:i4>
      </vt:variant>
      <vt:variant>
        <vt:i4>5</vt:i4>
      </vt:variant>
      <vt:variant>
        <vt:lpwstr/>
      </vt:variant>
      <vt:variant>
        <vt:lpwstr>_Toc10202308</vt:lpwstr>
      </vt:variant>
      <vt:variant>
        <vt:i4>1245233</vt:i4>
      </vt:variant>
      <vt:variant>
        <vt:i4>734</vt:i4>
      </vt:variant>
      <vt:variant>
        <vt:i4>0</vt:i4>
      </vt:variant>
      <vt:variant>
        <vt:i4>5</vt:i4>
      </vt:variant>
      <vt:variant>
        <vt:lpwstr/>
      </vt:variant>
      <vt:variant>
        <vt:lpwstr>_Toc10202307</vt:lpwstr>
      </vt:variant>
      <vt:variant>
        <vt:i4>1179697</vt:i4>
      </vt:variant>
      <vt:variant>
        <vt:i4>728</vt:i4>
      </vt:variant>
      <vt:variant>
        <vt:i4>0</vt:i4>
      </vt:variant>
      <vt:variant>
        <vt:i4>5</vt:i4>
      </vt:variant>
      <vt:variant>
        <vt:lpwstr/>
      </vt:variant>
      <vt:variant>
        <vt:lpwstr>_Toc10202306</vt:lpwstr>
      </vt:variant>
      <vt:variant>
        <vt:i4>1114161</vt:i4>
      </vt:variant>
      <vt:variant>
        <vt:i4>722</vt:i4>
      </vt:variant>
      <vt:variant>
        <vt:i4>0</vt:i4>
      </vt:variant>
      <vt:variant>
        <vt:i4>5</vt:i4>
      </vt:variant>
      <vt:variant>
        <vt:lpwstr/>
      </vt:variant>
      <vt:variant>
        <vt:lpwstr>_Toc10202305</vt:lpwstr>
      </vt:variant>
      <vt:variant>
        <vt:i4>1048625</vt:i4>
      </vt:variant>
      <vt:variant>
        <vt:i4>716</vt:i4>
      </vt:variant>
      <vt:variant>
        <vt:i4>0</vt:i4>
      </vt:variant>
      <vt:variant>
        <vt:i4>5</vt:i4>
      </vt:variant>
      <vt:variant>
        <vt:lpwstr/>
      </vt:variant>
      <vt:variant>
        <vt:lpwstr>_Toc10202304</vt:lpwstr>
      </vt:variant>
      <vt:variant>
        <vt:i4>1507377</vt:i4>
      </vt:variant>
      <vt:variant>
        <vt:i4>710</vt:i4>
      </vt:variant>
      <vt:variant>
        <vt:i4>0</vt:i4>
      </vt:variant>
      <vt:variant>
        <vt:i4>5</vt:i4>
      </vt:variant>
      <vt:variant>
        <vt:lpwstr/>
      </vt:variant>
      <vt:variant>
        <vt:lpwstr>_Toc10202303</vt:lpwstr>
      </vt:variant>
      <vt:variant>
        <vt:i4>1441841</vt:i4>
      </vt:variant>
      <vt:variant>
        <vt:i4>704</vt:i4>
      </vt:variant>
      <vt:variant>
        <vt:i4>0</vt:i4>
      </vt:variant>
      <vt:variant>
        <vt:i4>5</vt:i4>
      </vt:variant>
      <vt:variant>
        <vt:lpwstr/>
      </vt:variant>
      <vt:variant>
        <vt:lpwstr>_Toc10202302</vt:lpwstr>
      </vt:variant>
      <vt:variant>
        <vt:i4>1376305</vt:i4>
      </vt:variant>
      <vt:variant>
        <vt:i4>698</vt:i4>
      </vt:variant>
      <vt:variant>
        <vt:i4>0</vt:i4>
      </vt:variant>
      <vt:variant>
        <vt:i4>5</vt:i4>
      </vt:variant>
      <vt:variant>
        <vt:lpwstr/>
      </vt:variant>
      <vt:variant>
        <vt:lpwstr>_Toc10202301</vt:lpwstr>
      </vt:variant>
      <vt:variant>
        <vt:i4>1310769</vt:i4>
      </vt:variant>
      <vt:variant>
        <vt:i4>692</vt:i4>
      </vt:variant>
      <vt:variant>
        <vt:i4>0</vt:i4>
      </vt:variant>
      <vt:variant>
        <vt:i4>5</vt:i4>
      </vt:variant>
      <vt:variant>
        <vt:lpwstr/>
      </vt:variant>
      <vt:variant>
        <vt:lpwstr>_Toc10202300</vt:lpwstr>
      </vt:variant>
      <vt:variant>
        <vt:i4>1835064</vt:i4>
      </vt:variant>
      <vt:variant>
        <vt:i4>686</vt:i4>
      </vt:variant>
      <vt:variant>
        <vt:i4>0</vt:i4>
      </vt:variant>
      <vt:variant>
        <vt:i4>5</vt:i4>
      </vt:variant>
      <vt:variant>
        <vt:lpwstr/>
      </vt:variant>
      <vt:variant>
        <vt:lpwstr>_Toc10202299</vt:lpwstr>
      </vt:variant>
      <vt:variant>
        <vt:i4>1900600</vt:i4>
      </vt:variant>
      <vt:variant>
        <vt:i4>680</vt:i4>
      </vt:variant>
      <vt:variant>
        <vt:i4>0</vt:i4>
      </vt:variant>
      <vt:variant>
        <vt:i4>5</vt:i4>
      </vt:variant>
      <vt:variant>
        <vt:lpwstr/>
      </vt:variant>
      <vt:variant>
        <vt:lpwstr>_Toc10202298</vt:lpwstr>
      </vt:variant>
      <vt:variant>
        <vt:i4>1179704</vt:i4>
      </vt:variant>
      <vt:variant>
        <vt:i4>674</vt:i4>
      </vt:variant>
      <vt:variant>
        <vt:i4>0</vt:i4>
      </vt:variant>
      <vt:variant>
        <vt:i4>5</vt:i4>
      </vt:variant>
      <vt:variant>
        <vt:lpwstr/>
      </vt:variant>
      <vt:variant>
        <vt:lpwstr>_Toc10202297</vt:lpwstr>
      </vt:variant>
      <vt:variant>
        <vt:i4>1245240</vt:i4>
      </vt:variant>
      <vt:variant>
        <vt:i4>668</vt:i4>
      </vt:variant>
      <vt:variant>
        <vt:i4>0</vt:i4>
      </vt:variant>
      <vt:variant>
        <vt:i4>5</vt:i4>
      </vt:variant>
      <vt:variant>
        <vt:lpwstr/>
      </vt:variant>
      <vt:variant>
        <vt:lpwstr>_Toc10202296</vt:lpwstr>
      </vt:variant>
      <vt:variant>
        <vt:i4>1048632</vt:i4>
      </vt:variant>
      <vt:variant>
        <vt:i4>662</vt:i4>
      </vt:variant>
      <vt:variant>
        <vt:i4>0</vt:i4>
      </vt:variant>
      <vt:variant>
        <vt:i4>5</vt:i4>
      </vt:variant>
      <vt:variant>
        <vt:lpwstr/>
      </vt:variant>
      <vt:variant>
        <vt:lpwstr>_Toc10202295</vt:lpwstr>
      </vt:variant>
      <vt:variant>
        <vt:i4>1114168</vt:i4>
      </vt:variant>
      <vt:variant>
        <vt:i4>656</vt:i4>
      </vt:variant>
      <vt:variant>
        <vt:i4>0</vt:i4>
      </vt:variant>
      <vt:variant>
        <vt:i4>5</vt:i4>
      </vt:variant>
      <vt:variant>
        <vt:lpwstr/>
      </vt:variant>
      <vt:variant>
        <vt:lpwstr>_Toc10202294</vt:lpwstr>
      </vt:variant>
      <vt:variant>
        <vt:i4>1441848</vt:i4>
      </vt:variant>
      <vt:variant>
        <vt:i4>650</vt:i4>
      </vt:variant>
      <vt:variant>
        <vt:i4>0</vt:i4>
      </vt:variant>
      <vt:variant>
        <vt:i4>5</vt:i4>
      </vt:variant>
      <vt:variant>
        <vt:lpwstr/>
      </vt:variant>
      <vt:variant>
        <vt:lpwstr>_Toc10202293</vt:lpwstr>
      </vt:variant>
      <vt:variant>
        <vt:i4>1507384</vt:i4>
      </vt:variant>
      <vt:variant>
        <vt:i4>644</vt:i4>
      </vt:variant>
      <vt:variant>
        <vt:i4>0</vt:i4>
      </vt:variant>
      <vt:variant>
        <vt:i4>5</vt:i4>
      </vt:variant>
      <vt:variant>
        <vt:lpwstr/>
      </vt:variant>
      <vt:variant>
        <vt:lpwstr>_Toc10202292</vt:lpwstr>
      </vt:variant>
      <vt:variant>
        <vt:i4>1310776</vt:i4>
      </vt:variant>
      <vt:variant>
        <vt:i4>638</vt:i4>
      </vt:variant>
      <vt:variant>
        <vt:i4>0</vt:i4>
      </vt:variant>
      <vt:variant>
        <vt:i4>5</vt:i4>
      </vt:variant>
      <vt:variant>
        <vt:lpwstr/>
      </vt:variant>
      <vt:variant>
        <vt:lpwstr>_Toc10202291</vt:lpwstr>
      </vt:variant>
      <vt:variant>
        <vt:i4>1376312</vt:i4>
      </vt:variant>
      <vt:variant>
        <vt:i4>632</vt:i4>
      </vt:variant>
      <vt:variant>
        <vt:i4>0</vt:i4>
      </vt:variant>
      <vt:variant>
        <vt:i4>5</vt:i4>
      </vt:variant>
      <vt:variant>
        <vt:lpwstr/>
      </vt:variant>
      <vt:variant>
        <vt:lpwstr>_Toc10202290</vt:lpwstr>
      </vt:variant>
      <vt:variant>
        <vt:i4>1835065</vt:i4>
      </vt:variant>
      <vt:variant>
        <vt:i4>626</vt:i4>
      </vt:variant>
      <vt:variant>
        <vt:i4>0</vt:i4>
      </vt:variant>
      <vt:variant>
        <vt:i4>5</vt:i4>
      </vt:variant>
      <vt:variant>
        <vt:lpwstr/>
      </vt:variant>
      <vt:variant>
        <vt:lpwstr>_Toc10202289</vt:lpwstr>
      </vt:variant>
      <vt:variant>
        <vt:i4>1900601</vt:i4>
      </vt:variant>
      <vt:variant>
        <vt:i4>620</vt:i4>
      </vt:variant>
      <vt:variant>
        <vt:i4>0</vt:i4>
      </vt:variant>
      <vt:variant>
        <vt:i4>5</vt:i4>
      </vt:variant>
      <vt:variant>
        <vt:lpwstr/>
      </vt:variant>
      <vt:variant>
        <vt:lpwstr>_Toc10202288</vt:lpwstr>
      </vt:variant>
      <vt:variant>
        <vt:i4>1179705</vt:i4>
      </vt:variant>
      <vt:variant>
        <vt:i4>614</vt:i4>
      </vt:variant>
      <vt:variant>
        <vt:i4>0</vt:i4>
      </vt:variant>
      <vt:variant>
        <vt:i4>5</vt:i4>
      </vt:variant>
      <vt:variant>
        <vt:lpwstr/>
      </vt:variant>
      <vt:variant>
        <vt:lpwstr>_Toc10202287</vt:lpwstr>
      </vt:variant>
      <vt:variant>
        <vt:i4>1245241</vt:i4>
      </vt:variant>
      <vt:variant>
        <vt:i4>608</vt:i4>
      </vt:variant>
      <vt:variant>
        <vt:i4>0</vt:i4>
      </vt:variant>
      <vt:variant>
        <vt:i4>5</vt:i4>
      </vt:variant>
      <vt:variant>
        <vt:lpwstr/>
      </vt:variant>
      <vt:variant>
        <vt:lpwstr>_Toc10202286</vt:lpwstr>
      </vt:variant>
      <vt:variant>
        <vt:i4>1048633</vt:i4>
      </vt:variant>
      <vt:variant>
        <vt:i4>602</vt:i4>
      </vt:variant>
      <vt:variant>
        <vt:i4>0</vt:i4>
      </vt:variant>
      <vt:variant>
        <vt:i4>5</vt:i4>
      </vt:variant>
      <vt:variant>
        <vt:lpwstr/>
      </vt:variant>
      <vt:variant>
        <vt:lpwstr>_Toc10202285</vt:lpwstr>
      </vt:variant>
      <vt:variant>
        <vt:i4>1114169</vt:i4>
      </vt:variant>
      <vt:variant>
        <vt:i4>596</vt:i4>
      </vt:variant>
      <vt:variant>
        <vt:i4>0</vt:i4>
      </vt:variant>
      <vt:variant>
        <vt:i4>5</vt:i4>
      </vt:variant>
      <vt:variant>
        <vt:lpwstr/>
      </vt:variant>
      <vt:variant>
        <vt:lpwstr>_Toc10202284</vt:lpwstr>
      </vt:variant>
      <vt:variant>
        <vt:i4>1441849</vt:i4>
      </vt:variant>
      <vt:variant>
        <vt:i4>590</vt:i4>
      </vt:variant>
      <vt:variant>
        <vt:i4>0</vt:i4>
      </vt:variant>
      <vt:variant>
        <vt:i4>5</vt:i4>
      </vt:variant>
      <vt:variant>
        <vt:lpwstr/>
      </vt:variant>
      <vt:variant>
        <vt:lpwstr>_Toc10202283</vt:lpwstr>
      </vt:variant>
      <vt:variant>
        <vt:i4>1507385</vt:i4>
      </vt:variant>
      <vt:variant>
        <vt:i4>584</vt:i4>
      </vt:variant>
      <vt:variant>
        <vt:i4>0</vt:i4>
      </vt:variant>
      <vt:variant>
        <vt:i4>5</vt:i4>
      </vt:variant>
      <vt:variant>
        <vt:lpwstr/>
      </vt:variant>
      <vt:variant>
        <vt:lpwstr>_Toc10202282</vt:lpwstr>
      </vt:variant>
      <vt:variant>
        <vt:i4>1310777</vt:i4>
      </vt:variant>
      <vt:variant>
        <vt:i4>578</vt:i4>
      </vt:variant>
      <vt:variant>
        <vt:i4>0</vt:i4>
      </vt:variant>
      <vt:variant>
        <vt:i4>5</vt:i4>
      </vt:variant>
      <vt:variant>
        <vt:lpwstr/>
      </vt:variant>
      <vt:variant>
        <vt:lpwstr>_Toc10202281</vt:lpwstr>
      </vt:variant>
      <vt:variant>
        <vt:i4>1376313</vt:i4>
      </vt:variant>
      <vt:variant>
        <vt:i4>572</vt:i4>
      </vt:variant>
      <vt:variant>
        <vt:i4>0</vt:i4>
      </vt:variant>
      <vt:variant>
        <vt:i4>5</vt:i4>
      </vt:variant>
      <vt:variant>
        <vt:lpwstr/>
      </vt:variant>
      <vt:variant>
        <vt:lpwstr>_Toc10202280</vt:lpwstr>
      </vt:variant>
      <vt:variant>
        <vt:i4>1835062</vt:i4>
      </vt:variant>
      <vt:variant>
        <vt:i4>566</vt:i4>
      </vt:variant>
      <vt:variant>
        <vt:i4>0</vt:i4>
      </vt:variant>
      <vt:variant>
        <vt:i4>5</vt:i4>
      </vt:variant>
      <vt:variant>
        <vt:lpwstr/>
      </vt:variant>
      <vt:variant>
        <vt:lpwstr>_Toc10202279</vt:lpwstr>
      </vt:variant>
      <vt:variant>
        <vt:i4>1900598</vt:i4>
      </vt:variant>
      <vt:variant>
        <vt:i4>560</vt:i4>
      </vt:variant>
      <vt:variant>
        <vt:i4>0</vt:i4>
      </vt:variant>
      <vt:variant>
        <vt:i4>5</vt:i4>
      </vt:variant>
      <vt:variant>
        <vt:lpwstr/>
      </vt:variant>
      <vt:variant>
        <vt:lpwstr>_Toc10202278</vt:lpwstr>
      </vt:variant>
      <vt:variant>
        <vt:i4>1179702</vt:i4>
      </vt:variant>
      <vt:variant>
        <vt:i4>554</vt:i4>
      </vt:variant>
      <vt:variant>
        <vt:i4>0</vt:i4>
      </vt:variant>
      <vt:variant>
        <vt:i4>5</vt:i4>
      </vt:variant>
      <vt:variant>
        <vt:lpwstr/>
      </vt:variant>
      <vt:variant>
        <vt:lpwstr>_Toc10202277</vt:lpwstr>
      </vt:variant>
      <vt:variant>
        <vt:i4>1245238</vt:i4>
      </vt:variant>
      <vt:variant>
        <vt:i4>548</vt:i4>
      </vt:variant>
      <vt:variant>
        <vt:i4>0</vt:i4>
      </vt:variant>
      <vt:variant>
        <vt:i4>5</vt:i4>
      </vt:variant>
      <vt:variant>
        <vt:lpwstr/>
      </vt:variant>
      <vt:variant>
        <vt:lpwstr>_Toc10202276</vt:lpwstr>
      </vt:variant>
      <vt:variant>
        <vt:i4>1048630</vt:i4>
      </vt:variant>
      <vt:variant>
        <vt:i4>542</vt:i4>
      </vt:variant>
      <vt:variant>
        <vt:i4>0</vt:i4>
      </vt:variant>
      <vt:variant>
        <vt:i4>5</vt:i4>
      </vt:variant>
      <vt:variant>
        <vt:lpwstr/>
      </vt:variant>
      <vt:variant>
        <vt:lpwstr>_Toc10202275</vt:lpwstr>
      </vt:variant>
      <vt:variant>
        <vt:i4>1114166</vt:i4>
      </vt:variant>
      <vt:variant>
        <vt:i4>536</vt:i4>
      </vt:variant>
      <vt:variant>
        <vt:i4>0</vt:i4>
      </vt:variant>
      <vt:variant>
        <vt:i4>5</vt:i4>
      </vt:variant>
      <vt:variant>
        <vt:lpwstr/>
      </vt:variant>
      <vt:variant>
        <vt:lpwstr>_Toc10202274</vt:lpwstr>
      </vt:variant>
      <vt:variant>
        <vt:i4>1441846</vt:i4>
      </vt:variant>
      <vt:variant>
        <vt:i4>530</vt:i4>
      </vt:variant>
      <vt:variant>
        <vt:i4>0</vt:i4>
      </vt:variant>
      <vt:variant>
        <vt:i4>5</vt:i4>
      </vt:variant>
      <vt:variant>
        <vt:lpwstr/>
      </vt:variant>
      <vt:variant>
        <vt:lpwstr>_Toc10202273</vt:lpwstr>
      </vt:variant>
      <vt:variant>
        <vt:i4>1507382</vt:i4>
      </vt:variant>
      <vt:variant>
        <vt:i4>524</vt:i4>
      </vt:variant>
      <vt:variant>
        <vt:i4>0</vt:i4>
      </vt:variant>
      <vt:variant>
        <vt:i4>5</vt:i4>
      </vt:variant>
      <vt:variant>
        <vt:lpwstr/>
      </vt:variant>
      <vt:variant>
        <vt:lpwstr>_Toc10202272</vt:lpwstr>
      </vt:variant>
      <vt:variant>
        <vt:i4>1310774</vt:i4>
      </vt:variant>
      <vt:variant>
        <vt:i4>518</vt:i4>
      </vt:variant>
      <vt:variant>
        <vt:i4>0</vt:i4>
      </vt:variant>
      <vt:variant>
        <vt:i4>5</vt:i4>
      </vt:variant>
      <vt:variant>
        <vt:lpwstr/>
      </vt:variant>
      <vt:variant>
        <vt:lpwstr>_Toc10202271</vt:lpwstr>
      </vt:variant>
      <vt:variant>
        <vt:i4>1376310</vt:i4>
      </vt:variant>
      <vt:variant>
        <vt:i4>512</vt:i4>
      </vt:variant>
      <vt:variant>
        <vt:i4>0</vt:i4>
      </vt:variant>
      <vt:variant>
        <vt:i4>5</vt:i4>
      </vt:variant>
      <vt:variant>
        <vt:lpwstr/>
      </vt:variant>
      <vt:variant>
        <vt:lpwstr>_Toc10202270</vt:lpwstr>
      </vt:variant>
      <vt:variant>
        <vt:i4>1835063</vt:i4>
      </vt:variant>
      <vt:variant>
        <vt:i4>506</vt:i4>
      </vt:variant>
      <vt:variant>
        <vt:i4>0</vt:i4>
      </vt:variant>
      <vt:variant>
        <vt:i4>5</vt:i4>
      </vt:variant>
      <vt:variant>
        <vt:lpwstr/>
      </vt:variant>
      <vt:variant>
        <vt:lpwstr>_Toc10202269</vt:lpwstr>
      </vt:variant>
      <vt:variant>
        <vt:i4>1900599</vt:i4>
      </vt:variant>
      <vt:variant>
        <vt:i4>500</vt:i4>
      </vt:variant>
      <vt:variant>
        <vt:i4>0</vt:i4>
      </vt:variant>
      <vt:variant>
        <vt:i4>5</vt:i4>
      </vt:variant>
      <vt:variant>
        <vt:lpwstr/>
      </vt:variant>
      <vt:variant>
        <vt:lpwstr>_Toc10202268</vt:lpwstr>
      </vt:variant>
      <vt:variant>
        <vt:i4>1179703</vt:i4>
      </vt:variant>
      <vt:variant>
        <vt:i4>494</vt:i4>
      </vt:variant>
      <vt:variant>
        <vt:i4>0</vt:i4>
      </vt:variant>
      <vt:variant>
        <vt:i4>5</vt:i4>
      </vt:variant>
      <vt:variant>
        <vt:lpwstr/>
      </vt:variant>
      <vt:variant>
        <vt:lpwstr>_Toc10202267</vt:lpwstr>
      </vt:variant>
      <vt:variant>
        <vt:i4>1245239</vt:i4>
      </vt:variant>
      <vt:variant>
        <vt:i4>488</vt:i4>
      </vt:variant>
      <vt:variant>
        <vt:i4>0</vt:i4>
      </vt:variant>
      <vt:variant>
        <vt:i4>5</vt:i4>
      </vt:variant>
      <vt:variant>
        <vt:lpwstr/>
      </vt:variant>
      <vt:variant>
        <vt:lpwstr>_Toc10202266</vt:lpwstr>
      </vt:variant>
      <vt:variant>
        <vt:i4>1048631</vt:i4>
      </vt:variant>
      <vt:variant>
        <vt:i4>482</vt:i4>
      </vt:variant>
      <vt:variant>
        <vt:i4>0</vt:i4>
      </vt:variant>
      <vt:variant>
        <vt:i4>5</vt:i4>
      </vt:variant>
      <vt:variant>
        <vt:lpwstr/>
      </vt:variant>
      <vt:variant>
        <vt:lpwstr>_Toc10202265</vt:lpwstr>
      </vt:variant>
      <vt:variant>
        <vt:i4>1114167</vt:i4>
      </vt:variant>
      <vt:variant>
        <vt:i4>476</vt:i4>
      </vt:variant>
      <vt:variant>
        <vt:i4>0</vt:i4>
      </vt:variant>
      <vt:variant>
        <vt:i4>5</vt:i4>
      </vt:variant>
      <vt:variant>
        <vt:lpwstr/>
      </vt:variant>
      <vt:variant>
        <vt:lpwstr>_Toc10202264</vt:lpwstr>
      </vt:variant>
      <vt:variant>
        <vt:i4>1441847</vt:i4>
      </vt:variant>
      <vt:variant>
        <vt:i4>470</vt:i4>
      </vt:variant>
      <vt:variant>
        <vt:i4>0</vt:i4>
      </vt:variant>
      <vt:variant>
        <vt:i4>5</vt:i4>
      </vt:variant>
      <vt:variant>
        <vt:lpwstr/>
      </vt:variant>
      <vt:variant>
        <vt:lpwstr>_Toc10202263</vt:lpwstr>
      </vt:variant>
      <vt:variant>
        <vt:i4>1507383</vt:i4>
      </vt:variant>
      <vt:variant>
        <vt:i4>464</vt:i4>
      </vt:variant>
      <vt:variant>
        <vt:i4>0</vt:i4>
      </vt:variant>
      <vt:variant>
        <vt:i4>5</vt:i4>
      </vt:variant>
      <vt:variant>
        <vt:lpwstr/>
      </vt:variant>
      <vt:variant>
        <vt:lpwstr>_Toc10202262</vt:lpwstr>
      </vt:variant>
      <vt:variant>
        <vt:i4>1310775</vt:i4>
      </vt:variant>
      <vt:variant>
        <vt:i4>458</vt:i4>
      </vt:variant>
      <vt:variant>
        <vt:i4>0</vt:i4>
      </vt:variant>
      <vt:variant>
        <vt:i4>5</vt:i4>
      </vt:variant>
      <vt:variant>
        <vt:lpwstr/>
      </vt:variant>
      <vt:variant>
        <vt:lpwstr>_Toc10202261</vt:lpwstr>
      </vt:variant>
      <vt:variant>
        <vt:i4>1376311</vt:i4>
      </vt:variant>
      <vt:variant>
        <vt:i4>452</vt:i4>
      </vt:variant>
      <vt:variant>
        <vt:i4>0</vt:i4>
      </vt:variant>
      <vt:variant>
        <vt:i4>5</vt:i4>
      </vt:variant>
      <vt:variant>
        <vt:lpwstr/>
      </vt:variant>
      <vt:variant>
        <vt:lpwstr>_Toc10202260</vt:lpwstr>
      </vt:variant>
      <vt:variant>
        <vt:i4>1835060</vt:i4>
      </vt:variant>
      <vt:variant>
        <vt:i4>446</vt:i4>
      </vt:variant>
      <vt:variant>
        <vt:i4>0</vt:i4>
      </vt:variant>
      <vt:variant>
        <vt:i4>5</vt:i4>
      </vt:variant>
      <vt:variant>
        <vt:lpwstr/>
      </vt:variant>
      <vt:variant>
        <vt:lpwstr>_Toc10202259</vt:lpwstr>
      </vt:variant>
      <vt:variant>
        <vt:i4>1900596</vt:i4>
      </vt:variant>
      <vt:variant>
        <vt:i4>440</vt:i4>
      </vt:variant>
      <vt:variant>
        <vt:i4>0</vt:i4>
      </vt:variant>
      <vt:variant>
        <vt:i4>5</vt:i4>
      </vt:variant>
      <vt:variant>
        <vt:lpwstr/>
      </vt:variant>
      <vt:variant>
        <vt:lpwstr>_Toc10202258</vt:lpwstr>
      </vt:variant>
      <vt:variant>
        <vt:i4>1179700</vt:i4>
      </vt:variant>
      <vt:variant>
        <vt:i4>434</vt:i4>
      </vt:variant>
      <vt:variant>
        <vt:i4>0</vt:i4>
      </vt:variant>
      <vt:variant>
        <vt:i4>5</vt:i4>
      </vt:variant>
      <vt:variant>
        <vt:lpwstr/>
      </vt:variant>
      <vt:variant>
        <vt:lpwstr>_Toc10202257</vt:lpwstr>
      </vt:variant>
      <vt:variant>
        <vt:i4>1245236</vt:i4>
      </vt:variant>
      <vt:variant>
        <vt:i4>428</vt:i4>
      </vt:variant>
      <vt:variant>
        <vt:i4>0</vt:i4>
      </vt:variant>
      <vt:variant>
        <vt:i4>5</vt:i4>
      </vt:variant>
      <vt:variant>
        <vt:lpwstr/>
      </vt:variant>
      <vt:variant>
        <vt:lpwstr>_Toc10202256</vt:lpwstr>
      </vt:variant>
      <vt:variant>
        <vt:i4>1048628</vt:i4>
      </vt:variant>
      <vt:variant>
        <vt:i4>422</vt:i4>
      </vt:variant>
      <vt:variant>
        <vt:i4>0</vt:i4>
      </vt:variant>
      <vt:variant>
        <vt:i4>5</vt:i4>
      </vt:variant>
      <vt:variant>
        <vt:lpwstr/>
      </vt:variant>
      <vt:variant>
        <vt:lpwstr>_Toc10202255</vt:lpwstr>
      </vt:variant>
      <vt:variant>
        <vt:i4>1114164</vt:i4>
      </vt:variant>
      <vt:variant>
        <vt:i4>416</vt:i4>
      </vt:variant>
      <vt:variant>
        <vt:i4>0</vt:i4>
      </vt:variant>
      <vt:variant>
        <vt:i4>5</vt:i4>
      </vt:variant>
      <vt:variant>
        <vt:lpwstr/>
      </vt:variant>
      <vt:variant>
        <vt:lpwstr>_Toc10202254</vt:lpwstr>
      </vt:variant>
      <vt:variant>
        <vt:i4>1441844</vt:i4>
      </vt:variant>
      <vt:variant>
        <vt:i4>410</vt:i4>
      </vt:variant>
      <vt:variant>
        <vt:i4>0</vt:i4>
      </vt:variant>
      <vt:variant>
        <vt:i4>5</vt:i4>
      </vt:variant>
      <vt:variant>
        <vt:lpwstr/>
      </vt:variant>
      <vt:variant>
        <vt:lpwstr>_Toc10202253</vt:lpwstr>
      </vt:variant>
      <vt:variant>
        <vt:i4>1507380</vt:i4>
      </vt:variant>
      <vt:variant>
        <vt:i4>404</vt:i4>
      </vt:variant>
      <vt:variant>
        <vt:i4>0</vt:i4>
      </vt:variant>
      <vt:variant>
        <vt:i4>5</vt:i4>
      </vt:variant>
      <vt:variant>
        <vt:lpwstr/>
      </vt:variant>
      <vt:variant>
        <vt:lpwstr>_Toc10202252</vt:lpwstr>
      </vt:variant>
      <vt:variant>
        <vt:i4>1310772</vt:i4>
      </vt:variant>
      <vt:variant>
        <vt:i4>398</vt:i4>
      </vt:variant>
      <vt:variant>
        <vt:i4>0</vt:i4>
      </vt:variant>
      <vt:variant>
        <vt:i4>5</vt:i4>
      </vt:variant>
      <vt:variant>
        <vt:lpwstr/>
      </vt:variant>
      <vt:variant>
        <vt:lpwstr>_Toc10202251</vt:lpwstr>
      </vt:variant>
      <vt:variant>
        <vt:i4>1376308</vt:i4>
      </vt:variant>
      <vt:variant>
        <vt:i4>392</vt:i4>
      </vt:variant>
      <vt:variant>
        <vt:i4>0</vt:i4>
      </vt:variant>
      <vt:variant>
        <vt:i4>5</vt:i4>
      </vt:variant>
      <vt:variant>
        <vt:lpwstr/>
      </vt:variant>
      <vt:variant>
        <vt:lpwstr>_Toc10202250</vt:lpwstr>
      </vt:variant>
      <vt:variant>
        <vt:i4>1835061</vt:i4>
      </vt:variant>
      <vt:variant>
        <vt:i4>386</vt:i4>
      </vt:variant>
      <vt:variant>
        <vt:i4>0</vt:i4>
      </vt:variant>
      <vt:variant>
        <vt:i4>5</vt:i4>
      </vt:variant>
      <vt:variant>
        <vt:lpwstr/>
      </vt:variant>
      <vt:variant>
        <vt:lpwstr>_Toc10202249</vt:lpwstr>
      </vt:variant>
      <vt:variant>
        <vt:i4>1900597</vt:i4>
      </vt:variant>
      <vt:variant>
        <vt:i4>380</vt:i4>
      </vt:variant>
      <vt:variant>
        <vt:i4>0</vt:i4>
      </vt:variant>
      <vt:variant>
        <vt:i4>5</vt:i4>
      </vt:variant>
      <vt:variant>
        <vt:lpwstr/>
      </vt:variant>
      <vt:variant>
        <vt:lpwstr>_Toc10202248</vt:lpwstr>
      </vt:variant>
      <vt:variant>
        <vt:i4>1179701</vt:i4>
      </vt:variant>
      <vt:variant>
        <vt:i4>374</vt:i4>
      </vt:variant>
      <vt:variant>
        <vt:i4>0</vt:i4>
      </vt:variant>
      <vt:variant>
        <vt:i4>5</vt:i4>
      </vt:variant>
      <vt:variant>
        <vt:lpwstr/>
      </vt:variant>
      <vt:variant>
        <vt:lpwstr>_Toc10202247</vt:lpwstr>
      </vt:variant>
      <vt:variant>
        <vt:i4>1245237</vt:i4>
      </vt:variant>
      <vt:variant>
        <vt:i4>368</vt:i4>
      </vt:variant>
      <vt:variant>
        <vt:i4>0</vt:i4>
      </vt:variant>
      <vt:variant>
        <vt:i4>5</vt:i4>
      </vt:variant>
      <vt:variant>
        <vt:lpwstr/>
      </vt:variant>
      <vt:variant>
        <vt:lpwstr>_Toc10202246</vt:lpwstr>
      </vt:variant>
      <vt:variant>
        <vt:i4>1048629</vt:i4>
      </vt:variant>
      <vt:variant>
        <vt:i4>362</vt:i4>
      </vt:variant>
      <vt:variant>
        <vt:i4>0</vt:i4>
      </vt:variant>
      <vt:variant>
        <vt:i4>5</vt:i4>
      </vt:variant>
      <vt:variant>
        <vt:lpwstr/>
      </vt:variant>
      <vt:variant>
        <vt:lpwstr>_Toc10202245</vt:lpwstr>
      </vt:variant>
      <vt:variant>
        <vt:i4>1114165</vt:i4>
      </vt:variant>
      <vt:variant>
        <vt:i4>356</vt:i4>
      </vt:variant>
      <vt:variant>
        <vt:i4>0</vt:i4>
      </vt:variant>
      <vt:variant>
        <vt:i4>5</vt:i4>
      </vt:variant>
      <vt:variant>
        <vt:lpwstr/>
      </vt:variant>
      <vt:variant>
        <vt:lpwstr>_Toc10202244</vt:lpwstr>
      </vt:variant>
      <vt:variant>
        <vt:i4>1441845</vt:i4>
      </vt:variant>
      <vt:variant>
        <vt:i4>350</vt:i4>
      </vt:variant>
      <vt:variant>
        <vt:i4>0</vt:i4>
      </vt:variant>
      <vt:variant>
        <vt:i4>5</vt:i4>
      </vt:variant>
      <vt:variant>
        <vt:lpwstr/>
      </vt:variant>
      <vt:variant>
        <vt:lpwstr>_Toc10202243</vt:lpwstr>
      </vt:variant>
      <vt:variant>
        <vt:i4>1507381</vt:i4>
      </vt:variant>
      <vt:variant>
        <vt:i4>344</vt:i4>
      </vt:variant>
      <vt:variant>
        <vt:i4>0</vt:i4>
      </vt:variant>
      <vt:variant>
        <vt:i4>5</vt:i4>
      </vt:variant>
      <vt:variant>
        <vt:lpwstr/>
      </vt:variant>
      <vt:variant>
        <vt:lpwstr>_Toc10202242</vt:lpwstr>
      </vt:variant>
      <vt:variant>
        <vt:i4>1310773</vt:i4>
      </vt:variant>
      <vt:variant>
        <vt:i4>338</vt:i4>
      </vt:variant>
      <vt:variant>
        <vt:i4>0</vt:i4>
      </vt:variant>
      <vt:variant>
        <vt:i4>5</vt:i4>
      </vt:variant>
      <vt:variant>
        <vt:lpwstr/>
      </vt:variant>
      <vt:variant>
        <vt:lpwstr>_Toc10202241</vt:lpwstr>
      </vt:variant>
      <vt:variant>
        <vt:i4>1376309</vt:i4>
      </vt:variant>
      <vt:variant>
        <vt:i4>332</vt:i4>
      </vt:variant>
      <vt:variant>
        <vt:i4>0</vt:i4>
      </vt:variant>
      <vt:variant>
        <vt:i4>5</vt:i4>
      </vt:variant>
      <vt:variant>
        <vt:lpwstr/>
      </vt:variant>
      <vt:variant>
        <vt:lpwstr>_Toc10202240</vt:lpwstr>
      </vt:variant>
      <vt:variant>
        <vt:i4>1835058</vt:i4>
      </vt:variant>
      <vt:variant>
        <vt:i4>326</vt:i4>
      </vt:variant>
      <vt:variant>
        <vt:i4>0</vt:i4>
      </vt:variant>
      <vt:variant>
        <vt:i4>5</vt:i4>
      </vt:variant>
      <vt:variant>
        <vt:lpwstr/>
      </vt:variant>
      <vt:variant>
        <vt:lpwstr>_Toc10202239</vt:lpwstr>
      </vt:variant>
      <vt:variant>
        <vt:i4>1900594</vt:i4>
      </vt:variant>
      <vt:variant>
        <vt:i4>320</vt:i4>
      </vt:variant>
      <vt:variant>
        <vt:i4>0</vt:i4>
      </vt:variant>
      <vt:variant>
        <vt:i4>5</vt:i4>
      </vt:variant>
      <vt:variant>
        <vt:lpwstr/>
      </vt:variant>
      <vt:variant>
        <vt:lpwstr>_Toc10202238</vt:lpwstr>
      </vt:variant>
      <vt:variant>
        <vt:i4>1179698</vt:i4>
      </vt:variant>
      <vt:variant>
        <vt:i4>314</vt:i4>
      </vt:variant>
      <vt:variant>
        <vt:i4>0</vt:i4>
      </vt:variant>
      <vt:variant>
        <vt:i4>5</vt:i4>
      </vt:variant>
      <vt:variant>
        <vt:lpwstr/>
      </vt:variant>
      <vt:variant>
        <vt:lpwstr>_Toc10202237</vt:lpwstr>
      </vt:variant>
      <vt:variant>
        <vt:i4>1245234</vt:i4>
      </vt:variant>
      <vt:variant>
        <vt:i4>308</vt:i4>
      </vt:variant>
      <vt:variant>
        <vt:i4>0</vt:i4>
      </vt:variant>
      <vt:variant>
        <vt:i4>5</vt:i4>
      </vt:variant>
      <vt:variant>
        <vt:lpwstr/>
      </vt:variant>
      <vt:variant>
        <vt:lpwstr>_Toc10202236</vt:lpwstr>
      </vt:variant>
      <vt:variant>
        <vt:i4>1048626</vt:i4>
      </vt:variant>
      <vt:variant>
        <vt:i4>302</vt:i4>
      </vt:variant>
      <vt:variant>
        <vt:i4>0</vt:i4>
      </vt:variant>
      <vt:variant>
        <vt:i4>5</vt:i4>
      </vt:variant>
      <vt:variant>
        <vt:lpwstr/>
      </vt:variant>
      <vt:variant>
        <vt:lpwstr>_Toc10202235</vt:lpwstr>
      </vt:variant>
      <vt:variant>
        <vt:i4>1114162</vt:i4>
      </vt:variant>
      <vt:variant>
        <vt:i4>296</vt:i4>
      </vt:variant>
      <vt:variant>
        <vt:i4>0</vt:i4>
      </vt:variant>
      <vt:variant>
        <vt:i4>5</vt:i4>
      </vt:variant>
      <vt:variant>
        <vt:lpwstr/>
      </vt:variant>
      <vt:variant>
        <vt:lpwstr>_Toc10202234</vt:lpwstr>
      </vt:variant>
      <vt:variant>
        <vt:i4>1441842</vt:i4>
      </vt:variant>
      <vt:variant>
        <vt:i4>290</vt:i4>
      </vt:variant>
      <vt:variant>
        <vt:i4>0</vt:i4>
      </vt:variant>
      <vt:variant>
        <vt:i4>5</vt:i4>
      </vt:variant>
      <vt:variant>
        <vt:lpwstr/>
      </vt:variant>
      <vt:variant>
        <vt:lpwstr>_Toc10202233</vt:lpwstr>
      </vt:variant>
      <vt:variant>
        <vt:i4>1507378</vt:i4>
      </vt:variant>
      <vt:variant>
        <vt:i4>284</vt:i4>
      </vt:variant>
      <vt:variant>
        <vt:i4>0</vt:i4>
      </vt:variant>
      <vt:variant>
        <vt:i4>5</vt:i4>
      </vt:variant>
      <vt:variant>
        <vt:lpwstr/>
      </vt:variant>
      <vt:variant>
        <vt:lpwstr>_Toc10202232</vt:lpwstr>
      </vt:variant>
      <vt:variant>
        <vt:i4>1310770</vt:i4>
      </vt:variant>
      <vt:variant>
        <vt:i4>278</vt:i4>
      </vt:variant>
      <vt:variant>
        <vt:i4>0</vt:i4>
      </vt:variant>
      <vt:variant>
        <vt:i4>5</vt:i4>
      </vt:variant>
      <vt:variant>
        <vt:lpwstr/>
      </vt:variant>
      <vt:variant>
        <vt:lpwstr>_Toc10202231</vt:lpwstr>
      </vt:variant>
      <vt:variant>
        <vt:i4>1376306</vt:i4>
      </vt:variant>
      <vt:variant>
        <vt:i4>272</vt:i4>
      </vt:variant>
      <vt:variant>
        <vt:i4>0</vt:i4>
      </vt:variant>
      <vt:variant>
        <vt:i4>5</vt:i4>
      </vt:variant>
      <vt:variant>
        <vt:lpwstr/>
      </vt:variant>
      <vt:variant>
        <vt:lpwstr>_Toc10202230</vt:lpwstr>
      </vt:variant>
      <vt:variant>
        <vt:i4>1835059</vt:i4>
      </vt:variant>
      <vt:variant>
        <vt:i4>266</vt:i4>
      </vt:variant>
      <vt:variant>
        <vt:i4>0</vt:i4>
      </vt:variant>
      <vt:variant>
        <vt:i4>5</vt:i4>
      </vt:variant>
      <vt:variant>
        <vt:lpwstr/>
      </vt:variant>
      <vt:variant>
        <vt:lpwstr>_Toc10202229</vt:lpwstr>
      </vt:variant>
      <vt:variant>
        <vt:i4>1900595</vt:i4>
      </vt:variant>
      <vt:variant>
        <vt:i4>260</vt:i4>
      </vt:variant>
      <vt:variant>
        <vt:i4>0</vt:i4>
      </vt:variant>
      <vt:variant>
        <vt:i4>5</vt:i4>
      </vt:variant>
      <vt:variant>
        <vt:lpwstr/>
      </vt:variant>
      <vt:variant>
        <vt:lpwstr>_Toc10202228</vt:lpwstr>
      </vt:variant>
      <vt:variant>
        <vt:i4>1179699</vt:i4>
      </vt:variant>
      <vt:variant>
        <vt:i4>254</vt:i4>
      </vt:variant>
      <vt:variant>
        <vt:i4>0</vt:i4>
      </vt:variant>
      <vt:variant>
        <vt:i4>5</vt:i4>
      </vt:variant>
      <vt:variant>
        <vt:lpwstr/>
      </vt:variant>
      <vt:variant>
        <vt:lpwstr>_Toc10202227</vt:lpwstr>
      </vt:variant>
      <vt:variant>
        <vt:i4>1245235</vt:i4>
      </vt:variant>
      <vt:variant>
        <vt:i4>248</vt:i4>
      </vt:variant>
      <vt:variant>
        <vt:i4>0</vt:i4>
      </vt:variant>
      <vt:variant>
        <vt:i4>5</vt:i4>
      </vt:variant>
      <vt:variant>
        <vt:lpwstr/>
      </vt:variant>
      <vt:variant>
        <vt:lpwstr>_Toc10202226</vt:lpwstr>
      </vt:variant>
      <vt:variant>
        <vt:i4>1048627</vt:i4>
      </vt:variant>
      <vt:variant>
        <vt:i4>242</vt:i4>
      </vt:variant>
      <vt:variant>
        <vt:i4>0</vt:i4>
      </vt:variant>
      <vt:variant>
        <vt:i4>5</vt:i4>
      </vt:variant>
      <vt:variant>
        <vt:lpwstr/>
      </vt:variant>
      <vt:variant>
        <vt:lpwstr>_Toc10202225</vt:lpwstr>
      </vt:variant>
      <vt:variant>
        <vt:i4>1114163</vt:i4>
      </vt:variant>
      <vt:variant>
        <vt:i4>236</vt:i4>
      </vt:variant>
      <vt:variant>
        <vt:i4>0</vt:i4>
      </vt:variant>
      <vt:variant>
        <vt:i4>5</vt:i4>
      </vt:variant>
      <vt:variant>
        <vt:lpwstr/>
      </vt:variant>
      <vt:variant>
        <vt:lpwstr>_Toc10202224</vt:lpwstr>
      </vt:variant>
      <vt:variant>
        <vt:i4>1441843</vt:i4>
      </vt:variant>
      <vt:variant>
        <vt:i4>230</vt:i4>
      </vt:variant>
      <vt:variant>
        <vt:i4>0</vt:i4>
      </vt:variant>
      <vt:variant>
        <vt:i4>5</vt:i4>
      </vt:variant>
      <vt:variant>
        <vt:lpwstr/>
      </vt:variant>
      <vt:variant>
        <vt:lpwstr>_Toc10202223</vt:lpwstr>
      </vt:variant>
      <vt:variant>
        <vt:i4>1507379</vt:i4>
      </vt:variant>
      <vt:variant>
        <vt:i4>224</vt:i4>
      </vt:variant>
      <vt:variant>
        <vt:i4>0</vt:i4>
      </vt:variant>
      <vt:variant>
        <vt:i4>5</vt:i4>
      </vt:variant>
      <vt:variant>
        <vt:lpwstr/>
      </vt:variant>
      <vt:variant>
        <vt:lpwstr>_Toc10202222</vt:lpwstr>
      </vt:variant>
      <vt:variant>
        <vt:i4>1310771</vt:i4>
      </vt:variant>
      <vt:variant>
        <vt:i4>218</vt:i4>
      </vt:variant>
      <vt:variant>
        <vt:i4>0</vt:i4>
      </vt:variant>
      <vt:variant>
        <vt:i4>5</vt:i4>
      </vt:variant>
      <vt:variant>
        <vt:lpwstr/>
      </vt:variant>
      <vt:variant>
        <vt:lpwstr>_Toc10202221</vt:lpwstr>
      </vt:variant>
      <vt:variant>
        <vt:i4>1376307</vt:i4>
      </vt:variant>
      <vt:variant>
        <vt:i4>212</vt:i4>
      </vt:variant>
      <vt:variant>
        <vt:i4>0</vt:i4>
      </vt:variant>
      <vt:variant>
        <vt:i4>5</vt:i4>
      </vt:variant>
      <vt:variant>
        <vt:lpwstr/>
      </vt:variant>
      <vt:variant>
        <vt:lpwstr>_Toc10202220</vt:lpwstr>
      </vt:variant>
      <vt:variant>
        <vt:i4>1835056</vt:i4>
      </vt:variant>
      <vt:variant>
        <vt:i4>206</vt:i4>
      </vt:variant>
      <vt:variant>
        <vt:i4>0</vt:i4>
      </vt:variant>
      <vt:variant>
        <vt:i4>5</vt:i4>
      </vt:variant>
      <vt:variant>
        <vt:lpwstr/>
      </vt:variant>
      <vt:variant>
        <vt:lpwstr>_Toc10202219</vt:lpwstr>
      </vt:variant>
      <vt:variant>
        <vt:i4>1900592</vt:i4>
      </vt:variant>
      <vt:variant>
        <vt:i4>200</vt:i4>
      </vt:variant>
      <vt:variant>
        <vt:i4>0</vt:i4>
      </vt:variant>
      <vt:variant>
        <vt:i4>5</vt:i4>
      </vt:variant>
      <vt:variant>
        <vt:lpwstr/>
      </vt:variant>
      <vt:variant>
        <vt:lpwstr>_Toc10202218</vt:lpwstr>
      </vt:variant>
      <vt:variant>
        <vt:i4>1179696</vt:i4>
      </vt:variant>
      <vt:variant>
        <vt:i4>194</vt:i4>
      </vt:variant>
      <vt:variant>
        <vt:i4>0</vt:i4>
      </vt:variant>
      <vt:variant>
        <vt:i4>5</vt:i4>
      </vt:variant>
      <vt:variant>
        <vt:lpwstr/>
      </vt:variant>
      <vt:variant>
        <vt:lpwstr>_Toc10202217</vt:lpwstr>
      </vt:variant>
      <vt:variant>
        <vt:i4>1245232</vt:i4>
      </vt:variant>
      <vt:variant>
        <vt:i4>188</vt:i4>
      </vt:variant>
      <vt:variant>
        <vt:i4>0</vt:i4>
      </vt:variant>
      <vt:variant>
        <vt:i4>5</vt:i4>
      </vt:variant>
      <vt:variant>
        <vt:lpwstr/>
      </vt:variant>
      <vt:variant>
        <vt:lpwstr>_Toc10202216</vt:lpwstr>
      </vt:variant>
      <vt:variant>
        <vt:i4>1048624</vt:i4>
      </vt:variant>
      <vt:variant>
        <vt:i4>182</vt:i4>
      </vt:variant>
      <vt:variant>
        <vt:i4>0</vt:i4>
      </vt:variant>
      <vt:variant>
        <vt:i4>5</vt:i4>
      </vt:variant>
      <vt:variant>
        <vt:lpwstr/>
      </vt:variant>
      <vt:variant>
        <vt:lpwstr>_Toc10202215</vt:lpwstr>
      </vt:variant>
      <vt:variant>
        <vt:i4>1114160</vt:i4>
      </vt:variant>
      <vt:variant>
        <vt:i4>176</vt:i4>
      </vt:variant>
      <vt:variant>
        <vt:i4>0</vt:i4>
      </vt:variant>
      <vt:variant>
        <vt:i4>5</vt:i4>
      </vt:variant>
      <vt:variant>
        <vt:lpwstr/>
      </vt:variant>
      <vt:variant>
        <vt:lpwstr>_Toc10202214</vt:lpwstr>
      </vt:variant>
      <vt:variant>
        <vt:i4>1441840</vt:i4>
      </vt:variant>
      <vt:variant>
        <vt:i4>170</vt:i4>
      </vt:variant>
      <vt:variant>
        <vt:i4>0</vt:i4>
      </vt:variant>
      <vt:variant>
        <vt:i4>5</vt:i4>
      </vt:variant>
      <vt:variant>
        <vt:lpwstr/>
      </vt:variant>
      <vt:variant>
        <vt:lpwstr>_Toc10202213</vt:lpwstr>
      </vt:variant>
      <vt:variant>
        <vt:i4>1507376</vt:i4>
      </vt:variant>
      <vt:variant>
        <vt:i4>164</vt:i4>
      </vt:variant>
      <vt:variant>
        <vt:i4>0</vt:i4>
      </vt:variant>
      <vt:variant>
        <vt:i4>5</vt:i4>
      </vt:variant>
      <vt:variant>
        <vt:lpwstr/>
      </vt:variant>
      <vt:variant>
        <vt:lpwstr>_Toc10202212</vt:lpwstr>
      </vt:variant>
      <vt:variant>
        <vt:i4>1310768</vt:i4>
      </vt:variant>
      <vt:variant>
        <vt:i4>158</vt:i4>
      </vt:variant>
      <vt:variant>
        <vt:i4>0</vt:i4>
      </vt:variant>
      <vt:variant>
        <vt:i4>5</vt:i4>
      </vt:variant>
      <vt:variant>
        <vt:lpwstr/>
      </vt:variant>
      <vt:variant>
        <vt:lpwstr>_Toc10202211</vt:lpwstr>
      </vt:variant>
      <vt:variant>
        <vt:i4>1376304</vt:i4>
      </vt:variant>
      <vt:variant>
        <vt:i4>152</vt:i4>
      </vt:variant>
      <vt:variant>
        <vt:i4>0</vt:i4>
      </vt:variant>
      <vt:variant>
        <vt:i4>5</vt:i4>
      </vt:variant>
      <vt:variant>
        <vt:lpwstr/>
      </vt:variant>
      <vt:variant>
        <vt:lpwstr>_Toc10202210</vt:lpwstr>
      </vt:variant>
      <vt:variant>
        <vt:i4>1835057</vt:i4>
      </vt:variant>
      <vt:variant>
        <vt:i4>146</vt:i4>
      </vt:variant>
      <vt:variant>
        <vt:i4>0</vt:i4>
      </vt:variant>
      <vt:variant>
        <vt:i4>5</vt:i4>
      </vt:variant>
      <vt:variant>
        <vt:lpwstr/>
      </vt:variant>
      <vt:variant>
        <vt:lpwstr>_Toc10202209</vt:lpwstr>
      </vt:variant>
      <vt:variant>
        <vt:i4>1900593</vt:i4>
      </vt:variant>
      <vt:variant>
        <vt:i4>140</vt:i4>
      </vt:variant>
      <vt:variant>
        <vt:i4>0</vt:i4>
      </vt:variant>
      <vt:variant>
        <vt:i4>5</vt:i4>
      </vt:variant>
      <vt:variant>
        <vt:lpwstr/>
      </vt:variant>
      <vt:variant>
        <vt:lpwstr>_Toc10202208</vt:lpwstr>
      </vt:variant>
      <vt:variant>
        <vt:i4>1179697</vt:i4>
      </vt:variant>
      <vt:variant>
        <vt:i4>134</vt:i4>
      </vt:variant>
      <vt:variant>
        <vt:i4>0</vt:i4>
      </vt:variant>
      <vt:variant>
        <vt:i4>5</vt:i4>
      </vt:variant>
      <vt:variant>
        <vt:lpwstr/>
      </vt:variant>
      <vt:variant>
        <vt:lpwstr>_Toc10202207</vt:lpwstr>
      </vt:variant>
      <vt:variant>
        <vt:i4>1245233</vt:i4>
      </vt:variant>
      <vt:variant>
        <vt:i4>128</vt:i4>
      </vt:variant>
      <vt:variant>
        <vt:i4>0</vt:i4>
      </vt:variant>
      <vt:variant>
        <vt:i4>5</vt:i4>
      </vt:variant>
      <vt:variant>
        <vt:lpwstr/>
      </vt:variant>
      <vt:variant>
        <vt:lpwstr>_Toc10202206</vt:lpwstr>
      </vt:variant>
      <vt:variant>
        <vt:i4>1048625</vt:i4>
      </vt:variant>
      <vt:variant>
        <vt:i4>122</vt:i4>
      </vt:variant>
      <vt:variant>
        <vt:i4>0</vt:i4>
      </vt:variant>
      <vt:variant>
        <vt:i4>5</vt:i4>
      </vt:variant>
      <vt:variant>
        <vt:lpwstr/>
      </vt:variant>
      <vt:variant>
        <vt:lpwstr>_Toc10202205</vt:lpwstr>
      </vt:variant>
      <vt:variant>
        <vt:i4>1114161</vt:i4>
      </vt:variant>
      <vt:variant>
        <vt:i4>116</vt:i4>
      </vt:variant>
      <vt:variant>
        <vt:i4>0</vt:i4>
      </vt:variant>
      <vt:variant>
        <vt:i4>5</vt:i4>
      </vt:variant>
      <vt:variant>
        <vt:lpwstr/>
      </vt:variant>
      <vt:variant>
        <vt:lpwstr>_Toc10202204</vt:lpwstr>
      </vt:variant>
      <vt:variant>
        <vt:i4>1441841</vt:i4>
      </vt:variant>
      <vt:variant>
        <vt:i4>110</vt:i4>
      </vt:variant>
      <vt:variant>
        <vt:i4>0</vt:i4>
      </vt:variant>
      <vt:variant>
        <vt:i4>5</vt:i4>
      </vt:variant>
      <vt:variant>
        <vt:lpwstr/>
      </vt:variant>
      <vt:variant>
        <vt:lpwstr>_Toc10202203</vt:lpwstr>
      </vt:variant>
      <vt:variant>
        <vt:i4>1507377</vt:i4>
      </vt:variant>
      <vt:variant>
        <vt:i4>104</vt:i4>
      </vt:variant>
      <vt:variant>
        <vt:i4>0</vt:i4>
      </vt:variant>
      <vt:variant>
        <vt:i4>5</vt:i4>
      </vt:variant>
      <vt:variant>
        <vt:lpwstr/>
      </vt:variant>
      <vt:variant>
        <vt:lpwstr>_Toc10202202</vt:lpwstr>
      </vt:variant>
      <vt:variant>
        <vt:i4>1310769</vt:i4>
      </vt:variant>
      <vt:variant>
        <vt:i4>98</vt:i4>
      </vt:variant>
      <vt:variant>
        <vt:i4>0</vt:i4>
      </vt:variant>
      <vt:variant>
        <vt:i4>5</vt:i4>
      </vt:variant>
      <vt:variant>
        <vt:lpwstr/>
      </vt:variant>
      <vt:variant>
        <vt:lpwstr>_Toc10202201</vt:lpwstr>
      </vt:variant>
      <vt:variant>
        <vt:i4>1376305</vt:i4>
      </vt:variant>
      <vt:variant>
        <vt:i4>92</vt:i4>
      </vt:variant>
      <vt:variant>
        <vt:i4>0</vt:i4>
      </vt:variant>
      <vt:variant>
        <vt:i4>5</vt:i4>
      </vt:variant>
      <vt:variant>
        <vt:lpwstr/>
      </vt:variant>
      <vt:variant>
        <vt:lpwstr>_Toc10202200</vt:lpwstr>
      </vt:variant>
      <vt:variant>
        <vt:i4>2031672</vt:i4>
      </vt:variant>
      <vt:variant>
        <vt:i4>86</vt:i4>
      </vt:variant>
      <vt:variant>
        <vt:i4>0</vt:i4>
      </vt:variant>
      <vt:variant>
        <vt:i4>5</vt:i4>
      </vt:variant>
      <vt:variant>
        <vt:lpwstr/>
      </vt:variant>
      <vt:variant>
        <vt:lpwstr>_Toc10202199</vt:lpwstr>
      </vt:variant>
      <vt:variant>
        <vt:i4>1966136</vt:i4>
      </vt:variant>
      <vt:variant>
        <vt:i4>80</vt:i4>
      </vt:variant>
      <vt:variant>
        <vt:i4>0</vt:i4>
      </vt:variant>
      <vt:variant>
        <vt:i4>5</vt:i4>
      </vt:variant>
      <vt:variant>
        <vt:lpwstr/>
      </vt:variant>
      <vt:variant>
        <vt:lpwstr>_Toc10202198</vt:lpwstr>
      </vt:variant>
      <vt:variant>
        <vt:i4>1114168</vt:i4>
      </vt:variant>
      <vt:variant>
        <vt:i4>74</vt:i4>
      </vt:variant>
      <vt:variant>
        <vt:i4>0</vt:i4>
      </vt:variant>
      <vt:variant>
        <vt:i4>5</vt:i4>
      </vt:variant>
      <vt:variant>
        <vt:lpwstr/>
      </vt:variant>
      <vt:variant>
        <vt:lpwstr>_Toc10202197</vt:lpwstr>
      </vt:variant>
      <vt:variant>
        <vt:i4>1048632</vt:i4>
      </vt:variant>
      <vt:variant>
        <vt:i4>68</vt:i4>
      </vt:variant>
      <vt:variant>
        <vt:i4>0</vt:i4>
      </vt:variant>
      <vt:variant>
        <vt:i4>5</vt:i4>
      </vt:variant>
      <vt:variant>
        <vt:lpwstr/>
      </vt:variant>
      <vt:variant>
        <vt:lpwstr>_Toc10202196</vt:lpwstr>
      </vt:variant>
      <vt:variant>
        <vt:i4>1245240</vt:i4>
      </vt:variant>
      <vt:variant>
        <vt:i4>62</vt:i4>
      </vt:variant>
      <vt:variant>
        <vt:i4>0</vt:i4>
      </vt:variant>
      <vt:variant>
        <vt:i4>5</vt:i4>
      </vt:variant>
      <vt:variant>
        <vt:lpwstr/>
      </vt:variant>
      <vt:variant>
        <vt:lpwstr>_Toc10202195</vt:lpwstr>
      </vt:variant>
      <vt:variant>
        <vt:i4>1179704</vt:i4>
      </vt:variant>
      <vt:variant>
        <vt:i4>56</vt:i4>
      </vt:variant>
      <vt:variant>
        <vt:i4>0</vt:i4>
      </vt:variant>
      <vt:variant>
        <vt:i4>5</vt:i4>
      </vt:variant>
      <vt:variant>
        <vt:lpwstr/>
      </vt:variant>
      <vt:variant>
        <vt:lpwstr>_Toc10202194</vt:lpwstr>
      </vt:variant>
      <vt:variant>
        <vt:i4>1376312</vt:i4>
      </vt:variant>
      <vt:variant>
        <vt:i4>50</vt:i4>
      </vt:variant>
      <vt:variant>
        <vt:i4>0</vt:i4>
      </vt:variant>
      <vt:variant>
        <vt:i4>5</vt:i4>
      </vt:variant>
      <vt:variant>
        <vt:lpwstr/>
      </vt:variant>
      <vt:variant>
        <vt:lpwstr>_Toc10202193</vt:lpwstr>
      </vt:variant>
      <vt:variant>
        <vt:i4>1310776</vt:i4>
      </vt:variant>
      <vt:variant>
        <vt:i4>44</vt:i4>
      </vt:variant>
      <vt:variant>
        <vt:i4>0</vt:i4>
      </vt:variant>
      <vt:variant>
        <vt:i4>5</vt:i4>
      </vt:variant>
      <vt:variant>
        <vt:lpwstr/>
      </vt:variant>
      <vt:variant>
        <vt:lpwstr>_Toc10202192</vt:lpwstr>
      </vt:variant>
      <vt:variant>
        <vt:i4>1507384</vt:i4>
      </vt:variant>
      <vt:variant>
        <vt:i4>38</vt:i4>
      </vt:variant>
      <vt:variant>
        <vt:i4>0</vt:i4>
      </vt:variant>
      <vt:variant>
        <vt:i4>5</vt:i4>
      </vt:variant>
      <vt:variant>
        <vt:lpwstr/>
      </vt:variant>
      <vt:variant>
        <vt:lpwstr>_Toc10202191</vt:lpwstr>
      </vt:variant>
      <vt:variant>
        <vt:i4>1441848</vt:i4>
      </vt:variant>
      <vt:variant>
        <vt:i4>32</vt:i4>
      </vt:variant>
      <vt:variant>
        <vt:i4>0</vt:i4>
      </vt:variant>
      <vt:variant>
        <vt:i4>5</vt:i4>
      </vt:variant>
      <vt:variant>
        <vt:lpwstr/>
      </vt:variant>
      <vt:variant>
        <vt:lpwstr>_Toc10202190</vt:lpwstr>
      </vt:variant>
      <vt:variant>
        <vt:i4>2031673</vt:i4>
      </vt:variant>
      <vt:variant>
        <vt:i4>26</vt:i4>
      </vt:variant>
      <vt:variant>
        <vt:i4>0</vt:i4>
      </vt:variant>
      <vt:variant>
        <vt:i4>5</vt:i4>
      </vt:variant>
      <vt:variant>
        <vt:lpwstr/>
      </vt:variant>
      <vt:variant>
        <vt:lpwstr>_Toc10202189</vt:lpwstr>
      </vt:variant>
      <vt:variant>
        <vt:i4>1966137</vt:i4>
      </vt:variant>
      <vt:variant>
        <vt:i4>20</vt:i4>
      </vt:variant>
      <vt:variant>
        <vt:i4>0</vt:i4>
      </vt:variant>
      <vt:variant>
        <vt:i4>5</vt:i4>
      </vt:variant>
      <vt:variant>
        <vt:lpwstr/>
      </vt:variant>
      <vt:variant>
        <vt:lpwstr>_Toc10202188</vt:lpwstr>
      </vt:variant>
      <vt:variant>
        <vt:i4>1114169</vt:i4>
      </vt:variant>
      <vt:variant>
        <vt:i4>14</vt:i4>
      </vt:variant>
      <vt:variant>
        <vt:i4>0</vt:i4>
      </vt:variant>
      <vt:variant>
        <vt:i4>5</vt:i4>
      </vt:variant>
      <vt:variant>
        <vt:lpwstr/>
      </vt:variant>
      <vt:variant>
        <vt:lpwstr>_Toc10202187</vt:lpwstr>
      </vt:variant>
      <vt:variant>
        <vt:i4>786543</vt:i4>
      </vt:variant>
      <vt:variant>
        <vt:i4>9</vt:i4>
      </vt:variant>
      <vt:variant>
        <vt:i4>0</vt:i4>
      </vt:variant>
      <vt:variant>
        <vt:i4>5</vt:i4>
      </vt:variant>
      <vt:variant>
        <vt:lpwstr>mailto:hta@health.gov.au</vt:lpwstr>
      </vt:variant>
      <vt:variant>
        <vt:lpwstr/>
      </vt:variant>
      <vt:variant>
        <vt:i4>3997727</vt:i4>
      </vt:variant>
      <vt:variant>
        <vt:i4>6</vt:i4>
      </vt:variant>
      <vt:variant>
        <vt:i4>0</vt:i4>
      </vt:variant>
      <vt:variant>
        <vt:i4>5</vt:i4>
      </vt:variant>
      <vt:variant>
        <vt:lpwstr>http://www.msac.gov.au/</vt:lpwstr>
      </vt:variant>
      <vt:variant>
        <vt:lpwstr/>
      </vt:variant>
      <vt:variant>
        <vt:i4>5242984</vt:i4>
      </vt:variant>
      <vt:variant>
        <vt:i4>3</vt:i4>
      </vt:variant>
      <vt:variant>
        <vt:i4>0</vt:i4>
      </vt:variant>
      <vt:variant>
        <vt:i4>5</vt:i4>
      </vt:variant>
      <vt:variant>
        <vt:lpwstr>http://www.ag.gov.au/</vt:lpwstr>
      </vt:variant>
      <vt:variant>
        <vt:lpwstr/>
      </vt:variant>
      <vt:variant>
        <vt:i4>3997727</vt:i4>
      </vt:variant>
      <vt:variant>
        <vt:i4>0</vt:i4>
      </vt:variant>
      <vt:variant>
        <vt:i4>0</vt:i4>
      </vt:variant>
      <vt:variant>
        <vt:i4>5</vt:i4>
      </vt:variant>
      <vt:variant>
        <vt:lpwstr>http://www.msac.gov.au/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1564 Assessment Report</dc:title>
  <dc:subject/>
  <dc:creator/>
  <cp:keywords/>
  <dc:description/>
  <cp:lastModifiedBy/>
  <cp:revision>1</cp:revision>
  <dcterms:created xsi:type="dcterms:W3CDTF">2019-11-18T23:30:00Z</dcterms:created>
  <dcterms:modified xsi:type="dcterms:W3CDTF">2019-11-18T23:50:00Z</dcterms:modified>
</cp:coreProperties>
</file>